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p>
      <w:pPr>
        <w:spacing w:after="0" w:line="32" w:lineRule="exact"/>
        <w:rPr>
          <w:sz w:val="24"/>
          <w:szCs w:val="24"/>
          <w:color w:val="auto"/>
        </w:rPr>
      </w:pPr>
    </w:p>
    <w:p>
      <w:pPr>
        <w:ind w:left="680" w:hanging="650"/>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UNDER SECTION 13 OR 15 (d)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37" w:lineRule="exact"/>
        <w:rPr>
          <w:sz w:val="24"/>
          <w:szCs w:val="24"/>
          <w:color w:val="auto"/>
        </w:rPr>
      </w:pPr>
    </w:p>
    <w:p>
      <w:pPr>
        <w:ind w:left="680" w:hanging="650"/>
        <w:spacing w:after="0"/>
        <w:tabs>
          <w:tab w:leader="none" w:pos="6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9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720" w:type="dxa"/>
            <w:vAlign w:val="bottom"/>
            <w:tcBorders>
              <w:bottom w:val="single" w:sz="8" w:color="auto"/>
            </w:tcBorders>
            <w:gridSpan w:val="3"/>
          </w:tcPr>
          <w:p>
            <w:pPr>
              <w:spacing w:after="0"/>
              <w:rPr>
                <w:sz w:val="13"/>
                <w:szCs w:val="13"/>
                <w:color w:val="auto"/>
              </w:rPr>
            </w:pPr>
          </w:p>
        </w:tc>
        <w:tc>
          <w:tcPr>
            <w:tcW w:w="3460" w:type="dxa"/>
            <w:vAlign w:val="bottom"/>
          </w:tcPr>
          <w:p>
            <w:pPr>
              <w:spacing w:after="0"/>
              <w:rPr>
                <w:sz w:val="13"/>
                <w:szCs w:val="13"/>
                <w:color w:val="auto"/>
              </w:rPr>
            </w:pPr>
          </w:p>
        </w:tc>
      </w:tr>
      <w:tr>
        <w:trPr>
          <w:trHeight w:val="298"/>
        </w:trPr>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2"/>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Commission file number 001-35647</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10"/>
        </w:trPr>
        <w:tc>
          <w:tcPr>
            <w:tcW w:w="3180" w:type="dxa"/>
            <w:vAlign w:val="bottom"/>
          </w:tcPr>
          <w:p>
            <w:pPr>
              <w:spacing w:after="0"/>
              <w:rPr>
                <w:sz w:val="9"/>
                <w:szCs w:val="9"/>
                <w:color w:val="auto"/>
              </w:rPr>
            </w:pPr>
          </w:p>
        </w:tc>
        <w:tc>
          <w:tcPr>
            <w:tcW w:w="4280" w:type="dxa"/>
            <w:vAlign w:val="bottom"/>
            <w:gridSpan w:val="6"/>
          </w:tcPr>
          <w:p>
            <w:pPr>
              <w:jc w:val="center"/>
              <w:ind w:left="524"/>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60" w:type="dxa"/>
            <w:vAlign w:val="bottom"/>
          </w:tcPr>
          <w:p>
            <w:pPr>
              <w:spacing w:after="0"/>
              <w:rPr>
                <w:sz w:val="9"/>
                <w:szCs w:val="9"/>
                <w:color w:val="auto"/>
              </w:rPr>
            </w:pPr>
          </w:p>
        </w:tc>
      </w:tr>
      <w:tr>
        <w:trPr>
          <w:trHeight w:val="557"/>
        </w:trPr>
        <w:tc>
          <w:tcPr>
            <w:tcW w:w="3180" w:type="dxa"/>
            <w:vAlign w:val="bottom"/>
          </w:tcPr>
          <w:p>
            <w:pPr>
              <w:spacing w:after="0"/>
              <w:rPr>
                <w:sz w:val="24"/>
                <w:szCs w:val="24"/>
                <w:color w:val="auto"/>
              </w:rPr>
            </w:pPr>
          </w:p>
        </w:tc>
        <w:tc>
          <w:tcPr>
            <w:tcW w:w="8080" w:type="dxa"/>
            <w:vAlign w:val="bottom"/>
            <w:gridSpan w:val="9"/>
          </w:tcPr>
          <w:p>
            <w:pPr>
              <w:jc w:val="center"/>
              <w:ind w:right="3139"/>
              <w:spacing w:after="0"/>
              <w:rPr>
                <w:sz w:val="20"/>
                <w:szCs w:val="20"/>
                <w:color w:val="auto"/>
              </w:rPr>
            </w:pPr>
            <w:r>
              <w:rPr>
                <w:rFonts w:ascii="Times New Roman" w:cs="Times New Roman" w:eastAsia="Times New Roman" w:hAnsi="Times New Roman"/>
                <w:sz w:val="31"/>
                <w:szCs w:val="31"/>
                <w:b w:val="1"/>
                <w:bCs w:val="1"/>
                <w:color w:val="auto"/>
                <w:w w:val="98"/>
              </w:rPr>
              <w:t>LIFEVANTAGE CORPORATION</w:t>
            </w:r>
          </w:p>
        </w:tc>
      </w:tr>
      <w:tr>
        <w:trPr>
          <w:trHeight w:val="167"/>
        </w:trPr>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500" w:type="dxa"/>
            <w:vAlign w:val="bottom"/>
            <w:gridSpan w:val="7"/>
          </w:tcPr>
          <w:p>
            <w:pPr>
              <w:jc w:val="center"/>
              <w:ind w:right="3719"/>
              <w:spacing w:after="0"/>
              <w:rPr>
                <w:sz w:val="20"/>
                <w:szCs w:val="20"/>
                <w:color w:val="auto"/>
              </w:rPr>
            </w:pPr>
            <w:r>
              <w:rPr>
                <w:rFonts w:ascii="Times New Roman" w:cs="Times New Roman" w:eastAsia="Times New Roman" w:hAnsi="Times New Roman"/>
                <w:sz w:val="13"/>
                <w:szCs w:val="13"/>
                <w:b w:val="1"/>
                <w:bCs w:val="1"/>
                <w:color w:val="auto"/>
                <w:w w:val="97"/>
              </w:rPr>
              <w:t>(Exact name of Registrant as specified in its charter)</w:t>
            </w:r>
          </w:p>
        </w:tc>
      </w:tr>
      <w:tr>
        <w:trPr>
          <w:trHeight w:val="135"/>
        </w:trPr>
        <w:tc>
          <w:tcPr>
            <w:tcW w:w="3180" w:type="dxa"/>
            <w:vAlign w:val="bottom"/>
          </w:tcPr>
          <w:p>
            <w:pPr>
              <w:spacing w:after="0"/>
              <w:rPr>
                <w:sz w:val="11"/>
                <w:szCs w:val="11"/>
                <w:color w:val="auto"/>
              </w:rPr>
            </w:pPr>
          </w:p>
        </w:tc>
        <w:tc>
          <w:tcPr>
            <w:tcW w:w="4280" w:type="dxa"/>
            <w:vAlign w:val="bottom"/>
            <w:gridSpan w:val="6"/>
          </w:tcPr>
          <w:p>
            <w:pPr>
              <w:jc w:val="center"/>
              <w:ind w:left="524"/>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60" w:type="dxa"/>
            <w:vAlign w:val="bottom"/>
          </w:tcPr>
          <w:p>
            <w:pPr>
              <w:spacing w:after="0"/>
              <w:rPr>
                <w:sz w:val="11"/>
                <w:szCs w:val="11"/>
                <w:color w:val="auto"/>
              </w:rPr>
            </w:pPr>
          </w:p>
        </w:tc>
      </w:tr>
      <w:tr>
        <w:trPr>
          <w:trHeight w:val="203"/>
        </w:trPr>
        <w:tc>
          <w:tcPr>
            <w:tcW w:w="318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40" w:type="dxa"/>
            <w:vAlign w:val="bottom"/>
            <w:gridSpan w:val="5"/>
          </w:tcPr>
          <w:p>
            <w:pPr>
              <w:jc w:val="right"/>
              <w:ind w:right="2279"/>
              <w:spacing w:after="0"/>
              <w:rPr>
                <w:sz w:val="20"/>
                <w:szCs w:val="20"/>
                <w:color w:val="auto"/>
              </w:rPr>
            </w:pPr>
            <w:r>
              <w:rPr>
                <w:rFonts w:ascii="Times New Roman" w:cs="Times New Roman" w:eastAsia="Times New Roman" w:hAnsi="Times New Roman"/>
                <w:sz w:val="14"/>
                <w:szCs w:val="14"/>
                <w:b w:val="1"/>
                <w:bCs w:val="1"/>
                <w:color w:val="auto"/>
              </w:rPr>
              <w:t>90-0224471</w:t>
            </w:r>
          </w:p>
        </w:tc>
      </w:tr>
      <w:tr>
        <w:trPr>
          <w:trHeight w:val="147"/>
        </w:trPr>
        <w:tc>
          <w:tcPr>
            <w:tcW w:w="6820" w:type="dxa"/>
            <w:vAlign w:val="bottom"/>
            <w:gridSpan w:val="5"/>
          </w:tcPr>
          <w:p>
            <w:pPr>
              <w:ind w:left="144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jc w:val="center"/>
              <w:ind w:right="1839"/>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362"/>
        </w:trPr>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7"/>
          </w:tcPr>
          <w:p>
            <w:pPr>
              <w:jc w:val="center"/>
              <w:ind w:right="3719"/>
              <w:spacing w:after="0"/>
              <w:rPr>
                <w:sz w:val="20"/>
                <w:szCs w:val="20"/>
                <w:color w:val="auto"/>
              </w:rPr>
            </w:pPr>
            <w:r>
              <w:rPr>
                <w:rFonts w:ascii="Times New Roman" w:cs="Times New Roman" w:eastAsia="Times New Roman" w:hAnsi="Times New Roman"/>
                <w:sz w:val="14"/>
                <w:szCs w:val="14"/>
                <w:b w:val="1"/>
                <w:bCs w:val="1"/>
                <w:color w:val="auto"/>
              </w:rPr>
              <w:t>3300 Triumph Blvd, Suite 700, Lehi, UT 84043</w:t>
            </w:r>
          </w:p>
        </w:tc>
      </w:tr>
      <w:tr>
        <w:trPr>
          <w:trHeight w:val="147"/>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500" w:type="dxa"/>
            <w:vAlign w:val="bottom"/>
            <w:gridSpan w:val="7"/>
          </w:tcPr>
          <w:p>
            <w:pPr>
              <w:jc w:val="center"/>
              <w:ind w:right="3719"/>
              <w:spacing w:after="0"/>
              <w:rPr>
                <w:sz w:val="20"/>
                <w:szCs w:val="20"/>
                <w:color w:val="auto"/>
              </w:rPr>
            </w:pPr>
            <w:r>
              <w:rPr>
                <w:rFonts w:ascii="Times New Roman" w:cs="Times New Roman" w:eastAsia="Times New Roman" w:hAnsi="Times New Roman"/>
                <w:sz w:val="11"/>
                <w:szCs w:val="11"/>
                <w:color w:val="auto"/>
              </w:rPr>
              <w:t>(Address of principal executive offices, including zip code)</w:t>
            </w:r>
          </w:p>
        </w:tc>
      </w:tr>
      <w:tr>
        <w:trPr>
          <w:trHeight w:val="288"/>
        </w:trPr>
        <w:tc>
          <w:tcPr>
            <w:tcW w:w="3180" w:type="dxa"/>
            <w:vAlign w:val="bottom"/>
          </w:tcPr>
          <w:p>
            <w:pPr>
              <w:spacing w:after="0"/>
              <w:rPr>
                <w:sz w:val="24"/>
                <w:szCs w:val="24"/>
                <w:color w:val="auto"/>
              </w:rPr>
            </w:pPr>
          </w:p>
        </w:tc>
        <w:tc>
          <w:tcPr>
            <w:tcW w:w="2920" w:type="dxa"/>
            <w:vAlign w:val="bottom"/>
            <w:gridSpan w:val="3"/>
          </w:tcPr>
          <w:p>
            <w:pPr>
              <w:jc w:val="center"/>
              <w:ind w:left="1884"/>
              <w:spacing w:after="0"/>
              <w:rPr>
                <w:sz w:val="20"/>
                <w:szCs w:val="20"/>
                <w:color w:val="auto"/>
              </w:rPr>
            </w:pPr>
            <w:r>
              <w:rPr>
                <w:rFonts w:ascii="Times New Roman" w:cs="Times New Roman" w:eastAsia="Times New Roman" w:hAnsi="Times New Roman"/>
                <w:sz w:val="14"/>
                <w:szCs w:val="14"/>
                <w:b w:val="1"/>
                <w:bCs w:val="1"/>
                <w:color w:val="auto"/>
              </w:rPr>
              <w:t>(801) 432-9000</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47"/>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2"/>
          </w:tcPr>
          <w:p>
            <w:pPr>
              <w:jc w:val="center"/>
              <w:ind w:left="615"/>
              <w:spacing w:after="0"/>
              <w:rPr>
                <w:sz w:val="20"/>
                <w:szCs w:val="20"/>
                <w:color w:val="auto"/>
              </w:rPr>
            </w:pPr>
            <w:r>
              <w:rPr>
                <w:rFonts w:ascii="Times New Roman" w:cs="Times New Roman" w:eastAsia="Times New Roman" w:hAnsi="Times New Roman"/>
                <w:sz w:val="11"/>
                <w:szCs w:val="11"/>
                <w:color w:val="auto"/>
              </w:rPr>
              <w:t>(Registrant’s telephone number)</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r>
      <w:tr>
        <w:trPr>
          <w:trHeight w:val="369"/>
        </w:trPr>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7"/>
          </w:tcPr>
          <w:p>
            <w:pPr>
              <w:jc w:val="center"/>
              <w:ind w:right="369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02"/>
        </w:trPr>
        <w:tc>
          <w:tcPr>
            <w:tcW w:w="3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Borders>
              <w:bottom w:val="single" w:sz="8" w:color="auto"/>
            </w:tcBorders>
            <w:gridSpan w:val="2"/>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w w:val="99"/>
              </w:rPr>
              <w:t>LFVN</w:t>
            </w: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38"/>
        </w:trPr>
        <w:tc>
          <w:tcPr>
            <w:tcW w:w="3180" w:type="dxa"/>
            <w:vAlign w:val="bottom"/>
          </w:tcPr>
          <w:p>
            <w:pPr>
              <w:ind w:left="1420"/>
              <w:spacing w:after="0"/>
              <w:rPr>
                <w:sz w:val="20"/>
                <w:szCs w:val="20"/>
                <w:color w:val="auto"/>
              </w:rPr>
            </w:pPr>
            <w:r>
              <w:rPr>
                <w:rFonts w:ascii="Times New Roman" w:cs="Times New Roman" w:eastAsia="Times New Roman" w:hAnsi="Times New Roman"/>
                <w:sz w:val="11"/>
                <w:szCs w:val="11"/>
                <w:color w:val="auto"/>
              </w:rPr>
              <w:t>Title of each class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gridSpan w:val="2"/>
          </w:tcPr>
          <w:p>
            <w:pPr>
              <w:jc w:val="center"/>
              <w:ind w:left="575"/>
              <w:spacing w:after="0"/>
              <w:rPr>
                <w:sz w:val="20"/>
                <w:szCs w:val="20"/>
                <w:color w:val="auto"/>
              </w:rPr>
            </w:pPr>
            <w:r>
              <w:rPr>
                <w:rFonts w:ascii="Times New Roman" w:cs="Times New Roman" w:eastAsia="Times New Roman" w:hAnsi="Times New Roman"/>
                <w:sz w:val="11"/>
                <w:szCs w:val="11"/>
                <w:color w:val="auto"/>
              </w:rPr>
              <w:t>Trading Symbol(s)</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60" w:type="dxa"/>
            <w:vAlign w:val="bottom"/>
          </w:tcPr>
          <w:p>
            <w:pPr>
              <w:jc w:val="center"/>
              <w:ind w:right="199"/>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bl>
    <w:p>
      <w:pPr>
        <w:spacing w:after="0" w:line="7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p>
      <w:pPr>
        <w:spacing w:after="0" w:line="125" w:lineRule="exact"/>
        <w:rPr>
          <w:sz w:val="24"/>
          <w:szCs w:val="24"/>
          <w:color w:val="auto"/>
        </w:rPr>
      </w:pPr>
    </w:p>
    <w:p>
      <w:pPr>
        <w:ind w:right="28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0" w:lineRule="exact"/>
        <w:rPr>
          <w:sz w:val="24"/>
          <w:szCs w:val="24"/>
          <w:color w:val="auto"/>
        </w:rPr>
      </w:pPr>
    </w:p>
    <w:p>
      <w:pPr>
        <w:ind w:right="3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right="8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12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Accelerated filer</w:t>
            </w:r>
          </w:p>
        </w:tc>
        <w:tc>
          <w:tcPr>
            <w:tcW w:w="198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4"/>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12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98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12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42" w:lineRule="exact"/>
        <w:rPr>
          <w:sz w:val="24"/>
          <w:szCs w:val="24"/>
          <w:color w:val="auto"/>
        </w:rPr>
      </w:pPr>
    </w:p>
    <w:p>
      <w:pPr>
        <w:ind w:right="28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issuer’s common stock, par value $0.0001 per share, as of November 1, 2022 was 12,569,302.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448945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17"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9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factors are among those that may cause actual results to differ materially from our forward-looking statements:</w:t>
      </w:r>
    </w:p>
    <w:p>
      <w:pPr>
        <w:spacing w:after="0" w:line="115"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properly manage, motivate and retain our independent distributors or to attract new customers and independent distributors on an ongoing basis;</w:t>
      </w:r>
    </w:p>
    <w:p>
      <w:pPr>
        <w:spacing w:after="0" w:line="125"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COVID-19 pandemic or the widespread outbreak of any other illness or communicable disease or any other public health crisis, could adversely affect our business, results of operations and financial condition;</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protect against cyber security risks and to maintain the integrity of data;</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manage existing markets, open new international markets or expand our operations;</w:t>
      </w:r>
    </w:p>
    <w:p>
      <w:pPr>
        <w:spacing w:after="0" w:line="12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Non-compliance by our independent distributors with applicable legal requirements or our policies and procedures, including making improper and/or illegal claims about our products or earnings opportunity;</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new products and technological innovations to gain customer or independent distributor or market acceptance;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stock price may be adversely affected if our internal controls over financial reporting is not effective;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execute our product launch process due to increased pressure on our supply chain, information systems and management;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appropriately manage our inventory;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information technology systems;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or foreign exchange restrictions, increased tariffs, foreign currency exchange fluctuations;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raise additional capital or complete desired acquisitions;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comply with financial covenants imposed by our credit facility and the impact of debt service obligations and restrictive debt covenants;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upon a few products for revenue;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retain our existing distributor force or customer base or attract additional customers and/or independent distributors;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quality materials for our products may become difficult to obtain or expensive;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Improper actions by our independent distributors that violate laws or regulations could harm our business;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2" w:name="page3"/>
    <w:bookmarkEnd w:id="2"/>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 parties to manufacture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transportation channels used to distribute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a product recall;</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on our business or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Global Not For Resale programs;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 selling program could be found to not be in compliance with current or newly adopted laws or regulations in various markets;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proceedings may be expensive and time consuming;</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Strict government regulations on our business;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Cannabidiol (“CBD”) products are subject to varying and changing federal, state or local laws which could adversely affect our results of operations and financial condition;</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governing the production or marketing of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investigatory and enforcement action;</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authorities may question our tax positions or transfer pricing policies or change their laws in a manner that could increase our effective tax rate or otherwise harm our business;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anti-corruption laws;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or inability to attract, key personnel;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held responsible for certain taxes or assessments and other obligations relating to the activity of our independent distributors;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dietary supplement and personal care markets;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protect our intellectual property rights;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party claims that we infringe on their intellectual property;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claims against us;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discretionary spending habits factor into our economic success;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foreign exchange and other risks associated with international operations;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delisting of our common stock due to non-compliance with Nasdaq's continued listing requirements;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of the market price of our common stock;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sales of shares may negatively impact the market price of our common stock.</w:t>
      </w:r>
    </w:p>
    <w:p>
      <w:pPr>
        <w:spacing w:after="0" w:line="125"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143"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color w:val="auto"/>
        </w:rPr>
        <w:t>LIFEVANTAGE CORPORATION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INDEX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20" w:type="dxa"/>
            <w:vAlign w:val="bottom"/>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38"/>
        </w:trPr>
        <w:tc>
          <w:tcPr>
            <w:tcW w:w="20" w:type="dxa"/>
            <w:vAlign w:val="bottom"/>
          </w:tcPr>
          <w:p>
            <w:pPr>
              <w:spacing w:after="0"/>
              <w:rPr>
                <w:sz w:val="11"/>
                <w:szCs w:val="11"/>
                <w:color w:val="auto"/>
              </w:rPr>
            </w:pPr>
          </w:p>
        </w:tc>
        <w:tc>
          <w:tcPr>
            <w:tcW w:w="1880" w:type="dxa"/>
            <w:vAlign w:val="bottom"/>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PART I. Financial Information</w:t>
            </w:r>
          </w:p>
        </w:tc>
        <w:tc>
          <w:tcPr>
            <w:tcW w:w="8360" w:type="dxa"/>
            <w:vAlign w:val="bottom"/>
            <w:gridSpan w:val="14"/>
          </w:tcPr>
          <w:p>
            <w:pPr>
              <w:spacing w:after="0"/>
              <w:rPr>
                <w:sz w:val="11"/>
                <w:szCs w:val="11"/>
                <w:color w:val="auto"/>
              </w:rPr>
            </w:pPr>
          </w:p>
        </w:tc>
        <w:tc>
          <w:tcPr>
            <w:tcW w:w="1000" w:type="dxa"/>
            <w:vAlign w:val="bottom"/>
            <w:tcBorders>
              <w:top w:val="single" w:sz="8" w:color="auto"/>
            </w:tcBorders>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color w:val="0000FF"/>
              </w:rPr>
              <w:t>5</w:t>
            </w:r>
          </w:p>
        </w:tc>
        <w:tc>
          <w:tcPr>
            <w:tcW w:w="20" w:type="dxa"/>
            <w:vAlign w:val="bottom"/>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0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Condensed Consolidated Balance Sheets (unaudited)</w:t>
            </w:r>
          </w:p>
        </w:tc>
        <w:tc>
          <w:tcPr>
            <w:tcW w:w="6080" w:type="dxa"/>
            <w:vAlign w:val="bottom"/>
            <w:gridSpan w:val="8"/>
          </w:tcPr>
          <w:p>
            <w:pPr>
              <w:spacing w:after="0"/>
              <w:rPr>
                <w:sz w:val="13"/>
                <w:szCs w:val="13"/>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and Comprehensive Income (unaudited)</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1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 of Stockholders’ Equity (unaudited)</w:t>
            </w:r>
          </w:p>
        </w:tc>
        <w:tc>
          <w:tcPr>
            <w:tcW w:w="108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480" w:type="dxa"/>
            <w:vAlign w:val="bottom"/>
            <w:gridSpan w:val="2"/>
          </w:tcPr>
          <w:p>
            <w:pPr>
              <w:spacing w:after="0"/>
              <w:rPr>
                <w:sz w:val="13"/>
                <w:szCs w:val="13"/>
                <w:color w:val="auto"/>
              </w:rPr>
            </w:pPr>
          </w:p>
        </w:tc>
        <w:tc>
          <w:tcPr>
            <w:tcW w:w="4980" w:type="dxa"/>
            <w:vAlign w:val="bottom"/>
            <w:gridSpan w:val="3"/>
          </w:tcPr>
          <w:p>
            <w:pPr>
              <w:spacing w:after="0"/>
              <w:rPr>
                <w:sz w:val="13"/>
                <w:szCs w:val="13"/>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524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90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20" w:type="dxa"/>
            <w:vAlign w:val="bottom"/>
            <w:tcBorders>
              <w:top w:val="single" w:sz="8" w:color="0000FF"/>
            </w:tcBorders>
            <w:gridSpan w:val="4"/>
          </w:tcPr>
          <w:p>
            <w:pPr>
              <w:spacing w:after="0"/>
              <w:rPr>
                <w:sz w:val="13"/>
                <w:szCs w:val="13"/>
                <w:color w:val="auto"/>
              </w:rPr>
            </w:pPr>
          </w:p>
        </w:tc>
        <w:tc>
          <w:tcPr>
            <w:tcW w:w="402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680" w:type="dxa"/>
            <w:vAlign w:val="bottom"/>
            <w:gridSpan w:val="10"/>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3"/>
        </w:trPr>
        <w:tc>
          <w:tcPr>
            <w:tcW w:w="20" w:type="dxa"/>
            <w:vAlign w:val="bottom"/>
          </w:tcPr>
          <w:p>
            <w:pPr>
              <w:spacing w:after="0"/>
              <w:rPr>
                <w:sz w:val="24"/>
                <w:szCs w:val="24"/>
                <w:color w:val="auto"/>
              </w:rPr>
            </w:pPr>
          </w:p>
        </w:tc>
        <w:tc>
          <w:tcPr>
            <w:tcW w:w="1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PART II. Other Information</w:t>
            </w:r>
          </w:p>
        </w:tc>
        <w:tc>
          <w:tcPr>
            <w:tcW w:w="8660" w:type="dxa"/>
            <w:vAlign w:val="bottom"/>
            <w:gridSpan w:val="17"/>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8020" w:type="dxa"/>
            <w:vAlign w:val="bottom"/>
            <w:gridSpan w:val="12"/>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360" w:type="dxa"/>
            <w:vAlign w:val="bottom"/>
            <w:gridSpan w:val="14"/>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90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8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80" w:type="dxa"/>
            <w:vAlign w:val="bottom"/>
            <w:tcBorders>
              <w:top w:val="single" w:sz="8" w:color="0000FF"/>
            </w:tcBorders>
            <w:gridSpan w:val="2"/>
          </w:tcPr>
          <w:p>
            <w:pPr>
              <w:spacing w:after="0"/>
              <w:rPr>
                <w:sz w:val="13"/>
                <w:szCs w:val="13"/>
                <w:color w:val="auto"/>
              </w:rPr>
            </w:pPr>
          </w:p>
        </w:tc>
        <w:tc>
          <w:tcPr>
            <w:tcW w:w="5660" w:type="dxa"/>
            <w:vAlign w:val="bottom"/>
            <w:gridSpan w:val="7"/>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7680" w:type="dxa"/>
            <w:vAlign w:val="bottom"/>
            <w:gridSpan w:val="10"/>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040" w:type="dxa"/>
            <w:vAlign w:val="bottom"/>
            <w:gridSpan w:val="13"/>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8600" w:type="dxa"/>
            <w:vAlign w:val="bottom"/>
            <w:gridSpan w:val="16"/>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81"/>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060" w:type="dxa"/>
            <w:vAlign w:val="bottom"/>
            <w:gridSpan w:val="16"/>
          </w:tcPr>
          <w:p>
            <w:pPr>
              <w:ind w:left="442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 2022</w:t>
            </w:r>
          </w:p>
        </w:tc>
        <w:tc>
          <w:tcPr>
            <w:tcW w:w="300" w:type="dxa"/>
            <w:vAlign w:val="bottom"/>
          </w:tcPr>
          <w:p>
            <w:pPr>
              <w:spacing w:after="0"/>
              <w:rPr>
                <w:sz w:val="13"/>
                <w:szCs w:val="13"/>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0" w:type="dxa"/>
            <w:vAlign w:val="bottom"/>
          </w:tcPr>
          <w:p>
            <w:pPr>
              <w:spacing w:after="0"/>
              <w:rPr>
                <w:sz w:val="1"/>
                <w:szCs w:val="1"/>
                <w:color w:val="auto"/>
              </w:rPr>
            </w:pPr>
          </w:p>
        </w:tc>
      </w:tr>
      <w:tr>
        <w:trPr>
          <w:trHeight w:val="174"/>
        </w:trPr>
        <w:tc>
          <w:tcPr>
            <w:tcW w:w="76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20,190</w:t>
            </w:r>
          </w:p>
        </w:tc>
        <w:tc>
          <w:tcPr>
            <w:tcW w:w="0" w:type="dxa"/>
            <w:vAlign w:val="bottom"/>
          </w:tcPr>
          <w:p>
            <w:pPr>
              <w:spacing w:after="0"/>
              <w:rPr>
                <w:sz w:val="1"/>
                <w:szCs w:val="1"/>
                <w:color w:val="auto"/>
              </w:rPr>
            </w:pPr>
          </w:p>
        </w:tc>
      </w:tr>
      <w:tr>
        <w:trPr>
          <w:trHeight w:val="177"/>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3,338</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Income tax receivable</w:t>
            </w:r>
          </w:p>
        </w:tc>
        <w:tc>
          <w:tcPr>
            <w:tcW w:w="2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0" w:type="dxa"/>
            <w:vAlign w:val="bottom"/>
          </w:tcPr>
          <w:p>
            <w:pPr>
              <w:spacing w:after="0"/>
              <w:rPr>
                <w:sz w:val="1"/>
                <w:szCs w:val="1"/>
                <w:color w:val="auto"/>
              </w:rPr>
            </w:pPr>
          </w:p>
        </w:tc>
      </w:tr>
      <w:tr>
        <w:trPr>
          <w:trHeight w:val="177"/>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Inventory, net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16,472</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5,205</w:t>
            </w:r>
          </w:p>
        </w:tc>
        <w:tc>
          <w:tcPr>
            <w:tcW w:w="0" w:type="dxa"/>
            <w:vAlign w:val="bottom"/>
          </w:tcPr>
          <w:p>
            <w:pPr>
              <w:spacing w:after="0"/>
              <w:rPr>
                <w:sz w:val="1"/>
                <w:szCs w:val="1"/>
                <w:color w:val="auto"/>
              </w:rPr>
            </w:pPr>
          </w:p>
        </w:tc>
      </w:tr>
      <w:tr>
        <w:trPr>
          <w:trHeight w:val="168"/>
        </w:trPr>
        <w:tc>
          <w:tcPr>
            <w:tcW w:w="7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46,957</w:t>
            </w:r>
          </w:p>
        </w:tc>
        <w:tc>
          <w:tcPr>
            <w:tcW w:w="0" w:type="dxa"/>
            <w:vAlign w:val="bottom"/>
          </w:tcPr>
          <w:p>
            <w:pPr>
              <w:spacing w:after="0"/>
              <w:rPr>
                <w:sz w:val="1"/>
                <w:szCs w:val="1"/>
                <w:color w:val="auto"/>
              </w:rPr>
            </w:pPr>
          </w:p>
        </w:tc>
      </w:tr>
      <w:tr>
        <w:trPr>
          <w:trHeight w:val="205"/>
        </w:trPr>
        <w:tc>
          <w:tcPr>
            <w:tcW w:w="7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Right-of-use assets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11,040</w:t>
            </w:r>
          </w:p>
        </w:tc>
        <w:tc>
          <w:tcPr>
            <w:tcW w:w="0" w:type="dxa"/>
            <w:vAlign w:val="bottom"/>
          </w:tcPr>
          <w:p>
            <w:pPr>
              <w:spacing w:after="0"/>
              <w:rPr>
                <w:sz w:val="1"/>
                <w:szCs w:val="1"/>
                <w:color w:val="auto"/>
              </w:rPr>
            </w:pPr>
          </w:p>
        </w:tc>
      </w:tr>
      <w:tr>
        <w:trPr>
          <w:trHeight w:val="177"/>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Intangible assets, net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 asset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0" w:type="dxa"/>
            <w:vAlign w:val="bottom"/>
          </w:tcPr>
          <w:p>
            <w:pPr>
              <w:spacing w:after="0"/>
              <w:rPr>
                <w:sz w:val="1"/>
                <w:szCs w:val="1"/>
                <w:color w:val="auto"/>
              </w:rPr>
            </w:pPr>
          </w:p>
        </w:tc>
      </w:tr>
      <w:tr>
        <w:trPr>
          <w:trHeight w:val="177"/>
        </w:trPr>
        <w:tc>
          <w:tcPr>
            <w:tcW w:w="7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long-term assets</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70,706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 AND STOCKHOLDERS’ EQUITY</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w:t>
            </w:r>
          </w:p>
        </w:tc>
        <w:tc>
          <w:tcPr>
            <w:tcW w:w="0" w:type="dxa"/>
            <w:vAlign w:val="bottom"/>
          </w:tcPr>
          <w:p>
            <w:pPr>
              <w:spacing w:after="0"/>
              <w:rPr>
                <w:sz w:val="1"/>
                <w:szCs w:val="1"/>
                <w:color w:val="auto"/>
              </w:rPr>
            </w:pPr>
          </w:p>
        </w:tc>
      </w:tr>
      <w:tr>
        <w:trPr>
          <w:trHeight w:val="177"/>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Commissions payable</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7,285</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Income tax payable</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0" w:type="dxa"/>
            <w:vAlign w:val="bottom"/>
          </w:tcPr>
          <w:p>
            <w:pPr>
              <w:spacing w:after="0"/>
              <w:rPr>
                <w:sz w:val="1"/>
                <w:szCs w:val="1"/>
                <w:color w:val="auto"/>
              </w:rPr>
            </w:pPr>
          </w:p>
        </w:tc>
      </w:tr>
      <w:tr>
        <w:trPr>
          <w:trHeight w:val="177"/>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Lease liabilities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2,601</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accrued expenses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7,927</w:t>
            </w:r>
          </w:p>
        </w:tc>
        <w:tc>
          <w:tcPr>
            <w:tcW w:w="0" w:type="dxa"/>
            <w:vAlign w:val="bottom"/>
          </w:tcPr>
          <w:p>
            <w:pPr>
              <w:spacing w:after="0"/>
              <w:rPr>
                <w:sz w:val="1"/>
                <w:szCs w:val="1"/>
                <w:color w:val="auto"/>
              </w:rPr>
            </w:pPr>
          </w:p>
        </w:tc>
      </w:tr>
      <w:tr>
        <w:trPr>
          <w:trHeight w:val="168"/>
        </w:trPr>
        <w:tc>
          <w:tcPr>
            <w:tcW w:w="7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25,728</w:t>
            </w:r>
          </w:p>
        </w:tc>
        <w:tc>
          <w:tcPr>
            <w:tcW w:w="0" w:type="dxa"/>
            <w:vAlign w:val="bottom"/>
          </w:tcPr>
          <w:p>
            <w:pPr>
              <w:spacing w:after="0"/>
              <w:rPr>
                <w:sz w:val="1"/>
                <w:szCs w:val="1"/>
                <w:color w:val="auto"/>
              </w:rPr>
            </w:pPr>
          </w:p>
        </w:tc>
      </w:tr>
      <w:tr>
        <w:trPr>
          <w:trHeight w:val="205"/>
        </w:trPr>
        <w:tc>
          <w:tcPr>
            <w:tcW w:w="7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13,154</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35,710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39,190</w:t>
            </w:r>
          </w:p>
        </w:tc>
        <w:tc>
          <w:tcPr>
            <w:tcW w:w="0" w:type="dxa"/>
            <w:vAlign w:val="bottom"/>
          </w:tcPr>
          <w:p>
            <w:pPr>
              <w:spacing w:after="0"/>
              <w:rPr>
                <w:sz w:val="1"/>
                <w:szCs w:val="1"/>
                <w:color w:val="auto"/>
              </w:rPr>
            </w:pPr>
          </w:p>
        </w:tc>
      </w:tr>
      <w:tr>
        <w:trPr>
          <w:trHeight w:val="164"/>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 - Note 8</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Preferred stock — par value $0.0001 per share, 5,000 shares authorized, no shares issued or outstanding</w:t>
            </w:r>
          </w:p>
        </w:tc>
        <w:tc>
          <w:tcPr>
            <w:tcW w:w="2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764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auto"/>
              </w:rPr>
              <w:t>Common stock — par value $0.0001 per share, 40,000 shares authorized and 12,560 and 12,493 issued and outstanding as of</w:t>
            </w:r>
          </w:p>
        </w:tc>
        <w:tc>
          <w:tcPr>
            <w:tcW w:w="24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04"/>
        </w:trPr>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September 30, 2022 and June 30, 2022, respectively</w:t>
            </w:r>
          </w:p>
        </w:tc>
        <w:tc>
          <w:tcPr>
            <w:tcW w:w="24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131,075</w:t>
            </w:r>
          </w:p>
        </w:tc>
        <w:tc>
          <w:tcPr>
            <w:tcW w:w="0" w:type="dxa"/>
            <w:vAlign w:val="bottom"/>
          </w:tcPr>
          <w:p>
            <w:pPr>
              <w:spacing w:after="0"/>
              <w:rPr>
                <w:sz w:val="1"/>
                <w:szCs w:val="1"/>
                <w:color w:val="auto"/>
              </w:rPr>
            </w:pPr>
          </w:p>
        </w:tc>
      </w:tr>
      <w:tr>
        <w:trPr>
          <w:trHeight w:val="177"/>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deficit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(98,437)</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31,890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31,516</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70,706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 w:name="page6"/>
    <w:bookmarkEnd w:id="5"/>
    <w:p>
      <w:pPr>
        <w:jc w:val="center"/>
        <w:ind w:right="20"/>
        <w:spacing w:after="0" w:line="280" w:lineRule="auto"/>
        <w:rPr>
          <w:sz w:val="20"/>
          <w:szCs w:val="20"/>
          <w:color w:val="auto"/>
        </w:rPr>
      </w:pPr>
      <w:r>
        <w:rPr>
          <w:rFonts w:ascii="Times New Roman" w:cs="Times New Roman" w:eastAsia="Times New Roman" w:hAnsi="Times New Roman"/>
          <w:sz w:val="14"/>
          <w:szCs w:val="14"/>
          <w:color w:val="auto"/>
        </w:rPr>
        <w:t>LIFEVANTAGE CORPORATION AND SUBSIDIARIES CONDENSED CONSOLIDATED STATEMENTS OF OPERATIONS AND COMPREHENSIVE INCOME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40" w:type="dxa"/>
            <w:vAlign w:val="bottom"/>
          </w:tcPr>
          <w:p>
            <w:pPr>
              <w:spacing w:after="0"/>
              <w:rPr>
                <w:sz w:val="13"/>
                <w:szCs w:val="13"/>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 net</w:t>
            </w:r>
          </w:p>
        </w:tc>
        <w:tc>
          <w:tcPr>
            <w:tcW w:w="114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53,224</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9,942</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9,431</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Gross profit</w:t>
            </w: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41,832</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43,793</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Commissions and incentives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24,105</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16,729</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15,076</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40,542</w:t>
            </w:r>
          </w:p>
        </w:tc>
        <w:tc>
          <w:tcPr>
            <w:tcW w:w="10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39,181</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11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expense, net</w:t>
            </w:r>
          </w:p>
        </w:tc>
        <w:tc>
          <w:tcPr>
            <w:tcW w:w="1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other expense</w:t>
            </w:r>
          </w:p>
        </w:tc>
        <w:tc>
          <w:tcPr>
            <w:tcW w:w="1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Income tax expense</w:t>
            </w: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income per share: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114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80"/>
        </w:trPr>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1140" w:type="dxa"/>
            <w:vAlign w:val="bottom"/>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c>
          <w:tcPr>
            <w:tcW w:w="1140" w:type="dxa"/>
            <w:vAlign w:val="bottom"/>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13,469</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048"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CONDENSED CONSOLIDATED STATEMENT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1"/>
                <w:szCs w:val="11"/>
                <w:color w:val="auto"/>
              </w:rPr>
            </w:pPr>
          </w:p>
        </w:tc>
        <w:tc>
          <w:tcPr>
            <w:tcW w:w="2160" w:type="dxa"/>
            <w:vAlign w:val="bottom"/>
            <w:gridSpan w:val="3"/>
            <w:vMerge w:val="restart"/>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13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440" w:type="dxa"/>
            <w:vAlign w:val="bottom"/>
          </w:tcPr>
          <w:p>
            <w:pPr>
              <w:spacing w:after="0"/>
              <w:rPr>
                <w:sz w:val="13"/>
                <w:szCs w:val="13"/>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260" w:type="dxa"/>
            <w:vAlign w:val="bottom"/>
          </w:tcPr>
          <w:p>
            <w:pPr>
              <w:spacing w:after="0"/>
              <w:rPr>
                <w:sz w:val="13"/>
                <w:szCs w:val="13"/>
                <w:color w:val="auto"/>
              </w:rPr>
            </w:pPr>
          </w:p>
        </w:tc>
        <w:tc>
          <w:tcPr>
            <w:tcW w:w="94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12,493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131,075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(98,437)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31,516</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equity award plans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canceled or surrendered as payment of tax</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and other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7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September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12,560</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131,726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(98,204)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31,890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30" w:right="339" w:bottom="1440" w:gutter="0" w:footer="0" w:header="0"/>
        </w:sectPr>
      </w:pPr>
    </w:p>
    <w:bookmarkStart w:id="7" w:name="page8"/>
    <w:bookmarkEnd w:id="7"/>
    <w:p>
      <w:pPr>
        <w:jc w:val="center"/>
        <w:spacing w:after="0" w:line="280" w:lineRule="auto"/>
        <w:rPr>
          <w:sz w:val="20"/>
          <w:szCs w:val="20"/>
          <w:color w:val="auto"/>
        </w:rPr>
      </w:pPr>
      <w:r>
        <w:rPr>
          <w:rFonts w:ascii="Times New Roman" w:cs="Times New Roman" w:eastAsia="Times New Roman" w:hAnsi="Times New Roman"/>
          <w:sz w:val="14"/>
          <w:szCs w:val="14"/>
          <w:color w:val="auto"/>
        </w:rPr>
        <w:t>LIFEVANTAGE CORPORATION AND SUBSIDIARIES CONDENSED CONSOLIDATED STATEMENT OF STOCKHOLDERS’ EQUITY (CONTINUED) (Unaudited)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9"/>
                <w:szCs w:val="9"/>
                <w:color w:val="auto"/>
              </w:rPr>
            </w:pPr>
          </w:p>
        </w:tc>
        <w:tc>
          <w:tcPr>
            <w:tcW w:w="2160" w:type="dxa"/>
            <w:vAlign w:val="bottom"/>
            <w:gridSpan w:val="3"/>
            <w:vMerge w:val="restart"/>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440" w:type="dxa"/>
            <w:vAlign w:val="bottom"/>
          </w:tcPr>
          <w:p>
            <w:pPr>
              <w:spacing w:after="0"/>
              <w:rPr>
                <w:sz w:val="8"/>
                <w:szCs w:val="8"/>
                <w:color w:val="auto"/>
              </w:rPr>
            </w:pPr>
          </w:p>
        </w:tc>
        <w:tc>
          <w:tcPr>
            <w:tcW w:w="2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300"/>
              <w:spacing w:after="0" w:line="9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9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8"/>
                <w:szCs w:val="8"/>
                <w:color w:val="auto"/>
              </w:rPr>
            </w:pPr>
          </w:p>
        </w:tc>
        <w:tc>
          <w:tcPr>
            <w:tcW w:w="134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440" w:type="dxa"/>
            <w:vAlign w:val="bottom"/>
          </w:tcPr>
          <w:p>
            <w:pPr>
              <w:spacing w:after="0"/>
              <w:rPr>
                <w:sz w:val="13"/>
                <w:szCs w:val="13"/>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60" w:type="dxa"/>
            <w:vAlign w:val="bottom"/>
          </w:tcPr>
          <w:p>
            <w:pPr>
              <w:spacing w:after="0"/>
              <w:rPr>
                <w:sz w:val="13"/>
                <w:szCs w:val="13"/>
                <w:color w:val="auto"/>
              </w:rPr>
            </w:pPr>
          </w:p>
        </w:tc>
        <w:tc>
          <w:tcPr>
            <w:tcW w:w="94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13,609</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129,048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(92,346)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36,807</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equity award plans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canceled or surrendered as payment of tax</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and 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company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September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129,862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(92,522)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37,310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857"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40" w:type="dxa"/>
            <w:vAlign w:val="bottom"/>
          </w:tcPr>
          <w:p>
            <w:pPr>
              <w:spacing w:after="0"/>
              <w:rPr>
                <w:sz w:val="13"/>
                <w:szCs w:val="13"/>
                <w:color w:val="auto"/>
              </w:rPr>
            </w:pPr>
          </w:p>
        </w:tc>
        <w:tc>
          <w:tcPr>
            <w:tcW w:w="11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5"/>
                <w:szCs w:val="15"/>
                <w:color w:val="auto"/>
              </w:rPr>
            </w:pPr>
          </w:p>
        </w:tc>
        <w:tc>
          <w:tcPr>
            <w:tcW w:w="1140" w:type="dxa"/>
            <w:vAlign w:val="bottom"/>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provided by operating activities: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 tax</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80"/>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 receivable</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Inventory, net</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long-term assets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Income tax payable</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accrued expenses</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Lease liabilities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(1,345)</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(727)</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(378)</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of company stock</w:t>
            </w:r>
          </w:p>
        </w:tc>
        <w:tc>
          <w:tcPr>
            <w:tcW w:w="11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 of cash dividends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Shares canceled or surrendered as payment of tax withholding and other</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common stock issued under employee stock purchase plan</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0"/>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options</w:t>
            </w:r>
          </w:p>
        </w:tc>
        <w:tc>
          <w:tcPr>
            <w:tcW w:w="11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71"/>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 Effect on Cash</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Decrease in Cash and Cash Equivalents: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(3,245)</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 beginning of period</w:t>
            </w: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20,190</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23,174</w:t>
            </w:r>
          </w:p>
        </w:tc>
        <w:tc>
          <w:tcPr>
            <w:tcW w:w="0" w:type="dxa"/>
            <w:vAlign w:val="bottom"/>
          </w:tcPr>
          <w:p>
            <w:pPr>
              <w:spacing w:after="0"/>
              <w:rPr>
                <w:sz w:val="1"/>
                <w:szCs w:val="1"/>
                <w:color w:val="auto"/>
              </w:rPr>
            </w:pPr>
          </w:p>
        </w:tc>
      </w:tr>
      <w:tr>
        <w:trPr>
          <w:trHeight w:val="175"/>
        </w:trPr>
        <w:tc>
          <w:tcPr>
            <w:tcW w:w="76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Cash and Cash Equivalents — end of period</w:t>
            </w:r>
          </w:p>
        </w:tc>
        <w:tc>
          <w:tcPr>
            <w:tcW w:w="1140" w:type="dxa"/>
            <w:vAlign w:val="bottom"/>
            <w:tcBorders>
              <w:bottom w:val="single" w:sz="8" w:color="auto"/>
            </w:tcBorders>
            <w:shd w:val="clear" w:color="auto" w:fill="CCEEFF"/>
          </w:tcPr>
          <w:p>
            <w:pPr>
              <w:jc w:val="right"/>
              <w:ind w:right="994"/>
              <w:spacing w:after="0" w:line="150"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17,619</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92"/>
              <w:spacing w:after="0" w:line="150"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19,929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paid for interest</w:t>
            </w:r>
          </w:p>
        </w:tc>
        <w:tc>
          <w:tcPr>
            <w:tcW w:w="114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4"/>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1140" w:type="dxa"/>
            <w:vAlign w:val="bottom"/>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11" w:lineRule="exact"/>
        <w:rPr>
          <w:sz w:val="20"/>
          <w:szCs w:val="20"/>
          <w:color w:val="auto"/>
        </w:rPr>
      </w:pPr>
    </w:p>
    <w:p>
      <w:pPr>
        <w:ind w:right="640" w:firstLine="318"/>
        <w:spacing w:after="0" w:line="287" w:lineRule="auto"/>
        <w:rPr>
          <w:sz w:val="20"/>
          <w:szCs w:val="20"/>
          <w:color w:val="auto"/>
        </w:rPr>
      </w:pPr>
      <w:r>
        <w:rPr>
          <w:rFonts w:ascii="Times New Roman" w:cs="Times New Roman" w:eastAsia="Times New Roman" w:hAnsi="Times New Roman"/>
          <w:sz w:val="14"/>
          <w:szCs w:val="14"/>
          <w:color w:val="auto"/>
        </w:rPr>
        <w:t>These unaudited condensed consolidated financial statements and notes should be read in conjunction with the audited financial statements and notes of LifeVantage Corporation (the “Company”) as of and for the year ended June 30, 2022 included in the annual report on Form 10-K filed with the Securities and Exchange Commission (“SEC”) on August 23,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Organization and Basis of Presentation</w:t>
      </w:r>
    </w:p>
    <w:p>
      <w:pPr>
        <w:spacing w:after="0" w:line="127" w:lineRule="exact"/>
        <w:rPr>
          <w:sz w:val="20"/>
          <w:szCs w:val="20"/>
          <w:color w:val="auto"/>
        </w:rPr>
      </w:pPr>
    </w:p>
    <w:p>
      <w:pPr>
        <w:ind w:right="100" w:firstLine="331"/>
        <w:spacing w:after="0" w:line="261" w:lineRule="auto"/>
        <w:rPr>
          <w:sz w:val="20"/>
          <w:szCs w:val="20"/>
          <w:color w:val="auto"/>
        </w:rPr>
      </w:pPr>
      <w:r>
        <w:rPr>
          <w:rFonts w:ascii="Times New Roman" w:cs="Times New Roman" w:eastAsia="Times New Roman" w:hAnsi="Times New Roman"/>
          <w:sz w:val="14"/>
          <w:szCs w:val="14"/>
          <w:color w:val="auto"/>
        </w:rPr>
        <w:t>LifeVantage Corporation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distributors as well as a financially rewarding commission-based direct sales opportunity to its independent distributors. LifeVantage sells its products in the United States, Mexico, Japan, Australia, Hong Kong, Canada, Thailand, the United Kingdom, the Netherlands, Germany, Taiwan, Austria, Spain, Ireland, Belgium, New Zealand, Singapore, and the Philippines. The Company also sells its products in a number of countries to customers for personal consumption only. In addition, the Company sells its products in China through a China approved cross-border e-commerce business model.</w:t>
      </w:r>
    </w:p>
    <w:p>
      <w:pPr>
        <w:spacing w:after="0" w:line="80" w:lineRule="exact"/>
        <w:rPr>
          <w:sz w:val="20"/>
          <w:szCs w:val="20"/>
          <w:color w:val="auto"/>
        </w:rPr>
      </w:pPr>
    </w:p>
    <w:p>
      <w:pPr>
        <w:jc w:val="both"/>
        <w:ind w:right="160" w:firstLine="331"/>
        <w:spacing w:after="0" w:line="206" w:lineRule="auto"/>
        <w:rPr>
          <w:sz w:val="20"/>
          <w:szCs w:val="20"/>
          <w:color w:val="auto"/>
        </w:rPr>
      </w:pPr>
      <w:r>
        <w:rPr>
          <w:rFonts w:ascii="Times New Roman" w:cs="Times New Roman" w:eastAsia="Times New Roman" w:hAnsi="Times New Roman"/>
          <w:sz w:val="14"/>
          <w:szCs w:val="14"/>
          <w:color w:val="auto"/>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scientifically-validated dietary supplements includes its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family of products,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ProBio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Daily Wellness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the Company's line of skin, hair, bath &amp; body, and targeted relief products. The Company also markets and sells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its companion pet supplement formulated to combat oxidative stress in dogs,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its nootropic energy drink mixes, and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its smart weight management system.</w:t>
      </w:r>
    </w:p>
    <w:p>
      <w:pPr>
        <w:spacing w:after="0" w:line="103" w:lineRule="exact"/>
        <w:rPr>
          <w:sz w:val="20"/>
          <w:szCs w:val="20"/>
          <w:color w:val="auto"/>
        </w:rPr>
      </w:pPr>
    </w:p>
    <w:p>
      <w:pPr>
        <w:jc w:val="both"/>
        <w:ind w:right="280" w:firstLine="318"/>
        <w:spacing w:after="0" w:line="264" w:lineRule="auto"/>
        <w:rPr>
          <w:sz w:val="20"/>
          <w:szCs w:val="20"/>
          <w:color w:val="auto"/>
        </w:rPr>
      </w:pPr>
      <w:r>
        <w:rPr>
          <w:rFonts w:ascii="Times New Roman" w:cs="Times New Roman" w:eastAsia="Times New Roman" w:hAnsi="Times New Roman"/>
          <w:sz w:val="14"/>
          <w:szCs w:val="14"/>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2022, and the results of operations for the three months ended September 30, 2022 and 2021, and the cash flows for the three months ended September 30, 2022 and 2021. Interim results are not necessarily indicative of results for a full year or for any future period.</w:t>
      </w:r>
    </w:p>
    <w:p>
      <w:pPr>
        <w:spacing w:after="0" w:line="87"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The condensed consolidated financial statements and notes included herein are presented as required by Form 10-Q, and do not contain certain information included in the Company’s audited financial statements and notes for the fiscal year ended June 30, 2022, pursuant to the rules and regulations of the SEC. For further information, refer to the financial statements and notes thereto as of and for the year ended June 30, 2022, and included in the annual report on Form 10-K on file with the SEC.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w:t>
      </w:r>
    </w:p>
    <w:p>
      <w:pPr>
        <w:spacing w:after="0" w:line="127"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wholly-owned subsidiaries. All significant intercompany accounts and transactions are eliminated in consolidation.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27" w:lineRule="exact"/>
        <w:rPr>
          <w:sz w:val="20"/>
          <w:szCs w:val="20"/>
          <w:color w:val="auto"/>
        </w:rPr>
      </w:pPr>
    </w:p>
    <w:p>
      <w:pPr>
        <w:ind w:right="280" w:firstLine="318"/>
        <w:spacing w:after="0" w:line="261" w:lineRule="auto"/>
        <w:rPr>
          <w:sz w:val="20"/>
          <w:szCs w:val="20"/>
          <w:color w:val="auto"/>
        </w:rPr>
      </w:pPr>
      <w:r>
        <w:rPr>
          <w:rFonts w:ascii="Times New Roman" w:cs="Times New Roman" w:eastAsia="Times New Roman" w:hAnsi="Times New Roman"/>
          <w:sz w:val="14"/>
          <w:szCs w:val="14"/>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27" w:lineRule="exact"/>
        <w:rPr>
          <w:sz w:val="20"/>
          <w:szCs w:val="20"/>
          <w:color w:val="auto"/>
        </w:rPr>
      </w:pPr>
    </w:p>
    <w:p>
      <w:pPr>
        <w:ind w:right="200" w:firstLine="318"/>
        <w:spacing w:after="0" w:line="270" w:lineRule="auto"/>
        <w:rPr>
          <w:sz w:val="20"/>
          <w:szCs w:val="20"/>
          <w:color w:val="auto"/>
        </w:rPr>
      </w:pPr>
      <w:r>
        <w:rPr>
          <w:rFonts w:ascii="Times New Roman" w:cs="Times New Roman" w:eastAsia="Times New Roman" w:hAnsi="Times New Roman"/>
          <w:sz w:val="14"/>
          <w:szCs w:val="14"/>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10" w:name="page11"/>
    <w:bookmarkEnd w:id="10"/>
    <w:p>
      <w:pPr>
        <w:ind w:right="20"/>
        <w:spacing w:after="0" w:line="270" w:lineRule="auto"/>
        <w:rPr>
          <w:sz w:val="20"/>
          <w:szCs w:val="20"/>
          <w:color w:val="auto"/>
        </w:rPr>
      </w:pPr>
      <w:r>
        <w:rPr>
          <w:rFonts w:ascii="Times New Roman" w:cs="Times New Roman" w:eastAsia="Times New Roman" w:hAnsi="Times New Roman"/>
          <w:sz w:val="14"/>
          <w:szCs w:val="14"/>
          <w:color w:val="auto"/>
        </w:rPr>
        <w:t>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September 30, 2022 and 2021, net foreign currency losses of $0.4 million and $0.2 million, respectively, are recorded in other expense,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 Instruments and Hedging Activities</w:t>
      </w:r>
    </w:p>
    <w:p>
      <w:pPr>
        <w:spacing w:after="0" w:line="127" w:lineRule="exact"/>
        <w:rPr>
          <w:sz w:val="20"/>
          <w:szCs w:val="20"/>
          <w:color w:val="auto"/>
        </w:rPr>
      </w:pPr>
    </w:p>
    <w:p>
      <w:pPr>
        <w:ind w:right="480" w:firstLine="318"/>
        <w:spacing w:after="0" w:line="287" w:lineRule="auto"/>
        <w:rPr>
          <w:sz w:val="20"/>
          <w:szCs w:val="20"/>
          <w:color w:val="auto"/>
        </w:rPr>
      </w:pPr>
      <w:r>
        <w:rPr>
          <w:rFonts w:ascii="Times New Roman" w:cs="Times New Roman" w:eastAsia="Times New Roman" w:hAnsi="Times New Roman"/>
          <w:sz w:val="14"/>
          <w:szCs w:val="14"/>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71"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To hedge risks associated with the foreign-currency-denominated intercompany transactions, the Company entered into forward foreign exchange contracts which were all settled by the end of December 2021 and were not designated for hedge accounting. There were no realized gains or losses for three months ended September 30, 2022. For the three months ended September 30, 2021 realized losses of $30,000 related to forward contracts, are recorded in other expense, net. The Company did not hold any derivative instruments at September 30,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considers only its monetary liquid assets with original maturities of three months or less as cash and cash equivalents.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117" w:lineRule="exact"/>
        <w:rPr>
          <w:sz w:val="20"/>
          <w:szCs w:val="20"/>
          <w:color w:val="auto"/>
        </w:rPr>
      </w:pPr>
    </w:p>
    <w:p>
      <w:pPr>
        <w:jc w:val="both"/>
        <w:ind w:right="120" w:firstLine="318"/>
        <w:spacing w:after="0" w:line="264" w:lineRule="auto"/>
        <w:rPr>
          <w:sz w:val="20"/>
          <w:szCs w:val="20"/>
          <w:color w:val="auto"/>
        </w:rPr>
      </w:pPr>
      <w:r>
        <w:rPr>
          <w:rFonts w:ascii="Times New Roman" w:cs="Times New Roman" w:eastAsia="Times New Roman" w:hAnsi="Times New Roman"/>
          <w:sz w:val="14"/>
          <w:szCs w:val="14"/>
          <w:color w:val="auto"/>
        </w:rPr>
        <w:t>Accounting guidance for financial instruments requires disclosure of significant concentrations of credit risk regardless of the degree of such risk. Financial instruments with significant credit risk include cash and investments. At September 30, 2022, the Company had $12.2 million in cash accounts at one financial institution and $5.4 million in accounts at other financial institutions. At June 30, 2022, the Company had $15.4 million in cash accounts at one financial institution and $4.8 million in accounts at other financial institutions. As of September 30, 2022 and June 30, 2022, and during the periods then ended, the Company’s cash balances exceeded federally insured limits.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127"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The Company’s accounts receivable as of September 30, 2022 and June 30, 2022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2022 and June 30, 2022 is not necessary. No bad debt expense was recorded during the three months ended September 30, 2022 and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September 30, 2022 and June 30, 2022, inventory consisted of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80" w:type="dxa"/>
            <w:vAlign w:val="bottom"/>
            <w:gridSpan w:val="3"/>
          </w:tcPr>
          <w:p>
            <w:pPr>
              <w:jc w:val="center"/>
              <w:ind w:left="23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20" w:type="dxa"/>
            <w:vAlign w:val="bottom"/>
            <w:gridSpan w:val="3"/>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60" w:type="dxa"/>
            <w:vAlign w:val="bottom"/>
          </w:tcPr>
          <w:p>
            <w:pPr>
              <w:spacing w:after="0"/>
              <w:rPr>
                <w:sz w:val="11"/>
                <w:szCs w:val="11"/>
                <w:color w:val="auto"/>
              </w:rPr>
            </w:pPr>
          </w:p>
        </w:tc>
      </w:tr>
      <w:tr>
        <w:trPr>
          <w:trHeight w:val="153"/>
        </w:trPr>
        <w:tc>
          <w:tcPr>
            <w:tcW w:w="34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tcBorders>
              <w:bottom w:val="single" w:sz="8" w:color="auto"/>
            </w:tcBorders>
          </w:tcPr>
          <w:p>
            <w:pPr>
              <w:spacing w:after="0"/>
              <w:rPr>
                <w:sz w:val="13"/>
                <w:szCs w:val="13"/>
                <w:color w:val="auto"/>
              </w:rPr>
            </w:pPr>
          </w:p>
        </w:tc>
      </w:tr>
      <w:tr>
        <w:trPr>
          <w:trHeight w:val="17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76.9 %</w:t>
            </w:r>
          </w:p>
        </w:tc>
      </w:tr>
      <w:tr>
        <w:trPr>
          <w:trHeight w:val="18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3,798</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23.1 %</w:t>
            </w:r>
          </w:p>
        </w:tc>
      </w:tr>
      <w:tr>
        <w:trPr>
          <w:trHeight w:val="196"/>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inventory</w:t>
            </w: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18,636</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16,472</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580" w:firstLine="318"/>
        <w:spacing w:after="0" w:line="287" w:lineRule="auto"/>
        <w:rPr>
          <w:sz w:val="20"/>
          <w:szCs w:val="20"/>
          <w:color w:val="auto"/>
        </w:rPr>
      </w:pPr>
      <w:r>
        <w:rPr>
          <w:rFonts w:ascii="Times New Roman" w:cs="Times New Roman" w:eastAsia="Times New Roman" w:hAnsi="Times New Roman"/>
          <w:sz w:val="14"/>
          <w:szCs w:val="14"/>
          <w:color w:val="auto"/>
        </w:rPr>
        <w:t>Inventories are carried at the lower of cost or net realizable value, using the first-in, first-out method, which includes a reduction in inventory values of $1.2 million and $1.3 million at September 30, 2022 and June 30, 2022, respectively, related to obsolete and slow-moving inventory.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127"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72"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for identical instruments in active markets;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1" w:name="page12"/>
    <w:bookmarkEnd w:id="11"/>
    <w:p>
      <w:pPr>
        <w:ind w:left="520" w:right="10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3—Valuations derived from valuation techniques in which one or more significant inputs or significant value drivers are unobservable.</w:t>
      </w:r>
    </w:p>
    <w:p>
      <w:pPr>
        <w:spacing w:after="0" w:line="125"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17" w:lineRule="exact"/>
        <w:rPr>
          <w:sz w:val="20"/>
          <w:szCs w:val="20"/>
          <w:color w:val="auto"/>
        </w:rPr>
      </w:pPr>
    </w:p>
    <w:p>
      <w:pPr>
        <w:ind w:right="340" w:firstLine="318"/>
        <w:spacing w:after="0" w:line="287"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are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spacing w:after="0" w:line="68" w:lineRule="exact"/>
        <w:rPr>
          <w:sz w:val="20"/>
          <w:szCs w:val="20"/>
          <w:color w:val="auto"/>
        </w:rPr>
      </w:pPr>
    </w:p>
    <w:p>
      <w:pPr>
        <w:ind w:right="20" w:firstLine="255"/>
        <w:spacing w:after="0" w:line="234" w:lineRule="auto"/>
        <w:rPr>
          <w:sz w:val="20"/>
          <w:szCs w:val="20"/>
          <w:color w:val="auto"/>
        </w:rPr>
      </w:pPr>
      <w:r>
        <w:rPr>
          <w:rFonts w:ascii="Times New Roman" w:cs="Times New Roman" w:eastAsia="Times New Roman" w:hAnsi="Times New Roman"/>
          <w:sz w:val="14"/>
          <w:szCs w:val="14"/>
          <w:color w:val="auto"/>
        </w:rPr>
        <w:t>The Company generates the majority of its revenue through product sales to customers. These products include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dietary supplements,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ProBio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Daily Wellness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hair, bath &amp; body and targeted relief,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nootropic energy drink mixes, and the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07"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The Company also charges independent distributors to attend certain events that it holds.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72"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September 30, 2022 and June 30, 2022, the returns liability reserve, net was $0.2 million and $0.1 million,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Shipping and Handling</w:t>
      </w:r>
    </w:p>
    <w:p>
      <w:pPr>
        <w:spacing w:after="0" w:line="127" w:lineRule="exact"/>
        <w:rPr>
          <w:sz w:val="20"/>
          <w:szCs w:val="20"/>
          <w:color w:val="auto"/>
        </w:rPr>
      </w:pPr>
    </w:p>
    <w:p>
      <w:pPr>
        <w:ind w:right="400" w:firstLine="318"/>
        <w:spacing w:after="0" w:line="287" w:lineRule="auto"/>
        <w:rPr>
          <w:sz w:val="20"/>
          <w:szCs w:val="20"/>
          <w:color w:val="auto"/>
        </w:rPr>
      </w:pPr>
      <w:r>
        <w:rPr>
          <w:rFonts w:ascii="Times New Roman" w:cs="Times New Roman" w:eastAsia="Times New Roman" w:hAnsi="Times New Roman"/>
          <w:sz w:val="14"/>
          <w:szCs w:val="14"/>
          <w:color w:val="auto"/>
        </w:rPr>
        <w:t>Shipping and handling costs associated with inbound freight and freight out to customers and independent distributors are included in cost of sales. Shipping and handling fees charged to customers and independent distributors are included in revenue.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127"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The Company expenses all costs related to research and development activities, as incurred. Research and development expenses for the three months ended September 30, 2022 and 2021 were $0.1 million and $0.2 million,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17" w:lineRule="exact"/>
        <w:rPr>
          <w:sz w:val="20"/>
          <w:szCs w:val="20"/>
          <w:color w:val="auto"/>
        </w:rPr>
      </w:pPr>
    </w:p>
    <w:p>
      <w:pPr>
        <w:jc w:val="both"/>
        <w:ind w:right="160" w:firstLine="318"/>
        <w:spacing w:after="0" w:line="270" w:lineRule="auto"/>
        <w:rPr>
          <w:sz w:val="20"/>
          <w:szCs w:val="20"/>
          <w:color w:val="auto"/>
        </w:rPr>
      </w:pPr>
      <w:r>
        <w:rPr>
          <w:rFonts w:ascii="Times New Roman" w:cs="Times New Roman" w:eastAsia="Times New Roman" w:hAnsi="Times New Roman"/>
          <w:sz w:val="14"/>
          <w:szCs w:val="14"/>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83"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12" w:name="page13"/>
    <w:bookmarkEnd w:id="12"/>
    <w:p>
      <w:pPr>
        <w:spacing w:after="0" w:line="270" w:lineRule="auto"/>
        <w:rPr>
          <w:sz w:val="20"/>
          <w:szCs w:val="20"/>
          <w:color w:val="auto"/>
        </w:rPr>
      </w:pPr>
      <w:r>
        <w:rPr>
          <w:rFonts w:ascii="Times New Roman" w:cs="Times New Roman" w:eastAsia="Times New Roman" w:hAnsi="Times New Roman"/>
          <w:sz w:val="14"/>
          <w:szCs w:val="14"/>
          <w:color w:val="auto"/>
        </w:rPr>
        <w:t>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27" w:lineRule="exact"/>
        <w:rPr>
          <w:sz w:val="20"/>
          <w:szCs w:val="20"/>
          <w:color w:val="auto"/>
        </w:rPr>
      </w:pPr>
    </w:p>
    <w:p>
      <w:pPr>
        <w:jc w:val="both"/>
        <w:ind w:right="160" w:firstLine="318"/>
        <w:spacing w:after="0" w:line="264" w:lineRule="auto"/>
        <w:rPr>
          <w:sz w:val="20"/>
          <w:szCs w:val="20"/>
          <w:color w:val="auto"/>
        </w:rPr>
      </w:pPr>
      <w:r>
        <w:rPr>
          <w:rFonts w:ascii="Times New Roman" w:cs="Times New Roman" w:eastAsia="Times New Roman" w:hAnsi="Times New Roman"/>
          <w:sz w:val="14"/>
          <w:szCs w:val="14"/>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87" w:lineRule="exact"/>
        <w:rPr>
          <w:sz w:val="20"/>
          <w:szCs w:val="20"/>
          <w:color w:val="auto"/>
        </w:rPr>
      </w:pPr>
    </w:p>
    <w:p>
      <w:pPr>
        <w:jc w:val="both"/>
        <w:ind w:right="80" w:firstLine="318"/>
        <w:spacing w:after="0" w:line="264" w:lineRule="auto"/>
        <w:rPr>
          <w:sz w:val="20"/>
          <w:szCs w:val="20"/>
          <w:color w:val="auto"/>
        </w:rPr>
      </w:pPr>
      <w:r>
        <w:rPr>
          <w:rFonts w:ascii="Times New Roman" w:cs="Times New Roman" w:eastAsia="Times New Roman" w:hAnsi="Times New Roman"/>
          <w:sz w:val="14"/>
          <w:szCs w:val="14"/>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77" w:lineRule="exact"/>
        <w:rPr>
          <w:sz w:val="20"/>
          <w:szCs w:val="20"/>
          <w:color w:val="auto"/>
        </w:rPr>
      </w:pPr>
    </w:p>
    <w:p>
      <w:pPr>
        <w:jc w:val="both"/>
        <w:ind w:right="140" w:firstLine="318"/>
        <w:spacing w:after="0" w:line="270" w:lineRule="auto"/>
        <w:rPr>
          <w:sz w:val="20"/>
          <w:szCs w:val="20"/>
          <w:color w:val="auto"/>
        </w:rPr>
      </w:pPr>
      <w:r>
        <w:rPr>
          <w:rFonts w:ascii="Times New Roman" w:cs="Times New Roman" w:eastAsia="Times New Roman" w:hAnsi="Times New Roman"/>
          <w:sz w:val="14"/>
          <w:szCs w:val="14"/>
          <w:color w:val="auto"/>
        </w:rPr>
        <w:t>The fair value of restricted stock grants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27"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82" w:lineRule="exact"/>
        <w:rPr>
          <w:sz w:val="20"/>
          <w:szCs w:val="20"/>
          <w:color w:val="auto"/>
        </w:rPr>
      </w:pPr>
    </w:p>
    <w:p>
      <w:pPr>
        <w:jc w:val="both"/>
        <w:ind w:right="280" w:firstLine="318"/>
        <w:spacing w:after="0" w:line="270" w:lineRule="auto"/>
        <w:rPr>
          <w:sz w:val="20"/>
          <w:szCs w:val="20"/>
          <w:color w:val="auto"/>
        </w:rPr>
      </w:pPr>
      <w:r>
        <w:rPr>
          <w:rFonts w:ascii="Times New Roman" w:cs="Times New Roman" w:eastAsia="Times New Roman" w:hAnsi="Times New Roman"/>
          <w:sz w:val="14"/>
          <w:szCs w:val="14"/>
          <w:color w:val="auto"/>
        </w:rPr>
        <w:t>For the three months ended September 30, 2022 and 2021, the Company recognized income tax expense of $0.2 million and $1.1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Per Share</w:t>
      </w:r>
    </w:p>
    <w:p>
      <w:pPr>
        <w:spacing w:after="0" w:line="127"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72"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2022 and 2021, the effects of approximately 0.6 million and 0.2 million common shares, respectively, issuable upon exercise of options and non-vested shares of restricted stock are not included in computations as their effect was anti-dilutive.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3" w:name="page14"/>
    <w:bookmarkEnd w:id="13"/>
    <w:p>
      <w:pPr>
        <w:ind w:right="60" w:firstLine="318"/>
        <w:spacing w:after="0" w:line="273" w:lineRule="auto"/>
        <w:rPr>
          <w:sz w:val="20"/>
          <w:szCs w:val="20"/>
          <w:color w:val="auto"/>
        </w:rPr>
      </w:pPr>
      <w:r>
        <w:rPr>
          <w:rFonts w:ascii="Times New Roman" w:cs="Times New Roman" w:eastAsia="Times New Roman" w:hAnsi="Times New Roman"/>
          <w:sz w:val="14"/>
          <w:szCs w:val="14"/>
          <w:color w:val="auto"/>
        </w:rPr>
        <w:t>The following is a reconciliation of net income per share and the weighted-average common shares outstanding for purposes of computing basic and diluted net income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30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tcPr>
          <w:p>
            <w:pPr>
              <w:jc w:val="right"/>
              <w:ind w:right="101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5"/>
                <w:szCs w:val="15"/>
                <w:color w:val="auto"/>
              </w:rPr>
            </w:pPr>
          </w:p>
        </w:tc>
        <w:tc>
          <w:tcPr>
            <w:tcW w:w="1160" w:type="dxa"/>
            <w:vAlign w:val="bottom"/>
          </w:tcPr>
          <w:p>
            <w:pPr>
              <w:jc w:val="right"/>
              <w:ind w:right="10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weighted-average common shares outstanding</w:t>
            </w: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12,457</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Stock awards and options</w:t>
            </w:r>
          </w:p>
        </w:tc>
        <w:tc>
          <w:tcPr>
            <w:tcW w:w="1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outstanding</w:t>
            </w:r>
          </w:p>
        </w:tc>
        <w:tc>
          <w:tcPr>
            <w:tcW w:w="1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12,495</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 per share, basic</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1160" w:type="dxa"/>
            <w:vAlign w:val="bottom"/>
            <w:tcBorders>
              <w:bottom w:val="single" w:sz="8" w:color="auto"/>
            </w:tcBorders>
          </w:tcPr>
          <w:p>
            <w:pPr>
              <w:jc w:val="right"/>
              <w:ind w:right="1015"/>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ind w:right="1013"/>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per share, diluted</w:t>
            </w:r>
          </w:p>
        </w:tc>
        <w:tc>
          <w:tcPr>
            <w:tcW w:w="116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27"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Company's revenue disaggregated by these two geographic regions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306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r>
      <w:tr>
        <w:trPr>
          <w:trHeight w:val="154"/>
        </w:trPr>
        <w:tc>
          <w:tcPr>
            <w:tcW w:w="76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r>
      <w:tr>
        <w:trPr>
          <w:trHeight w:val="17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36,449</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Asia/Pacific &amp; Europe</w:t>
            </w: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15,405</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16,775</w:t>
            </w:r>
          </w:p>
        </w:tc>
      </w:tr>
      <w:tr>
        <w:trPr>
          <w:trHeight w:val="196"/>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51,774</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323"/>
        </w:trPr>
        <w:tc>
          <w:tcPr>
            <w:tcW w:w="89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Additional information as to the Company’s revenue from operations in the most significant geographical areas is set forth below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764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4"/>
                <w:szCs w:val="14"/>
                <w:color w:val="auto"/>
              </w:rPr>
            </w:pPr>
          </w:p>
        </w:tc>
      </w:tr>
      <w:tr>
        <w:trPr>
          <w:trHeight w:val="154"/>
        </w:trPr>
        <w:tc>
          <w:tcPr>
            <w:tcW w:w="76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r>
      <w:tr>
        <w:trPr>
          <w:trHeight w:val="17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34,297</w:t>
            </w:r>
          </w:p>
        </w:tc>
      </w:tr>
      <w:tr>
        <w:trPr>
          <w:trHeight w:val="184"/>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8,168</w:t>
            </w:r>
          </w:p>
        </w:tc>
        <w:tc>
          <w:tcPr>
            <w:tcW w:w="100" w:type="dxa"/>
            <w:vAlign w:val="bottom"/>
          </w:tcPr>
          <w:p>
            <w:pPr>
              <w:spacing w:after="0"/>
              <w:rPr>
                <w:sz w:val="16"/>
                <w:szCs w:val="16"/>
                <w:color w:val="auto"/>
              </w:rPr>
            </w:pPr>
          </w:p>
        </w:tc>
        <w:tc>
          <w:tcPr>
            <w:tcW w:w="1200" w:type="dxa"/>
            <w:vAlign w:val="bottom"/>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9,844</w:t>
            </w:r>
          </w:p>
        </w:tc>
      </w:tr>
      <w:tr>
        <w:trPr>
          <w:trHeight w:val="346"/>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following table presents the Company's long-lived assets for its most significant geographic markets (in thousands):</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30"/>
        </w:trPr>
        <w:tc>
          <w:tcPr>
            <w:tcW w:w="764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Pr>
          <w:p>
            <w:pPr>
              <w:spacing w:after="0"/>
              <w:rPr>
                <w:sz w:val="11"/>
                <w:szCs w:val="11"/>
                <w:color w:val="auto"/>
              </w:rPr>
            </w:pPr>
          </w:p>
        </w:tc>
      </w:tr>
      <w:tr>
        <w:trPr>
          <w:trHeight w:val="153"/>
        </w:trPr>
        <w:tc>
          <w:tcPr>
            <w:tcW w:w="76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r>
      <w:tr>
        <w:trPr>
          <w:trHeight w:val="17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19,790</w:t>
            </w:r>
          </w:p>
        </w:tc>
      </w:tr>
      <w:tr>
        <w:trPr>
          <w:trHeight w:val="184"/>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Pr>
          <w:p>
            <w:pPr>
              <w:spacing w:after="0"/>
              <w:rPr>
                <w:sz w:val="16"/>
                <w:szCs w:val="16"/>
                <w:color w:val="auto"/>
              </w:rPr>
            </w:pPr>
          </w:p>
        </w:tc>
        <w:tc>
          <w:tcPr>
            <w:tcW w:w="1200" w:type="dxa"/>
            <w:vAlign w:val="bottom"/>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Gig Economy Group Investment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Note Receivable</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entered into a convertible promissory note agreement with Gig Economy Group, Inc. ("GEG") pursuant to which the Company agreed to loan to GEG up to an aggregate of</w:t>
      </w:r>
    </w:p>
    <w:p>
      <w:pPr>
        <w:spacing w:after="0" w:line="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4"/>
          <w:szCs w:val="14"/>
          <w:color w:val="auto"/>
        </w:rPr>
        <w:t>$2.0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in consideration for conversion and cancellation of all principal, interest and other amounts due under the Convertible Note (representing $0.0 million in aggregate consideration).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color w:val="auto"/>
        </w:rPr>
        <w:t>Equity Securities under ASC 321</w:t>
      </w:r>
    </w:p>
    <w:p>
      <w:pPr>
        <w:spacing w:after="0" w:line="115"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4"/>
          <w:szCs w:val="14"/>
          <w:color w:val="auto"/>
        </w:rPr>
        <w:t xml:space="preserve">Upon conversion of the convertible promissory note receivable with GEG, the Company held a minority interest (less than 20%) in GEG, accounted for under ASC 321, </w:t>
      </w:r>
      <w:r>
        <w:rPr>
          <w:rFonts w:ascii="Times New Roman" w:cs="Times New Roman" w:eastAsia="Times New Roman" w:hAnsi="Times New Roman"/>
          <w:sz w:val="14"/>
          <w:szCs w:val="14"/>
          <w:i w:val="1"/>
          <w:iCs w:val="1"/>
          <w:color w:val="auto"/>
        </w:rPr>
        <w:t>Investments -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Securities </w:t>
      </w:r>
      <w:r>
        <w:rPr>
          <w:rFonts w:ascii="Times New Roman" w:cs="Times New Roman" w:eastAsia="Times New Roman" w:hAnsi="Times New Roman"/>
          <w:sz w:val="14"/>
          <w:szCs w:val="14"/>
          <w:color w:val="auto"/>
        </w:rPr>
        <w:t>("ASC 321"), which is included in equity securities in the condensed consolidated balance sheets. Dividends received are reported in earnings if and when received. The Company reviews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 which may result in future impairment.</w:t>
      </w:r>
    </w:p>
    <w:p>
      <w:pPr>
        <w:spacing w:after="0" w:line="92"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4"/>
          <w:szCs w:val="14"/>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During the fourth quarter of the fiscal year ended June 30, 2022, the Company determined its investment in GEG had declined significantly as a result of the business failing to achieve profitability due to weak market conditions for its products. The Company determined the book value of its investment exceeded its fair value and concluded this decline in value was other than temporary. The Company recorded a non-cash impairment charge of $2.2 million related to these equity securities. The was no carrying amount of equity securities held by the Company without readily determinable fair values at September 30, 2022 and June 30, 2022. During the three months ended September 30, 2022 and 2021, there were no impairments recognized.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Leases</w:t>
      </w:r>
    </w:p>
    <w:p>
      <w:pPr>
        <w:spacing w:after="0" w:line="117"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The Company has operating leases for current corporate offices and certain equipment. These leases have remaining terms of approximately one to nine years. As of September 30, 2022, the weighted average remaining lease term and weighted average discount rate for operating leases was 8.46 years and 3.27%, respectively.</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three months ended September 30, 2022 and 2021, operating lease expense was $0.7 million and $0.8 million, respectively.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was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306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r>
      <w:tr>
        <w:trPr>
          <w:trHeight w:val="154"/>
        </w:trPr>
        <w:tc>
          <w:tcPr>
            <w:tcW w:w="764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r>
      <w:tr>
        <w:trPr>
          <w:trHeight w:val="17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124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350"/>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Maturity of lease liabilities at September 30, 2022 are as follows (in thousands):</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1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spacing w:after="0"/>
              <w:rPr>
                <w:sz w:val="14"/>
                <w:szCs w:val="14"/>
                <w:color w:val="auto"/>
              </w:rPr>
            </w:pP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 (remaining nine months ending June 30, 2023)</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8,123</w:t>
            </w:r>
          </w:p>
        </w:tc>
      </w:tr>
      <w:tr>
        <w:trPr>
          <w:trHeight w:val="17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17,539</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2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2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Long-Term Debt</w:t>
      </w:r>
    </w:p>
    <w:p>
      <w:pPr>
        <w:spacing w:after="0" w:line="127"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15" w:name="page16"/>
    <w:bookmarkEnd w:id="15"/>
    <w:p>
      <w:pPr>
        <w:ind w:right="300"/>
        <w:spacing w:after="0" w:line="287" w:lineRule="auto"/>
        <w:rPr>
          <w:sz w:val="20"/>
          <w:szCs w:val="20"/>
          <w:color w:val="auto"/>
        </w:rPr>
      </w:pPr>
      <w:r>
        <w:rPr>
          <w:rFonts w:ascii="Times New Roman" w:cs="Times New Roman" w:eastAsia="Times New Roman" w:hAnsi="Times New Roman"/>
          <w:sz w:val="14"/>
          <w:szCs w:val="14"/>
          <w:color w:val="auto"/>
        </w:rPr>
        <w:t>$10.0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61"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71"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On May 4, 2018, the Company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90" w:lineRule="exact"/>
        <w:rPr>
          <w:sz w:val="20"/>
          <w:szCs w:val="20"/>
          <w:color w:val="auto"/>
        </w:rPr>
      </w:pPr>
    </w:p>
    <w:p>
      <w:pPr>
        <w:ind w:right="140" w:firstLine="318"/>
        <w:spacing w:after="0" w:line="270" w:lineRule="auto"/>
        <w:rPr>
          <w:sz w:val="20"/>
          <w:szCs w:val="20"/>
          <w:color w:val="auto"/>
        </w:rPr>
      </w:pPr>
      <w:r>
        <w:rPr>
          <w:rFonts w:ascii="Times New Roman" w:cs="Times New Roman" w:eastAsia="Times New Roman" w:hAnsi="Times New Roman"/>
          <w:sz w:val="14"/>
          <w:szCs w:val="14"/>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72" w:lineRule="exact"/>
        <w:rPr>
          <w:sz w:val="20"/>
          <w:szCs w:val="20"/>
          <w:color w:val="auto"/>
        </w:rPr>
      </w:pPr>
    </w:p>
    <w:p>
      <w:pPr>
        <w:jc w:val="both"/>
        <w:ind w:right="80" w:firstLine="318"/>
        <w:spacing w:after="0" w:line="264" w:lineRule="auto"/>
        <w:rPr>
          <w:sz w:val="20"/>
          <w:szCs w:val="20"/>
          <w:color w:val="auto"/>
        </w:rPr>
      </w:pPr>
      <w:r>
        <w:rPr>
          <w:rFonts w:ascii="Times New Roman" w:cs="Times New Roman" w:eastAsia="Times New Roman" w:hAnsi="Times New Roman"/>
          <w:sz w:val="14"/>
          <w:szCs w:val="14"/>
          <w:color w:val="auto"/>
        </w:rPr>
        <w:t>On February 1, 2019, the Company entered into a loan modification agreement, which further amended the 2016 Credit Facility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87"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On April 1, 2021, the Company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w:t>
      </w:r>
    </w:p>
    <w:p>
      <w:pPr>
        <w:spacing w:after="0" w:line="87"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The Company entered into a loan modification agreement ("Amendment No. 4"), effective September 30, 2022, which amended the 2016 Credit Facility, as previously amended. Amendment No. 4 revised the calculation of the minimum fixed charge coverage ratio (as defined in Amendment No. 4) and allows the Company to declare and pay dividends, up to $500,000 per quarter, through September 30, 2023. There were no other changes to the covenants or revolving loan facility as set forth in Amendment No. 3.</w:t>
      </w:r>
    </w:p>
    <w:p>
      <w:pPr>
        <w:spacing w:after="0" w:line="72"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September 30, 2022, the Company was in compliance with all applicable covenants under the 2016 Credit Facility, as amended.</w:t>
      </w:r>
    </w:p>
    <w:p>
      <w:pPr>
        <w:spacing w:after="0" w:line="94"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Note 6 — Stockholders’ Equity</w:t>
      </w:r>
    </w:p>
    <w:p>
      <w:pPr>
        <w:spacing w:after="0" w:line="117" w:lineRule="exact"/>
        <w:rPr>
          <w:sz w:val="20"/>
          <w:szCs w:val="20"/>
          <w:color w:val="auto"/>
        </w:rPr>
      </w:pPr>
    </w:p>
    <w:p>
      <w:pPr>
        <w:jc w:val="both"/>
        <w:ind w:right="160" w:firstLine="318"/>
        <w:spacing w:after="0" w:line="270" w:lineRule="auto"/>
        <w:rPr>
          <w:sz w:val="20"/>
          <w:szCs w:val="20"/>
          <w:color w:val="auto"/>
        </w:rPr>
      </w:pPr>
      <w:r>
        <w:rPr>
          <w:rFonts w:ascii="Times New Roman" w:cs="Times New Roman" w:eastAsia="Times New Roman" w:hAnsi="Times New Roman"/>
          <w:sz w:val="14"/>
          <w:szCs w:val="14"/>
          <w:color w:val="auto"/>
        </w:rPr>
        <w:t>During the three months ended September 30, 2022, the company issued no shares of common stock upon the exercise of stock options and 17,000 shares of restricted stock were canceled or surrendered as payment of tax withholding upon vesting. During the three months ended September 30, 2021 the company issued 30,000 shares of common stock upon the exercise of stock options and approximately 19,000 shares of restricted stock were canceled or surrendered as payment of tax withholding upon vesting.</w:t>
      </w:r>
    </w:p>
    <w:p>
      <w:pPr>
        <w:spacing w:after="0" w:line="83"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4"/>
          <w:szCs w:val="14"/>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the share repurchase program to increase the authorized share repurchase amount from $5 million to $15 million. On August 27, 2020, the Board of Directors approved an amendment to the share repurchase program to increase the authorized share repurchase amount from $15 million to $35 million and to extend the duration of the program through November 30, 2023 and, on February 17, 2022, the Board of Directors approved an amendment to the share repurchase program to increase the authorized share repurchase amount from $35 million to $60 million. During the three months ended September 30, 2022, the Company purchased no shares of common stock under this repurchase program. During the three months ended September 30, 2021, the Company purchased 0.5 million shares of common stock at an aggregate price of $3.5 million under this repurchase program. At September 30, 2022, there is $27.7 million remaining under this repurchase program.</w:t>
      </w:r>
    </w:p>
    <w:p>
      <w:pPr>
        <w:spacing w:after="0" w:line="97"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The Company’s Certificate of Incorporation authorizes the issuance of preferred stock. However, as of September 30, 2022, none have been issued nor have any rights or preferences been assigned to the preferred stock by the Company’s board of directors.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August 2022, the board of directors declared a quarterly cash dividend of $0.03 per share of common stock to be paid on September 15, 2022, to stockholders of record on September 2,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Quarterly cash dividend for the three months ended September 30, 2022 totaled $0.4 million, or $0.03 per share.</w:t>
      </w:r>
    </w:p>
    <w:p>
      <w:pPr>
        <w:spacing w:after="0" w:line="11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declaration of dividends is subject to the discretion of the Company's board of directors and will depend upon various factors, including our earnings, financial condition, restrictions imposed by any indebtedness that may be outstanding, cash requirements, future prospects and other factors deemed relevant by the Company's board of directors.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Stock-Based Compensation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u w:val="single" w:color="auto"/>
          <w:color w:val="auto"/>
        </w:rPr>
        <w:t>Long-Term Incentive Plans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Equity-Settled Plans</w:t>
      </w:r>
    </w:p>
    <w:p>
      <w:pPr>
        <w:spacing w:after="0" w:line="117"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Effective November 21, 2016, no new awards can be granted under the 2007 Plan. As of September 30, 2022, there were no stock option awards outstanding under the 2007 Plan.</w:t>
      </w:r>
    </w:p>
    <w:p>
      <w:pPr>
        <w:spacing w:after="0" w:line="83"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of $9.31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September 30, 2022, under the 2010 Plan, there were stock option awards outstanding, net of awards expired, for an aggregate of approximately 14,000 shares of the Company's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17" w:name="page18"/>
    <w:bookmarkEnd w:id="17"/>
    <w:p>
      <w:pPr>
        <w:ind w:firstLine="318"/>
        <w:spacing w:after="0" w:line="257" w:lineRule="auto"/>
        <w:rPr>
          <w:sz w:val="20"/>
          <w:szCs w:val="20"/>
          <w:color w:val="auto"/>
        </w:rPr>
      </w:pPr>
      <w:r>
        <w:rPr>
          <w:rFonts w:ascii="Times New Roman" w:cs="Times New Roman" w:eastAsia="Times New Roman" w:hAnsi="Times New Roman"/>
          <w:sz w:val="14"/>
          <w:szCs w:val="14"/>
          <w:color w:val="auto"/>
        </w:rPr>
        <w:t>The Company adopted, and the stockholders approved, the 2017 Long-Term Incentive Plan (the “2017 Plan”), effective February 16, 2017, to provide incentives to eligible employees, directors and consultants. On February 2, 2018, November 15, 2018, and November 12, 2020, the stockholders approved amendments to the 2017 Plan to increase by 425,000 shares, 715,000 shares and 650,000 shares, respectively, the number of shares of the Company's common stock that are available for issuance under the 2017 Plan. As of September 30, 2022, a maximum of 2.9 million shares of the Company's common stock can be issued under the 2017 Plan in connection with the grant of awards which is calculated as the sum of (i) 2,440,000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2010 Plan. As of September 30, 2022, under the 2017 Plan, there were stock option awards outstanding, net of awards expired, for an aggregate of 0.1 million shares of the Company's common stock.</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25" w:lineRule="exact"/>
        <w:rPr>
          <w:sz w:val="20"/>
          <w:szCs w:val="20"/>
          <w:color w:val="auto"/>
        </w:rPr>
      </w:pPr>
    </w:p>
    <w:p>
      <w:pPr>
        <w:ind w:right="260"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Company's 2019 Employee Stock Purchase Plan ("ESPP") was adopted by the board of directors in September 2018 and the Company's stockholders approved it in November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2018. The ESPP is intended to qualify under Section 423 of the Internal Revenue Code.</w:t>
      </w:r>
    </w:p>
    <w:p>
      <w:pPr>
        <w:spacing w:after="0" w:line="67"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Share Reserve. </w:t>
      </w:r>
      <w:r>
        <w:rPr>
          <w:rFonts w:ascii="Times New Roman" w:cs="Times New Roman" w:eastAsia="Times New Roman" w:hAnsi="Times New Roman"/>
          <w:sz w:val="14"/>
          <w:szCs w:val="14"/>
          <w:color w:val="auto"/>
        </w:rPr>
        <w:t>The Company has reserved 0.4 million shares of its common stock for issuance under the ESPP. As of September 30, 2022, 0.2 million shares were available for issuance.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number of shares reserved under the ESPP will automatically be adjusted in the event of a stock split, stock dividend or a reverse stock split (including an adjustment to the per-purchase period share limit).</w:t>
      </w:r>
    </w:p>
    <w:p>
      <w:pPr>
        <w:spacing w:after="0" w:line="70"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Purchase Price. </w:t>
      </w:r>
      <w:r>
        <w:rPr>
          <w:rFonts w:ascii="Times New Roman" w:cs="Times New Roman" w:eastAsia="Times New Roman" w:hAnsi="Times New Roman"/>
          <w:sz w:val="14"/>
          <w:szCs w:val="14"/>
          <w:color w:val="auto"/>
        </w:rPr>
        <w:t>Employees may purchase each share of common stock under the ESPP at a price equal to 85% of the lower of the fair market values of the stock as of the beginning or the 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85" w:lineRule="exact"/>
        <w:rPr>
          <w:sz w:val="20"/>
          <w:szCs w:val="20"/>
          <w:color w:val="auto"/>
        </w:rPr>
      </w:pPr>
    </w:p>
    <w:p>
      <w:pPr>
        <w:ind w:right="40"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Offering Periods. </w:t>
      </w:r>
      <w:r>
        <w:rPr>
          <w:rFonts w:ascii="Times New Roman" w:cs="Times New Roman" w:eastAsia="Times New Roman" w:hAnsi="Times New Roman"/>
          <w:sz w:val="14"/>
          <w:szCs w:val="14"/>
          <w:color w:val="auto"/>
        </w:rPr>
        <w:t>Unless otherwise determined by the compensation committee, the ESPP will be operated through a series of successive six-month offering periods, which will begin each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1 and September 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September 30, 2022 and 2021, approximately 36,000 and 27,000 shares of common stock were issued under the ESPP, respectively.</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125"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accounting guidance for stock-based compensation, payments in equity instruments for goods or services are accounted for by the fair value method. For the three months ended September 30, 2022 and 2021, compensation of $0.6 million and $0.6 million, respectively. was reflected as an increase to additional paid-in capital, all of which was employee related.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Contingencies</w:t>
      </w:r>
    </w:p>
    <w:p>
      <w:pPr>
        <w:spacing w:after="0" w:line="117" w:lineRule="exact"/>
        <w:rPr>
          <w:sz w:val="20"/>
          <w:szCs w:val="20"/>
          <w:color w:val="auto"/>
        </w:rPr>
      </w:pPr>
    </w:p>
    <w:p>
      <w:pPr>
        <w:ind w:firstLine="318"/>
        <w:spacing w:after="0"/>
        <w:rPr>
          <w:sz w:val="20"/>
          <w:szCs w:val="20"/>
          <w:color w:val="auto"/>
        </w:rPr>
      </w:pPr>
      <w:r>
        <w:rPr>
          <w:rFonts w:ascii="Times New Roman" w:cs="Times New Roman" w:eastAsia="Times New Roman" w:hAnsi="Times New Roman"/>
          <w:sz w:val="14"/>
          <w:szCs w:val="14"/>
          <w:color w:val="auto"/>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2022, and based on the assessment, there are no probable loss contingencies requiring accrual or disclosures within its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Accruals</w:t>
      </w:r>
    </w:p>
    <w:p>
      <w:pPr>
        <w:spacing w:after="0" w:line="127"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In addition to commitments and obligations in the ordinary course of business, from time to time, the Company is subject to various claims, pending and potential legal actions, investigations relating to governmental laws and regulations and other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4"/>
          <w:szCs w:val="14"/>
          <w:color w:val="auto"/>
        </w:rPr>
        <w:t>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83"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4"/>
          <w:szCs w:val="14"/>
          <w:b w:val="1"/>
          <w:bCs w:val="1"/>
          <w:color w:val="auto"/>
        </w:rPr>
        <w:t>Class Action Lawsuit (</w:t>
      </w:r>
      <w:r>
        <w:rPr>
          <w:rFonts w:ascii="Times New Roman" w:cs="Times New Roman" w:eastAsia="Times New Roman" w:hAnsi="Times New Roman"/>
          <w:sz w:val="14"/>
          <w:szCs w:val="14"/>
          <w:b w:val="1"/>
          <w:bCs w:val="1"/>
          <w:i w:val="1"/>
          <w:iCs w:val="1"/>
          <w:color w:val="auto"/>
        </w:rPr>
        <w:t>Smith v. LifeVantage Corp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January 24, 2018, a purported class action was filed in the United States District Court for the District of Connecticut, entitled Smith v.</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On June 15, 2021, the plaintiffs filed their motion for class certification, and on July 13, 2021, the defendants, including LifeVantage Corporation, filed their opposition brief that opposed class certification. On July 27, 2021, the Plaintiffs filed their reply to LifeVantage’s opposition brief. The court held a hearing for the motion for class certification on March 28, 2022. On April 19, 2022, the court issued an order denying the Plaintiff’s motion for class certification. This case has been stayed by the Court until November 25, 2022.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103" w:lineRule="exact"/>
        <w:rPr>
          <w:sz w:val="20"/>
          <w:szCs w:val="20"/>
          <w:color w:val="auto"/>
        </w:rPr>
      </w:pPr>
    </w:p>
    <w:p>
      <w:pPr>
        <w:jc w:val="both"/>
        <w:ind w:right="20" w:firstLine="318"/>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Other Matters. </w:t>
      </w:r>
      <w:r>
        <w:rPr>
          <w:rFonts w:ascii="Times New Roman" w:cs="Times New Roman" w:eastAsia="Times New Roman" w:hAnsi="Times New Roman"/>
          <w:sz w:val="14"/>
          <w:szCs w:val="14"/>
          <w:color w:val="auto"/>
        </w:rPr>
        <w:t>In addition to the matters described above, the Company also may become involved in other litigation and regulatory matters incidental to its business and the matters disclosed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7"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distributors in two geographic regions that we have classified as the Americas region and the Asia/Pacific &amp; Europe region.</w:t>
      </w:r>
    </w:p>
    <w:p>
      <w:pPr>
        <w:spacing w:after="0" w:line="90" w:lineRule="exact"/>
        <w:rPr>
          <w:sz w:val="20"/>
          <w:szCs w:val="20"/>
          <w:color w:val="auto"/>
        </w:rPr>
      </w:pPr>
    </w:p>
    <w:p>
      <w:pPr>
        <w:ind w:right="340" w:firstLine="326"/>
        <w:spacing w:after="0" w:line="287" w:lineRule="auto"/>
        <w:rPr>
          <w:sz w:val="20"/>
          <w:szCs w:val="20"/>
          <w:color w:val="auto"/>
        </w:rPr>
      </w:pPr>
      <w:r>
        <w:rPr>
          <w:rFonts w:ascii="Times New Roman" w:cs="Times New Roman" w:eastAsia="Times New Roman" w:hAnsi="Times New Roman"/>
          <w:sz w:val="14"/>
          <w:szCs w:val="14"/>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68" w:lineRule="exact"/>
        <w:rPr>
          <w:sz w:val="20"/>
          <w:szCs w:val="20"/>
          <w:color w:val="auto"/>
        </w:rPr>
      </w:pPr>
    </w:p>
    <w:p>
      <w:pPr>
        <w:ind w:left="520" w:right="60" w:hanging="197"/>
        <w:spacing w:after="0" w:line="225"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including our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family of scientifically-validated dietary supplements,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ProBio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Daily Wellness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dietary supplements, our line of Nrf2 enhanced TrueScience® skin, hair, bath &amp; body, and targeted relief products,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 and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smart weight management system;</w:t>
      </w:r>
    </w:p>
    <w:p>
      <w:pPr>
        <w:spacing w:after="0" w:line="36"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compensation plan and other sales initiatives and incentives; and</w:t>
      </w:r>
    </w:p>
    <w:p>
      <w:pPr>
        <w:spacing w:after="0" w:line="125"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delivery of superior customer service.</w:t>
      </w:r>
    </w:p>
    <w:p>
      <w:pPr>
        <w:spacing w:after="0" w:line="125"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Singapore, and the Philippines. In addition, we sell our products in a number of countries to customers for personal consumption only and in China through a China approved cross-border e-commerce business model. Entering a new market requires a considerable amount of time, resources and continued support. If we are unable to properly support an existing or new market, our revenue growth may be negatively impacted.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COVID-19 on Our Business</w:t>
      </w:r>
    </w:p>
    <w:p>
      <w:pPr>
        <w:spacing w:after="0" w:line="127"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4"/>
          <w:szCs w:val="14"/>
          <w:color w:val="auto"/>
        </w:rPr>
        <w:t>The pandemic caused by COVID-19 has continued to disrupt and adversely affect our business in fiscal year 2023. As of the date of this filing, we have experienced multiple disruptions at times at the corporate level as we have transitioned our corporate workforce from a remote working environment, to a hybrid work from home/work in the office schedule. We have continued to experience temporary closures of some of our overseas showrooms and will call locations in international markets and have experienced cancelled multiple planned large group events in order to comply with group meeting restrictions in certain markets.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negatively affected the ability for independent distributors to meet people in person and commence the enrollment process. To mitigate these effects and in an effort to sustain their sales volume, our independent distributors have adapted their approach for customer outreach and enrollment, including transitioning to a stronger social media presence.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100"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have made modifications and are evaluating additional potential modifications that may be needed, to protect our supply chain and preserve adequate liquidity to ensure that our business can continue to operate during uncertain times. Near the end of fiscal year 2020 we transitioned all of our corporate employees to a work from home model and during July 2021 we began to implement a hybrid schedule with opportunities for employees to return back to the office. That hybrid schedule continues to be in effect today. To date, our employees are performing and adapting well with the evolving environment. With</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respect to liquidity, we are evaluating and taking actions to ensure that we continue to responsibly manage expenses across our organization.</w:t>
      </w:r>
    </w:p>
    <w:p>
      <w:pPr>
        <w:spacing w:after="0" w:line="115"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products are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scientifically-validated dietary supplements,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 ProBio and Daily Wellness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line of skin, bath</w:t>
      </w:r>
    </w:p>
    <w:p>
      <w:pPr>
        <w:ind w:right="20" w:firstLine="5"/>
        <w:spacing w:after="0" w:line="205" w:lineRule="auto"/>
        <w:tabs>
          <w:tab w:leader="none" w:pos="14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body, target relief, and hair care products,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 and PhysIQ, our smart weight management system.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includes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formulated to increase cellular energy and performance by boosting mitochondria production to improve cellular repair and slow cellular aging.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together has been shown to produce synergistic benefits greater than using the single products on their own.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is a dietary supplement that combines DHA and EPA Omega-3 fatty acids, Omega-7 fatty acids, and Vitamin D3 to support cognitive health, cardiovascular health, skin health, and the immune system.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ProBio is a dietary supplement designed to support optimal digestion and immune system function.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Daily Wellness is a dietary supplement designed to support and strengthen immune health.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anti-aging skin and hair care, and CBD Nrf2 enhanced, bath &amp; body, targeted relief products includes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Facial Cleanser,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Eye Serum,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Anti-Aging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Beauty Serum,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Hand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Invigorating Shampoo,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Nourishing Conditioner,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Scalp Serum,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Body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Body Wash,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Body Butter,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Deodorant,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Soothing Balm,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Body Rub,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supplement specially formulated to combat oxidative stress in dogs through Nrf2 activation.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our line of our nootropic energy drink mixes formulated to promote alertness and support mental performance. PhysIQ is our smart weight management system, which includes PhysIQ Fat Burn, PhysIQ Prebiotic and PhysIQ Whey Protein, all formulated to aid in weight management.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helps support eye and brain health, reduce eye fatigue and strain, supports cognitive functions, and may help support normal sleep patterns.</w:t>
      </w:r>
    </w:p>
    <w:p>
      <w:pPr>
        <w:spacing w:after="0" w:line="104" w:lineRule="exact"/>
        <w:rPr>
          <w:sz w:val="20"/>
          <w:szCs w:val="20"/>
          <w:color w:val="auto"/>
        </w:rPr>
      </w:pPr>
    </w:p>
    <w:p>
      <w:pPr>
        <w:ind w:right="40" w:firstLine="318"/>
        <w:spacing w:after="0" w:line="238" w:lineRule="auto"/>
        <w:rPr>
          <w:sz w:val="20"/>
          <w:szCs w:val="20"/>
          <w:color w:val="auto"/>
        </w:rPr>
      </w:pPr>
      <w:r>
        <w:rPr>
          <w:rFonts w:ascii="Times New Roman" w:cs="Times New Roman" w:eastAsia="Times New Roman" w:hAnsi="Times New Roman"/>
          <w:sz w:val="13"/>
          <w:szCs w:val="13"/>
          <w:color w:val="auto"/>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synergy from nutrigenomic products to promote a healthier life. The Vitality Stack</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includes four of our nutrigenomics products — Protandim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NRF1 Synergizer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Protandim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Nrf2 Synergizer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LifeVantage</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Omega+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and LifeVantage</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ProBio. This product stack was designed to provide a foundation for wellness, supporting healthy organs, including the brain, heart, eyes, and other vitals. With the Ultimate Stack</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we added Protandim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NAD Synergizer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and PhysIQ</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Prebiotic to our Vitality Stack</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to support gut health and increase sirtuin activity, supporting increased health, focus, energy, mental clarity and mood. The Protandim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Tri-Synergizer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consists of our Protandim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NRF1 Synergizer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Protandim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Nrf2 Synergizer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and Protandim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NAD Synergizer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spacing w:after="0" w:line="10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w:t>
      </w:r>
    </w:p>
    <w:p>
      <w:pPr>
        <w:spacing w:after="0" w:line="117" w:lineRule="exact"/>
        <w:rPr>
          <w:sz w:val="20"/>
          <w:szCs w:val="20"/>
          <w:color w:val="auto"/>
        </w:rPr>
      </w:pPr>
    </w:p>
    <w:p>
      <w:pPr>
        <w:jc w:val="both"/>
        <w:ind w:right="220" w:firstLine="318"/>
        <w:spacing w:after="0" w:line="270" w:lineRule="auto"/>
        <w:rPr>
          <w:sz w:val="20"/>
          <w:szCs w:val="20"/>
          <w:color w:val="auto"/>
        </w:rPr>
      </w:pPr>
      <w:r>
        <w:rPr>
          <w:rFonts w:ascii="Times New Roman" w:cs="Times New Roman" w:eastAsia="Times New Roman" w:hAnsi="Times New Roman"/>
          <w:sz w:val="14"/>
          <w:szCs w:val="14"/>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purchasing our products. The number of active independent distributors and customers is, therefore, used by management as a key non-financial measure.</w:t>
      </w:r>
    </w:p>
    <w:p>
      <w:pPr>
        <w:spacing w:after="0" w:line="115"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4"/>
          <w:szCs w:val="14"/>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ectPr>
          <w:pgSz w:w="11900" w:h="16838" w:orient="portrait"/>
          <w:cols w:equalWidth="0" w:num="1">
            <w:col w:w="11280"/>
          </w:cols>
          <w:pgMar w:left="300" w:top="846" w:right="319"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3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As of September 30,</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360" w:type="dxa"/>
            <w:vAlign w:val="bottom"/>
          </w:tcPr>
          <w:p>
            <w:pPr>
              <w:spacing w:after="0"/>
              <w:rPr>
                <w:sz w:val="8"/>
                <w:szCs w:val="8"/>
                <w:color w:val="auto"/>
              </w:rPr>
            </w:pPr>
          </w:p>
        </w:tc>
        <w:tc>
          <w:tcPr>
            <w:tcW w:w="17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2021</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jc w:val="right"/>
              <w:ind w:right="52"/>
              <w:spacing w:after="0" w:line="97" w:lineRule="exact"/>
              <w:rPr>
                <w:sz w:val="20"/>
                <w:szCs w:val="20"/>
                <w:color w:val="auto"/>
              </w:rPr>
            </w:pPr>
            <w:r>
              <w:rPr>
                <w:rFonts w:ascii="Times New Roman" w:cs="Times New Roman" w:eastAsia="Times New Roman" w:hAnsi="Times New Roman"/>
                <w:sz w:val="11"/>
                <w:szCs w:val="11"/>
                <w:b w:val="1"/>
                <w:bCs w:val="1"/>
                <w:color w:val="auto"/>
              </w:rPr>
              <w:t>Change from Prior</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72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Year</w:t>
            </w:r>
          </w:p>
        </w:tc>
        <w:tc>
          <w:tcPr>
            <w:tcW w:w="0" w:type="dxa"/>
            <w:vAlign w:val="bottom"/>
          </w:tcPr>
          <w:p>
            <w:pPr>
              <w:spacing w:after="0"/>
              <w:rPr>
                <w:sz w:val="1"/>
                <w:szCs w:val="1"/>
                <w:color w:val="auto"/>
              </w:rPr>
            </w:pPr>
          </w:p>
        </w:tc>
      </w:tr>
      <w:tr>
        <w:trPr>
          <w:trHeight w:val="16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Active Independent Distributors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84"/>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71"/>
        </w:trPr>
        <w:tc>
          <w:tcPr>
            <w:tcW w:w="3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Active Independent Distributors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63,000</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Active Customers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3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84"/>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71"/>
        </w:trPr>
        <w:tc>
          <w:tcPr>
            <w:tcW w:w="3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Active Customers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102,000</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Active Accounts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3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184"/>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29.9 %</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71"/>
        </w:trPr>
        <w:tc>
          <w:tcPr>
            <w:tcW w:w="3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Active Accounts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153,000</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164,000</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-1488440</wp:posOffset>
            </wp:positionV>
            <wp:extent cx="7107555"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7555"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-1238885</wp:posOffset>
            </wp:positionV>
            <wp:extent cx="7107555"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7555"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-989965</wp:posOffset>
            </wp:positionV>
            <wp:extent cx="7107555"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7555"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-760730</wp:posOffset>
            </wp:positionV>
            <wp:extent cx="7107555"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7555"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7107555"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7555"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710755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7555"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-1717675</wp:posOffset>
            </wp:positionV>
            <wp:extent cx="7107555"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7555" cy="11430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2022 and 2021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Percent Change</w:t>
      </w:r>
    </w:p>
    <w:p>
      <w:pPr>
        <w:spacing w:after="0" w:line="2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(7.5)%</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18.2 %</w:t>
      </w:r>
    </w:p>
    <w:p>
      <w:pPr>
        <w:spacing w:after="0" w:line="4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1.6 %</w:t>
      </w:r>
    </w:p>
    <w:p>
      <w:pPr>
        <w:spacing w:after="0" w:line="200" w:lineRule="exact"/>
        <w:rPr>
          <w:sz w:val="20"/>
          <w:szCs w:val="20"/>
          <w:color w:val="auto"/>
        </w:rPr>
      </w:pPr>
    </w:p>
    <w:p>
      <w:pPr>
        <w:spacing w:after="0" w:line="21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(8.0)%</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(22.2)%</w:t>
      </w:r>
    </w:p>
    <w:p>
      <w:pPr>
        <w:spacing w:after="0" w:line="4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(11.8)%</w:t>
      </w:r>
    </w:p>
    <w:p>
      <w:pPr>
        <w:spacing w:after="0" w:line="200" w:lineRule="exact"/>
        <w:rPr>
          <w:sz w:val="20"/>
          <w:szCs w:val="20"/>
          <w:color w:val="auto"/>
        </w:rPr>
      </w:pPr>
    </w:p>
    <w:p>
      <w:pPr>
        <w:spacing w:after="0" w:line="21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(7.8)%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(4.1)%</w:t>
      </w:r>
    </w:p>
    <w:p>
      <w:pPr>
        <w:spacing w:after="0" w:line="4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(6.7)%</w:t>
      </w:r>
    </w:p>
    <w:p>
      <w:pPr>
        <w:spacing w:after="0" w:line="1088" w:lineRule="exact"/>
        <w:rPr>
          <w:sz w:val="20"/>
          <w:szCs w:val="20"/>
          <w:color w:val="auto"/>
        </w:rPr>
      </w:pPr>
    </w:p>
    <w:p>
      <w:pPr>
        <w:sectPr>
          <w:pgSz w:w="11900" w:h="16838" w:orient="portrait"/>
          <w:cols w:equalWidth="0" w:num="2">
            <w:col w:w="9820" w:space="360"/>
            <w:col w:w="1100"/>
          </w:cols>
          <w:pgMar w:left="300" w:top="846" w:right="319" w:bottom="1440" w:gutter="0" w:footer="0" w:header="0"/>
          <w:type w:val="continuous"/>
        </w:sectPr>
      </w:pPr>
    </w:p>
    <w:p>
      <w:pPr>
        <w:ind w:right="360"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We generated net revenue of $51.8 million and $53.2 million during the three months ended September 30, 2022 and 2021, respectively. Foreign currency fluctuations negatively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impacted our revenue $2.7 million or 5.0% during the three months ended September 30, 2022.</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u w:val="single" w:color="auto"/>
          <w:color w:val="auto"/>
        </w:rPr>
        <w:t>Americas</w:t>
      </w:r>
      <w:r>
        <w:rPr>
          <w:rFonts w:ascii="Times New Roman" w:cs="Times New Roman" w:eastAsia="Times New Roman" w:hAnsi="Times New Roman"/>
          <w:sz w:val="14"/>
          <w:szCs w:val="14"/>
          <w:color w:val="auto"/>
        </w:rPr>
        <w:t>. The following table sets forth revenue for the three months ended September 30, 2022 and 2021 for the Americas region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0"/>
        </w:trPr>
        <w:tc>
          <w:tcPr>
            <w:tcW w:w="60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34,297</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96"/>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Americas Total</w:t>
            </w: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36,369</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right="160" w:firstLine="318"/>
        <w:spacing w:after="0" w:line="272" w:lineRule="auto"/>
        <w:rPr>
          <w:sz w:val="20"/>
          <w:szCs w:val="20"/>
          <w:color w:val="auto"/>
        </w:rPr>
      </w:pPr>
      <w:r>
        <w:rPr>
          <w:rFonts w:ascii="Times New Roman" w:cs="Times New Roman" w:eastAsia="Times New Roman" w:hAnsi="Times New Roman"/>
          <w:sz w:val="14"/>
          <w:szCs w:val="14"/>
          <w:color w:val="auto"/>
        </w:rPr>
        <w:t>Revenue in the Americas region for the three months ended September 30, 2022 decreased $0.1 million or 0.2% from the prior year period. Total Active Accounts decreased by 7.8% in the region compared to the prior year period which drove the decrease in revenue. The decrease in total Active Accounts was offset by an increase in average revenue per account due to changes in our product sales mix, driven primarily by our new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 announced during our Activate 2022 event held in June 2022.</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type w:val="continuous"/>
        </w:sectPr>
      </w:pPr>
    </w:p>
    <w:bookmarkStart w:id="22" w:name="page23"/>
    <w:bookmarkEnd w:id="22"/>
    <w:p>
      <w:pPr>
        <w:ind w:right="420" w:firstLine="318"/>
        <w:spacing w:after="0" w:line="287" w:lineRule="auto"/>
        <w:rPr>
          <w:sz w:val="20"/>
          <w:szCs w:val="20"/>
          <w:color w:val="auto"/>
        </w:rPr>
      </w:pPr>
      <w:r>
        <w:rPr>
          <w:rFonts w:ascii="Times New Roman" w:cs="Times New Roman" w:eastAsia="Times New Roman" w:hAnsi="Times New Roman"/>
          <w:sz w:val="14"/>
          <w:szCs w:val="14"/>
          <w:u w:val="single" w:color="auto"/>
          <w:color w:val="auto"/>
        </w:rPr>
        <w:t>Asia/Pacific &amp; Europe</w:t>
      </w:r>
      <w:r>
        <w:rPr>
          <w:rFonts w:ascii="Times New Roman" w:cs="Times New Roman" w:eastAsia="Times New Roman" w:hAnsi="Times New Roman"/>
          <w:sz w:val="14"/>
          <w:szCs w:val="14"/>
          <w:color w:val="auto"/>
        </w:rPr>
        <w:t>. The following table sets forth revenue for the three months ended September 30, 2022 and 2021 for the Asia/Pacific &amp; Europe region and its principal markets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0"/>
        </w:trPr>
        <w:tc>
          <w:tcPr>
            <w:tcW w:w="60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9,844</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 &amp; New Zealand</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8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China</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77.9 %</w:t>
            </w:r>
          </w:p>
        </w:tc>
      </w:tr>
      <w:tr>
        <w:trPr>
          <w:trHeight w:val="196"/>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Asia/Pacific &amp; Europe Total</w:t>
            </w: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Revenue in the Asia/Pacific &amp; Europe region decreased $1.4 million or 8.2% for the three months ended September 30, 2022 as compared to the prior year period. Active Accounts in the region decreased 4.1% compared to the prior year period. We continue to be encouraged by the results we are seeing from our launch of Philippines due to continued distributor leadership development and advancement. Decreases in total Active Accounts along with negative impacts from foreign currency exchange rate fluctuations have contributed to the overall decrease in revenue within the Asia/Pacific &amp; Europe region.</w:t>
      </w:r>
    </w:p>
    <w:p>
      <w:pPr>
        <w:spacing w:after="0" w:line="87"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Overall, revenue in the Asia/Pacific &amp; Europe region was negatively impacted by foreign currency exchange rate fluctuations in the amount of approximately $2.6 million or 15.7% during the three months ended September 30, 2022 as compared to the prior year period, mainly due to currency fluctuations in Japan. Revenue in Japan was negatively impacted by foreign exchange rate fluctuations in the amount of approximately $2.1 million or 21.3%, during the three months ended September 30, 2022 as compared to the prior year period. On a constant currency basis, revenue in Japan increased 3.2% for the three months ended September 30, 2022 as compared to the prior year period.</w:t>
      </w:r>
    </w:p>
    <w:p>
      <w:pPr>
        <w:spacing w:after="0" w:line="66" w:lineRule="exact"/>
        <w:rPr>
          <w:sz w:val="20"/>
          <w:szCs w:val="20"/>
          <w:color w:val="auto"/>
        </w:rPr>
      </w:pPr>
    </w:p>
    <w:p>
      <w:pPr>
        <w:ind w:firstLine="318"/>
        <w:spacing w:after="0" w:line="219" w:lineRule="auto"/>
        <w:rPr>
          <w:sz w:val="20"/>
          <w:szCs w:val="20"/>
          <w:color w:val="auto"/>
        </w:rPr>
      </w:pPr>
      <w:r>
        <w:rPr>
          <w:rFonts w:ascii="Times New Roman" w:cs="Times New Roman" w:eastAsia="Times New Roman" w:hAnsi="Times New Roman"/>
          <w:sz w:val="14"/>
          <w:szCs w:val="14"/>
          <w:color w:val="auto"/>
        </w:rPr>
        <w:t>Globally, our sales and marketing efforts continue to be directed toward strengthening our core business through our fiscal year initiatives and building our worldwide revenue. During fiscal year 2022, we held our first major events with both in person and virtual attendance options since the start of the COVID-19 global pandemic. During these events, we launched our new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eye health product in October 2021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in June 2022. We have plans for continued product expansion during the remaining fiscal 2023. We expect these product launches will help drive revenue growth globally through increased average order size and increased ability to attract and retain new independent distributors and customers with a compelling product lineup.</w:t>
      </w:r>
    </w:p>
    <w:p>
      <w:pPr>
        <w:spacing w:after="0" w:line="103"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Gross Margin. </w:t>
      </w:r>
      <w:r>
        <w:rPr>
          <w:rFonts w:ascii="Times New Roman" w:cs="Times New Roman" w:eastAsia="Times New Roman" w:hAnsi="Times New Roman"/>
          <w:sz w:val="14"/>
          <w:szCs w:val="14"/>
          <w:color w:val="auto"/>
        </w:rPr>
        <w:t>Our gross profit percentage for the three months ended September 30, 2022 and 2021 was 80.8% and 82.3%, respectively. The decrease in gross margins, as compared to the prior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year period, is primarily due to increased shipping to customer expenses during the current year period as well as shifts in geographic and product sales mix.</w:t>
      </w:r>
    </w:p>
    <w:p>
      <w:pPr>
        <w:spacing w:after="0" w:line="57" w:lineRule="exact"/>
        <w:rPr>
          <w:sz w:val="20"/>
          <w:szCs w:val="20"/>
          <w:color w:val="auto"/>
        </w:rPr>
      </w:pPr>
    </w:p>
    <w:p>
      <w:pPr>
        <w:ind w:right="4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Commissions and Incentives. </w:t>
      </w:r>
      <w:r>
        <w:rPr>
          <w:rFonts w:ascii="Times New Roman" w:cs="Times New Roman" w:eastAsia="Times New Roman" w:hAnsi="Times New Roman"/>
          <w:sz w:val="14"/>
          <w:szCs w:val="14"/>
          <w:color w:val="auto"/>
        </w:rPr>
        <w:t>Commissions and incentives expenses during the three months ended September 30, 2022 were $23.8 million or 46.0% of revenue as compared to $24.1 million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45.3% of revenue for the three months ended September 30, 2021. The increase in commissions and incentives expenses as a percentage of revenue as compared to the prior period is due mainly to the timing and magnitude of our various promotional and incentive programs. Commissions and incentives expenses, as a percentage of revenue, may fluctuate in future periods based on ability to hold incentive trips and events and the timing and magnitude of compensation, incentive and promotional programs.</w:t>
      </w:r>
    </w:p>
    <w:p>
      <w:pPr>
        <w:spacing w:after="0" w:line="85" w:lineRule="exact"/>
        <w:rPr>
          <w:sz w:val="20"/>
          <w:szCs w:val="20"/>
          <w:color w:val="auto"/>
        </w:rPr>
      </w:pPr>
    </w:p>
    <w:p>
      <w:pPr>
        <w:jc w:val="both"/>
        <w:ind w:right="16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w:t>
      </w:r>
      <w:r>
        <w:rPr>
          <w:rFonts w:ascii="Times New Roman" w:cs="Times New Roman" w:eastAsia="Times New Roman" w:hAnsi="Times New Roman"/>
          <w:sz w:val="14"/>
          <w:szCs w:val="14"/>
          <w:color w:val="auto"/>
        </w:rPr>
        <w:t>Selling, general and administrative expenses during the three months ended September 30, 2022 were $16.7 million or 32.3% of revenue as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$15.1 million or 28.3% of revenue for the three months ended September 30, 2021. The increase in selling, general and administrative expenses as a percentage of revenue during the three months ended September 30, 2022 compared to the prior year period is primarily due to increased event and travel expenses as restrictions related to the COVID-19 pandemic have begun to ease outside of our US market. We have also experienced increased expenses related to legal fees, endorsement agreements, product testing, and salaries and wages.</w:t>
      </w:r>
    </w:p>
    <w:p>
      <w:pPr>
        <w:spacing w:after="0" w:line="85" w:lineRule="exact"/>
        <w:rPr>
          <w:sz w:val="20"/>
          <w:szCs w:val="20"/>
          <w:color w:val="auto"/>
        </w:rPr>
      </w:pPr>
    </w:p>
    <w:p>
      <w:pPr>
        <w:ind w:right="600"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Total Other Expense. </w:t>
      </w:r>
      <w:r>
        <w:rPr>
          <w:rFonts w:ascii="Times New Roman" w:cs="Times New Roman" w:eastAsia="Times New Roman" w:hAnsi="Times New Roman"/>
          <w:sz w:val="14"/>
          <w:szCs w:val="14"/>
          <w:color w:val="auto"/>
        </w:rPr>
        <w:t>During the three months ended September 30, 2022 we recognized total net other expense of $0.4 million as compared to $0.2 million for the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2021. Total net other expense for the three months ended September 30, 2022 and 2021 consisted primarily of foreign currency losses.</w:t>
      </w:r>
    </w:p>
    <w:p>
      <w:pPr>
        <w:spacing w:after="0" w:line="57"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Income Tax Expense</w:t>
      </w:r>
      <w:r>
        <w:rPr>
          <w:rFonts w:ascii="Times New Roman" w:cs="Times New Roman" w:eastAsia="Times New Roman" w:hAnsi="Times New Roman"/>
          <w:sz w:val="14"/>
          <w:szCs w:val="14"/>
          <w:color w:val="auto"/>
        </w:rPr>
        <w:t>. We recognized income tax expense of $0.2 million for the three months ended September 30, 2022, as compared to income tax expense of $1.1 million for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2021.</w:t>
      </w:r>
    </w:p>
    <w:p>
      <w:pPr>
        <w:spacing w:after="0" w:line="59" w:lineRule="exact"/>
        <w:rPr>
          <w:sz w:val="20"/>
          <w:szCs w:val="20"/>
          <w:color w:val="auto"/>
        </w:rPr>
      </w:pPr>
    </w:p>
    <w:p>
      <w:pPr>
        <w:ind w:right="300" w:firstLine="318"/>
        <w:spacing w:after="0" w:line="271" w:lineRule="auto"/>
        <w:rPr>
          <w:sz w:val="20"/>
          <w:szCs w:val="20"/>
          <w:color w:val="auto"/>
        </w:rPr>
      </w:pPr>
      <w:r>
        <w:rPr>
          <w:rFonts w:ascii="Times New Roman" w:cs="Times New Roman" w:eastAsia="Times New Roman" w:hAnsi="Times New Roman"/>
          <w:sz w:val="14"/>
          <w:szCs w:val="14"/>
          <w:color w:val="auto"/>
        </w:rPr>
        <w:t>The effective tax rate was 28.4% of pre-tax income during the three months ended September 30, 2022, compared to 25.2% for the prior year period. The change in the tax rate for the three months ended September 30, 2022 was mainly due to a unfavorable discrete tax adjustments.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3" w:name="page24"/>
    <w:bookmarkEnd w:id="23"/>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We expect that our effective tax rate will fluctuate slightly during the remainder of fiscal 2023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Liquidity</w:t>
      </w:r>
    </w:p>
    <w:p>
      <w:pPr>
        <w:spacing w:after="0" w:line="125"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We have generally relied on cash flow from operations to fund operating activities and we have, at times, incurred long-term debt in order to fund stock repurchases and strategic transactions.</w:t>
      </w:r>
    </w:p>
    <w:p>
      <w:pPr>
        <w:spacing w:after="0" w:line="72"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As of September 30, 2022, our available liquidity was $17.6 million, which consisted of available cash and cash equivalents. This represents a decrease of $2.6 million from the $20.2 million in cash and cash equivalents as of June 30, 2022.</w:t>
      </w:r>
    </w:p>
    <w:p>
      <w:pPr>
        <w:spacing w:after="0" w:line="7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2022, our net cash used in operating activities was $1.3 million as compared to our net cash provided by operating activities of $0.5 million during the three months ended September 30, 2021.</w:t>
      </w:r>
    </w:p>
    <w:p>
      <w:pPr>
        <w:spacing w:after="0" w:line="71" w:lineRule="exact"/>
        <w:rPr>
          <w:sz w:val="20"/>
          <w:szCs w:val="20"/>
          <w:color w:val="auto"/>
        </w:rPr>
      </w:pPr>
    </w:p>
    <w:p>
      <w:pPr>
        <w:ind w:right="540"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2022, our net cash used in investing activities was $0.7 million, as a result of the purchase of fixed assets. During the three months ended September 30, 2021, our net cash used in investing activities was $0.4 million, as a result of the purchase of fixed assets.</w:t>
      </w:r>
    </w:p>
    <w:p>
      <w:pPr>
        <w:spacing w:after="0" w:line="61"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Cash used in financing activities during the three months ended September 30, 2022 was $0.3 million as a result of our payment of a cash dividend and shares purchased as payment of tax withholding upon vesting of equity awards, partially offset by proceeds from stock issued under our employee stock purchase plan. Cash used in financing activities during the three months ended September 30, 2021 was $3.3 million as a result of our repurchase of common stock, and shares purchased as payment of tax withholding upon vesting of equity awards, partially offset by proceeds from stock issued under our employee stock purchase plan and stock option exercises.</w:t>
      </w:r>
    </w:p>
    <w:p>
      <w:pPr>
        <w:spacing w:after="0" w:line="87"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At September 30, 2022 and June 30, 2022, the total amount of our foreign subsidiary cash was $6.0 million and $7.0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spacing w:after="0" w:line="83"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At September 30, 2022, we had working capital (current assets minus current liabilities) of $20.2 million, compared to working capital of $21.2 million at June 30, 2022.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 amended, provides for a revolving loan facility in an aggregate principal amount up to $5.0 million. We would also consider realigning our strategic plans including a reduction in capital spending and expenses.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Capital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Shelf Registration Statement</w:t>
      </w:r>
    </w:p>
    <w:p>
      <w:pPr>
        <w:spacing w:after="0" w:line="127" w:lineRule="exact"/>
        <w:rPr>
          <w:sz w:val="20"/>
          <w:szCs w:val="20"/>
          <w:color w:val="auto"/>
        </w:rPr>
      </w:pPr>
    </w:p>
    <w:p>
      <w:pPr>
        <w:ind w:right="220" w:firstLine="318"/>
        <w:spacing w:after="0" w:line="264" w:lineRule="auto"/>
        <w:rPr>
          <w:sz w:val="20"/>
          <w:szCs w:val="20"/>
          <w:color w:val="auto"/>
        </w:rPr>
      </w:pPr>
      <w:r>
        <w:rPr>
          <w:rFonts w:ascii="Times New Roman" w:cs="Times New Roman" w:eastAsia="Times New Roman" w:hAnsi="Times New Roman"/>
          <w:sz w:val="14"/>
          <w:szCs w:val="14"/>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2016 Credit Facility</w:t>
      </w:r>
    </w:p>
    <w:p>
      <w:pPr>
        <w:spacing w:after="0" w:line="127" w:lineRule="exact"/>
        <w:rPr>
          <w:sz w:val="20"/>
          <w:szCs w:val="20"/>
          <w:color w:val="auto"/>
        </w:rPr>
      </w:pPr>
    </w:p>
    <w:p>
      <w:pPr>
        <w:jc w:val="both"/>
        <w:ind w:right="140" w:firstLine="318"/>
        <w:spacing w:after="0" w:line="270" w:lineRule="auto"/>
        <w:rPr>
          <w:sz w:val="20"/>
          <w:szCs w:val="20"/>
          <w:color w:val="auto"/>
        </w:rPr>
      </w:pPr>
      <w:r>
        <w:rPr>
          <w:rFonts w:ascii="Times New Roman" w:cs="Times New Roman" w:eastAsia="Times New Roman" w:hAnsi="Times New Roman"/>
          <w:sz w:val="14"/>
          <w:szCs w:val="14"/>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Loan,” and collectively with the 2016 Term Loan, the 2016 Loan Agreement and the Security Agreement, the “2016 Credit Facility”).</w:t>
      </w:r>
    </w:p>
    <w:p>
      <w:pPr>
        <w:spacing w:after="0" w:line="115" w:lineRule="exact"/>
        <w:rPr>
          <w:sz w:val="20"/>
          <w:szCs w:val="20"/>
          <w:color w:val="auto"/>
        </w:rPr>
      </w:pPr>
    </w:p>
    <w:p>
      <w:pPr>
        <w:ind w:right="420" w:firstLine="318"/>
        <w:spacing w:after="0" w:line="287" w:lineRule="auto"/>
        <w:rPr>
          <w:sz w:val="20"/>
          <w:szCs w:val="20"/>
          <w:color w:val="auto"/>
        </w:rPr>
      </w:pPr>
      <w:r>
        <w:rPr>
          <w:rFonts w:ascii="Times New Roman" w:cs="Times New Roman" w:eastAsia="Times New Roman" w:hAnsi="Times New Roman"/>
          <w:sz w:val="14"/>
          <w:szCs w:val="14"/>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71"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On May 4, 2018, we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90" w:lineRule="exact"/>
        <w:rPr>
          <w:sz w:val="20"/>
          <w:szCs w:val="20"/>
          <w:color w:val="auto"/>
        </w:rPr>
      </w:pPr>
    </w:p>
    <w:p>
      <w:pPr>
        <w:ind w:right="160" w:firstLine="318"/>
        <w:spacing w:after="0" w:line="264" w:lineRule="auto"/>
        <w:rPr>
          <w:sz w:val="20"/>
          <w:szCs w:val="20"/>
          <w:color w:val="auto"/>
        </w:rPr>
      </w:pPr>
      <w:r>
        <w:rPr>
          <w:rFonts w:ascii="Times New Roman" w:cs="Times New Roman" w:eastAsia="Times New Roman" w:hAnsi="Times New Roman"/>
          <w:sz w:val="14"/>
          <w:szCs w:val="14"/>
          <w:color w:val="auto"/>
        </w:rPr>
        <w:t>On February 1, 2019, we entered into a loan modification agreement, which further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77"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amount as set forth in Amendment No. 2.</w:t>
      </w:r>
    </w:p>
    <w:p>
      <w:pPr>
        <w:spacing w:after="0" w:line="90"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We entered into a loan modification agreement ("Amendment No. 4"), effective September 30, 2022, which amended the 2016 Credit Facility, as previously amended. Amendment No. 4 revised the calculation of the minimum fixed charge coverage ratio (as defined in Amendment No. 4) and allows us to declare and pay dividends, up to $500,000 per quarter, through September 30, 2023. There were no other changes to the covenants or revolving loan facility as set forth in Amendment No. 3.</w:t>
      </w:r>
    </w:p>
    <w:p>
      <w:pPr>
        <w:spacing w:after="0" w:line="83"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September 30, 2022, we were in compliance with all applicable non-financial and restrictive covenants under the 2016 Credit Facility, as amended.</w:t>
      </w:r>
    </w:p>
    <w:p>
      <w:pPr>
        <w:spacing w:after="0" w:line="77"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71" w:lineRule="exact"/>
        <w:rPr>
          <w:sz w:val="20"/>
          <w:szCs w:val="20"/>
          <w:color w:val="auto"/>
        </w:rPr>
      </w:pPr>
    </w:p>
    <w:p>
      <w:pPr>
        <w:ind w:left="520" w:right="60" w:hanging="197"/>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 minimum fixed charge coverage ratio (as defined in the 2016 Loan Agreement, as amended) of at least 1.10 to 1.00 at the end of each fiscal quarter, measured on a trailing twelve month basis;</w:t>
      </w:r>
    </w:p>
    <w:p>
      <w:pPr>
        <w:spacing w:after="0" w:line="7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minimum consolidated working capital (as defined in the 2016 Loan Agreement, as amended) at the end of each fiscal quarter of at least $6.0 million; and</w:t>
      </w:r>
    </w:p>
    <w:p>
      <w:pPr>
        <w:spacing w:after="0" w:line="114" w:lineRule="exact"/>
        <w:rPr>
          <w:rFonts w:ascii="Times New Roman" w:cs="Times New Roman" w:eastAsia="Times New Roman" w:hAnsi="Times New Roman"/>
          <w:sz w:val="14"/>
          <w:szCs w:val="14"/>
          <w:color w:val="auto"/>
        </w:rPr>
      </w:pPr>
    </w:p>
    <w:p>
      <w:pPr>
        <w:ind w:left="520" w:right="40" w:hanging="197"/>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 ratio of debt (total liabilities) to tangible net worth (as defined in the 2016 Loan Agreement, as amended) of not greater than 2.00 to 1.00 at the end of each quarter, measured on a trailing twelve month basis.</w:t>
      </w:r>
    </w:p>
    <w:p>
      <w:pPr>
        <w:spacing w:after="0" w:line="71"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As of September 30, 2022,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fiscal year ended June 30, 2020, we repaid, in full, the remaining balance of the 2016 Term Loan in accordance with the terms of the 2016 Credit Facility, as amended.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auto"/>
        </w:rPr>
        <w:t>Commitments and Obligations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contractual payment obligations and commitments as of September 30, 2022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Contractual Obligations</w:t>
            </w:r>
          </w:p>
        </w:tc>
        <w:tc>
          <w:tcPr>
            <w:tcW w:w="280" w:type="dxa"/>
            <w:vAlign w:val="bottom"/>
          </w:tcPr>
          <w:p>
            <w:pPr>
              <w:spacing w:after="0"/>
              <w:rPr>
                <w:sz w:val="9"/>
                <w:szCs w:val="9"/>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9"/>
                <w:szCs w:val="9"/>
                <w:color w:val="auto"/>
              </w:rPr>
            </w:pPr>
          </w:p>
        </w:tc>
        <w:tc>
          <w:tcPr>
            <w:tcW w:w="108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220" w:type="dxa"/>
            <w:vAlign w:val="bottom"/>
          </w:tcPr>
          <w:p>
            <w:pPr>
              <w:spacing w:after="0"/>
              <w:rPr>
                <w:sz w:val="9"/>
                <w:szCs w:val="9"/>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1-3 years</w:t>
            </w:r>
          </w:p>
        </w:tc>
        <w:tc>
          <w:tcPr>
            <w:tcW w:w="240" w:type="dxa"/>
            <w:vAlign w:val="bottom"/>
          </w:tcPr>
          <w:p>
            <w:pPr>
              <w:spacing w:after="0"/>
              <w:rPr>
                <w:sz w:val="9"/>
                <w:szCs w:val="9"/>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220" w:type="dxa"/>
            <w:vAlign w:val="bottom"/>
          </w:tcPr>
          <w:p>
            <w:pPr>
              <w:spacing w:after="0"/>
              <w:rPr>
                <w:sz w:val="9"/>
                <w:szCs w:val="9"/>
                <w:color w:val="auto"/>
              </w:rPr>
            </w:pPr>
          </w:p>
        </w:tc>
        <w:tc>
          <w:tcPr>
            <w:tcW w:w="9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0" w:type="dxa"/>
            <w:vAlign w:val="bottom"/>
          </w:tcPr>
          <w:p>
            <w:pPr>
              <w:spacing w:after="0"/>
              <w:rPr>
                <w:sz w:val="1"/>
                <w:szCs w:val="1"/>
                <w:color w:val="auto"/>
              </w:rPr>
            </w:pPr>
          </w:p>
        </w:tc>
      </w:tr>
      <w:tr>
        <w:trPr>
          <w:trHeight w:val="153"/>
        </w:trPr>
        <w:tc>
          <w:tcPr>
            <w:tcW w:w="4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180"/>
        </w:trPr>
        <w:tc>
          <w:tcPr>
            <w:tcW w:w="48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operating obligations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Other operating obligations represent contractual obligations primarily related to marketing and sponsorship commitments and purchases of inventory.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30, 2022, we did not have any off-balance sheet arrangements.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17"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w:t>
      </w:r>
    </w:p>
    <w:p>
      <w:pPr>
        <w:spacing w:after="0" w:line="1" w:lineRule="exact"/>
        <w:rPr>
          <w:sz w:val="20"/>
          <w:szCs w:val="20"/>
          <w:color w:val="auto"/>
        </w:rPr>
      </w:pPr>
    </w:p>
    <w:p>
      <w:pPr>
        <w:ind w:right="360" w:firstLine="5"/>
        <w:spacing w:after="0" w:line="266" w:lineRule="auto"/>
        <w:tabs>
          <w:tab w:leader="none" w:pos="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5" w:lineRule="exact"/>
        <w:rPr>
          <w:sz w:val="20"/>
          <w:szCs w:val="20"/>
          <w:color w:val="auto"/>
        </w:rPr>
      </w:pPr>
    </w:p>
    <w:p>
      <w:pPr>
        <w:ind w:right="140" w:firstLine="318"/>
        <w:spacing w:after="0" w:line="270" w:lineRule="auto"/>
        <w:rPr>
          <w:sz w:val="20"/>
          <w:szCs w:val="20"/>
          <w:color w:val="auto"/>
        </w:rPr>
      </w:pPr>
      <w:r>
        <w:rPr>
          <w:rFonts w:ascii="Times New Roman" w:cs="Times New Roman" w:eastAsia="Times New Roman" w:hAnsi="Times New Roman"/>
          <w:sz w:val="14"/>
          <w:szCs w:val="14"/>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Allowances for Product Returns</w:t>
      </w:r>
    </w:p>
    <w:p>
      <w:pPr>
        <w:spacing w:after="0" w:line="115"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September 30, 2022, our shipments of products sold totaling approximately $18.5 million were subject to the return policy.</w:t>
      </w:r>
    </w:p>
    <w:p>
      <w:pPr>
        <w:spacing w:after="0" w:line="87" w:lineRule="exact"/>
        <w:rPr>
          <w:sz w:val="20"/>
          <w:szCs w:val="20"/>
          <w:color w:val="auto"/>
        </w:rPr>
      </w:pPr>
    </w:p>
    <w:p>
      <w:pPr>
        <w:jc w:val="both"/>
        <w:ind w:right="220" w:firstLine="318"/>
        <w:spacing w:after="0" w:line="270" w:lineRule="auto"/>
        <w:rPr>
          <w:sz w:val="20"/>
          <w:szCs w:val="20"/>
          <w:color w:val="auto"/>
        </w:rPr>
      </w:pPr>
      <w:r>
        <w:rPr>
          <w:rFonts w:ascii="Times New Roman" w:cs="Times New Roman" w:eastAsia="Times New Roman" w:hAnsi="Times New Roman"/>
          <w:sz w:val="14"/>
          <w:szCs w:val="14"/>
          <w:color w:val="auto"/>
        </w:rPr>
        <w:t>We monitor our product returns estimate on an ongoing basis and revise the allowances to reflect our experience. Our allowance for product returns was $0.2 million at September 30, 2022, compared with $0.1 million at June 30, 2022.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Inventory Valuation</w:t>
      </w:r>
    </w:p>
    <w:p>
      <w:pPr>
        <w:spacing w:after="0" w:line="115"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87"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2022 and 2021, we recognized expenses of approximately $0.1 million and $0.3 million, respectively, related to obsolete and slow-moving inventory.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auto"/>
        </w:rPr>
        <w:t>Revenue Recognition</w:t>
      </w:r>
    </w:p>
    <w:p>
      <w:pPr>
        <w:spacing w:after="0" w:line="115"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are transferred to the customer, in an amount that reflects the consideration we expect to be entitled to in exchange for those goods or services. Sales, value-added, and other taxes that we collect concurrent with revenue-producing activities are excluded from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125"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Research and Development Costs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expense all of our costs related to research and development activities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Legal Accruals</w:t>
      </w:r>
    </w:p>
    <w:p>
      <w:pPr>
        <w:spacing w:after="0" w:line="115"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27" w:lineRule="exact"/>
        <w:rPr>
          <w:sz w:val="20"/>
          <w:szCs w:val="20"/>
          <w:color w:val="auto"/>
        </w:rPr>
      </w:pPr>
    </w:p>
    <w:p>
      <w:pPr>
        <w:ind w:right="260" w:firstLine="318"/>
        <w:spacing w:after="0" w:line="287" w:lineRule="auto"/>
        <w:rPr>
          <w:sz w:val="20"/>
          <w:szCs w:val="20"/>
          <w:color w:val="auto"/>
        </w:rPr>
      </w:pPr>
      <w:r>
        <w:rPr>
          <w:rFonts w:ascii="Times New Roman" w:cs="Times New Roman" w:eastAsia="Times New Roman" w:hAnsi="Times New Roman"/>
          <w:sz w:val="14"/>
          <w:szCs w:val="14"/>
          <w:color w:val="auto"/>
        </w:rPr>
        <w:t>There were no substantial changes to our market risks during the quarter ended September 30, 2022 when compared to the disclosures in “Item 7A. Quantitative and Qualitative Disclosures About Market Risk” in our Annual Report on Form 10-K for the year ended June 30,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127"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September 30, 2022.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27"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controls over financial reporting during the quarter ended September 30, 2022 that have materially affected or are reasonably likely to materially affect our internal controls over financial reporting.</w:t>
      </w:r>
    </w:p>
    <w:p>
      <w:pPr>
        <w:spacing w:after="0" w:line="71" w:lineRule="exact"/>
        <w:rPr>
          <w:sz w:val="20"/>
          <w:szCs w:val="20"/>
          <w:color w:val="auto"/>
        </w:rPr>
      </w:pPr>
    </w:p>
    <w:p>
      <w:pPr>
        <w:ind w:right="260" w:firstLine="318"/>
        <w:spacing w:after="0" w:line="264" w:lineRule="auto"/>
        <w:rPr>
          <w:sz w:val="20"/>
          <w:szCs w:val="20"/>
          <w:color w:val="auto"/>
        </w:rPr>
      </w:pPr>
      <w:r>
        <w:rPr>
          <w:rFonts w:ascii="Times New Roman" w:cs="Times New Roman" w:eastAsia="Times New Roman" w:hAnsi="Times New Roman"/>
          <w:sz w:val="14"/>
          <w:szCs w:val="14"/>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2022 that have materially affected, or are reasonably likely to materially affect, our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of Internal Control Over Financial Reporting</w:t>
      </w:r>
    </w:p>
    <w:p>
      <w:pPr>
        <w:spacing w:after="0" w:line="127"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Because of the inherent limitations of internal control over financial reporting, including the possibility of collusion or improper management override of controls, material misstatements due to error or fraud may not be prevented or detected on a</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7" w:name="page28"/>
    <w:bookmarkEnd w:id="27"/>
    <w:p>
      <w:pPr>
        <w:ind w:right="200"/>
        <w:spacing w:after="0" w:line="287" w:lineRule="auto"/>
        <w:rPr>
          <w:sz w:val="20"/>
          <w:szCs w:val="20"/>
          <w:color w:val="auto"/>
        </w:rPr>
      </w:pPr>
      <w:r>
        <w:rPr>
          <w:rFonts w:ascii="Times New Roman" w:cs="Times New Roman" w:eastAsia="Times New Roman" w:hAnsi="Times New Roman"/>
          <w:sz w:val="14"/>
          <w:szCs w:val="14"/>
          <w:color w:val="auto"/>
        </w:rPr>
        <w:t>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See Note 8 to our unaudited condensed consolidated financial statements contained within this quarterly report on Form 10-Q for a discussion of our 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2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risk factors discussed in “Part I. Item 1A — Risk Factors” in our annual report on Form 10-K for the fiscal year ended June 30, 2022, filed on August 23, 2022.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17"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On November 27, 2017, our Board of Directors approved a stock repurchase plan, as amended on February 1, 2019, August 27, 2020, and February 17, 2022. Under the plan, we are authorized to repurchase up to $60.0 million of our outstanding shares through November 30, 2023.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September 30, 2022, we repurchased no shares of our common stock under this repurchase program. At September 30, 2022, there is $27.7 million remaining under this repurchase program.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80" w:type="dxa"/>
            <w:vAlign w:val="bottom"/>
            <w:tcBorders>
              <w:bottom w:val="single" w:sz="8" w:color="auto"/>
            </w:tcBorders>
            <w:gridSpan w:val="9"/>
          </w:tcPr>
          <w:p>
            <w:pPr>
              <w:ind w:left="120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100" w:type="dxa"/>
            <w:vAlign w:val="bottom"/>
          </w:tcPr>
          <w:p>
            <w:pPr>
              <w:spacing w:after="0"/>
              <w:rPr>
                <w:sz w:val="13"/>
                <w:szCs w:val="13"/>
                <w:color w:val="auto"/>
              </w:rPr>
            </w:pPr>
          </w:p>
        </w:tc>
        <w:tc>
          <w:tcPr>
            <w:tcW w:w="44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Filed Herewith or Incorporate by Reference From</w:t>
            </w:r>
          </w:p>
        </w:tc>
      </w:tr>
      <w:tr>
        <w:trPr>
          <w:trHeight w:val="223"/>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12"/>
          </w:tcPr>
          <w:p>
            <w:pPr>
              <w:spacing w:after="0"/>
              <w:rPr>
                <w:rFonts w:ascii="Times New Roman" w:cs="Times New Roman" w:eastAsia="Times New Roman" w:hAnsi="Times New Roman"/>
                <w:sz w:val="14"/>
                <w:szCs w:val="14"/>
                <w:color w:val="0000FF"/>
              </w:rPr>
            </w:pPr>
            <w:hyperlink r:id="rId44">
              <w:r>
                <w:rPr>
                  <w:rFonts w:ascii="Times New Roman" w:cs="Times New Roman" w:eastAsia="Times New Roman" w:hAnsi="Times New Roman"/>
                  <w:sz w:val="14"/>
                  <w:szCs w:val="14"/>
                  <w:color w:val="0000FF"/>
                </w:rPr>
                <w:t>Certificate of Incorporation, as filed with the Delaware Secretary of State on March 9,</w:t>
              </w:r>
            </w:hyperlink>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3.1 to the Current Report on Form 8-K filed on March 13, 2018.</w:t>
            </w:r>
          </w:p>
        </w:tc>
      </w:tr>
      <w:tr>
        <w:trPr>
          <w:trHeight w:val="118"/>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9"/>
              </w:rPr>
            </w:pPr>
            <w:hyperlink r:id="rId44">
              <w:r>
                <w:rPr>
                  <w:rFonts w:ascii="Times New Roman" w:cs="Times New Roman" w:eastAsia="Times New Roman" w:hAnsi="Times New Roman"/>
                  <w:sz w:val="13"/>
                  <w:szCs w:val="13"/>
                  <w:color w:val="0000FF"/>
                  <w:w w:val="99"/>
                </w:rPr>
                <w:t>2018</w:t>
              </w:r>
            </w:hyperlink>
          </w:p>
        </w:tc>
        <w:tc>
          <w:tcPr>
            <w:tcW w:w="500" w:type="dxa"/>
            <w:vAlign w:val="bottom"/>
            <w:tcBorders>
              <w:top w:val="single" w:sz="8" w:color="0000FF"/>
            </w:tcBorders>
          </w:tcPr>
          <w:p>
            <w:pPr>
              <w:spacing w:after="0"/>
              <w:rPr>
                <w:sz w:val="10"/>
                <w:szCs w:val="10"/>
                <w:color w:val="auto"/>
              </w:rPr>
            </w:pPr>
          </w:p>
        </w:tc>
        <w:tc>
          <w:tcPr>
            <w:tcW w:w="194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60" w:type="dxa"/>
            <w:vAlign w:val="bottom"/>
          </w:tcPr>
          <w:p>
            <w:pPr>
              <w:spacing w:after="0"/>
              <w:rPr>
                <w:sz w:val="10"/>
                <w:szCs w:val="10"/>
                <w:color w:val="auto"/>
              </w:rPr>
            </w:pPr>
          </w:p>
        </w:tc>
      </w:tr>
      <w:tr>
        <w:trPr>
          <w:trHeight w:val="25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Amended and Restated Bylaws, August 9, 2019</w:t>
              </w:r>
            </w:hyperlink>
          </w:p>
        </w:tc>
        <w:tc>
          <w:tcPr>
            <w:tcW w:w="2440" w:type="dxa"/>
            <w:vAlign w:val="bottom"/>
            <w:gridSpan w:val="9"/>
          </w:tcPr>
          <w:p>
            <w:pPr>
              <w:spacing w:after="0"/>
              <w:rPr>
                <w:sz w:val="22"/>
                <w:szCs w:val="22"/>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3.1 to the Current Report on Form 8-K filed on August 15, 2019</w:t>
            </w: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Change in Terms Agreement dated September 30, 2022 by and between Zions Bank and</w:t>
            </w: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18"/>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0" w:type="dxa"/>
            <w:vAlign w:val="bottom"/>
            <w:tcBorders>
              <w:top w:val="single" w:sz="8" w:color="0000FF"/>
            </w:tcBorders>
            <w:gridSpan w:val="10"/>
          </w:tcPr>
          <w:p>
            <w:pPr>
              <w:spacing w:after="0" w:line="118" w:lineRule="exact"/>
              <w:rPr>
                <w:sz w:val="20"/>
                <w:szCs w:val="20"/>
                <w:color w:val="auto"/>
              </w:rPr>
            </w:pPr>
            <w:r>
              <w:rPr>
                <w:rFonts w:ascii="Times New Roman" w:cs="Times New Roman" w:eastAsia="Times New Roman" w:hAnsi="Times New Roman"/>
                <w:sz w:val="13"/>
                <w:szCs w:val="13"/>
                <w:color w:val="0000FF"/>
              </w:rPr>
              <w:t>the Company.</w:t>
            </w:r>
          </w:p>
        </w:tc>
        <w:tc>
          <w:tcPr>
            <w:tcW w:w="160" w:type="dxa"/>
            <w:vAlign w:val="bottom"/>
            <w:gridSpan w:val="2"/>
          </w:tcPr>
          <w:p>
            <w:pPr>
              <w:spacing w:after="0"/>
              <w:rPr>
                <w:sz w:val="10"/>
                <w:szCs w:val="10"/>
                <w:color w:val="auto"/>
              </w:rPr>
            </w:pPr>
          </w:p>
        </w:tc>
        <w:tc>
          <w:tcPr>
            <w:tcW w:w="446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5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13a-14(a)/15d-14(a)</w:t>
            </w: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13a-14(a)/15d-14(a)</w:t>
            </w:r>
          </w:p>
        </w:tc>
        <w:tc>
          <w:tcPr>
            <w:tcW w:w="40" w:type="dxa"/>
            <w:vAlign w:val="bottom"/>
            <w:tcBorders>
              <w:top w:val="single" w:sz="8" w:color="0000FF"/>
            </w:tcBorders>
          </w:tcPr>
          <w:p>
            <w:pPr>
              <w:spacing w:after="0"/>
              <w:rPr>
                <w:sz w:val="21"/>
                <w:szCs w:val="21"/>
                <w:color w:val="auto"/>
              </w:rPr>
            </w:pPr>
          </w:p>
        </w:tc>
        <w:tc>
          <w:tcPr>
            <w:tcW w:w="620" w:type="dxa"/>
            <w:vAlign w:val="bottom"/>
            <w:gridSpan w:val="6"/>
          </w:tcPr>
          <w:p>
            <w:pPr>
              <w:spacing w:after="0"/>
              <w:rPr>
                <w:sz w:val="21"/>
                <w:szCs w:val="21"/>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1350, as adopted</w:t>
            </w: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118"/>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906 of the Sarbanes-Oxley Act of 2002</w:t>
            </w:r>
          </w:p>
        </w:tc>
        <w:tc>
          <w:tcPr>
            <w:tcW w:w="1280" w:type="dxa"/>
            <w:vAlign w:val="bottom"/>
            <w:tcBorders>
              <w:top w:val="single" w:sz="8" w:color="0000FF"/>
            </w:tcBorders>
            <w:gridSpan w:val="4"/>
          </w:tcPr>
          <w:p>
            <w:pPr>
              <w:spacing w:after="0"/>
              <w:rPr>
                <w:sz w:val="10"/>
                <w:szCs w:val="10"/>
                <w:color w:val="auto"/>
              </w:rPr>
            </w:pPr>
          </w:p>
        </w:tc>
        <w:tc>
          <w:tcPr>
            <w:tcW w:w="520" w:type="dxa"/>
            <w:vAlign w:val="bottom"/>
            <w:gridSpan w:val="4"/>
          </w:tcPr>
          <w:p>
            <w:pPr>
              <w:spacing w:after="0"/>
              <w:rPr>
                <w:sz w:val="10"/>
                <w:szCs w:val="10"/>
                <w:color w:val="auto"/>
              </w:rPr>
            </w:pPr>
          </w:p>
        </w:tc>
        <w:tc>
          <w:tcPr>
            <w:tcW w:w="4460" w:type="dxa"/>
            <w:vAlign w:val="bottom"/>
          </w:tcPr>
          <w:p>
            <w:pPr>
              <w:spacing w:after="0"/>
              <w:rPr>
                <w:sz w:val="10"/>
                <w:szCs w:val="10"/>
                <w:color w:val="auto"/>
              </w:rPr>
            </w:pPr>
          </w:p>
        </w:tc>
      </w:tr>
      <w:tr>
        <w:trPr>
          <w:trHeight w:val="25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1350, as adopted</w:t>
            </w: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118"/>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906 of the Sarbanes-Oxley Act of 2002</w:t>
            </w:r>
          </w:p>
        </w:tc>
        <w:tc>
          <w:tcPr>
            <w:tcW w:w="1240" w:type="dxa"/>
            <w:vAlign w:val="bottom"/>
            <w:tcBorders>
              <w:top w:val="single" w:sz="8" w:color="0000FF"/>
            </w:tcBorders>
            <w:gridSpan w:val="3"/>
          </w:tcPr>
          <w:p>
            <w:pPr>
              <w:spacing w:after="0"/>
              <w:rPr>
                <w:sz w:val="10"/>
                <w:szCs w:val="10"/>
                <w:color w:val="auto"/>
              </w:rPr>
            </w:pPr>
          </w:p>
        </w:tc>
        <w:tc>
          <w:tcPr>
            <w:tcW w:w="560" w:type="dxa"/>
            <w:vAlign w:val="bottom"/>
            <w:gridSpan w:val="5"/>
          </w:tcPr>
          <w:p>
            <w:pPr>
              <w:spacing w:after="0"/>
              <w:rPr>
                <w:sz w:val="10"/>
                <w:szCs w:val="10"/>
                <w:color w:val="auto"/>
              </w:rPr>
            </w:pPr>
          </w:p>
        </w:tc>
        <w:tc>
          <w:tcPr>
            <w:tcW w:w="4460" w:type="dxa"/>
            <w:vAlign w:val="bottom"/>
          </w:tcPr>
          <w:p>
            <w:pPr>
              <w:spacing w:after="0"/>
              <w:rPr>
                <w:sz w:val="10"/>
                <w:szCs w:val="10"/>
                <w:color w:val="auto"/>
              </w:rPr>
            </w:pP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following financial information from the Company’s quarterly report on Form 10-Q</w:t>
            </w: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3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for the quarter ended September 30, 2022 formatted in Inline XBRL (extensible Business</w:t>
            </w:r>
          </w:p>
        </w:tc>
        <w:tc>
          <w:tcPr>
            <w:tcW w:w="4460" w:type="dxa"/>
            <w:vAlign w:val="bottom"/>
          </w:tcPr>
          <w:p>
            <w:pPr>
              <w:spacing w:after="0"/>
              <w:rPr>
                <w:sz w:val="11"/>
                <w:szCs w:val="11"/>
                <w:color w:val="auto"/>
              </w:rPr>
            </w:pPr>
          </w:p>
        </w:tc>
      </w:tr>
      <w:tr>
        <w:trPr>
          <w:trHeight w:val="144"/>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auto"/>
              </w:rPr>
              <w:t>Reporting Language): (i) Unaudited Condensed Consolidated Balance Sheets at</w:t>
            </w:r>
          </w:p>
        </w:tc>
        <w:tc>
          <w:tcPr>
            <w:tcW w:w="446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auto"/>
              </w:rPr>
              <w:t>September 30, 2022 and June 30, 2022; (ii) Unaudited Condensed Consolidated</w:t>
            </w:r>
          </w:p>
        </w:tc>
        <w:tc>
          <w:tcPr>
            <w:tcW w:w="4460" w:type="dxa"/>
            <w:vAlign w:val="bottom"/>
          </w:tcPr>
          <w:p>
            <w:pPr>
              <w:spacing w:after="0"/>
              <w:rPr>
                <w:sz w:val="12"/>
                <w:szCs w:val="12"/>
                <w:color w:val="auto"/>
              </w:rPr>
            </w:pPr>
          </w:p>
        </w:tc>
      </w:tr>
      <w:tr>
        <w:trPr>
          <w:trHeight w:val="13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Statements of Operations and Other Comprehensive Income for the three months ended</w:t>
            </w:r>
          </w:p>
        </w:tc>
        <w:tc>
          <w:tcPr>
            <w:tcW w:w="4460" w:type="dxa"/>
            <w:vAlign w:val="bottom"/>
          </w:tcPr>
          <w:p>
            <w:pPr>
              <w:spacing w:after="0"/>
              <w:rPr>
                <w:sz w:val="11"/>
                <w:szCs w:val="11"/>
                <w:color w:val="auto"/>
              </w:rPr>
            </w:pPr>
          </w:p>
        </w:tc>
      </w:tr>
      <w:tr>
        <w:trPr>
          <w:trHeight w:val="144"/>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auto"/>
              </w:rPr>
              <w:t>September 30, 2022 and 2021; (iii) Unaudited Condensed Consolidated Statement of</w:t>
            </w:r>
          </w:p>
        </w:tc>
        <w:tc>
          <w:tcPr>
            <w:tcW w:w="446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 for the three months ended September 30, 2022 and 2021; (iv)</w:t>
            </w:r>
          </w:p>
        </w:tc>
        <w:tc>
          <w:tcPr>
            <w:tcW w:w="4460" w:type="dxa"/>
            <w:vAlign w:val="bottom"/>
          </w:tcPr>
          <w:p>
            <w:pPr>
              <w:spacing w:after="0"/>
              <w:rPr>
                <w:sz w:val="12"/>
                <w:szCs w:val="12"/>
                <w:color w:val="auto"/>
              </w:rPr>
            </w:pPr>
          </w:p>
        </w:tc>
      </w:tr>
      <w:tr>
        <w:trPr>
          <w:trHeight w:val="13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Unaudited Condensed Consolidated Statements of Cash Flows for the three months</w:t>
            </w:r>
          </w:p>
        </w:tc>
        <w:tc>
          <w:tcPr>
            <w:tcW w:w="4460" w:type="dxa"/>
            <w:vAlign w:val="bottom"/>
          </w:tcPr>
          <w:p>
            <w:pPr>
              <w:spacing w:after="0"/>
              <w:rPr>
                <w:sz w:val="11"/>
                <w:szCs w:val="11"/>
                <w:color w:val="auto"/>
              </w:rPr>
            </w:pPr>
          </w:p>
        </w:tc>
      </w:tr>
      <w:tr>
        <w:trPr>
          <w:trHeight w:val="144"/>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auto"/>
              </w:rPr>
              <w:t>ended September 30, 2022 and 2021; and (v) Notes to Unaudited Condensed</w:t>
            </w:r>
          </w:p>
        </w:tc>
        <w:tc>
          <w:tcPr>
            <w:tcW w:w="4460" w:type="dxa"/>
            <w:vAlign w:val="bottom"/>
          </w:tcPr>
          <w:p>
            <w:pPr>
              <w:spacing w:after="0"/>
              <w:rPr>
                <w:sz w:val="12"/>
                <w:szCs w:val="12"/>
                <w:color w:val="auto"/>
              </w:rPr>
            </w:pPr>
          </w:p>
        </w:tc>
      </w:tr>
      <w:tr>
        <w:trPr>
          <w:trHeight w:val="180"/>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Consolidated Financial Statements, tagged as blocks of text</w:t>
            </w:r>
          </w:p>
        </w:tc>
        <w:tc>
          <w:tcPr>
            <w:tcW w:w="4460" w:type="dxa"/>
            <w:vAlign w:val="bottom"/>
          </w:tcPr>
          <w:p>
            <w:pPr>
              <w:spacing w:after="0"/>
              <w:rPr>
                <w:sz w:val="15"/>
                <w:szCs w:val="15"/>
                <w:color w:val="auto"/>
              </w:rPr>
            </w:pPr>
          </w:p>
        </w:tc>
      </w:tr>
      <w:tr>
        <w:trPr>
          <w:trHeight w:val="142"/>
        </w:trPr>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104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w:t>
            </w:r>
          </w:p>
        </w:tc>
        <w:tc>
          <w:tcPr>
            <w:tcW w:w="4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r>
    </w:tbl>
    <w:p>
      <w:pPr>
        <w:spacing w:after="0" w:line="204" w:lineRule="exact"/>
        <w:rPr>
          <w:sz w:val="20"/>
          <w:szCs w:val="20"/>
          <w:color w:val="auto"/>
        </w:rPr>
      </w:pPr>
    </w:p>
    <w:p>
      <w:pPr>
        <w:ind w:left="1460" w:hanging="642"/>
        <w:spacing w:after="0" w:line="239" w:lineRule="auto"/>
        <w:tabs>
          <w:tab w:leader="none" w:pos="1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being furnished solely to accompany this report pursuant to 18 U.S.C. 1350, and is not being filed for purposes of Section 18 of the Exchange Act and is n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00" w:top="844" w:right="259" w:bottom="1440" w:gutter="0" w:footer="0" w:header="0"/>
        </w:sectPr>
      </w:pPr>
    </w:p>
    <w:bookmarkStart w:id="29" w:name="page30"/>
    <w:bookmarkEnd w:id="29"/>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LIFEVANTAGE CORPORATION</w:t>
      </w:r>
    </w:p>
    <w:p>
      <w:pPr>
        <w:spacing w:after="0" w:line="232" w:lineRule="exact"/>
        <w:rPr>
          <w:sz w:val="20"/>
          <w:szCs w:val="20"/>
          <w:color w:val="auto"/>
        </w:rPr>
      </w:pPr>
    </w:p>
    <w:p>
      <w:pPr>
        <w:ind w:left="20"/>
        <w:spacing w:after="0"/>
        <w:tabs>
          <w:tab w:leader="none" w:pos="640" w:val="left"/>
          <w:tab w:leader="none" w:pos="55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2, 2022</w:t>
      </w:r>
      <w:r>
        <w:rPr>
          <w:sz w:val="20"/>
          <w:szCs w:val="20"/>
          <w:color w:val="auto"/>
        </w:rPr>
        <w:tab/>
      </w:r>
      <w:r>
        <w:rPr>
          <w:rFonts w:ascii="Times New Roman" w:cs="Times New Roman" w:eastAsia="Times New Roman" w:hAnsi="Times New Roman"/>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14605</wp:posOffset>
            </wp:positionV>
            <wp:extent cx="365823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Steven R. Fife</w:t>
      </w:r>
    </w:p>
    <w:p>
      <w:pPr>
        <w:ind w:left="5540"/>
        <w:spacing w:after="0" w:line="210" w:lineRule="auto"/>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16" w:lineRule="exact"/>
        <w:rPr>
          <w:sz w:val="20"/>
          <w:szCs w:val="20"/>
          <w:color w:val="auto"/>
        </w:rPr>
      </w:pPr>
    </w:p>
    <w:p>
      <w:pPr>
        <w:ind w:left="20"/>
        <w:spacing w:after="0"/>
        <w:tabs>
          <w:tab w:leader="none" w:pos="640" w:val="left"/>
          <w:tab w:leader="none" w:pos="55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2, 2022</w:t>
      </w:r>
      <w:r>
        <w:rPr>
          <w:sz w:val="20"/>
          <w:szCs w:val="20"/>
          <w:color w:val="auto"/>
        </w:rPr>
        <w:tab/>
      </w:r>
      <w:r>
        <w:rPr>
          <w:rFonts w:ascii="Times New Roman" w:cs="Times New Roman" w:eastAsia="Times New Roman" w:hAnsi="Times New Roman"/>
          <w:sz w:val="14"/>
          <w:szCs w:val="14"/>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14605</wp:posOffset>
            </wp:positionV>
            <wp:extent cx="365823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Carl A. Aure</w:t>
      </w:r>
    </w:p>
    <w:p>
      <w:pPr>
        <w:ind w:left="5540"/>
        <w:spacing w:after="0" w:line="210" w:lineRule="auto"/>
        <w:rPr>
          <w:sz w:val="20"/>
          <w:szCs w:val="20"/>
          <w:color w:val="auto"/>
        </w:rPr>
      </w:pPr>
      <w:r>
        <w:rPr>
          <w:rFonts w:ascii="Times New Roman" w:cs="Times New Roman" w:eastAsia="Times New Roman" w:hAnsi="Times New Roman"/>
          <w:sz w:val="14"/>
          <w:szCs w:val="14"/>
          <w:color w:val="auto"/>
        </w:rPr>
        <w:t>Chief Financial Officer</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380"/>
          </w:cols>
          <w:pgMar w:left="300" w:top="844" w:right="1219" w:bottom="1440"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 Steven R. Fife, certify that:</w:t>
      </w:r>
    </w:p>
    <w:p>
      <w:pPr>
        <w:spacing w:after="0" w:line="125"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LifeVantage Corporation;</w:t>
      </w:r>
    </w:p>
    <w:p>
      <w:pPr>
        <w:spacing w:after="0" w:line="125"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320" w:right="140" w:hanging="315"/>
        <w:spacing w:after="0" w:line="287" w:lineRule="auto"/>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4"/>
          <w:szCs w:val="14"/>
          <w:color w:val="auto"/>
        </w:rPr>
      </w:pPr>
    </w:p>
    <w:p>
      <w:pPr>
        <w:ind w:left="320" w:right="220" w:hanging="315"/>
        <w:spacing w:after="0" w:line="287" w:lineRule="auto"/>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640" w:right="160" w:hanging="317"/>
        <w:spacing w:after="0" w:line="287" w:lineRule="auto"/>
        <w:tabs>
          <w:tab w:leader="none" w:pos="63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4"/>
          <w:szCs w:val="14"/>
          <w:color w:val="auto"/>
        </w:rPr>
      </w:pPr>
    </w:p>
    <w:p>
      <w:pPr>
        <w:ind w:left="640" w:right="360" w:hanging="317"/>
        <w:spacing w:after="0" w:line="287" w:lineRule="auto"/>
        <w:tabs>
          <w:tab w:leader="none" w:pos="6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640" w:right="560" w:hanging="317"/>
        <w:spacing w:after="0" w:line="287" w:lineRule="auto"/>
        <w:tabs>
          <w:tab w:leader="none" w:pos="63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640" w:right="200" w:hanging="317"/>
        <w:spacing w:after="0" w:line="287" w:lineRule="auto"/>
        <w:tabs>
          <w:tab w:leader="none" w:pos="6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4"/>
          <w:szCs w:val="14"/>
          <w:color w:val="auto"/>
        </w:rPr>
      </w:pPr>
    </w:p>
    <w:p>
      <w:pPr>
        <w:ind w:left="320" w:right="100" w:hanging="315"/>
        <w:spacing w:after="0" w:line="287" w:lineRule="auto"/>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640" w:right="240" w:hanging="317"/>
        <w:spacing w:after="0" w:line="287" w:lineRule="auto"/>
        <w:tabs>
          <w:tab w:leader="none" w:pos="63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14605</wp:posOffset>
            </wp:positionV>
            <wp:extent cx="297815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Steven R. Fife</w:t>
      </w:r>
    </w:p>
    <w:p>
      <w:pPr>
        <w:spacing w:after="0" w:line="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12" w:lineRule="auto"/>
        <w:rPr>
          <w:sz w:val="20"/>
          <w:szCs w:val="20"/>
          <w:color w:val="auto"/>
        </w:rPr>
      </w:pPr>
      <w:r>
        <w:rPr>
          <w:rFonts w:ascii="Times New Roman" w:cs="Times New Roman" w:eastAsia="Times New Roman" w:hAnsi="Times New Roman"/>
          <w:sz w:val="28"/>
          <w:szCs w:val="28"/>
          <w:color w:val="auto"/>
          <w:vertAlign w:val="subscript"/>
        </w:rPr>
        <w:t>Date: November 2, 2022</w:t>
      </w: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 Carl A. Aure, certify that:</w:t>
      </w:r>
    </w:p>
    <w:p>
      <w:pPr>
        <w:spacing w:after="0" w:line="125" w:lineRule="exact"/>
        <w:rPr>
          <w:sz w:val="20"/>
          <w:szCs w:val="20"/>
          <w:color w:val="auto"/>
        </w:rPr>
      </w:pPr>
    </w:p>
    <w:p>
      <w:pPr>
        <w:ind w:left="320" w:hanging="315"/>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LifeVantage Corporation;</w:t>
      </w:r>
    </w:p>
    <w:p>
      <w:pPr>
        <w:spacing w:after="0" w:line="125"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320" w:right="140" w:hanging="315"/>
        <w:spacing w:after="0" w:line="287" w:lineRule="auto"/>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4"/>
          <w:szCs w:val="14"/>
          <w:color w:val="auto"/>
        </w:rPr>
      </w:pPr>
    </w:p>
    <w:p>
      <w:pPr>
        <w:ind w:left="320" w:right="220" w:hanging="315"/>
        <w:spacing w:after="0" w:line="287" w:lineRule="auto"/>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640" w:right="160" w:hanging="317"/>
        <w:spacing w:after="0" w:line="287" w:lineRule="auto"/>
        <w:tabs>
          <w:tab w:leader="none" w:pos="63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4"/>
          <w:szCs w:val="14"/>
          <w:color w:val="auto"/>
        </w:rPr>
      </w:pPr>
    </w:p>
    <w:p>
      <w:pPr>
        <w:ind w:left="640" w:right="360" w:hanging="317"/>
        <w:spacing w:after="0" w:line="287" w:lineRule="auto"/>
        <w:tabs>
          <w:tab w:leader="none" w:pos="6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640" w:right="560" w:hanging="317"/>
        <w:spacing w:after="0" w:line="287" w:lineRule="auto"/>
        <w:tabs>
          <w:tab w:leader="none" w:pos="63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640" w:right="200" w:hanging="317"/>
        <w:spacing w:after="0" w:line="287" w:lineRule="auto"/>
        <w:tabs>
          <w:tab w:leader="none" w:pos="6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4"/>
          <w:szCs w:val="14"/>
          <w:color w:val="auto"/>
        </w:rPr>
      </w:pPr>
    </w:p>
    <w:p>
      <w:pPr>
        <w:ind w:left="320" w:right="100" w:hanging="315"/>
        <w:spacing w:after="0" w:line="287" w:lineRule="auto"/>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640" w:right="240" w:hanging="317"/>
        <w:spacing w:after="0" w:line="287" w:lineRule="auto"/>
        <w:tabs>
          <w:tab w:leader="none" w:pos="63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14605</wp:posOffset>
            </wp:positionV>
            <wp:extent cx="297815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Carl A. Aure</w:t>
      </w:r>
    </w:p>
    <w:p>
      <w:pPr>
        <w:spacing w:after="0" w:line="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12" w:lineRule="auto"/>
        <w:rPr>
          <w:sz w:val="20"/>
          <w:szCs w:val="20"/>
          <w:color w:val="auto"/>
        </w:rPr>
      </w:pPr>
      <w:r>
        <w:rPr>
          <w:rFonts w:ascii="Times New Roman" w:cs="Times New Roman" w:eastAsia="Times New Roman" w:hAnsi="Times New Roman"/>
          <w:sz w:val="28"/>
          <w:szCs w:val="28"/>
          <w:color w:val="auto"/>
          <w:vertAlign w:val="subscript"/>
        </w:rPr>
        <w:t>Date: November 2, 2022</w:t>
      </w: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728" w:right="3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color w:val="auto"/>
        </w:rPr>
        <w:t>CERTIFICATION PURSUANT TO 18 U.S.C. SECTION 1350, AS ADOPTED</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color w:val="auto"/>
        </w:rPr>
        <w:t>PURSUANT TO SECTION 906 OF THE SARBANES-OXLEY ACT OF 2002</w:t>
      </w:r>
    </w:p>
    <w:p>
      <w:pPr>
        <w:spacing w:after="0" w:line="101" w:lineRule="exact"/>
        <w:rPr>
          <w:sz w:val="20"/>
          <w:szCs w:val="20"/>
          <w:color w:val="auto"/>
        </w:rPr>
      </w:pPr>
    </w:p>
    <w:p>
      <w:pPr>
        <w:jc w:val="both"/>
        <w:ind w:right="240" w:firstLine="350"/>
        <w:spacing w:after="0" w:line="270" w:lineRule="auto"/>
        <w:rPr>
          <w:sz w:val="20"/>
          <w:szCs w:val="20"/>
          <w:color w:val="auto"/>
        </w:rPr>
      </w:pPr>
      <w:r>
        <w:rPr>
          <w:rFonts w:ascii="Times New Roman" w:cs="Times New Roman" w:eastAsia="Times New Roman" w:hAnsi="Times New Roman"/>
          <w:sz w:val="14"/>
          <w:szCs w:val="14"/>
          <w:color w:val="auto"/>
        </w:rPr>
        <w:t>In connection with the filing of this quarterly report on Form 10-Q of LifeVantage Corporation (the “Company”) for the period ended September 30, 2022,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83" w:lineRule="exact"/>
        <w:rPr>
          <w:sz w:val="20"/>
          <w:szCs w:val="20"/>
          <w:color w:val="auto"/>
        </w:rPr>
      </w:pP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25"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 1350 and is not being filed as part of the report or as a separate disclosure document.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14605</wp:posOffset>
            </wp:positionV>
            <wp:extent cx="297815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Steven R. Fife</w:t>
      </w:r>
    </w:p>
    <w:p>
      <w:pPr>
        <w:spacing w:after="0" w:line="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12" w:lineRule="auto"/>
        <w:rPr>
          <w:sz w:val="20"/>
          <w:szCs w:val="20"/>
          <w:color w:val="auto"/>
        </w:rPr>
      </w:pPr>
      <w:r>
        <w:rPr>
          <w:rFonts w:ascii="Times New Roman" w:cs="Times New Roman" w:eastAsia="Times New Roman" w:hAnsi="Times New Roman"/>
          <w:sz w:val="28"/>
          <w:szCs w:val="28"/>
          <w:color w:val="auto"/>
          <w:vertAlign w:val="subscript"/>
        </w:rPr>
        <w:t>Date: November 2, 2022</w:t>
      </w:r>
      <w:r>
        <w:rPr>
          <w:rFonts w:ascii="Times New Roman" w:cs="Times New Roman" w:eastAsia="Times New Roman" w:hAnsi="Times New Roman"/>
          <w:sz w:val="14"/>
          <w:szCs w:val="14"/>
          <w:color w:val="auto"/>
        </w:rPr>
        <w:t>(Principal Executive Officer)</w:t>
      </w:r>
    </w:p>
    <w:p>
      <w:pPr>
        <w:spacing w:after="0" w:line="9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80"/>
          </w:cols>
          <w:pgMar w:left="300" w:top="728"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color w:val="auto"/>
        </w:rPr>
        <w:t>CERTIFICATION PURSUANT TO 18 U.S.C. SECTION 1350, AS ADOPTED</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color w:val="auto"/>
        </w:rPr>
        <w:t>PURSUANT TO SECTION 906 OF THE SARBANES-OXLEY ACT OF 2002</w:t>
      </w:r>
    </w:p>
    <w:p>
      <w:pPr>
        <w:spacing w:after="0" w:line="101" w:lineRule="exact"/>
        <w:rPr>
          <w:sz w:val="20"/>
          <w:szCs w:val="20"/>
          <w:color w:val="auto"/>
        </w:rPr>
      </w:pPr>
    </w:p>
    <w:p>
      <w:pPr>
        <w:ind w:right="240" w:firstLine="350"/>
        <w:spacing w:after="0" w:line="270" w:lineRule="auto"/>
        <w:rPr>
          <w:sz w:val="20"/>
          <w:szCs w:val="20"/>
          <w:color w:val="auto"/>
        </w:rPr>
      </w:pPr>
      <w:r>
        <w:rPr>
          <w:rFonts w:ascii="Times New Roman" w:cs="Times New Roman" w:eastAsia="Times New Roman" w:hAnsi="Times New Roman"/>
          <w:sz w:val="14"/>
          <w:szCs w:val="14"/>
          <w:color w:val="auto"/>
        </w:rPr>
        <w:t>In connection with the filing of this quarterly report on Form 10-Q of LifeVantage Corporation (the “Company”) for the period ended September 30, 2022, with the Securities and Exchange Commission on the date hereof (the “report”), I, Carl A. Aure, Principal Financial Officer of the Company, certify, pursuant to 18 U.S.C. Section 1350, as adopted pursuant to Section 906 of the Sarbanes-Oxley Act of 2002, that:</w:t>
      </w:r>
    </w:p>
    <w:p>
      <w:pPr>
        <w:spacing w:after="0" w:line="83" w:lineRule="exact"/>
        <w:rPr>
          <w:sz w:val="20"/>
          <w:szCs w:val="20"/>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25"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 1350 and is not being filed as part of the report or as a separate disclosure document.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14605</wp:posOffset>
            </wp:positionV>
            <wp:extent cx="297815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Carl A. Aure</w:t>
      </w:r>
    </w:p>
    <w:p>
      <w:pPr>
        <w:spacing w:after="0" w:line="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12" w:lineRule="auto"/>
        <w:rPr>
          <w:sz w:val="20"/>
          <w:szCs w:val="20"/>
          <w:color w:val="auto"/>
        </w:rPr>
      </w:pPr>
      <w:r>
        <w:rPr>
          <w:rFonts w:ascii="Times New Roman" w:cs="Times New Roman" w:eastAsia="Times New Roman" w:hAnsi="Times New Roman"/>
          <w:sz w:val="28"/>
          <w:szCs w:val="28"/>
          <w:color w:val="auto"/>
          <w:vertAlign w:val="subscript"/>
        </w:rPr>
        <w:t>Date: November 2, 2022</w:t>
      </w:r>
      <w:r>
        <w:rPr>
          <w:rFonts w:ascii="Times New Roman" w:cs="Times New Roman" w:eastAsia="Times New Roman" w:hAnsi="Times New Roman"/>
          <w:sz w:val="14"/>
          <w:szCs w:val="14"/>
          <w:color w:val="auto"/>
        </w:rPr>
        <w:t>(Principal Financial Officer)</w:t>
      </w:r>
    </w:p>
    <w:p>
      <w:pPr>
        <w:spacing w:after="0" w:line="9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amp;"/>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4" Type="http://schemas.openxmlformats.org/officeDocument/2006/relationships/hyperlink" Target="http://www.sec.gov/Archives/edgar/data/849146/000084914618000046/ex31-certificateofincorpor.htm" TargetMode="External"/><Relationship Id="rId45"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2022-11-02T15:31:42Z</dcterms:created>
  <dcterms:modified xsi:type="dcterms:W3CDTF">2022-11-02T15:31:42Z</dcterms:modified>
</cp:coreProperties>
</file>