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Moorehead Terrence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3300 N. TRIUMPH BLVD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700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LEHI</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UT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84043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Lifevantage Corp</w:t>
              </w:r>
            </w:hyperlink>
            <w:r>
              <w:rPr/>
              <w:t xml:space="preserve"> [ </w:t>
            </w:r>
            <w:r>
              <w:rPr>
                <w:rFonts w:ascii="Times;serif" w:hAnsi="Times;serif"/>
                <w:color w:val="0000FF"/>
                <w:sz w:val="24"/>
                <w:shd w:fill="FFFFFF" w:val="clear"/>
              </w:rPr>
              <w:t>LFVN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and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98"/>
        <w:gridCol w:w="903"/>
        <w:gridCol w:w="772"/>
        <w:gridCol w:w="600"/>
        <w:gridCol w:w="349"/>
        <w:gridCol w:w="1017"/>
        <w:gridCol w:w="456"/>
        <w:gridCol w:w="619"/>
        <w:gridCol w:w="1167"/>
        <w:gridCol w:w="1000"/>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9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9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9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1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9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Stock</w:t>
            </w:r>
            <w:r>
              <w:rPr>
                <w:rFonts w:ascii="Times;serif" w:hAnsi="Times;serif"/>
                <w:color w:val="008000"/>
                <w:position w:val="7"/>
                <w:sz w:val="16"/>
                <w:sz w:val="20"/>
                <w:shd w:fill="FFFFFF" w:val="clear"/>
              </w:rPr>
              <w:t>(1)</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10/07/2026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193,237</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501,879</w:t>
            </w:r>
          </w:p>
        </w:tc>
        <w:tc>
          <w:tcPr>
            <w:tcW w:w="10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599" w:type="dxa"/>
        <w:jc w:val="left"/>
        <w:tblInd w:w="-7" w:type="dxa"/>
        <w:tblLayout w:type="fixed"/>
        <w:tblCellMar>
          <w:top w:w="60" w:type="dxa"/>
          <w:left w:w="60" w:type="dxa"/>
          <w:bottom w:w="60" w:type="dxa"/>
          <w:right w:w="60" w:type="dxa"/>
        </w:tblCellMar>
      </w:tblPr>
      <w:tblGrid>
        <w:gridCol w:w="1160"/>
        <w:gridCol w:w="861"/>
        <w:gridCol w:w="891"/>
        <w:gridCol w:w="771"/>
        <w:gridCol w:w="555"/>
        <w:gridCol w:w="336"/>
        <w:gridCol w:w="816"/>
        <w:gridCol w:w="276"/>
        <w:gridCol w:w="906"/>
        <w:gridCol w:w="801"/>
        <w:gridCol w:w="891"/>
        <w:gridCol w:w="921"/>
        <w:gridCol w:w="801"/>
        <w:gridCol w:w="936"/>
        <w:gridCol w:w="831"/>
        <w:gridCol w:w="846"/>
      </w:tblGrid>
      <w:tr>
        <w:trPr>
          <w:tblHeader w:val="true"/>
        </w:trPr>
        <w:tc>
          <w:tcPr>
            <w:tcW w:w="1259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1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55"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Performance Restricted Stock Units</w:t>
            </w:r>
            <w:r>
              <w:rPr>
                <w:rFonts w:ascii="Times;serif" w:hAnsi="Times;serif"/>
                <w:color w:val="008000"/>
                <w:position w:val="7"/>
                <w:sz w:val="16"/>
                <w:sz w:val="20"/>
                <w:shd w:fill="FFFFFF" w:val="clear"/>
              </w:rPr>
              <w:t>(2)</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V</w:t>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289,855</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289,855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289,855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reflects a stock unit award, in which each stock unit represents a right to receive one share of issuer common stock, which award will vest, subject to the reporting person's continued service with the issuer, as follows: (i) 1/3 of the total number of units will vest on October 7, 2027, (ii) 1/3 of the total number of units will vest on October 7, 2028 and (iii) 1/3 of the total number of units will vest on October 7, 2029.</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Performance Restricted Stock Unit ("PRSU") represents a right to receive one share of issuer common stock. Upon achievement of the maximum level of the applicable performance criteria, the reporting person may become eligible to earn 150% of the target number of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PRSUs will vest only to the extent certain financial performance targets are achieved over a three and a half-year period commencing in October 2026 and ending in March 2030, subject to the reporting person's continued service with the issuer through the applicable vesting date. To the extent the first financial performance target is achieved, 25% of the PRSUs will vest on the achievement date and 25% shall vest on the 1-year anniversary of the achievement date. To the extent subsequent financial performance targets are achieved, 12.5% of the PRSUs will vest on the achievement date and 12.5% shall vest on the 1-year anniversary of the achievement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Mark Taylor, Power of Attorney for Terrence Moorehead</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54431" TargetMode="External"/><Relationship Id="rId5" Type="http://schemas.openxmlformats.org/officeDocument/2006/relationships/hyperlink" Target="http://www.sec.gov/cgi-bin/browse-edgar?action=getcompany&amp;CIK=000084914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820</Words>
  <Characters>4324</Characters>
  <CharactersWithSpaces>5061</CharactersWithSpaces>
  <Paragraphs>112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