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20" w:after="12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Commission file number: 001-35647</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LIFEVANTAGE CORPORATION</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w:t>
      </w:r>
    </w:p>
    <w:tbl>
      <w:tblPr>
        <w:tblW w:w="7150" w:type="dxa"/>
        <w:jc w:val="center"/>
        <w:tblInd w:w="0" w:type="dxa"/>
        <w:tblLayout w:type="fixed"/>
        <w:tblCellMar>
          <w:top w:w="28" w:type="dxa"/>
          <w:left w:w="28" w:type="dxa"/>
          <w:bottom w:w="28" w:type="dxa"/>
          <w:right w:w="28" w:type="dxa"/>
        </w:tblCellMar>
      </w:tblPr>
      <w:tblGrid>
        <w:gridCol w:w="1549"/>
        <w:gridCol w:w="1360"/>
        <w:gridCol w:w="1380"/>
        <w:gridCol w:w="109"/>
        <w:gridCol w:w="109"/>
        <w:gridCol w:w="109"/>
        <w:gridCol w:w="740"/>
        <w:gridCol w:w="740"/>
        <w:gridCol w:w="10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90-0224471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4181" w:type="dxa"/>
        <w:jc w:val="center"/>
        <w:tblInd w:w="0" w:type="dxa"/>
        <w:tblLayout w:type="fixed"/>
        <w:tblCellMar>
          <w:top w:w="28" w:type="dxa"/>
          <w:left w:w="28" w:type="dxa"/>
          <w:bottom w:w="28" w:type="dxa"/>
          <w:right w:w="28" w:type="dxa"/>
        </w:tblCellMar>
      </w:tblPr>
      <w:tblGrid>
        <w:gridCol w:w="1049"/>
        <w:gridCol w:w="921"/>
        <w:gridCol w:w="925"/>
        <w:gridCol w:w="109"/>
        <w:gridCol w:w="109"/>
        <w:gridCol w:w="109"/>
        <w:gridCol w:w="280"/>
        <w:gridCol w:w="280"/>
        <w:gridCol w:w="399"/>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3300 N. Triumph Blvd, Suite 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 xml:space="preserve">84043 </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Lehi, 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(801) 432-9000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31"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472"/>
        <w:gridCol w:w="472"/>
        <w:gridCol w:w="480"/>
        <w:gridCol w:w="109"/>
        <w:gridCol w:w="109"/>
        <w:gridCol w:w="109"/>
        <w:gridCol w:w="941"/>
        <w:gridCol w:w="941"/>
        <w:gridCol w:w="1342"/>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LFVN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bl>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w:t>
      </w:r>
    </w:p>
    <w:p>
      <w:pPr>
        <w:pStyle w:val="TextBody"/>
        <w:bidi w:val="0"/>
        <w:spacing w:lineRule="auto" w:line="288" w:before="180" w:after="283"/>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lineRule="auto" w:line="288" w:before="180" w:after="283"/>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p>
      <w:pPr>
        <w:pStyle w:val="TextBody"/>
        <w:bidi w:val="0"/>
        <w:spacing w:lineRule="auto" w:line="288" w:before="180" w:after="283"/>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5" w:type="dxa"/>
        <w:jc w:val="left"/>
        <w:tblInd w:w="0" w:type="dxa"/>
        <w:tblLayout w:type="fixed"/>
        <w:tblCellMar>
          <w:top w:w="28" w:type="dxa"/>
          <w:left w:w="28" w:type="dxa"/>
          <w:bottom w:w="28" w:type="dxa"/>
          <w:right w:w="28" w:type="dxa"/>
        </w:tblCellMar>
      </w:tblPr>
      <w:tblGrid>
        <w:gridCol w:w="842"/>
        <w:gridCol w:w="741"/>
        <w:gridCol w:w="742"/>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Indicate by check mark whether the registrant is a shell company (as defined in Rule 12b-2 of the Exchange Act). Yes  ☐  No  ☒</w:t>
      </w:r>
    </w:p>
    <w:p>
      <w:pPr>
        <w:pStyle w:val="TextBody"/>
        <w:bidi w:val="0"/>
        <w:spacing w:lineRule="auto" w:line="288" w:before="180" w:after="283"/>
        <w:jc w:val="left"/>
        <w:rPr>
          <w:rFonts w:ascii="Times New Roman;serif" w:hAnsi="Times New Roman;serif"/>
          <w:b w:val="false"/>
          <w:color w:val="000000"/>
          <w:sz w:val="19"/>
          <w:shd w:fill="FFFFFF" w:val="clear"/>
        </w:rPr>
      </w:pPr>
      <w:r>
        <w:rPr>
          <w:rFonts w:ascii="Times New Roman;serif" w:hAnsi="Times New Roman;serif"/>
          <w:b w:val="false"/>
          <w:color w:val="000000"/>
          <w:sz w:val="19"/>
          <w:shd w:fill="FFFFFF" w:val="clear"/>
        </w:rPr>
        <w:t>The number of shares outstanding of the issuer’s common stock, par value $0.0001 per share, as of November 3, 2025 was 12,701,187.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factors are among those that may cause actual results to differ materially from our forward-looking statements: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to properly manage, motivate and retain our independent consultants (which we previously referred to as “distributors” in our prior filings) or to attract new customers and independent consultants on an ongoing basis;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Non-compliance by our independent consultants with applicable legal requirements or our policies and procedures;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Changes to our independent consultant compensation plans;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Dependence upon a few products for revenue;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Dependence on third parties to manufacture our products;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Sourcing and pricing of high quality materials for our products;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Disruptions to the transportation channels used to distribute our products;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Risk of being subject to a product recall;</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Product liability claims against us;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Competition in the dietary supplement and personal care markets;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Unfavorable publicity on our business or products;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Actions by activist stockholders;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Loss of or inability to attract key personnel;</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Risk of being held responsible for certain taxes or assessments and other obligations relating to the activity of our independent consultants;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Risk related to Global Not For Resale program;</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Inability to comply with evolving laws, regulations, standards, policies, and contractual obligations related to data privacy and security, including cybersecurity;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to manage existing markets, open new international markets or expand our operations;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of new products and technological innovations to gain customer or independent consultant or market acceptance;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to execute our product launch process due to increased pressure on our supply chain, information systems and management;</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to appropriately manage our inventory;</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Disruptions in our information technology (“IT”) systems, including as a result of cybersecurity incidents;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to comply with financial covenants imposed by our credit facility and the impact of debt service obligations and restrictive debt covenants;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International trade or foreign exchange restrictions, increased tariffs, and foreign currency exchange fluctuations;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to raise additional capital or complete desired acquisitions;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Strict government regulations on our business;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Regulations governing the production or marketing of our products;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Risk of investigatory and enforcement action;</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Risk of our direct selling program being found non-compliant with current or newly adopted laws or regulations in various markets;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Laws and regulations prohibiting or severely restricting direct selling;</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International regulatory and business risks, including failure to comply with anti-corruption laws;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to protect our intellectual property rights;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Third party intellectual property infringement claims;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Volatility of the market price of our common stock;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Risk of substantial sales of shares negatively impacting the market price of our common stock;</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Inability of share repurchase program enhancing long-term stockholder value;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Risk of additional shares issued diluting voting power of current outstanding common stock or causing decline in stock price;</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Potential delisting of our common stock due to non-compliance with Nasdaq’s continued listing requirements;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Risks related to being a smaller reporting company;</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Limitations for disputes, mergers, tender offers, or proxy contests under Delaware law;</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Expensive and time consuming legal proceedings;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Ineffectiveness of internal controls over financial reporting;</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Challenges to tax positions or transfer pricing policies or change in laws;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Economic, political, foreign exchange and other risks associated with international operations, including consumer discretionary spending habits;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Unfavorable global economic conditions;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Securities class action litigation;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Securities or industry analysts ceasing coverage or publishing inaccurate or unfavorable research.</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LIFEVANTAGE CORPORATION</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INDEX</w:t>
      </w:r>
    </w:p>
    <w:p>
      <w:pPr>
        <w:pStyle w:val="TextBody"/>
        <w:bidi w:val="0"/>
        <w:spacing w:lineRule="auto" w:line="288" w:before="0" w:after="0"/>
        <w:jc w:val="left"/>
        <w:rPr>
          <w:color w:val="000000"/>
        </w:rPr>
      </w:pPr>
      <w:r>
        <w:rPr>
          <w:color w:val="000000"/>
        </w:rPr>
        <w:t> </w:t>
      </w:r>
    </w:p>
    <w:tbl>
      <w:tblPr>
        <w:tblW w:w="10002" w:type="dxa"/>
        <w:jc w:val="left"/>
        <w:tblInd w:w="0" w:type="dxa"/>
        <w:tblLayout w:type="fixed"/>
        <w:tblCellMar>
          <w:top w:w="28" w:type="dxa"/>
          <w:left w:w="28" w:type="dxa"/>
          <w:bottom w:w="28" w:type="dxa"/>
          <w:right w:w="28" w:type="dxa"/>
        </w:tblCellMar>
      </w:tblPr>
      <w:tblGrid>
        <w:gridCol w:w="477"/>
        <w:gridCol w:w="420"/>
        <w:gridCol w:w="420"/>
        <w:gridCol w:w="2685"/>
        <w:gridCol w:w="2685"/>
        <w:gridCol w:w="2699"/>
        <w:gridCol w:w="180"/>
        <w:gridCol w:w="180"/>
        <w:gridCol w:w="256"/>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13">
              <w:r>
                <w:rPr>
                  <w:rStyle w:val="InternetLink"/>
                  <w:rFonts w:ascii="Times New Roman;serif" w:hAnsi="Times New Roman;serif"/>
                  <w:b w:val="false"/>
                  <w:color w:val="0000FF"/>
                  <w:sz w:val="20"/>
                  <w:u w:val="single"/>
                </w:rPr>
                <w:t>PART I. 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571ff2ef1d214bf5aba79f0e3628dd57_13">
              <w:r>
                <w:rPr>
                  <w:rStyle w:val="InternetLink"/>
                  <w:rFonts w:ascii="Times New Roman;serif" w:hAnsi="Times New Roman;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16">
              <w:r>
                <w:rPr>
                  <w:rStyle w:val="InternetLink"/>
                  <w:rFonts w:ascii="Times New Roman;serif" w:hAnsi="Times New Roman;serif"/>
                  <w:b w:val="false"/>
                  <w:color w:val="0000FF"/>
                  <w:sz w:val="20"/>
                  <w:u w:val="single"/>
                </w:rPr>
                <w:t>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16">
              <w:r>
                <w:rPr>
                  <w:rStyle w:val="InternetLink"/>
                  <w:rFonts w:ascii="Times New Roman;serif" w:hAnsi="Times New Roman;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19">
              <w:r>
                <w:rPr>
                  <w:rStyle w:val="InternetLink"/>
                  <w:rFonts w:ascii="Times New Roman;serif" w:hAnsi="Times New Roman;serif"/>
                  <w:b w:val="false"/>
                  <w:color w:val="0000FF"/>
                  <w:sz w:val="20"/>
                  <w:u w:val="single"/>
                </w:rPr>
                <w:t xml:space="preserve">Condensed Consolidated Balance Sheets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19">
              <w:r>
                <w:rPr>
                  <w:rStyle w:val="InternetLink"/>
                  <w:rFonts w:ascii="Times New Roman;serif" w:hAnsi="Times New Roman;serif"/>
                  <w:b w:val="false"/>
                  <w:color w:val="0000FF"/>
                  <w:sz w:val="20"/>
                  <w:u w:val="single"/>
                </w:rPr>
                <w:t>5</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22">
              <w:r>
                <w:rPr>
                  <w:rStyle w:val="InternetLink"/>
                  <w:rFonts w:ascii="Times New Roman;serif" w:hAnsi="Times New Roman;serif"/>
                  <w:b w:val="false"/>
                  <w:color w:val="0000FF"/>
                  <w:sz w:val="20"/>
                  <w:u w:val="single"/>
                </w:rPr>
                <w:t>Condensed Consolidated Statements of Operations and Comprehensive Income (Loss)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22">
              <w:r>
                <w:rPr>
                  <w:rStyle w:val="InternetLink"/>
                  <w:rFonts w:ascii="Times New Roman;serif" w:hAnsi="Times New Roman;serif"/>
                  <w:b w:val="false"/>
                  <w:color w:val="0000FF"/>
                  <w:sz w:val="20"/>
                  <w:u w:val="single"/>
                </w:rPr>
                <w:t>6</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25">
              <w:r>
                <w:rPr>
                  <w:rStyle w:val="InternetLink"/>
                  <w:rFonts w:ascii="Times New Roman;serif" w:hAnsi="Times New Roman;serif"/>
                  <w:b w:val="false"/>
                  <w:color w:val="0000FF"/>
                  <w:sz w:val="20"/>
                  <w:u w:val="single"/>
                </w:rPr>
                <w:t>Condensed Consolidated Statement of Stockholders’ Equity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25">
              <w:r>
                <w:rPr>
                  <w:rStyle w:val="InternetLink"/>
                  <w:rFonts w:ascii="Times New Roman;serif" w:hAnsi="Times New Roman;serif"/>
                  <w:b w:val="false"/>
                  <w:color w:val="0000FF"/>
                  <w:sz w:val="20"/>
                  <w:u w:val="single"/>
                </w:rPr>
                <w:t>7</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31">
              <w:r>
                <w:rPr>
                  <w:rStyle w:val="InternetLink"/>
                  <w:rFonts w:ascii="Times New Roman;serif" w:hAnsi="Times New Roman;serif"/>
                  <w:b w:val="false"/>
                  <w:color w:val="0000FF"/>
                  <w:sz w:val="20"/>
                  <w:u w:val="single"/>
                </w:rPr>
                <w:t xml:space="preserve">Condensed Consolidated Statements of Cash Flows (unaudited) </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31">
              <w:r>
                <w:rPr>
                  <w:rStyle w:val="InternetLink"/>
                  <w:rFonts w:ascii="Times New Roman;serif" w:hAnsi="Times New Roman;serif"/>
                  <w:b w:val="false"/>
                  <w:color w:val="0000FF"/>
                  <w:sz w:val="20"/>
                  <w:u w:val="single"/>
                </w:rPr>
                <w:t>9</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34">
              <w:r>
                <w:rPr>
                  <w:rStyle w:val="InternetLink"/>
                  <w:rFonts w:ascii="Times New Roman;serif" w:hAnsi="Times New Roman;serif"/>
                  <w:b w:val="false"/>
                  <w:color w:val="0000FF"/>
                  <w:sz w:val="20"/>
                  <w:u w:val="single"/>
                </w:rPr>
                <w:t>Notes to Condensed Consolidated 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34">
              <w:r>
                <w:rPr>
                  <w:rStyle w:val="InternetLink"/>
                  <w:rFonts w:ascii="Times New Roman;serif" w:hAnsi="Times New Roman;serif"/>
                  <w:b w:val="false"/>
                  <w:color w:val="0000FF"/>
                  <w:sz w:val="20"/>
                  <w:u w:val="single"/>
                </w:rPr>
                <w:t>10</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61">
              <w:r>
                <w:rPr>
                  <w:rStyle w:val="InternetLink"/>
                  <w:rFonts w:ascii="Times New Roman;serif" w:hAnsi="Times New Roman;serif"/>
                  <w:b w:val="false"/>
                  <w:color w:val="000080"/>
                  <w:sz w:val="20"/>
                  <w:u w:val="single"/>
                </w:rPr>
                <w:t>Management</w:t>
              </w:r>
            </w:hyperlink>
            <w:r>
              <w:rPr>
                <w:rFonts w:ascii="Times New Roman;serif" w:hAnsi="Times New Roman;serif"/>
                <w:b w:val="false"/>
                <w:color w:val="0000FF"/>
                <w:sz w:val="20"/>
                <w:u w:val="single"/>
              </w:rPr>
              <w:t>’</w:t>
            </w:r>
            <w:hyperlink w:anchor="i571ff2ef1d214bf5aba79f0e3628dd57_61">
              <w:r>
                <w:rPr>
                  <w:rStyle w:val="InternetLink"/>
                  <w:rFonts w:ascii="Times New Roman;serif" w:hAnsi="Times New Roman;serif"/>
                  <w:b w:val="false"/>
                  <w:color w:val="000080"/>
                  <w:sz w:val="20"/>
                  <w:u w:val="single"/>
                </w:rPr>
                <w: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61">
              <w:r>
                <w:rPr>
                  <w:rStyle w:val="InternetLink"/>
                  <w:rFonts w:ascii="Times New Roman;serif" w:hAnsi="Times New Roman;serif"/>
                  <w:b w:val="false"/>
                  <w:color w:val="0000FF"/>
                  <w:sz w:val="20"/>
                  <w:u w:val="single"/>
                </w:rPr>
                <w:t>20</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82">
              <w:r>
                <w:rPr>
                  <w:rStyle w:val="InternetLink"/>
                  <w:rFonts w:ascii="Times New Roman;serif" w:hAnsi="Times New Roman;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82">
              <w:r>
                <w:rPr>
                  <w:rStyle w:val="InternetLink"/>
                  <w:rFonts w:ascii="Times New Roman;serif" w:hAnsi="Times New Roman;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85">
              <w:r>
                <w:rPr>
                  <w:rStyle w:val="InternetLink"/>
                  <w:rFonts w:ascii="Times New Roman;serif" w:hAnsi="Times New Roman;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85">
              <w:r>
                <w:rPr>
                  <w:rStyle w:val="InternetLink"/>
                  <w:rFonts w:ascii="Times New Roman;serif" w:hAnsi="Times New Roman;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88">
              <w:r>
                <w:rPr>
                  <w:rStyle w:val="InternetLink"/>
                  <w:rFonts w:ascii="Times New Roman;serif" w:hAnsi="Times New Roman;serif"/>
                  <w:b w:val="false"/>
                  <w:color w:val="0000FF"/>
                  <w:sz w:val="20"/>
                  <w:u w:val="singl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88">
              <w:r>
                <w:rPr>
                  <w:rStyle w:val="InternetLink"/>
                  <w:rFonts w:ascii="Times New Roman;serif" w:hAnsi="Times New Roman;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91">
              <w:r>
                <w:rPr>
                  <w:rStyle w:val="InternetLink"/>
                  <w:rFonts w:ascii="Times New Roman;serif" w:hAnsi="Times New Roman;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91">
              <w:r>
                <w:rPr>
                  <w:rStyle w:val="InternetLink"/>
                  <w:rFonts w:ascii="Times New Roman;serif" w:hAnsi="Times New Roman;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94">
              <w:r>
                <w:rPr>
                  <w:rStyle w:val="InternetLink"/>
                  <w:rFonts w:ascii="Times New Roman;serif" w:hAnsi="Times New Roman;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94">
              <w:r>
                <w:rPr>
                  <w:rStyle w:val="InternetLink"/>
                  <w:rFonts w:ascii="Times New Roman;serif" w:hAnsi="Times New Roman;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97">
              <w:r>
                <w:rPr>
                  <w:rStyle w:val="InternetLink"/>
                  <w:rFonts w:ascii="Times New Roman;serif" w:hAnsi="Times New Roman;serif"/>
                  <w:b w:val="false"/>
                  <w:color w:val="0000FF"/>
                  <w:sz w:val="20"/>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97">
              <w:r>
                <w:rPr>
                  <w:rStyle w:val="InternetLink"/>
                  <w:rFonts w:ascii="Times New Roman;serif" w:hAnsi="Times New Roman;serif"/>
                  <w:b w:val="false"/>
                  <w:color w:val="0000FF"/>
                  <w:sz w:val="20"/>
                  <w:u w:val="single"/>
                </w:rPr>
                <w:t>27</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100">
              <w:r>
                <w:rPr>
                  <w:rStyle w:val="InternetLink"/>
                  <w:rFonts w:ascii="Times New Roman;serif" w:hAnsi="Times New Roman;serif"/>
                  <w:b w:val="false"/>
                  <w:color w:val="0000FF"/>
                  <w:sz w:val="20"/>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100">
              <w:r>
                <w:rPr>
                  <w:rStyle w:val="InternetLink"/>
                  <w:rFonts w:ascii="Times New Roman;serif" w:hAnsi="Times New Roman;serif"/>
                  <w:b w:val="false"/>
                  <w:color w:val="0000FF"/>
                  <w:sz w:val="20"/>
                  <w:u w:val="single"/>
                </w:rPr>
                <w:t>28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103">
              <w:r>
                <w:rPr>
                  <w:rStyle w:val="InternetLink"/>
                  <w:rFonts w:ascii="Times New Roman;serif" w:hAnsi="Times New Roman;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103">
              <w:r>
                <w:rPr>
                  <w:rStyle w:val="InternetLink"/>
                  <w:rFonts w:ascii="Times New Roman;serif" w:hAnsi="Times New Roman;serif"/>
                  <w:b w:val="false"/>
                  <w:color w:val="0000FF"/>
                  <w:sz w:val="20"/>
                  <w:u w:val="single"/>
                </w:rPr>
                <w:t>28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106">
              <w:r>
                <w:rPr>
                  <w:rStyle w:val="InternetLink"/>
                  <w:rFonts w:ascii="Times New Roman;serif" w:hAnsi="Times New Roman;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106">
              <w:r>
                <w:rPr>
                  <w:rStyle w:val="InternetLink"/>
                  <w:rFonts w:ascii="Times New Roman;serif" w:hAnsi="Times New Roman;serif"/>
                  <w:b w:val="false"/>
                  <w:color w:val="0000FF"/>
                  <w:sz w:val="20"/>
                  <w:u w:val="single"/>
                </w:rPr>
                <w:t>28</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112">
              <w:r>
                <w:rPr>
                  <w:rStyle w:val="InternetLink"/>
                  <w:rFonts w:ascii="Times New Roman;serif" w:hAnsi="Times New Roman;serif"/>
                  <w:b w:val="false"/>
                  <w:color w:val="0000FF"/>
                  <w:sz w:val="20"/>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112">
              <w:r>
                <w:rPr>
                  <w:rStyle w:val="InternetLink"/>
                  <w:rFonts w:ascii="Times New Roman;serif" w:hAnsi="Times New Roman;serif"/>
                  <w:b w:val="false"/>
                  <w:color w:val="0000FF"/>
                  <w:sz w:val="20"/>
                  <w:u w:val="single"/>
                </w:rPr>
                <w:t>29</w:t>
              </w:r>
            </w:hyperlink>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1ff2ef1d214bf5aba79f0e3628dd57_115">
              <w:r>
                <w:rPr>
                  <w:rStyle w:val="InternetLink"/>
                  <w:rFonts w:ascii="Times New Roman;serif" w:hAnsi="Times New Roman;serif"/>
                  <w:b w:val="false"/>
                  <w:color w:val="0000FF"/>
                  <w:sz w:val="20"/>
                  <w:u w:val="single"/>
                </w:rPr>
                <w:t>Signatures</w:t>
              </w:r>
            </w:hyperlink>
          </w:p>
        </w:tc>
        <w:tc>
          <w:tcPr>
            <w:tcW w:w="8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1ff2ef1d214bf5aba79f0e3628dd57_115">
              <w:r>
                <w:rPr>
                  <w:rStyle w:val="InternetLink"/>
                  <w:rFonts w:ascii="Times New Roman;serif" w:hAnsi="Times New Roman;serif"/>
                  <w:b w:val="false"/>
                  <w:color w:val="0000FF"/>
                  <w:sz w:val="20"/>
                  <w:u w:val="single"/>
                </w:rPr>
                <w:t>30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LIFEVANTAGE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50"/>
        <w:gridCol w:w="2260"/>
        <w:gridCol w:w="2274"/>
        <w:gridCol w:w="257"/>
        <w:gridCol w:w="878"/>
        <w:gridCol w:w="132"/>
        <w:gridCol w:w="109"/>
        <w:gridCol w:w="109"/>
        <w:gridCol w:w="109"/>
        <w:gridCol w:w="218"/>
        <w:gridCol w:w="746"/>
        <w:gridCol w:w="163"/>
      </w:tblGrid>
      <w:tr>
        <w:trPr/>
        <w:tc>
          <w:tcPr>
            <w:tcW w:w="2950"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(In thousands, except per share data)</w:t>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receivable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20,594 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45,048 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50,894 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7,664 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asset</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71,958 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 AND STOCKHOLDERS’ EQUITY</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Commissions payable</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payable</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Lease liabilities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expenses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18,829 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27,217 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lease liabilities</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28,422 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37,317 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 Note 7</w:t>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Stockholders’ equity</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 par value $0.0001 per share, 5,000 shares authorized, no shares issued or outstanding</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Common stock — par value $0.0001 per share, 40,000 shares authorized and 12,691 and 12,429 issued and outstanding as of September 30, 2025 and June 30, 2025, respectively</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137,652 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139,962 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deficit</w:t>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(103,141)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(104,147)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stockholders’ equity</w:t>
            </w:r>
          </w:p>
        </w:tc>
        <w:tc>
          <w:tcPr>
            <w:tcW w:w="11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33,157 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34,641 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STOCKHOLDERS’ EQUITY</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61,579 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71,958 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LIFEVANTAGE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INCOME</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047" w:type="dxa"/>
        <w:jc w:val="center"/>
        <w:tblInd w:w="0" w:type="dxa"/>
        <w:tblLayout w:type="fixed"/>
        <w:tblCellMar>
          <w:top w:w="28" w:type="dxa"/>
          <w:left w:w="28" w:type="dxa"/>
          <w:bottom w:w="28" w:type="dxa"/>
          <w:right w:w="28" w:type="dxa"/>
        </w:tblCellMar>
      </w:tblPr>
      <w:tblGrid>
        <w:gridCol w:w="1406"/>
        <w:gridCol w:w="1235"/>
        <w:gridCol w:w="1244"/>
        <w:gridCol w:w="235"/>
        <w:gridCol w:w="803"/>
        <w:gridCol w:w="121"/>
        <w:gridCol w:w="121"/>
        <w:gridCol w:w="121"/>
        <w:gridCol w:w="121"/>
        <w:gridCol w:w="235"/>
        <w:gridCol w:w="803"/>
        <w:gridCol w:w="121"/>
        <w:gridCol w:w="109"/>
        <w:gridCol w:w="109"/>
        <w:gridCol w:w="109"/>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incentives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0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LIFEVANTAGE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STOCKHOLDERS’ EQUITY</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90"/>
        <w:gridCol w:w="557"/>
        <w:gridCol w:w="559"/>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851"/>
        <w:gridCol w:w="109"/>
        <w:gridCol w:w="109"/>
        <w:gridCol w:w="109"/>
        <w:gridCol w:w="109"/>
        <w:gridCol w:w="310"/>
        <w:gridCol w:w="931"/>
        <w:gridCol w:w="162"/>
        <w:gridCol w:w="109"/>
        <w:gridCol w:w="109"/>
        <w:gridCol w:w="109"/>
        <w:gridCol w:w="211"/>
        <w:gridCol w:w="736"/>
        <w:gridCol w:w="159"/>
      </w:tblGrid>
      <w:tr>
        <w:trPr/>
        <w:tc>
          <w:tcPr>
            <w:tcW w:w="99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12,429</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139,962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34,641</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September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12,691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137,652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(1,355)</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33,157</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180" w:after="283"/>
        <w:jc w:val="center"/>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LIFEVANTAGE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STOCKHOLDERS’ EQUITY (CONTINUED)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37"/>
        <w:gridCol w:w="496"/>
        <w:gridCol w:w="497"/>
        <w:gridCol w:w="368"/>
        <w:gridCol w:w="368"/>
        <w:gridCol w:w="196"/>
        <w:gridCol w:w="109"/>
        <w:gridCol w:w="109"/>
        <w:gridCol w:w="109"/>
        <w:gridCol w:w="246"/>
        <w:gridCol w:w="316"/>
        <w:gridCol w:w="129"/>
        <w:gridCol w:w="109"/>
        <w:gridCol w:w="109"/>
        <w:gridCol w:w="109"/>
        <w:gridCol w:w="211"/>
        <w:gridCol w:w="841"/>
        <w:gridCol w:w="109"/>
        <w:gridCol w:w="109"/>
        <w:gridCol w:w="109"/>
        <w:gridCol w:w="109"/>
        <w:gridCol w:w="211"/>
        <w:gridCol w:w="849"/>
        <w:gridCol w:w="109"/>
        <w:gridCol w:w="109"/>
        <w:gridCol w:w="109"/>
        <w:gridCol w:w="109"/>
        <w:gridCol w:w="302"/>
        <w:gridCol w:w="905"/>
        <w:gridCol w:w="158"/>
        <w:gridCol w:w="109"/>
        <w:gridCol w:w="109"/>
        <w:gridCol w:w="109"/>
        <w:gridCol w:w="211"/>
        <w:gridCol w:w="736"/>
        <w:gridCol w:w="109"/>
        <w:gridCol w:w="109"/>
        <w:gridCol w:w="157"/>
      </w:tblGrid>
      <w:tr>
        <w:trPr/>
        <w:tc>
          <w:tcPr>
            <w:tcW w:w="9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12,510</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equity award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canceled or surrendered as payment of tax withholding and other</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company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September 30,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137,347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(108,526)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LIFEVANTAGE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195" w:type="dxa"/>
        <w:jc w:val="center"/>
        <w:tblInd w:w="0" w:type="dxa"/>
        <w:tblLayout w:type="fixed"/>
        <w:tblCellMar>
          <w:top w:w="28" w:type="dxa"/>
          <w:left w:w="28" w:type="dxa"/>
          <w:bottom w:w="28" w:type="dxa"/>
          <w:right w:w="28" w:type="dxa"/>
        </w:tblCellMar>
      </w:tblPr>
      <w:tblGrid>
        <w:gridCol w:w="2706"/>
        <w:gridCol w:w="2379"/>
        <w:gridCol w:w="2385"/>
        <w:gridCol w:w="231"/>
        <w:gridCol w:w="809"/>
        <w:gridCol w:w="119"/>
        <w:gridCol w:w="119"/>
        <w:gridCol w:w="119"/>
        <w:gridCol w:w="119"/>
        <w:gridCol w:w="231"/>
        <w:gridCol w:w="809"/>
        <w:gridCol w:w="169"/>
      </w:tblGrid>
      <w:tr>
        <w:trPr/>
        <w:tc>
          <w:tcPr>
            <w:tcW w:w="270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(used in)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(345)</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financing fees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company stock</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cash dividends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canceled or surrendered as payment of tax withholding and other</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employee stock purchase plan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Effect on Cash</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Decrease in Cash and Cash Equivalents: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period</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13,091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14,596</w:t>
            </w: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LIFEVANTAGE CORPORATION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and notes should be read in conjunction with the audited financial statements and notes of LifeVantage Corporation (“LifeVantage” or the “Company”) as of and for the year ended June 30, 2025 included in the annual report on Form 10-K filed with the Securities and Exchange Commission (“SEC”) on September 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1 — Organization and Basis of Presentation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LifeVantage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consultants as well as a financially rewarding commission-based direct sales opportunity to its independent consultants. LifeVantage sells its products in the United States, Mexico, Japan, Australia, Hong Kong, Canada, Thailand, the United Kingdom, the Netherlands, Germany, Taiwan, Austria, Spain, Ireland, Belgium, New Zealand, Singapore and Iceland. We also sell our products in a number of countries to consumers for personal consumption only.</w:t>
      </w:r>
    </w:p>
    <w:p>
      <w:pPr>
        <w:pStyle w:val="TextBody"/>
        <w:bidi w:val="0"/>
        <w:spacing w:lineRule="auto" w:line="288" w:before="160" w:after="160"/>
        <w:jc w:val="left"/>
        <w:rPr/>
      </w:pPr>
      <w:r>
        <w:rPr>
          <w:rFonts w:ascii="Times New Roman;serif" w:hAnsi="Times New Roman;serif"/>
          <w:b w:val="false"/>
          <w:color w:val="000000"/>
          <w:sz w:val="20"/>
        </w:rPr>
        <w:t>The Company engages in the identification, research, development, formulation and sale of advanced nutrigenomic activators, dietary supplements, weight management products, pre- and pro-biotics, skin and hair care products and nootropics. The Company’s line of scientifically validated dietary supplements includes its flagship Protandim</w:t>
      </w:r>
      <w:r>
        <w:rPr>
          <w:rFonts w:ascii="Times New Roman;serif" w:hAnsi="Times New Roman;serif"/>
          <w:b w:val="false"/>
          <w:color w:val="000000"/>
          <w:sz w:val="13"/>
        </w:rPr>
        <w:t xml:space="preserve">® </w:t>
      </w:r>
      <w:r>
        <w:rPr>
          <w:rFonts w:ascii="Times New Roman;serif" w:hAnsi="Times New Roman;serif"/>
          <w:b w:val="false"/>
          <w:color w:val="000000"/>
          <w:sz w:val="20"/>
        </w:rPr>
        <w:t>family of products, its LifeVantage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dietary supplements that include the MindBody GLP-1 System</w:t>
      </w:r>
      <w:r>
        <w:rPr>
          <w:color w:val="00000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Omega+, ProBio, IC Bright</w:t>
      </w:r>
      <w:r>
        <w:rPr>
          <w:rFonts w:ascii="Times New Roman;serif" w:hAnsi="Times New Roman;serif"/>
          <w:b w:val="false"/>
          <w:color w:val="000000"/>
          <w:sz w:val="13"/>
        </w:rPr>
        <w:t>®</w:t>
      </w:r>
      <w:r>
        <w:rPr>
          <w:rFonts w:ascii="Times New Roman;serif" w:hAnsi="Times New Roman;serif"/>
          <w:b w:val="false"/>
          <w:color w:val="000000"/>
          <w:sz w:val="20"/>
        </w:rPr>
        <w:t>, the Rise AM &amp; Reset PM System</w:t>
      </w:r>
      <w:r>
        <w:rPr>
          <w:rFonts w:ascii="Times New Roman;serif" w:hAnsi="Times New Roman;serif"/>
          <w:b w:val="false"/>
          <w:color w:val="000000"/>
          <w:sz w:val="13"/>
        </w:rPr>
        <w:t>®</w:t>
      </w:r>
      <w:r>
        <w:rPr>
          <w:rFonts w:ascii="Times New Roman;serif" w:hAnsi="Times New Roman;serif"/>
          <w:b w:val="false"/>
          <w:color w:val="000000"/>
          <w:sz w:val="20"/>
        </w:rPr>
        <w:t>, D3+, and Daily Wellness, and PhysIQ</w:t>
      </w:r>
      <w:r>
        <w:rPr>
          <w:color w:val="000000"/>
        </w:rPr>
        <w:t xml:space="preserve">™ </w:t>
      </w:r>
      <w:r>
        <w:rPr>
          <w:rFonts w:ascii="Times New Roman;serif" w:hAnsi="Times New Roman;serif"/>
          <w:b w:val="false"/>
          <w:color w:val="000000"/>
          <w:sz w:val="20"/>
        </w:rPr>
        <w:t>Fat Burn and Prebiotic dietary supplements. TrueScience</w:t>
      </w:r>
      <w:r>
        <w:rPr>
          <w:rFonts w:ascii="Times New Roman;serif" w:hAnsi="Times New Roman;serif"/>
          <w:b w:val="false"/>
          <w:color w:val="000000"/>
          <w:sz w:val="13"/>
        </w:rPr>
        <w:t xml:space="preserve">® </w:t>
      </w:r>
      <w:r>
        <w:rPr>
          <w:rFonts w:ascii="Times New Roman;serif" w:hAnsi="Times New Roman;serif"/>
          <w:b w:val="false"/>
          <w:color w:val="000000"/>
          <w:sz w:val="20"/>
        </w:rPr>
        <w:t>is the Company’s line of skin and hair care products and Liquid Collagen. The Company also markets and sells Petandim</w:t>
      </w:r>
      <w:r>
        <w:rPr>
          <w:rFonts w:ascii="Times New Roman;serif" w:hAnsi="Times New Roman;serif"/>
          <w:b w:val="false"/>
          <w:color w:val="000000"/>
          <w:sz w:val="13"/>
        </w:rPr>
        <w:t>®</w:t>
      </w:r>
      <w:r>
        <w:rPr>
          <w:rFonts w:ascii="Times New Roman;serif" w:hAnsi="Times New Roman;serif"/>
          <w:b w:val="false"/>
          <w:color w:val="000000"/>
          <w:sz w:val="20"/>
        </w:rPr>
        <w:t>, its companion pet supplement formulated to combat oxidative stress in dogs; and AXIO</w:t>
      </w:r>
      <w:r>
        <w:rPr>
          <w:rFonts w:ascii="Times New Roman;serif" w:hAnsi="Times New Roman;serif"/>
          <w:b w:val="false"/>
          <w:color w:val="000000"/>
          <w:sz w:val="13"/>
        </w:rPr>
        <w:t>®</w:t>
      </w:r>
      <w:r>
        <w:rPr>
          <w:rFonts w:ascii="Times New Roman;serif" w:hAnsi="Times New Roman;serif"/>
          <w:b w:val="false"/>
          <w:color w:val="000000"/>
          <w:sz w:val="20"/>
        </w:rPr>
        <w:t>, its nootropic energy drink mixes.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2025, and the results of operations for the three months ended September 30, 2025 and 2024, and the cash flows for the three months ended September 30, 2025 and 2024. Interim results are not necessarily indicative of results for a full year or for any future period.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and notes included herein are presented as required by Form 10-Q, and do not contain certain information included in the Company’s audited financial statements and notes for the fiscal year ended June 30, 2025, pursuant to the rules and regulations of the SEC. For further information, refer to the financial statements and notes thereto as of and for the year ended June 30, 2025, and included in the annual report on Form 10-K on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Consolidation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the Company and its wholly-owned subsidiaries. All significant intercompany accounts and transactions are eliminated in consolidation.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Foreign Currency Translation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erif" w:hAnsi="Times New Roman;serif"/>
          <w:b w:val="false"/>
          <w:color w:val="000000"/>
          <w:sz w:val="20"/>
        </w:rPr>
        <w:t>as a separate component of stockholders’ equity in the condensed consolidated balance sheets and as a component of com</w:t>
      </w:r>
      <w:r>
        <w:rPr>
          <w:rFonts w:ascii="Times New Roman;serif" w:hAnsi="Times New Roman;serif"/>
          <w:b w:val="false"/>
          <w:color w:val="000000"/>
          <w:sz w:val="20"/>
          <w:shd w:fill="FFFFFF" w:val="clear"/>
        </w:rPr>
        <w:t xml:space="preserve">prehensive income. Transaction gains and losses are included in other expense, net in the condensed consolidated statements of operations and comprehensive income. For the three months ended September 30, 2025 and 2024, net foreign currency losses of approximately $0.1 million and $40,000, respectively, are recorded in other expense, net.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considers only its monetary liquid assets with original maturities of three months or less as cash equivalents.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160" w:after="160"/>
        <w:ind w:left="0" w:right="0" w:firstLine="450"/>
        <w:jc w:val="left"/>
        <w:rPr/>
      </w:pPr>
      <w:r>
        <w:rPr>
          <w:rFonts w:ascii="Times New Roman;serif" w:hAnsi="Times New Roman;serif"/>
          <w:b w:val="false"/>
          <w:color w:val="000000"/>
          <w:sz w:val="20"/>
        </w:rPr>
        <w:t xml:space="preserve">Accounting guidance for financial instruments requires disclosure of significant concentrations of credit risk regardless of the degree of </w:t>
      </w:r>
      <w:r>
        <w:rPr>
          <w:rFonts w:ascii="Times New Roman;serif" w:hAnsi="Times New Roman;serif"/>
          <w:b w:val="false"/>
          <w:color w:val="000000"/>
          <w:sz w:val="20"/>
          <w:shd w:fill="FFFFFF" w:val="clear"/>
        </w:rPr>
        <w:t xml:space="preserve">such risk. Financial instruments with significant credit risk include cash and investments. At September 30, 2025, the Company had $10.1 million in cash accounts at one financial institution and $3.0 million in </w:t>
      </w:r>
      <w:r>
        <w:rPr>
          <w:rFonts w:ascii="Times New Roman;serif" w:hAnsi="Times New Roman;serif"/>
          <w:b w:val="false"/>
          <w:color w:val="000000"/>
          <w:sz w:val="20"/>
        </w:rPr>
        <w:t xml:space="preserve">accounts at other financial institutions. At June 30, 2025, </w:t>
      </w:r>
      <w:r>
        <w:rPr>
          <w:rFonts w:ascii="Times New Roman;serif" w:hAnsi="Times New Roman;serif"/>
          <w:b w:val="false"/>
          <w:color w:val="000000"/>
          <w:sz w:val="20"/>
          <w:shd w:fill="FFFFFF" w:val="clear"/>
        </w:rPr>
        <w:t xml:space="preserve">the Company had $17.0 million in cash accounts at one financial institution and $3.2 million in </w:t>
      </w:r>
      <w:r>
        <w:rPr>
          <w:rFonts w:ascii="Times New Roman;serif" w:hAnsi="Times New Roman;serif"/>
          <w:b w:val="false"/>
          <w:color w:val="000000"/>
          <w:sz w:val="20"/>
        </w:rPr>
        <w:t>accounts at other financial institutions. As of September 30, 2025 and June 30, 2025, and during the periods then ended, the Company’s cash balances exceeded federally insured limits.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accounts receivable as of September 30, 2025 and June 30, 2025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2025 and June 30, 2025 is not necessary. No bad debt expense was recorded during the three months ended September 30, 2025 and 2024.</w:t>
      </w:r>
    </w:p>
    <w:p>
      <w:pPr>
        <w:pStyle w:val="TextBody"/>
        <w:bidi w:val="0"/>
        <w:spacing w:lineRule="auto" w:line="288" w:before="160" w:after="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Inventory</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June 30, 2025, inventory consisted of (in thousands):</w:t>
      </w:r>
    </w:p>
    <w:tbl>
      <w:tblPr>
        <w:tblW w:w="6277" w:type="dxa"/>
        <w:jc w:val="left"/>
        <w:tblInd w:w="0" w:type="dxa"/>
        <w:tblLayout w:type="fixed"/>
        <w:tblCellMar>
          <w:top w:w="28" w:type="dxa"/>
          <w:left w:w="28" w:type="dxa"/>
          <w:bottom w:w="28" w:type="dxa"/>
          <w:right w:w="28" w:type="dxa"/>
        </w:tblCellMar>
      </w:tblPr>
      <w:tblGrid>
        <w:gridCol w:w="505"/>
        <w:gridCol w:w="444"/>
        <w:gridCol w:w="446"/>
        <w:gridCol w:w="211"/>
        <w:gridCol w:w="721"/>
        <w:gridCol w:w="109"/>
        <w:gridCol w:w="109"/>
        <w:gridCol w:w="109"/>
        <w:gridCol w:w="109"/>
        <w:gridCol w:w="307"/>
        <w:gridCol w:w="309"/>
        <w:gridCol w:w="271"/>
        <w:gridCol w:w="109"/>
        <w:gridCol w:w="109"/>
        <w:gridCol w:w="109"/>
        <w:gridCol w:w="211"/>
        <w:gridCol w:w="721"/>
        <w:gridCol w:w="109"/>
        <w:gridCol w:w="109"/>
        <w:gridCol w:w="109"/>
        <w:gridCol w:w="109"/>
        <w:gridCol w:w="307"/>
        <w:gridCol w:w="309"/>
        <w:gridCol w:w="316"/>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450"/>
        <w:jc w:val="left"/>
        <w:rPr/>
      </w:pPr>
      <w:r>
        <w:rPr>
          <w:rFonts w:ascii="Times New Roman;serif" w:hAnsi="Times New Roman;serif"/>
          <w:b w:val="false"/>
          <w:color w:val="000000"/>
          <w:sz w:val="20"/>
        </w:rPr>
        <w:t xml:space="preserve">Inventories are carried at the lower of cost or net realizable value, using the first-in, first-out method, which includes a reduction in inventory values </w:t>
      </w:r>
      <w:r>
        <w:rPr>
          <w:rFonts w:ascii="Times New Roman;serif" w:hAnsi="Times New Roman;serif"/>
          <w:b w:val="false"/>
          <w:color w:val="000000"/>
          <w:sz w:val="20"/>
          <w:shd w:fill="FFFFFF" w:val="clear"/>
        </w:rPr>
        <w:t xml:space="preserve">of $0.5 million </w:t>
      </w:r>
      <w:r>
        <w:rPr>
          <w:rFonts w:ascii="Times New Roman;serif" w:hAnsi="Times New Roman;serif"/>
          <w:b w:val="false"/>
          <w:color w:val="000000"/>
          <w:sz w:val="20"/>
        </w:rPr>
        <w:t>and $0.5 million at September 30, 2025 and June 30, 2025, respectively, related to obsolete and slow-moving inventory.</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pStyle w:val="TextBody"/>
        <w:bidi w:val="0"/>
        <w:spacing w:lineRule="auto" w:line="288" w:before="160" w:after="160"/>
        <w:ind w:left="0" w:right="0" w:hanging="270"/>
        <w:jc w:val="left"/>
        <w:rPr/>
      </w:pPr>
      <w:r>
        <w:rPr>
          <w:color w:val="000000"/>
        </w:rPr>
        <w:t>•</w:t>
      </w:r>
      <w:r>
        <w:rPr>
          <w:rFonts w:ascii="Times New Roman;serif" w:hAnsi="Times New Roman;serif"/>
          <w:b w:val="false"/>
          <w:color w:val="000000"/>
          <w:sz w:val="20"/>
        </w:rPr>
        <w:t xml:space="preserve">Level 1—Quoted prices for identical instruments in active markets; </w:t>
      </w:r>
    </w:p>
    <w:p>
      <w:pPr>
        <w:pStyle w:val="TextBody"/>
        <w:bidi w:val="0"/>
        <w:spacing w:lineRule="auto" w:line="288" w:before="160" w:after="160"/>
        <w:ind w:left="0" w:right="0" w:hanging="270"/>
        <w:jc w:val="left"/>
        <w:rPr/>
      </w:pPr>
      <w:r>
        <w:rPr>
          <w:color w:val="000000"/>
        </w:rPr>
        <w:t>•</w:t>
      </w:r>
      <w:r>
        <w:rPr>
          <w:rFonts w:ascii="Times New Roman;serif" w:hAnsi="Times New Roman;serif"/>
          <w:b w:val="false"/>
          <w:color w:val="000000"/>
          <w:sz w:val="20"/>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pStyle w:val="TextBody"/>
        <w:bidi w:val="0"/>
        <w:spacing w:lineRule="auto" w:line="288" w:before="160" w:after="160"/>
        <w:ind w:left="0" w:right="0" w:hanging="270"/>
        <w:jc w:val="left"/>
        <w:rPr/>
      </w:pPr>
      <w:r>
        <w:rPr>
          <w:color w:val="000000"/>
        </w:rPr>
        <w:t>•</w:t>
      </w:r>
      <w:r>
        <w:rPr>
          <w:rFonts w:ascii="Times New Roman;serif" w:hAnsi="Times New Roman;serif"/>
          <w:b w:val="false"/>
          <w:color w:val="000000"/>
          <w:sz w:val="20"/>
        </w:rPr>
        <w:t>Level 3—Valuations derived from valuation techniques in which one or more significant inputs or significant value drivers are unobservable.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instruments, consisting primarily of cash and cash equivalents, accounts receivable, and accounts payable, approximate fair value due to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pStyle w:val="TextBody"/>
        <w:bidi w:val="0"/>
        <w:spacing w:lineRule="auto" w:line="288" w:before="160" w:after="160"/>
        <w:jc w:val="left"/>
        <w:rPr/>
      </w:pPr>
      <w:r>
        <w:rPr>
          <w:rFonts w:ascii="Times New Roman;serif" w:hAnsi="Times New Roman;serif"/>
          <w:b w:val="false"/>
          <w:color w:val="000000"/>
          <w:sz w:val="20"/>
        </w:rPr>
        <w:t>The Company generates the majority of its revenue through product sales to customers. These products include the Protandim</w:t>
      </w:r>
      <w:r>
        <w:rPr>
          <w:rFonts w:ascii="Times New Roman;serif" w:hAnsi="Times New Roman;serif"/>
          <w:b w:val="false"/>
          <w:color w:val="000000"/>
          <w:sz w:val="13"/>
        </w:rPr>
        <w:t xml:space="preserve">® </w:t>
      </w:r>
      <w:r>
        <w:rPr>
          <w:rFonts w:ascii="Times New Roman;serif" w:hAnsi="Times New Roman;serif"/>
          <w:b w:val="false"/>
          <w:color w:val="000000"/>
          <w:sz w:val="20"/>
        </w:rPr>
        <w:t>line of dietary supplements, the LifeVantage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dietary supplements that include the MindBody GLP-1 System</w:t>
      </w:r>
      <w:r>
        <w:rPr>
          <w:color w:val="000000"/>
        </w:rPr>
        <w:t>™</w:t>
      </w:r>
      <w:r>
        <w:rPr>
          <w:rFonts w:ascii="Times New Roman;serif" w:hAnsi="Times New Roman;serif"/>
          <w:b w:val="false"/>
          <w:color w:val="000000"/>
          <w:sz w:val="20"/>
        </w:rPr>
        <w:t>, Omega+, ProBio, IC Bright</w:t>
      </w:r>
      <w:r>
        <w:rPr>
          <w:rFonts w:ascii="Times New Roman;serif" w:hAnsi="Times New Roman;serif"/>
          <w:b w:val="false"/>
          <w:color w:val="000000"/>
          <w:sz w:val="13"/>
        </w:rPr>
        <w:t>®</w:t>
      </w:r>
      <w:r>
        <w:rPr>
          <w:rFonts w:ascii="Times New Roman;serif" w:hAnsi="Times New Roman;serif"/>
          <w:b w:val="false"/>
          <w:color w:val="000000"/>
          <w:sz w:val="20"/>
        </w:rPr>
        <w:t>, the Rise AM &amp; Reset PM System</w:t>
      </w:r>
      <w:r>
        <w:rPr>
          <w:rFonts w:ascii="Times New Roman;serif" w:hAnsi="Times New Roman;serif"/>
          <w:b w:val="false"/>
          <w:color w:val="000000"/>
          <w:sz w:val="13"/>
        </w:rPr>
        <w:t>®</w:t>
      </w:r>
      <w:r>
        <w:rPr>
          <w:rFonts w:ascii="Times New Roman;serif" w:hAnsi="Times New Roman;serif"/>
          <w:b w:val="false"/>
          <w:color w:val="000000"/>
          <w:sz w:val="20"/>
        </w:rPr>
        <w:t>, D3+, and Daily Wellness, PhysIQ</w:t>
      </w:r>
      <w:r>
        <w:rPr>
          <w:color w:val="000000"/>
        </w:rPr>
        <w:t xml:space="preserve">™ </w:t>
      </w:r>
      <w:r>
        <w:rPr>
          <w:rFonts w:ascii="Times New Roman;serif" w:hAnsi="Times New Roman;serif"/>
          <w:b w:val="false"/>
          <w:color w:val="000000"/>
          <w:sz w:val="20"/>
        </w:rPr>
        <w:t>Fat Burn and Prebiotic dietary supplements,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skin and hair care products and Liquid Collagen, Petandim</w:t>
      </w:r>
      <w:r>
        <w:rPr>
          <w:rFonts w:ascii="Times New Roman;serif" w:hAnsi="Times New Roman;serif"/>
          <w:b w:val="false"/>
          <w:color w:val="000000"/>
          <w:sz w:val="13"/>
        </w:rPr>
        <w:t>®</w:t>
      </w:r>
      <w:r>
        <w:rPr>
          <w:rFonts w:ascii="Times New Roman;serif" w:hAnsi="Times New Roman;serif"/>
          <w:b w:val="false"/>
          <w:color w:val="000000"/>
          <w:sz w:val="20"/>
        </w:rPr>
        <w:t>, its companion pet supplement formulated to combat oxidative stress in dogs, and AXIO</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nootropic energy drink mixes.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pStyle w:val="TextBody"/>
        <w:bidi w:val="0"/>
        <w:spacing w:lineRule="auto" w:line="288" w:before="160" w:after="160"/>
        <w:ind w:left="0" w:right="0" w:firstLine="450"/>
        <w:jc w:val="left"/>
        <w:rPr/>
      </w:pPr>
      <w:r>
        <w:rPr>
          <w:rFonts w:ascii="Times New Roman;serif" w:hAnsi="Times New Roman;serif"/>
          <w:b w:val="false"/>
          <w:color w:val="000000"/>
          <w:sz w:val="20"/>
        </w:rPr>
        <w:t>Contract liabilities, recorded as deferred revenue, include loyalty program credit deferrals with certain customers which are accounted for as a reduction in the transaction price and are generally recognized as credits which are redeemed for additional products at a later date. The Company also records deferred revenue when cash payments are received or due in advance of performance, including amounts that are refundable. In addition, the Company pre-sells tickets to its events. When cash p</w:t>
      </w:r>
      <w:r>
        <w:rPr>
          <w:rFonts w:ascii="Times New Roman;serif" w:hAnsi="Times New Roman;serif"/>
          <w:b w:val="false"/>
          <w:color w:val="000000"/>
          <w:sz w:val="20"/>
          <w:shd w:fill="FFFFFF" w:val="clear"/>
        </w:rPr>
        <w:t>ayments are received in advance of events, the cash received is recorded to deferred revenue until the event is held, at which time the Company has performed its obligations under the contract and the revenue is recognized.</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 xml:space="preserve">Deferred revenue is included in accrued expenses in the consolidated balance sheets. The balance of deferred revenue related to contract liabilities was $0.7 million and $0.7 million as of September 30, 2025 and June 30, 2025, respectively. The contract liabilities impact to revenue for the three months ended September 30, 2025 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was an increase of $0.1 million and a decrease of $0.2 million, respectively.</w:t>
      </w:r>
    </w:p>
    <w:p>
      <w:pPr>
        <w:pStyle w:val="TextBody"/>
        <w:bidi w:val="0"/>
        <w:spacing w:lineRule="auto" w:line="288" w:before="160" w:after="160"/>
        <w:ind w:left="0" w:right="0" w:firstLine="450"/>
        <w:jc w:val="left"/>
        <w:rPr/>
      </w:pPr>
      <w:r>
        <w:rPr>
          <w:rFonts w:ascii="Times New Roman;serif" w:hAnsi="Times New Roman;serif"/>
          <w:b w:val="false"/>
          <w:color w:val="000000"/>
          <w:sz w:val="20"/>
        </w:rPr>
        <w:t xml:space="preserve">Estimated returns are recorded when a product is shipped. Subject to some exceptions based on local regulations, the Company’s return policy is to provide a full refund for a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September 30, 2025 and June 30, 2025, the returns liability reserve, net was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and $0.2 million, respectively.</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Shipping and Handling</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Shipping and handling costs associated with inbound freight and freight out to customers and independent consultants are included in cost of sales. Shipping and handling fees charged to customers and independent consultants are included in revenue.</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Research and Development Costs</w:t>
      </w:r>
    </w:p>
    <w:p>
      <w:pPr>
        <w:pStyle w:val="TextBody"/>
        <w:bidi w:val="0"/>
        <w:spacing w:lineRule="auto" w:line="288" w:before="160" w:after="160"/>
        <w:ind w:left="0" w:right="0" w:firstLine="450"/>
        <w:jc w:val="left"/>
        <w:rPr/>
      </w:pPr>
      <w:r>
        <w:rPr>
          <w:rFonts w:ascii="Times New Roman;serif" w:hAnsi="Times New Roman;serif"/>
          <w:b w:val="false"/>
          <w:color w:val="000000"/>
          <w:sz w:val="20"/>
        </w:rPr>
        <w:t>The Company expenses all costs related to research and development activities, as incurred. Research and development expens</w:t>
      </w:r>
      <w:r>
        <w:rPr>
          <w:rFonts w:ascii="Times New Roman;serif" w:hAnsi="Times New Roman;serif"/>
          <w:b w:val="false"/>
          <w:color w:val="000000"/>
          <w:sz w:val="20"/>
          <w:shd w:fill="FFFFFF" w:val="clear"/>
        </w:rPr>
        <w:t xml:space="preserve">es for the three months ended September 30, 2025 and 2024 were $0.3 million and $0.3 million, respectively.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erif" w:hAnsi="Times New Roman;serif"/>
          <w:b w:val="false"/>
          <w:color w:val="000000"/>
          <w:sz w:val="20"/>
        </w:rPr>
        <w:t>lease payments is recognized on a straight-line basis over the lease term. Leases with a term of 12 months or less are not recorded on the balance sheet. The Company’s lease agreements do not contain any residual value guarantees.</w:t>
      </w:r>
      <w:r>
        <w:rPr>
          <w:color w:val="000000"/>
          <w:shd w:fill="FFFFFF" w:val="clear"/>
        </w:rPr>
        <w:t xml:space="preserve">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Black-Scholes option pricing model is used to estimate the fair value of stock options and options under the Company’s 2019 Employee Stock Purchase Plan (as amended, the “2019 ESPP”).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fair value of restricted stock grants, including performance restricted stock units that include non-market based performance conditions,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60" w:after="160"/>
        <w:ind w:left="0" w:right="0" w:firstLine="450"/>
        <w:jc w:val="left"/>
        <w:rPr/>
      </w:pPr>
      <w:r>
        <w:rPr>
          <w:rFonts w:ascii="Times New Roman;serif" w:hAnsi="Times New Roman;serif"/>
          <w:b w:val="false"/>
          <w:color w:val="000000"/>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w:t>
      </w:r>
      <w:r>
        <w:rPr>
          <w:rFonts w:ascii="Times New Roman;serif" w:hAnsi="Times New Roman;serif"/>
          <w:b w:val="false"/>
          <w:color w:val="000000"/>
          <w:sz w:val="20"/>
          <w:shd w:fill="FFFFFF" w:val="clear"/>
        </w:rPr>
        <w:t>ained upon examination by taxing authorities based on the technical merits of the issue. The amount recognized would be the largest liability or benefit that the Company believes has greater than a 50% likelihood of being realized upon settlement.</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September 30, 2025</w:t>
      </w:r>
      <w:r>
        <w:rPr>
          <w:color w:val="000000"/>
          <w:shd w:fill="FFFFFF" w:val="clear"/>
        </w:rPr>
        <w:t xml:space="preserve"> </w:t>
      </w:r>
      <w:r>
        <w:rPr>
          <w:rFonts w:ascii="Times New Roman;serif" w:hAnsi="Times New Roman;serif"/>
          <w:b w:val="false"/>
          <w:color w:val="000000"/>
          <w:sz w:val="20"/>
          <w:shd w:fill="FFFFFF" w:val="clear"/>
        </w:rPr>
        <w:t>and 2024, the Company recognized income tax expense of $0.1 million and $0.8 million, respectively. Tax expenses are reflective of the Company’s current estimated federal, state and foreign effective tax rate. Realization of deferred tax assets is dependent upon future earnings in specific tax jurisdictions, the timing and amount of which are uncertain.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Income Per Share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pStyle w:val="TextBody"/>
        <w:bidi w:val="0"/>
        <w:spacing w:lineRule="auto" w:line="288" w:before="0" w:after="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the three months ended September 30, 2025 and 2024, the effects of approximately 0.2 million and 0.3 million common shares, respectively, issuable upon exercise of options and non-vested shares of restricted stock are not included in computations as their effect was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per share and the weighted-average common shares outstanding for purposes of computing basic and diluted net income per share (in thousands, except per share amounts):</w:t>
      </w:r>
    </w:p>
    <w:tbl>
      <w:tblPr>
        <w:tblW w:w="7693" w:type="dxa"/>
        <w:jc w:val="left"/>
        <w:tblInd w:w="0" w:type="dxa"/>
        <w:tblLayout w:type="fixed"/>
        <w:tblCellMar>
          <w:top w:w="28" w:type="dxa"/>
          <w:left w:w="28" w:type="dxa"/>
          <w:bottom w:w="28" w:type="dxa"/>
          <w:right w:w="28" w:type="dxa"/>
        </w:tblCellMar>
      </w:tblPr>
      <w:tblGrid>
        <w:gridCol w:w="1633"/>
        <w:gridCol w:w="1439"/>
        <w:gridCol w:w="1457"/>
        <w:gridCol w:w="257"/>
        <w:gridCol w:w="752"/>
        <w:gridCol w:w="133"/>
        <w:gridCol w:w="133"/>
        <w:gridCol w:w="133"/>
        <w:gridCol w:w="133"/>
        <w:gridCol w:w="257"/>
        <w:gridCol w:w="752"/>
        <w:gridCol w:w="133"/>
        <w:gridCol w:w="109"/>
        <w:gridCol w:w="109"/>
        <w:gridCol w:w="109"/>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and options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2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(“ASU 2023-09”).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July 1, 2025, with early adoption permitted. The Company is currently evaluating the potential effect that the updated standard will have on its financial statement disclosures.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The guidance requires disclosure, in the notes to financial statements, of specific information about certain costs and expenses at each interim and annual reporting period. ASU 2024-03 is effective for the Company’s annual periods beginning July 1, 2027, with early adoption permitted. The Company is currently evaluating the potential effect that the updated standard will have on its financial statement disclosures.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 Internal-Use Software (Subtopic 350-40): Targeted Improvements to the Accounting for Internal-Use Software. (“ASU 2025-06”). The amendments in this ASU are intended to improve the operability of the guidance by removing all references to software development project stages so that the guidance is neutral to different software development methods, including methods that entities may use to develop software in the future. Therefore, the amendments require that an entity capitalize software costs when both: management has authorized and committed to funding the software project; and it is probable that the project will be completed and the software will be used to perform the function intended. The Company has elected to early adopt ASU 2025-06 for the current fiscal year and will transition using the prospective transition approach.</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recently issued accounting pronouncements did not or are not believed by management to have a material impact on the Company’s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 Leases</w:t>
      </w:r>
    </w:p>
    <w:p>
      <w:pPr>
        <w:pStyle w:val="TextBody"/>
        <w:bidi w:val="0"/>
        <w:spacing w:lineRule="auto" w:line="288" w:before="160" w:after="160"/>
        <w:ind w:left="0" w:right="0" w:firstLine="450"/>
        <w:jc w:val="left"/>
        <w:rPr/>
      </w:pPr>
      <w:r>
        <w:rPr>
          <w:rFonts w:ascii="Times New Roman;serif" w:hAnsi="Times New Roman;serif"/>
          <w:b w:val="false"/>
          <w:color w:val="000000"/>
          <w:sz w:val="20"/>
        </w:rPr>
        <w:t>The Company has operating leases for current corporate offices and certain equipment. These leases have remaining terms of appro</w:t>
      </w:r>
      <w:r>
        <w:rPr>
          <w:rFonts w:ascii="Times New Roman;serif" w:hAnsi="Times New Roman;serif"/>
          <w:b w:val="false"/>
          <w:color w:val="000000"/>
          <w:sz w:val="20"/>
          <w:shd w:fill="FFFFFF" w:val="clear"/>
        </w:rPr>
        <w:t xml:space="preserve">ximately one to six years. </w:t>
      </w:r>
      <w:r>
        <w:rPr>
          <w:rFonts w:ascii="Times New Roman;serif" w:hAnsi="Times New Roman;serif"/>
          <w:b w:val="false"/>
          <w:color w:val="000000"/>
          <w:sz w:val="20"/>
        </w:rPr>
        <w:t>As of September 30, 2025, the weighted average remaining lease term and weighted average discount rate for operating leases was 5.84 years and 3.24%, respectively. As of June 30, 2025, the weighted average remaining lease term and weighted average discount rate for operating leases was 5.91 years and 3.17%, respectively.</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operating lease expense was $0.5 million and $0.5 million, respectively. The components of lease expense for the three months ended September 30, 2025 and 2024, were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5250" w:type="dxa"/>
        <w:jc w:val="left"/>
        <w:tblInd w:w="0" w:type="dxa"/>
        <w:tblLayout w:type="fixed"/>
        <w:tblCellMar>
          <w:top w:w="28" w:type="dxa"/>
          <w:left w:w="28" w:type="dxa"/>
          <w:bottom w:w="28" w:type="dxa"/>
          <w:right w:w="28" w:type="dxa"/>
        </w:tblCellMar>
      </w:tblPr>
      <w:tblGrid>
        <w:gridCol w:w="755"/>
        <w:gridCol w:w="663"/>
        <w:gridCol w:w="667"/>
        <w:gridCol w:w="298"/>
        <w:gridCol w:w="659"/>
        <w:gridCol w:w="154"/>
        <w:gridCol w:w="154"/>
        <w:gridCol w:w="154"/>
        <w:gridCol w:w="154"/>
        <w:gridCol w:w="298"/>
        <w:gridCol w:w="659"/>
        <w:gridCol w:w="154"/>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was as follows (in thousands):</w:t>
      </w:r>
    </w:p>
    <w:tbl>
      <w:tblPr>
        <w:tblW w:w="7019" w:type="dxa"/>
        <w:jc w:val="left"/>
        <w:tblInd w:w="0" w:type="dxa"/>
        <w:tblLayout w:type="fixed"/>
        <w:tblCellMar>
          <w:top w:w="28" w:type="dxa"/>
          <w:left w:w="28" w:type="dxa"/>
          <w:bottom w:w="28" w:type="dxa"/>
          <w:right w:w="28" w:type="dxa"/>
        </w:tblCellMar>
      </w:tblPr>
      <w:tblGrid>
        <w:gridCol w:w="1395"/>
        <w:gridCol w:w="1225"/>
        <w:gridCol w:w="1234"/>
        <w:gridCol w:w="298"/>
        <w:gridCol w:w="659"/>
        <w:gridCol w:w="154"/>
        <w:gridCol w:w="154"/>
        <w:gridCol w:w="154"/>
        <w:gridCol w:w="154"/>
        <w:gridCol w:w="298"/>
        <w:gridCol w:w="659"/>
        <w:gridCol w:w="154"/>
        <w:gridCol w:w="109"/>
        <w:gridCol w:w="109"/>
        <w:gridCol w:w="109"/>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Maturity of lease liabilities at September 30, 2025 are as follows (in thousands):</w:t>
      </w:r>
    </w:p>
    <w:tbl>
      <w:tblPr>
        <w:tblW w:w="5792" w:type="dxa"/>
        <w:jc w:val="left"/>
        <w:tblInd w:w="0" w:type="dxa"/>
        <w:tblLayout w:type="fixed"/>
        <w:tblCellMar>
          <w:top w:w="28" w:type="dxa"/>
          <w:left w:w="28" w:type="dxa"/>
          <w:bottom w:w="28" w:type="dxa"/>
          <w:right w:w="28" w:type="dxa"/>
        </w:tblCellMar>
      </w:tblPr>
      <w:tblGrid>
        <w:gridCol w:w="1586"/>
        <w:gridCol w:w="1392"/>
        <w:gridCol w:w="1401"/>
        <w:gridCol w:w="109"/>
        <w:gridCol w:w="109"/>
        <w:gridCol w:w="109"/>
        <w:gridCol w:w="211"/>
        <w:gridCol w:w="721"/>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 ending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4 — Long-Term Debt</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On April 12, 2024, the Company entered into a Loan Agreement (the “Loan Agreement”), as amended, with Bank of America, N.A., as Lender (the “Lender”). In connection with the Loan Agreement and on the same date, the Company,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w:t>
      </w:r>
      <w:r>
        <w:rPr>
          <w:color w:val="000000"/>
        </w:rPr>
        <w:t xml:space="preserve"> </w:t>
      </w:r>
      <w:r>
        <w:rPr>
          <w:rFonts w:ascii="Times New Roman;serif" w:hAnsi="Times New Roman;serif"/>
          <w:b w:val="false"/>
          <w:color w:val="000000"/>
          <w:sz w:val="20"/>
        </w:rPr>
        <w:t>$5.0 million</w:t>
      </w:r>
      <w:r>
        <w:rPr>
          <w:color w:val="000000"/>
          <w:shd w:fill="FFFFFF" w:val="clear"/>
        </w:rPr>
        <w:t xml:space="preserve"> </w:t>
      </w:r>
      <w:r>
        <w:rPr>
          <w:rFonts w:ascii="Times New Roman;serif" w:hAnsi="Times New Roman;serif"/>
          <w:b w:val="false"/>
          <w:color w:val="000000"/>
          <w:sz w:val="20"/>
          <w:shd w:fill="FFFFFF" w:val="clear"/>
        </w:rPr>
        <w:t>(the “Line of Credit” and collectively with the Loan Agreement, Continuing and Unconditional Guaranty and the Security and Pledge Agreement the “2024 Credit Facility”).</w:t>
      </w:r>
    </w:p>
    <w:p>
      <w:pPr>
        <w:pStyle w:val="TextBody"/>
        <w:bidi w:val="0"/>
        <w:spacing w:lineRule="auto" w:line="268" w:before="0" w:after="0"/>
        <w:ind w:left="0" w:right="0" w:firstLine="450"/>
        <w:jc w:val="left"/>
        <w:rPr/>
      </w:pPr>
      <w:r>
        <w:rPr>
          <w:rFonts w:ascii="Times New Roman;serif" w:hAnsi="Times New Roman;serif"/>
          <w:b w:val="false"/>
          <w:color w:val="000000"/>
          <w:sz w:val="20"/>
          <w:shd w:fill="FFFFFF" w:val="clear"/>
        </w:rPr>
        <w:t xml:space="preserve">On September 22, 2025, the Company </w:t>
      </w:r>
      <w:r>
        <w:rPr>
          <w:rFonts w:ascii="Times New Roman;serif" w:hAnsi="Times New Roman;serif"/>
          <w:b w:val="false"/>
          <w:color w:val="000000"/>
          <w:sz w:val="20"/>
        </w:rPr>
        <w:t>entered into an amendment to the Loan Agreement, which amended the 2024 Credit Facility (“Amendment No. 1”) to allow the proceeds of the credit to be also used for permitted acquisitions. On September 22, 2025, the Company also entered into a collateral assignment of, and grant of security interest in, the LoveBiome assets purchased by the Company.</w:t>
      </w:r>
    </w:p>
    <w:p>
      <w:pPr>
        <w:pStyle w:val="TextBody"/>
        <w:bidi w:val="0"/>
        <w:spacing w:lineRule="auto" w:line="288" w:before="160" w:after="160"/>
        <w:ind w:left="0" w:right="0" w:firstLine="450"/>
        <w:jc w:val="left"/>
        <w:rPr/>
      </w:pPr>
      <w:r>
        <w:rPr>
          <w:rFonts w:ascii="Times New Roman;serif" w:hAnsi="Times New Roman;serif"/>
          <w:b w:val="false"/>
          <w:color w:val="000000"/>
          <w:sz w:val="20"/>
        </w:rPr>
        <w:t xml:space="preserve">In the event the Company borrows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w:t>
      </w:r>
      <w:r>
        <w:rPr>
          <w:rFonts w:ascii="Times New Roman;serif" w:hAnsi="Times New Roman;serif"/>
          <w:b w:val="false"/>
          <w:color w:val="000000"/>
          <w:sz w:val="20"/>
          <w:shd w:fill="FFFFFF" w:val="clear"/>
        </w:rPr>
        <w:t>0.00%</w:t>
      </w:r>
      <w:r>
        <w:rPr>
          <w:rFonts w:ascii="Times New Roman;serif" w:hAnsi="Times New Roman;serif"/>
          <w:b w:val="false"/>
          <w:color w:val="000000"/>
          <w:sz w:val="20"/>
        </w:rPr>
        <w:t>, plus (ii) 2.00%. Amounts under the Line of Credit may be repaid and re-borrowed from time to time until the Expiration Date. As of September 30, 2025, the effective interest rate is 6.24%.</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obligations under the Loan Agreement are secured by a security interest in substantially all of the assets of the Company and the Guarantor, and by a pledge of the membership interests of the Company’s subsidiaries,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Loan Agreement contains customary covenants, both affirmative and negative, that, among other things, restrict the Company’s ability to deal with the Company’s assets outside of the ordinary course, incur additional indebtedness, grant liens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the Company’s assets, make certain investments, purchase or otherwise acquire all or substantially all the assets or equity interests of other companies, and enter into consolidations, mergers or other combinations. The Loan Agreement requires that the Company maintain specified financial ratios and satisfy certain financial condition tests.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Loan Agreement contains certain customary events of default, including, among other things, failure of the Company to make required payments under the Loan Agreement, certain breaches of representations made by the Company or the Guarantor, insolvency or bankruptcy of the Company or the Guarantor, failure to have an enforceable first lien or security interest in any property given as security for the Loan Agreement, or failure of the Company to comply with covenants set forth in the Loan Agreement. If an event of default occurs under the Loan Agreement, the obligation of the Lender to make any additional credit available to the Company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was in compliance with its financial covenants under the 2024 Credit Facility. As of September 30, 2025, there was no balance outstanding on the 2024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5 — Stockholders’ Equity</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September 30, 2025 and 2024</w:t>
      </w:r>
      <w:r>
        <w:rPr>
          <w:rFonts w:ascii="Times New Roman;serif" w:hAnsi="Times New Roman;serif"/>
          <w:b w:val="false"/>
          <w:color w:val="000000"/>
          <w:sz w:val="20"/>
          <w:shd w:fill="FFFFFF" w:val="clear"/>
        </w:rPr>
        <w:t xml:space="preserve">, the Company issued 0.5 million and 0.1 million shares of common stock, respectively, under Company stock plans. During the </w:t>
      </w:r>
      <w:r>
        <w:rPr>
          <w:rFonts w:ascii="Times New Roman;serif" w:hAnsi="Times New Roman;serif"/>
          <w:b w:val="false"/>
          <w:color w:val="000000"/>
          <w:sz w:val="20"/>
        </w:rPr>
        <w:t>three months ended September 30, 2025 and 2024</w:t>
      </w:r>
      <w:r>
        <w:rPr>
          <w:rFonts w:ascii="Times New Roman;serif" w:hAnsi="Times New Roman;serif"/>
          <w:b w:val="false"/>
          <w:color w:val="000000"/>
          <w:sz w:val="20"/>
          <w:shd w:fill="FFFFFF" w:val="clear"/>
        </w:rPr>
        <w:t xml:space="preserve">, the Company issued zero shares of common stock upon the exercise of stock options. During the </w:t>
      </w:r>
      <w:r>
        <w:rPr>
          <w:rFonts w:ascii="Times New Roman;serif" w:hAnsi="Times New Roman;serif"/>
          <w:b w:val="false"/>
          <w:color w:val="000000"/>
          <w:sz w:val="20"/>
        </w:rPr>
        <w:t xml:space="preserve">three months ended September 30, 2025 and 2024, </w:t>
      </w:r>
      <w:r>
        <w:rPr>
          <w:rFonts w:ascii="Times New Roman;serif" w:hAnsi="Times New Roman;serif"/>
          <w:b w:val="false"/>
          <w:color w:val="000000"/>
          <w:sz w:val="20"/>
          <w:shd w:fill="FFFFFF" w:val="clear"/>
        </w:rPr>
        <w:t xml:space="preserve">0.3 million and 48,000 shares of restricted stock, respectively, were canceled or surrendered as payment of tax withholding upon vesting of equity awards. </w:t>
      </w:r>
    </w:p>
    <w:p>
      <w:pPr>
        <w:pStyle w:val="TextBody"/>
        <w:bidi w:val="0"/>
        <w:spacing w:lineRule="auto" w:line="288" w:before="160" w:after="160"/>
        <w:ind w:left="0" w:right="0" w:firstLine="450"/>
        <w:jc w:val="left"/>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n February 17, 2022, the Company</w:t>
      </w:r>
      <w:r>
        <w:rPr>
          <w:color w:val="000000"/>
        </w:rPr>
        <w:t>’</w:t>
      </w:r>
      <w:r>
        <w:rPr>
          <w:rFonts w:ascii="Times New Roman;serif" w:hAnsi="Times New Roman;serif"/>
          <w:b w:val="false"/>
          <w:color w:val="000000"/>
          <w:sz w:val="20"/>
          <w:shd w:fill="FFFFFF" w:val="clear"/>
        </w:rPr>
        <w:t xml:space="preserve">s board of directors (the </w:t>
      </w:r>
      <w:r>
        <w:rPr>
          <w:color w:val="000000"/>
        </w:rPr>
        <w:t>“</w:t>
      </w:r>
      <w:r>
        <w:rPr>
          <w:rFonts w:ascii="Times New Roman;serif" w:hAnsi="Times New Roman;serif"/>
          <w:b w:val="false"/>
          <w:color w:val="000000"/>
          <w:sz w:val="20"/>
          <w:shd w:fill="FFFFFF" w:val="clear"/>
        </w:rPr>
        <w:t>Board of Directors</w:t>
      </w:r>
      <w:r>
        <w:rPr>
          <w:color w:val="000000"/>
        </w:rPr>
        <w:t>”</w:t>
      </w:r>
      <w:r>
        <w:rPr>
          <w:rFonts w:ascii="Times New Roman;serif" w:hAnsi="Times New Roman;serif"/>
          <w:b w:val="false"/>
          <w:color w:val="000000"/>
          <w:sz w:val="20"/>
          <w:shd w:fill="FFFFFF" w:val="clear"/>
        </w:rPr>
        <w:t xml:space="preserve">) approved an </w:t>
      </w:r>
      <w:r>
        <w:rPr>
          <w:rFonts w:ascii="Times New Roman;serif" w:hAnsi="Times New Roman;serif"/>
          <w:b w:val="false"/>
          <w:color w:val="000000"/>
          <w:sz w:val="20"/>
        </w:rPr>
        <w:t xml:space="preserve">amendment to its then-existing share repurchase program to increase the authorized share repurchase amount from $35.0 million to $60.0 million. On June 12, 2023, the Board of Directors approved an amendment to extend the duration of the repurchase program period to December 31, 2026.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months ended September 30, 2025, </w:t>
      </w:r>
      <w:r>
        <w:rPr>
          <w:rFonts w:ascii="Times New Roman;serif" w:hAnsi="Times New Roman;serif"/>
          <w:b w:val="false"/>
          <w:color w:val="000000"/>
          <w:sz w:val="20"/>
          <w:shd w:fill="FFFFFF" w:val="clear"/>
        </w:rPr>
        <w:t xml:space="preserve">the Company purchased </w:t>
      </w:r>
      <w:r>
        <w:rPr>
          <w:rFonts w:ascii="Times New Roman;serif" w:hAnsi="Times New Roman;serif"/>
          <w:b w:val="false"/>
          <w:color w:val="000000"/>
          <w:sz w:val="20"/>
        </w:rPr>
        <w:t>44,000</w:t>
      </w:r>
      <w:r>
        <w:rPr>
          <w:color w:val="000000"/>
          <w:shd w:fill="FFFFFF" w:val="clear"/>
        </w:rPr>
        <w:t xml:space="preserve"> </w:t>
      </w:r>
      <w:r>
        <w:rPr>
          <w:rFonts w:ascii="Times New Roman;serif" w:hAnsi="Times New Roman;serif"/>
          <w:b w:val="false"/>
          <w:color w:val="000000"/>
          <w:sz w:val="20"/>
          <w:shd w:fill="FFFFFF" w:val="clear"/>
        </w:rPr>
        <w:t>shares of common stock at an aggregate price of $0.6 million</w:t>
      </w:r>
      <w:r>
        <w:rPr>
          <w:color w:val="000000"/>
        </w:rPr>
        <w:t xml:space="preserve"> </w:t>
      </w:r>
      <w:r>
        <w:rPr>
          <w:rFonts w:ascii="Times New Roman;serif" w:hAnsi="Times New Roman;serif"/>
          <w:b w:val="false"/>
          <w:color w:val="000000"/>
          <w:sz w:val="20"/>
          <w:shd w:fill="FFFFFF" w:val="clear"/>
        </w:rPr>
        <w:t xml:space="preserve">under this repurchase program. During the </w:t>
      </w:r>
      <w:r>
        <w:rPr>
          <w:rFonts w:ascii="Times New Roman;serif" w:hAnsi="Times New Roman;serif"/>
          <w:b w:val="false"/>
          <w:color w:val="000000"/>
          <w:sz w:val="20"/>
        </w:rPr>
        <w:t xml:space="preserve">three months ended </w:t>
      </w:r>
      <w:r>
        <w:rPr>
          <w:rFonts w:ascii="Times New Roman;serif" w:hAnsi="Times New Roman;serif"/>
          <w:b w:val="false"/>
          <w:color w:val="000000"/>
          <w:sz w:val="20"/>
          <w:shd w:fill="FFFFFF" w:val="clear"/>
        </w:rPr>
        <w:t>September 30, 2024</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Company purchased 0.1 million shares of common stock at an aggregate price of $1.1 million</w:t>
      </w:r>
      <w:r>
        <w:rPr>
          <w:color w:val="000000"/>
        </w:rPr>
        <w:t xml:space="preserve"> </w:t>
      </w:r>
      <w:r>
        <w:rPr>
          <w:rFonts w:ascii="Times New Roman;serif" w:hAnsi="Times New Roman;serif"/>
          <w:b w:val="false"/>
          <w:color w:val="000000"/>
          <w:sz w:val="20"/>
          <w:shd w:fill="FFFFFF" w:val="clear"/>
        </w:rPr>
        <w:t>under this repurchase program. At September 30, 2025, there was $16.7 million remaining under this repurchase program.</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30, 2023, the Board of Directors approved a stockholder rights agreement (the “Rights Plan”) and declared a dividend of one right for each outstanding share of common stock to stockholders of record on September 11, 2023. Each right entitled holders to purchase one newly issued share of preferred stock at an exercise price of $20 per right, subject to adjustment. Initially, the rights were not exercisable and traded with shares of the Company’s common stock.</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general, the rights would have become exercisable following a public announcement that a person acquires 12% (or, in the case of passive investors, 20%) or more of the outstanding shares of the Company’s common stock. If a person became an acquiring person, each holder of rights (except the acquiring person) would have had the right to purchase, for the purchase price, a number of shares of the Company’s common stock at a 50% discount to the then-current trading price. Rather than allowing the rights to be exercised in those circumstances, the Board of Directors could exchange each right, other than the rights owned by the acquiring person, for a share of the Company’s common stock. The agreement provided for exceptions and additional terms for other certain situations and circumstances.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Rights Plan was intended to protect the interests of LifeVantage and its stockholders by reducing the likelihood that any entity, person or group gains control of the Company through open-market accumulation or other means without payment of an adequate control premium and expired on August 28, 2024. There was no impact to the Company’s Consolidated Financial Statements.</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The Company’s Certificate of Incorporation authorizes the issuance of preferred stock. However</w:t>
      </w:r>
      <w:r>
        <w:rPr>
          <w:rFonts w:ascii="Times New Roman;serif" w:hAnsi="Times New Roman;serif"/>
          <w:b w:val="false"/>
          <w:color w:val="000000"/>
          <w:sz w:val="20"/>
        </w:rPr>
        <w:t>, as of September 30, 2025, none have been issued nor have any rights or preferences been assigned to the preferred stock by the Board of Directors.</w:t>
      </w:r>
    </w:p>
    <w:p>
      <w:pPr>
        <w:pStyle w:val="TextBody"/>
        <w:bidi w:val="0"/>
        <w:spacing w:lineRule="auto" w:line="288" w:before="160" w:after="16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August 2025, the Board of Directors declared a quarterly cash dividend of $0.045 per share of common stock that was paid on September 16, 2025 to stockholders of record on September 8, 2025. Cash dividends for the three months ended September 30, 2025 totaled $0.6 million. Cash dividends for the three months ended September 30, 2024 totaled $0.5 million, or $0.04 per share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The declaration of dividends is subject to the discretion of the Board of Directors and will depend upon various factors, including the Company</w:t>
      </w:r>
      <w:r>
        <w:rPr>
          <w:color w:val="000000"/>
        </w:rPr>
        <w:t>’</w:t>
      </w:r>
      <w:r>
        <w:rPr>
          <w:rFonts w:ascii="Times New Roman;serif" w:hAnsi="Times New Roman;serif"/>
          <w:b w:val="false"/>
          <w:color w:val="000000"/>
          <w:sz w:val="20"/>
          <w:shd w:fill="FFFFFF" w:val="clear"/>
        </w:rPr>
        <w:t>s earnings, financial condition, restrictions imposed by any indebtedness that may be outstanding, cash requirements, future prospects and other factors deemed relevant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6 — Stock-Based Compensation</w:t>
      </w:r>
    </w:p>
    <w:p>
      <w:pPr>
        <w:pStyle w:val="TextBody"/>
        <w:bidi w:val="0"/>
        <w:spacing w:lineRule="auto" w:line="288" w:before="160" w:after="160"/>
        <w:ind w:left="0" w:right="0" w:firstLine="45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Long-Term Incentive Plans</w:t>
      </w:r>
    </w:p>
    <w:p>
      <w:pPr>
        <w:pStyle w:val="TextBody"/>
        <w:bidi w:val="0"/>
        <w:spacing w:lineRule="auto" w:line="288" w:before="160" w:after="160"/>
        <w:ind w:left="0" w:right="0" w:firstLine="450"/>
        <w:jc w:val="left"/>
        <w:rPr>
          <w:rFonts w:ascii="Times New Roman;serif" w:hAnsi="Times New Roman;serif"/>
          <w:b/>
          <w:color w:val="000000"/>
          <w:sz w:val="20"/>
        </w:rPr>
      </w:pPr>
      <w:r>
        <w:rPr>
          <w:rFonts w:ascii="Times New Roman;serif" w:hAnsi="Times New Roman;serif"/>
          <w:b/>
          <w:color w:val="000000"/>
          <w:sz w:val="20"/>
        </w:rPr>
        <w:t>Equity-Settled Plans</w:t>
      </w:r>
    </w:p>
    <w:p>
      <w:pPr>
        <w:pStyle w:val="TextBody"/>
        <w:bidi w:val="0"/>
        <w:spacing w:lineRule="auto" w:line="288" w:before="0" w:after="0"/>
        <w:ind w:left="0" w:right="0" w:firstLine="450"/>
        <w:jc w:val="left"/>
        <w:rPr/>
      </w:pPr>
      <w:r>
        <w:rPr>
          <w:rFonts w:ascii="Times New Roman;serif" w:hAnsi="Times New Roman;serif"/>
          <w:b w:val="false"/>
          <w:color w:val="000000"/>
          <w:sz w:val="20"/>
          <w:shd w:fill="FFFFFF" w:val="clear"/>
        </w:rPr>
        <w:t>The Board of Directors adopted, and the Company</w:t>
      </w:r>
      <w:r>
        <w:rPr>
          <w:color w:val="000000"/>
        </w:rPr>
        <w:t>’</w:t>
      </w:r>
      <w:r>
        <w:rPr>
          <w:rFonts w:ascii="Times New Roman;serif" w:hAnsi="Times New Roman;serif"/>
          <w:b w:val="false"/>
          <w:color w:val="000000"/>
          <w:sz w:val="20"/>
          <w:shd w:fill="FFFFFF" w:val="clear"/>
        </w:rPr>
        <w:t xml:space="preserve">s stockholders approved, the 2017 Long-Term Incentive Plan (as amended, the “2017 Plan”), effective February 16, 2017, to provide incentives to eligible employees, directors and consultants. The initial shares reserved under the 2017 Plan was (i) 650,000 shares plus (ii) </w:t>
      </w:r>
      <w:r>
        <w:rPr>
          <w:rFonts w:ascii="Times New Roman;serif" w:hAnsi="Times New Roman;serif"/>
          <w:b w:val="false"/>
          <w:color w:val="000000"/>
          <w:sz w:val="20"/>
        </w:rPr>
        <w:t>475,000</w:t>
      </w:r>
      <w:r>
        <w:rPr>
          <w:color w:val="000000"/>
          <w:shd w:fill="FFFFFF" w:val="clear"/>
        </w:rPr>
        <w:t xml:space="preserve"> </w:t>
      </w:r>
      <w:r>
        <w:rPr>
          <w:rFonts w:ascii="Times New Roman;serif" w:hAnsi="Times New Roman;serif"/>
          <w:b w:val="false"/>
          <w:color w:val="000000"/>
          <w:sz w:val="20"/>
          <w:shd w:fill="FFFFFF" w:val="clear"/>
        </w:rPr>
        <w:t xml:space="preserve">shares previously reserved for issuance under the Company’s 2010 Long Term Incentive Plan (the “2010 Plan”), including upon cancellation, termination or forfeiture of awards previously granted under the 2010 Plan, plus (iii) shares subject to forfeited or terminated awards, or shares that are withheld or surrendered from an award to pay an award’s exercise price or tax withholding obligations, in each case where such awards have been granted under the 2017 Plan. In February 2018, November 2018, November 2020, November 2022 and November 2023, the Company’s stockholders approved amendments to the 2017 Plan to increase the number of shares of the Company’s common stock that are available for issuance under the 2017 Plan by </w:t>
      </w:r>
      <w:r>
        <w:rPr>
          <w:rFonts w:ascii="Times New Roman;serif" w:hAnsi="Times New Roman;serif"/>
          <w:b w:val="false"/>
          <w:color w:val="000000"/>
          <w:sz w:val="20"/>
        </w:rPr>
        <w:t>425,000</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715,000</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650,000</w:t>
      </w:r>
      <w:r>
        <w:rPr>
          <w:rFonts w:ascii="Times New Roman;serif" w:hAnsi="Times New Roman;serif"/>
          <w:b w:val="false"/>
          <w:color w:val="000000"/>
          <w:sz w:val="20"/>
          <w:shd w:fill="FFFFFF" w:val="clear"/>
        </w:rPr>
        <w:t>, 1,052,000, and 1,138,000 shares, respectively. Further, in November 2024, the Company’s stockholders approved an amendment to remove individual grant limitations under the 2017 Plan and certain performance-based provisions, both of which are no longer applicable following the repeal of the performance-based exemption in Section 162(m) of the Internal Revenue Code, as amended. As of September 30, 2025, an aggregate of 5.1 million shares of the Company</w:t>
      </w:r>
      <w:r>
        <w:rPr>
          <w:color w:val="000000"/>
        </w:rPr>
        <w:t>’</w:t>
      </w:r>
      <w:r>
        <w:rPr>
          <w:rFonts w:ascii="Times New Roman;serif" w:hAnsi="Times New Roman;serif"/>
          <w:b w:val="false"/>
          <w:color w:val="000000"/>
          <w:sz w:val="20"/>
          <w:shd w:fill="FFFFFF" w:val="clear"/>
        </w:rPr>
        <w:t xml:space="preserve">s common stock were authorized to be issued under the 2017 Plan in connection with the grant of awards which is calculated as the sum of (i) 4,630,000 shares and (ii) up to 475,000 shares previously reserved for issuance under the 2010 Plan, including shares returned upon cancellation, termination or forfeiture of awards that were previously granted under that plan. </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As of September 30, 2025, there were stock option awards outstanding under the 2017 Plan, net of awards expired, for an aggregate of 0.1 million shares of the Company</w:t>
      </w:r>
      <w:r>
        <w:rPr>
          <w:color w:val="000000"/>
        </w:rPr>
        <w:t>’</w:t>
      </w:r>
      <w:r>
        <w:rPr>
          <w:rFonts w:ascii="Times New Roman;serif" w:hAnsi="Times New Roman;serif"/>
          <w:b w:val="false"/>
          <w:color w:val="000000"/>
          <w:sz w:val="20"/>
          <w:shd w:fill="FFFFFF" w:val="clear"/>
        </w:rPr>
        <w:t>s common stock. Outstanding stock options awarded under the 2017 Plan have exercise prices of $4.44 per share, and vest over a three-year vesting period. Awards expire in accordance with the terms of each award and, upon expiration of the award, the shares subject to the award are added back to the 2017 Plan. The contractual term of stock options granted is generally ten years.</w:t>
      </w:r>
    </w:p>
    <w:p>
      <w:pPr>
        <w:pStyle w:val="TextBody"/>
        <w:bidi w:val="0"/>
        <w:spacing w:lineRule="auto" w:line="288" w:before="160" w:after="160"/>
        <w:ind w:left="0" w:right="0" w:firstLine="450"/>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The Company’s 2019 ESPP was adopted by the Board of Directors in September 2018 and the Company’s stockholders approved it in November 2018. In August 2024, the Board of Directors approved an amendment to the 2019 ESPP to increase the share reserve thereunder by 0.4 million shares, which amendment and increase was approved by the Company’s stockholders in November 2024. The 2019 ESPP is intended to qualify under Section 423 of the Internal Revenue Code.</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Share Reserve.</w:t>
      </w:r>
      <w:r>
        <w:rPr>
          <w:color w:val="000000"/>
        </w:rPr>
        <w:t xml:space="preserve"> </w:t>
      </w:r>
      <w:r>
        <w:rPr>
          <w:rFonts w:ascii="Times New Roman;serif" w:hAnsi="Times New Roman;serif"/>
          <w:b w:val="false"/>
          <w:color w:val="000000"/>
          <w:sz w:val="20"/>
        </w:rPr>
        <w:t>The Company has reserved a total of 0.8 million shares of its common stock for issuance under the 2019 ESPP. As of September 30, 2025, 0.4 million shares were available for issuance. The number of shares reserved under the 2019 ESPP will automatically be adjusted in the event of a stock split, stock dividend or a reverse stock split (including an adjustment to the per-purchase period share limit).</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Purchase Price.</w:t>
      </w:r>
      <w:r>
        <w:rPr>
          <w:color w:val="000000"/>
        </w:rPr>
        <w:t xml:space="preserve"> </w:t>
      </w:r>
      <w:r>
        <w:rPr>
          <w:rFonts w:ascii="Times New Roman;serif" w:hAnsi="Times New Roman;serif"/>
          <w:b w:val="false"/>
          <w:color w:val="000000"/>
          <w:sz w:val="20"/>
        </w:rPr>
        <w:t>Employees may purchase each share of common stock under the 2019 ESPP at a price equal to 85% of the lower of the fair market values of the stock as of the beginning or the end of the six-month offering periods. An employee’s contributions to the 2019 ESPP are limited to 15% of their regular hourly or salary compensation, and up to a maximum of 3,000 shares may be purchased during any offering period. A participant shall not be granted an option under the 2019 ESPP if such option would permit the participant’s rights to purchase stock to accrue at a rate exceeding $25,000 grant date fair market value of stock for each calendar year in which such option is outstanding at any time.</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Offering Periods.</w:t>
      </w:r>
      <w:r>
        <w:rPr>
          <w:color w:val="000000"/>
        </w:rPr>
        <w:t xml:space="preserve"> </w:t>
      </w:r>
      <w:r>
        <w:rPr>
          <w:rFonts w:ascii="Times New Roman;serif" w:hAnsi="Times New Roman;serif"/>
          <w:b w:val="false"/>
          <w:color w:val="000000"/>
          <w:sz w:val="20"/>
        </w:rPr>
        <w:t>Unless otherwise determined by the compensation committee, the 2019 ESPP will be operated through a series of successive six-month offering periods, which will begin each year on March 1 and September 1.</w:t>
      </w:r>
    </w:p>
    <w:p>
      <w:pPr>
        <w:pStyle w:val="TextBody"/>
        <w:bidi w:val="0"/>
        <w:spacing w:lineRule="auto" w:line="288" w:before="160" w:after="160"/>
        <w:ind w:left="0" w:right="0" w:firstLine="450"/>
        <w:jc w:val="left"/>
        <w:rPr/>
      </w:pPr>
      <w:r>
        <w:rPr>
          <w:rFonts w:ascii="Times New Roman;serif" w:hAnsi="Times New Roman;serif"/>
          <w:b w:val="false"/>
          <w:color w:val="000000"/>
          <w:sz w:val="20"/>
        </w:rPr>
        <w:t>Duri</w:t>
      </w:r>
      <w:r>
        <w:rPr>
          <w:rFonts w:ascii="Times New Roman;serif" w:hAnsi="Times New Roman;serif"/>
          <w:b w:val="false"/>
          <w:color w:val="000000"/>
          <w:sz w:val="20"/>
          <w:shd w:fill="FFFFFF" w:val="clear"/>
        </w:rPr>
        <w:t xml:space="preserve">ng the </w:t>
      </w:r>
      <w:r>
        <w:rPr>
          <w:rFonts w:ascii="Times New Roman;serif" w:hAnsi="Times New Roman;serif"/>
          <w:b w:val="false"/>
          <w:color w:val="000000"/>
          <w:sz w:val="20"/>
        </w:rPr>
        <w:t>three months ended September 30, 2025</w:t>
      </w:r>
      <w:r>
        <w:rPr>
          <w:color w:val="000000"/>
          <w:shd w:fill="FFFFFF" w:val="clear"/>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approximately 13,000 and 22,000 shares of common stock were issued under the 2019 ESPP, respectively. </w:t>
      </w:r>
    </w:p>
    <w:p>
      <w:pPr>
        <w:pStyle w:val="TextBody"/>
        <w:bidi w:val="0"/>
        <w:spacing w:lineRule="auto" w:line="288" w:before="160" w:after="160"/>
        <w:ind w:left="0" w:right="0" w:firstLine="45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Stock-Based Compensation</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September 30, 2025</w:t>
      </w:r>
      <w:r>
        <w:rPr>
          <w:color w:val="000000"/>
          <w:shd w:fill="FFFFFF" w:val="clear"/>
        </w:rPr>
        <w:t xml:space="preserve"> </w:t>
      </w:r>
      <w:r>
        <w:rPr>
          <w:rFonts w:ascii="Times New Roman;serif" w:hAnsi="Times New Roman;serif"/>
          <w:b w:val="false"/>
          <w:color w:val="000000"/>
          <w:sz w:val="20"/>
          <w:shd w:fill="FFFFFF" w:val="clear"/>
        </w:rPr>
        <w:t>and 2024, compensation of $0.8 million and $0.9 million, respectively, was reflected as an increase to additional</w:t>
      </w:r>
      <w:r>
        <w:rPr>
          <w:color w:val="000000"/>
        </w:rPr>
        <w:t xml:space="preserve"> </w:t>
      </w:r>
      <w:r>
        <w:rPr>
          <w:rFonts w:ascii="Times New Roman;serif" w:hAnsi="Times New Roman;serif"/>
          <w:b w:val="false"/>
          <w:color w:val="000000"/>
          <w:sz w:val="20"/>
        </w:rPr>
        <w:t>paid-in capital, all of which was employee related.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7 — Segment Information</w:t>
      </w:r>
    </w:p>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The Company operates in a single operating segment by selling products directly to customers through an international network of independent consultants that operate in an integrated manner. The Company manages its business primarily by managing its international network of independent consultants through similar commission plans. Most products available to customers in the United States are available to customers across all markets internationally. These products are purchased through third-party manufacturers by the Company's corporate office in the United States and sold to each international market. Pricing for all products is determined at the Company's corporate office in the United States. Accordingly, for disclosure purposes, the Company has a single reporting segment, which is reported on the Company’s consolidated financial statements.</w:t>
      </w:r>
    </w:p>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Chief Operating Decision Maker (“CODM”) is the Company’s Chief Executive Officer. The CODM regularly reviews consolidated financial information and performance used to make decisions about the Company as a whole and without distinguishing or grouping of operations based on asset type, revenue, geographic location, tenant or other factors.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CODM evaluates performance through consolidated financial budget-to-actual variances on a monthly and quarterly basis and allocates resources based on net income as reported in the consolidated statements of operations. The measure of segment assets is reported on the balance sheet as total consolidated assets. Total expenditures for long-lived assets are reported on the consolidated statements of cash flows.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The following table presents the Company’s segment revenue and expenses and segment net income for the </w:t>
      </w:r>
      <w:r>
        <w:rPr>
          <w:rFonts w:ascii="Times New Roman;serif" w:hAnsi="Times New Roman;serif"/>
          <w:b w:val="false"/>
          <w:color w:val="000000"/>
          <w:sz w:val="20"/>
        </w:rPr>
        <w:t xml:space="preserve">three months ended September 30, 2025 and 2024 </w:t>
      </w:r>
      <w:r>
        <w:rPr>
          <w:rFonts w:ascii="Times New Roman;serif" w:hAnsi="Times New Roman;serif"/>
          <w:b w:val="false"/>
          <w:color w:val="000000"/>
          <w:sz w:val="20"/>
          <w:shd w:fill="FFFFFF" w:val="clear"/>
        </w:rPr>
        <w:t>(in thousands):</w:t>
      </w:r>
    </w:p>
    <w:p>
      <w:pPr>
        <w:pStyle w:val="TextBody"/>
        <w:bidi w:val="0"/>
        <w:spacing w:before="0" w:after="0"/>
        <w:jc w:val="left"/>
        <w:rPr/>
      </w:pPr>
      <w:r>
        <w:rPr/>
      </w:r>
    </w:p>
    <w:tbl>
      <w:tblPr>
        <w:tblW w:w="7466" w:type="dxa"/>
        <w:jc w:val="left"/>
        <w:tblInd w:w="0" w:type="dxa"/>
        <w:tblLayout w:type="fixed"/>
        <w:tblCellMar>
          <w:top w:w="28" w:type="dxa"/>
          <w:left w:w="28" w:type="dxa"/>
          <w:bottom w:w="28" w:type="dxa"/>
          <w:right w:w="28" w:type="dxa"/>
        </w:tblCellMar>
      </w:tblPr>
      <w:tblGrid>
        <w:gridCol w:w="1560"/>
        <w:gridCol w:w="1370"/>
        <w:gridCol w:w="1374"/>
        <w:gridCol w:w="272"/>
        <w:gridCol w:w="930"/>
        <w:gridCol w:w="140"/>
        <w:gridCol w:w="140"/>
        <w:gridCol w:w="140"/>
        <w:gridCol w:w="140"/>
        <w:gridCol w:w="272"/>
        <w:gridCol w:w="930"/>
        <w:gridCol w:w="198"/>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Consultant commissions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Consultant incentives, promotions, and recognition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and benefits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and bank processing fees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1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 Other general and administrative expenses include legal, professional services, rent, utilities, and other miscellaneous expenses.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long-lived assets for its most significant geographic markets (in thousands):</w:t>
      </w:r>
    </w:p>
    <w:tbl>
      <w:tblPr>
        <w:tblW w:w="5381" w:type="dxa"/>
        <w:jc w:val="left"/>
        <w:tblInd w:w="0" w:type="dxa"/>
        <w:tblLayout w:type="fixed"/>
        <w:tblCellMar>
          <w:top w:w="28" w:type="dxa"/>
          <w:left w:w="28" w:type="dxa"/>
          <w:bottom w:w="28" w:type="dxa"/>
          <w:right w:w="28" w:type="dxa"/>
        </w:tblCellMar>
      </w:tblPr>
      <w:tblGrid>
        <w:gridCol w:w="713"/>
        <w:gridCol w:w="624"/>
        <w:gridCol w:w="628"/>
        <w:gridCol w:w="358"/>
        <w:gridCol w:w="1226"/>
        <w:gridCol w:w="185"/>
        <w:gridCol w:w="109"/>
        <w:gridCol w:w="109"/>
        <w:gridCol w:w="109"/>
        <w:gridCol w:w="224"/>
        <w:gridCol w:w="766"/>
        <w:gridCol w:w="330"/>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33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markets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markets</w:t>
            </w:r>
          </w:p>
        </w:tc>
        <w:tc>
          <w:tcPr>
            <w:tcW w:w="15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3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16,286 </w:t>
            </w:r>
          </w:p>
        </w:tc>
        <w:tc>
          <w:tcPr>
            <w:tcW w:w="1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20,819 </w:t>
            </w:r>
          </w:p>
        </w:tc>
        <w:tc>
          <w:tcPr>
            <w:tcW w:w="3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identified two major markets with revenues exceeding 10% of consolidated total revenue: the United States and Japan. There are 16 other markets, each of which individually is less than 10% of consolidated total revenue. Sales are recorded in the market in which the transaction occurred. The following table presents the Company’s revenue disaggregated by these markets (in thousands):</w:t>
      </w:r>
    </w:p>
    <w:tbl>
      <w:tblPr>
        <w:tblW w:w="5414" w:type="dxa"/>
        <w:jc w:val="center"/>
        <w:tblInd w:w="0" w:type="dxa"/>
        <w:tblLayout w:type="fixed"/>
        <w:tblCellMar>
          <w:top w:w="28" w:type="dxa"/>
          <w:left w:w="28" w:type="dxa"/>
          <w:bottom w:w="28" w:type="dxa"/>
          <w:right w:w="28" w:type="dxa"/>
        </w:tblCellMar>
      </w:tblPr>
      <w:tblGrid>
        <w:gridCol w:w="680"/>
        <w:gridCol w:w="596"/>
        <w:gridCol w:w="599"/>
        <w:gridCol w:w="273"/>
        <w:gridCol w:w="934"/>
        <w:gridCol w:w="141"/>
        <w:gridCol w:w="141"/>
        <w:gridCol w:w="141"/>
        <w:gridCol w:w="141"/>
        <w:gridCol w:w="273"/>
        <w:gridCol w:w="934"/>
        <w:gridCol w:w="141"/>
        <w:gridCol w:w="109"/>
        <w:gridCol w:w="311"/>
      </w:tblGrid>
      <w:tr>
        <w:trPr/>
        <w:tc>
          <w:tcPr>
            <w:tcW w:w="6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420"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35,216 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35,268 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markets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foreign markets</w:t>
            </w:r>
          </w:p>
        </w:tc>
        <w:tc>
          <w:tcPr>
            <w:tcW w:w="12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12,345 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47,561 </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47,214 </w:t>
            </w:r>
          </w:p>
        </w:tc>
        <w:tc>
          <w:tcPr>
            <w:tcW w:w="1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Major Products</w:t>
      </w:r>
    </w:p>
    <w:p>
      <w:pPr>
        <w:pStyle w:val="TextBody"/>
        <w:bidi w:val="0"/>
        <w:spacing w:lineRule="auto" w:line="288" w:before="160" w:after="160"/>
        <w:jc w:val="left"/>
        <w:rPr/>
      </w:pPr>
      <w:r>
        <w:rPr>
          <w:rFonts w:ascii="Times New Roman;serif" w:hAnsi="Times New Roman;serif"/>
          <w:b w:val="false"/>
          <w:color w:val="000000"/>
          <w:sz w:val="20"/>
        </w:rPr>
        <w:t xml:space="preserve">The Company’s revenue for the three months ended September 30, 2025 </w:t>
      </w:r>
      <w:r>
        <w:rPr>
          <w:rFonts w:ascii="Times New Roman;serif" w:hAnsi="Times New Roman;serif"/>
          <w:b w:val="false"/>
          <w:color w:val="000000"/>
          <w:sz w:val="20"/>
          <w:shd w:fill="FFFFFF" w:val="clear"/>
        </w:rPr>
        <w:t xml:space="preserve">and 2024 </w:t>
      </w:r>
      <w:r>
        <w:rPr>
          <w:rFonts w:ascii="Times New Roman;serif" w:hAnsi="Times New Roman;serif"/>
          <w:b w:val="false"/>
          <w:color w:val="000000"/>
          <w:sz w:val="20"/>
        </w:rPr>
        <w:t>is largely attributed to three product lines: Protandim</w:t>
      </w:r>
      <w:r>
        <w:rPr>
          <w:rFonts w:ascii="Times New Roman;serif" w:hAnsi="Times New Roman;serif"/>
          <w:b w:val="false"/>
          <w:color w:val="000000"/>
          <w:sz w:val="13"/>
        </w:rPr>
        <w:t>®</w:t>
      </w:r>
      <w:r>
        <w:rPr>
          <w:rFonts w:ascii="Times New Roman;serif" w:hAnsi="Times New Roman;serif"/>
          <w:b w:val="false"/>
          <w:color w:val="000000"/>
          <w:sz w:val="20"/>
        </w:rPr>
        <w:t>, TrueScience</w:t>
      </w:r>
      <w:r>
        <w:rPr>
          <w:rFonts w:ascii="Times New Roman;serif" w:hAnsi="Times New Roman;serif"/>
          <w:b w:val="false"/>
          <w:color w:val="000000"/>
          <w:sz w:val="13"/>
        </w:rPr>
        <w:t>®</w:t>
      </w:r>
      <w:r>
        <w:rPr>
          <w:rFonts w:ascii="Times New Roman;serif" w:hAnsi="Times New Roman;serif"/>
          <w:b w:val="false"/>
          <w:color w:val="000000"/>
          <w:sz w:val="20"/>
        </w:rPr>
        <w:t>, and LifeVantage</w:t>
      </w:r>
      <w:r>
        <w:rPr>
          <w:rFonts w:ascii="Times New Roman;serif" w:hAnsi="Times New Roman;serif"/>
          <w:b w:val="false"/>
          <w:color w:val="000000"/>
          <w:sz w:val="13"/>
        </w:rPr>
        <w:t>®</w:t>
      </w:r>
      <w:r>
        <w:rPr>
          <w:rFonts w:ascii="Times New Roman;serif" w:hAnsi="Times New Roman;serif"/>
          <w:b w:val="false"/>
          <w:color w:val="000000"/>
          <w:sz w:val="20"/>
        </w:rPr>
        <w:t>. On a combined basis, these three product lines represent approximately 86.2% and 86.6%</w:t>
      </w:r>
      <w:r>
        <w:rPr>
          <w:color w:val="000000"/>
          <w:shd w:fill="FFFFFF" w:val="clear"/>
        </w:rPr>
        <w:t xml:space="preserve"> </w:t>
      </w: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f the Company’s total net revenue for the three months ended September 30, 2025 </w:t>
      </w:r>
      <w:r>
        <w:rPr>
          <w:rFonts w:ascii="Times New Roman;serif" w:hAnsi="Times New Roman;serif"/>
          <w:b w:val="false"/>
          <w:color w:val="000000"/>
          <w:sz w:val="20"/>
          <w:shd w:fill="FFFFFF" w:val="clear"/>
        </w:rPr>
        <w:t>and 2024, respectively</w:t>
      </w:r>
      <w:r>
        <w:rPr>
          <w:rFonts w:ascii="Times New Roman;serif" w:hAnsi="Times New Roman;serif"/>
          <w:b w:val="false"/>
          <w:color w:val="000000"/>
          <w:sz w:val="20"/>
        </w:rPr>
        <w:t xml:space="preserve">. The following table shows revenue by product line for the three months ended September 30, 2025 </w:t>
      </w:r>
      <w:r>
        <w:rPr>
          <w:rFonts w:ascii="Times New Roman;serif" w:hAnsi="Times New Roman;serif"/>
          <w:b w:val="false"/>
          <w:color w:val="000000"/>
          <w:sz w:val="20"/>
          <w:shd w:fill="FFFFFF" w:val="clear"/>
        </w:rPr>
        <w:t>and 2024</w:t>
      </w:r>
      <w:r>
        <w:rPr>
          <w:color w:val="000000"/>
        </w:rPr>
        <w:t xml:space="preserve"> </w:t>
      </w:r>
      <w:r>
        <w:rPr>
          <w:rFonts w:ascii="Times New Roman;serif" w:hAnsi="Times New Roman;serif"/>
          <w:b w:val="false"/>
          <w:color w:val="000000"/>
          <w:sz w:val="20"/>
        </w:rPr>
        <w:t>(in thousands):</w:t>
      </w:r>
    </w:p>
    <w:tbl>
      <w:tblPr>
        <w:tblW w:w="7693" w:type="dxa"/>
        <w:jc w:val="center"/>
        <w:tblInd w:w="0" w:type="dxa"/>
        <w:tblLayout w:type="fixed"/>
        <w:tblCellMar>
          <w:top w:w="28" w:type="dxa"/>
          <w:left w:w="28" w:type="dxa"/>
          <w:bottom w:w="28" w:type="dxa"/>
          <w:right w:w="28" w:type="dxa"/>
        </w:tblCellMar>
      </w:tblPr>
      <w:tblGrid>
        <w:gridCol w:w="815"/>
        <w:gridCol w:w="715"/>
        <w:gridCol w:w="720"/>
        <w:gridCol w:w="523"/>
        <w:gridCol w:w="1787"/>
        <w:gridCol w:w="270"/>
        <w:gridCol w:w="270"/>
        <w:gridCol w:w="526"/>
        <w:gridCol w:w="109"/>
        <w:gridCol w:w="109"/>
        <w:gridCol w:w="109"/>
        <w:gridCol w:w="211"/>
        <w:gridCol w:w="721"/>
        <w:gridCol w:w="109"/>
        <w:gridCol w:w="109"/>
        <w:gridCol w:w="109"/>
        <w:gridCol w:w="109"/>
        <w:gridCol w:w="109"/>
        <w:gridCol w:w="109"/>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067" w:type="dxa"/>
            <w:gridSpan w:val="12"/>
            <w:tcBorders/>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270"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Protandim</w:t>
            </w:r>
            <w:r>
              <w:rPr>
                <w:rFonts w:ascii="Times New Roman;serif" w:hAnsi="Times New Roman;serif"/>
                <w:b w:val="false"/>
                <w:color w:val="000000"/>
                <w:sz w:val="13"/>
              </w:rPr>
              <w:t xml:space="preserve">® </w:t>
            </w:r>
            <w:r>
              <w:rPr>
                <w:rFonts w:ascii="Times New Roman;serif" w:hAnsi="Times New Roman;serif"/>
                <w:b w:val="false"/>
                <w:color w:val="000000"/>
                <w:sz w:val="20"/>
              </w:rPr>
              <w:t>product line</w:t>
            </w:r>
          </w:p>
        </w:tc>
        <w:tc>
          <w:tcPr>
            <w:tcW w:w="5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22,057 </w:t>
            </w:r>
          </w:p>
        </w:tc>
        <w:tc>
          <w:tcPr>
            <w:tcW w:w="2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TrueScience</w:t>
            </w:r>
            <w:r>
              <w:rPr>
                <w:rFonts w:ascii="Times New Roman;serif" w:hAnsi="Times New Roman;serif"/>
                <w:b w:val="false"/>
                <w:color w:val="000000"/>
                <w:sz w:val="13"/>
              </w:rPr>
              <w:t xml:space="preserve">® </w:t>
            </w:r>
            <w:r>
              <w:rPr>
                <w:rFonts w:ascii="Times New Roman;serif" w:hAnsi="Times New Roman;serif"/>
                <w:b w:val="false"/>
                <w:color w:val="000000"/>
                <w:sz w:val="20"/>
              </w:rPr>
              <w:t>product line</w:t>
            </w:r>
          </w:p>
        </w:tc>
        <w:tc>
          <w:tcPr>
            <w:tcW w:w="2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LifeVantage</w:t>
            </w:r>
            <w:r>
              <w:rPr>
                <w:rFonts w:ascii="Times New Roman;serif" w:hAnsi="Times New Roman;serif"/>
                <w:b w:val="false"/>
                <w:color w:val="000000"/>
                <w:sz w:val="13"/>
              </w:rPr>
              <w:t xml:space="preserve">® </w:t>
            </w:r>
            <w:r>
              <w:rPr>
                <w:rFonts w:ascii="Times New Roman;serif" w:hAnsi="Times New Roman;serif"/>
                <w:b w:val="false"/>
                <w:color w:val="000000"/>
                <w:sz w:val="20"/>
              </w:rPr>
              <w:t>product line</w:t>
            </w:r>
          </w:p>
        </w:tc>
        <w:tc>
          <w:tcPr>
            <w:tcW w:w="2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AXIO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line</w:t>
            </w:r>
          </w:p>
        </w:tc>
        <w:tc>
          <w:tcPr>
            <w:tcW w:w="2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160" w:after="160"/>
              <w:jc w:val="left"/>
              <w:rPr/>
            </w:pPr>
            <w:r>
              <w:rPr>
                <w:rFonts w:ascii="Times New Roman;serif" w:hAnsi="Times New Roman;serif"/>
                <w:b w:val="false"/>
                <w:color w:val="000000"/>
                <w:sz w:val="20"/>
              </w:rPr>
              <w:t>PhysIQ</w:t>
            </w:r>
            <w:r>
              <w:rPr>
                <w:color w:val="000000"/>
              </w:rPr>
              <w:t xml:space="preserve">™ </w:t>
            </w:r>
            <w:r>
              <w:rPr>
                <w:rFonts w:ascii="Times New Roman;serif" w:hAnsi="Times New Roman;serif"/>
                <w:b w:val="false"/>
                <w:color w:val="000000"/>
                <w:sz w:val="20"/>
              </w:rPr>
              <w:t>product line</w:t>
            </w:r>
          </w:p>
        </w:tc>
        <w:tc>
          <w:tcPr>
            <w:tcW w:w="2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160" w:after="160"/>
              <w:jc w:val="left"/>
              <w:rPr/>
            </w:pPr>
            <w:r>
              <w:rPr>
                <w:rFonts w:ascii="Times New Roman;serif" w:hAnsi="Times New Roman;serif"/>
                <w:b w:val="false"/>
                <w:color w:val="000000"/>
                <w:sz w:val="20"/>
              </w:rPr>
              <w:t>Petandim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line</w:t>
            </w:r>
          </w:p>
        </w:tc>
        <w:tc>
          <w:tcPr>
            <w:tcW w:w="2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2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net</w:t>
            </w:r>
          </w:p>
        </w:tc>
        <w:tc>
          <w:tcPr>
            <w:tcW w:w="5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47,561 </w:t>
            </w:r>
          </w:p>
        </w:tc>
        <w:tc>
          <w:tcPr>
            <w:tcW w:w="2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Other revenue includes shipping and handling revenue, event related revenue, and other revenues impracticable to allocate to a specific product 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Note 8 — Commitments and Contingencies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2025, and based on the assessment, there are no probable loss contingencies requiring accrual or disclosures within its financial statements.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Legal Accruals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matters described above, the Company also may become involved in other litigation and regulatory matters 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9 — Subsequent Events</w:t>
      </w:r>
    </w:p>
    <w:p>
      <w:pPr>
        <w:pStyle w:val="TextBody"/>
        <w:bidi w:val="0"/>
        <w:spacing w:lineRule="auto" w:line="288" w:before="160" w:after="160"/>
        <w:jc w:val="left"/>
        <w:rPr/>
      </w:pPr>
      <w:r>
        <w:rPr>
          <w:rFonts w:ascii="Times New Roman;serif" w:hAnsi="Times New Roman;serif"/>
          <w:b w:val="false"/>
          <w:color w:val="000000"/>
          <w:sz w:val="20"/>
          <w:shd w:fill="FFFFFF" w:val="clear"/>
        </w:rPr>
        <w:t>As previously disclosed, on Sep</w:t>
      </w:r>
      <w:r>
        <w:rPr>
          <w:rFonts w:ascii="Times New Roman;serif" w:hAnsi="Times New Roman;serif"/>
          <w:b w:val="false"/>
          <w:color w:val="000000"/>
          <w:sz w:val="20"/>
        </w:rPr>
        <w:t>tember 3, 2025, the Company entered into an Asset Purchase Agreement to acquire critical assets of Global Organics Merchants, LLC, dba LoveBiome ("LoveBiome"). The transaction closed on October 1, 2025. The Company has not yet determined the accounting purchase price allocation of the purchase consideration described above, which includes evaluating the fair value of the acquired assets and the valuation of contingent consideration to be transferred.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60" w:after="160"/>
        <w:jc w:val="left"/>
        <w:rPr/>
      </w:pPr>
      <w:r>
        <w:rPr>
          <w:rFonts w:ascii="Times New Roman;serif" w:hAnsi="Times New Roman;serif"/>
          <w:b w:val="false"/>
          <w:color w:val="000000"/>
          <w:sz w:val="20"/>
        </w:rPr>
        <w:t>We are a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w:t>
      </w:r>
      <w:r>
        <w:rPr>
          <w:rFonts w:ascii="Times New Roman;serif" w:hAnsi="Times New Roman;serif"/>
          <w:b w:val="false"/>
          <w:color w:val="000000"/>
          <w:sz w:val="20"/>
          <w:shd w:fill="FFFFFF" w:val="clear"/>
        </w:rPr>
        <w:t xml:space="preserve">d independent consultants as </w:t>
      </w:r>
      <w:r>
        <w:rPr>
          <w:rFonts w:ascii="Times New Roman;serif" w:hAnsi="Times New Roman;serif"/>
          <w:b w:val="false"/>
          <w:color w:val="000000"/>
          <w:sz w:val="20"/>
        </w:rPr>
        <w:t>well as a financially rewarding commission-based direct sales opportunity to our independent consultants. We engage in the identification, research, development, formulation and sale of advanced nutrigenomic activators, dietary supplements, weight management products, pre- and pro-biotics, skin and hair care products, and nootropics. We currently sell our products to customers and independent consultants in two geographic regions that we have classified as the Americas region and the Asia/Pacific and Europe region.</w:t>
      </w:r>
    </w:p>
    <w:p>
      <w:pPr>
        <w:pStyle w:val="TextBody"/>
        <w:bidi w:val="0"/>
        <w:spacing w:lineRule="auto" w:line="288" w:before="160" w:after="160"/>
        <w:jc w:val="left"/>
        <w:rPr/>
      </w:pPr>
      <w:r>
        <w:rPr>
          <w:rFonts w:ascii="Times New Roman;serif" w:hAnsi="Times New Roman;serif"/>
          <w:b w:val="false"/>
          <w:color w:val="000000"/>
          <w:sz w:val="20"/>
        </w:rPr>
        <w:t xml:space="preserve">The success and growth of our business is primarily based on the effectiveness of our independent consultants to attract and </w:t>
      </w:r>
      <w:r>
        <w:rPr>
          <w:rFonts w:ascii="Times New Roman;serif" w:hAnsi="Times New Roman;serif"/>
          <w:b w:val="false"/>
          <w:color w:val="000000"/>
          <w:sz w:val="20"/>
          <w:shd w:fill="FFFFFF" w:val="clear"/>
        </w:rPr>
        <w:t>retain customers in order to sell our products and our ability to attract and retain independent consultants. When we are successful in attracting and retaining independent consultants and customers, it is largely because of:</w:t>
      </w:r>
    </w:p>
    <w:p>
      <w:pPr>
        <w:pStyle w:val="TextBody"/>
        <w:bidi w:val="0"/>
        <w:spacing w:lineRule="auto" w:line="288" w:before="160" w:after="160"/>
        <w:ind w:left="0" w:right="0" w:hanging="360"/>
        <w:jc w:val="left"/>
        <w:rPr/>
      </w:pPr>
      <w:r>
        <w:rPr>
          <w:color w:val="000000"/>
          <w:shd w:fill="FFFFFF" w:val="clear"/>
        </w:rPr>
        <w:t>•</w:t>
      </w:r>
      <w:r>
        <w:rPr>
          <w:rFonts w:ascii="Times New Roman;serif" w:hAnsi="Times New Roman;serif"/>
          <w:b w:val="false"/>
          <w:color w:val="000000"/>
          <w:sz w:val="20"/>
          <w:shd w:fill="FFFFFF" w:val="clear"/>
        </w:rPr>
        <w:t>Our products, including our flagship Protandim</w:t>
      </w:r>
      <w:r>
        <w:rPr>
          <w:rFonts w:ascii="Times New Roman;serif" w:hAnsi="Times New Roman;serif"/>
          <w:b w:val="false"/>
          <w:color w:val="000000"/>
          <w:sz w:val="13"/>
          <w:shd w:fill="FFFFFF" w:val="clear"/>
        </w:rPr>
        <w:t>®</w:t>
      </w:r>
      <w:r>
        <w:rPr>
          <w:color w:val="000000"/>
          <w:shd w:fill="FFFFFF" w:val="clear"/>
        </w:rPr>
        <w:t xml:space="preserve"> </w:t>
      </w:r>
      <w:r>
        <w:rPr>
          <w:rFonts w:ascii="Times New Roman;serif" w:hAnsi="Times New Roman;serif"/>
          <w:b w:val="false"/>
          <w:color w:val="000000"/>
          <w:sz w:val="20"/>
          <w:shd w:fill="FFFFFF" w:val="clear"/>
        </w:rPr>
        <w:t>family of scientifically validated dietary supplements,</w:t>
      </w:r>
      <w:r>
        <w:rPr>
          <w:color w:val="000000"/>
        </w:rPr>
        <w:t xml:space="preserve"> </w:t>
      </w:r>
      <w:r>
        <w:rPr>
          <w:rFonts w:ascii="Times New Roman;serif" w:hAnsi="Times New Roman;serif"/>
          <w:b w:val="false"/>
          <w:color w:val="000000"/>
          <w:sz w:val="20"/>
        </w:rPr>
        <w:t xml:space="preserve">our </w:t>
      </w:r>
      <w:r>
        <w:rPr>
          <w:rFonts w:ascii="Times New Roman;serif" w:hAnsi="Times New Roman;serif"/>
          <w:b w:val="false"/>
          <w:color w:val="000000"/>
          <w:sz w:val="20"/>
          <w:shd w:fill="FFFFFF" w:val="clear"/>
        </w:rPr>
        <w:t>LifeVantage</w:t>
      </w:r>
      <w:r>
        <w:rPr>
          <w:rFonts w:ascii="Times New Roman;serif" w:hAnsi="Times New Roman;serif"/>
          <w:b w:val="false"/>
          <w:color w:val="000000"/>
          <w:sz w:val="13"/>
          <w:shd w:fill="FFFFFF" w:val="clear"/>
        </w:rPr>
        <w:t xml:space="preserve">® </w:t>
      </w:r>
      <w:r>
        <w:rPr>
          <w:rFonts w:ascii="Times New Roman;serif" w:hAnsi="Times New Roman;serif"/>
          <w:b w:val="false"/>
          <w:color w:val="000000"/>
          <w:sz w:val="20"/>
          <w:shd w:fill="FFFFFF" w:val="clear"/>
        </w:rPr>
        <w:t>family of dietary supplements that include the</w:t>
      </w:r>
      <w:r>
        <w:rPr>
          <w:color w:val="000000"/>
          <w:shd w:fill="FFFFFF" w:val="clear"/>
        </w:rPr>
        <w:t xml:space="preserve"> </w:t>
      </w:r>
      <w:r>
        <w:rPr>
          <w:rFonts w:ascii="Times New Roman;serif" w:hAnsi="Times New Roman;serif"/>
          <w:b w:val="false"/>
          <w:color w:val="000000"/>
          <w:sz w:val="20"/>
        </w:rPr>
        <w:t>MindBody GLP-1 System</w:t>
      </w:r>
      <w:r>
        <w:rPr>
          <w:color w:val="000000"/>
        </w:rPr>
        <w:t>™</w:t>
      </w:r>
      <w:r>
        <w:rPr>
          <w:rFonts w:ascii="Times New Roman;serif" w:hAnsi="Times New Roman;serif"/>
          <w:b w:val="false"/>
          <w:color w:val="000000"/>
          <w:sz w:val="20"/>
        </w:rPr>
        <w:t>, Omega+, ProBio, IC Bright</w:t>
      </w:r>
      <w:r>
        <w:rPr>
          <w:rFonts w:ascii="Times New Roman;serif" w:hAnsi="Times New Roman;serif"/>
          <w:b w:val="false"/>
          <w:color w:val="000000"/>
          <w:sz w:val="13"/>
        </w:rPr>
        <w:t>®</w:t>
      </w:r>
      <w:r>
        <w:rPr>
          <w:rFonts w:ascii="Times New Roman;serif" w:hAnsi="Times New Roman;serif"/>
          <w:b w:val="false"/>
          <w:color w:val="000000"/>
          <w:sz w:val="20"/>
        </w:rPr>
        <w:t>, the Rise AM &amp; Reset PM System</w:t>
      </w:r>
      <w:r>
        <w:rPr>
          <w:rFonts w:ascii="Times New Roman;serif" w:hAnsi="Times New Roman;serif"/>
          <w:b w:val="false"/>
          <w:color w:val="000000"/>
          <w:sz w:val="13"/>
        </w:rPr>
        <w:t>®</w:t>
      </w:r>
      <w:r>
        <w:rPr>
          <w:rFonts w:ascii="Times New Roman;serif" w:hAnsi="Times New Roman;serif"/>
          <w:b w:val="false"/>
          <w:color w:val="000000"/>
          <w:sz w:val="20"/>
        </w:rPr>
        <w:t>, D3+, and Daily Wellness, our PhysIQ</w:t>
      </w:r>
      <w:r>
        <w:rPr>
          <w:color w:val="000000"/>
        </w:rPr>
        <w:t xml:space="preserve">™ </w:t>
      </w:r>
      <w:r>
        <w:rPr>
          <w:rFonts w:ascii="Times New Roman;serif" w:hAnsi="Times New Roman;serif"/>
          <w:b w:val="false"/>
          <w:color w:val="000000"/>
          <w:sz w:val="20"/>
        </w:rPr>
        <w:t>Fat Burn and Prebiotic dietary supplements, our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skin and hair care products and Liquid Collagen, Petandim</w:t>
      </w:r>
      <w:r>
        <w:rPr>
          <w:rFonts w:ascii="Times New Roman;serif" w:hAnsi="Times New Roman;serif"/>
          <w:b w:val="false"/>
          <w:color w:val="000000"/>
          <w:sz w:val="13"/>
        </w:rPr>
        <w:t>®</w:t>
      </w:r>
      <w:r>
        <w:rPr>
          <w:rFonts w:ascii="Times New Roman;serif" w:hAnsi="Times New Roman;serif"/>
          <w:b w:val="false"/>
          <w:color w:val="000000"/>
          <w:sz w:val="20"/>
        </w:rPr>
        <w:t>, our companion pet supplement formulated to combat oxidative stress in dogs; and AXIO</w:t>
      </w:r>
      <w:r>
        <w:rPr>
          <w:rFonts w:ascii="Times New Roman;serif" w:hAnsi="Times New Roman;serif"/>
          <w:b w:val="false"/>
          <w:color w:val="000000"/>
          <w:sz w:val="13"/>
        </w:rPr>
        <w:t>®</w:t>
      </w:r>
      <w:r>
        <w:rPr>
          <w:rFonts w:ascii="Times New Roman;serif" w:hAnsi="Times New Roman;serif"/>
          <w:b w:val="false"/>
          <w:color w:val="000000"/>
          <w:sz w:val="20"/>
        </w:rPr>
        <w:t>, our nootropic energy drink mixes;</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Our sales compensation plan and other sales initiatives and incentives;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Our delivery of superior customer service.</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As a result, it is vital to our success that we leverage our product development resources to develop and introduce compelling and innovative products and provide opportunities for our independent consultants to sell these products in a variety of markets. We sell our products in the United States, Mexico, Japan, Australia, Hong Kong, Canada, Thailand, the United Kingdom, the Netherlands, Germany, Taiwan, Austria, Spain, Ireland, Belgium, New Zealand, Singapore and Iceland. In addition, we sell our products in a number of countries for personal consumption only. Entering a new market requires a considerable amount of time, resources and continued support. If we are unable to properly support an existing or new market, our revenue growth may be negatively impacted. On June 30, 2025, we ceased operations in the Philippines and closed that market. In September 2025, we commenced operations in Iceland.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pPr>
      <w:r>
        <w:rPr>
          <w:rFonts w:ascii="Times New Roman;serif" w:hAnsi="Times New Roman;serif"/>
          <w:b/>
          <w:color w:val="000000"/>
          <w:sz w:val="20"/>
        </w:rPr>
        <w:t>Our</w:t>
      </w:r>
      <w:r>
        <w:rPr>
          <w:color w:val="000000"/>
          <w:shd w:fill="FFFFFF" w:val="clear"/>
        </w:rPr>
        <w:t xml:space="preserve"> </w:t>
      </w:r>
      <w:r>
        <w:rPr>
          <w:rFonts w:ascii="Times New Roman;serif" w:hAnsi="Times New Roman;serif"/>
          <w:b/>
          <w:color w:val="000000"/>
          <w:sz w:val="20"/>
          <w:shd w:fill="FFFFFF" w:val="clear"/>
        </w:rPr>
        <w:t>Products</w:t>
      </w:r>
    </w:p>
    <w:p>
      <w:pPr>
        <w:pStyle w:val="TextBody"/>
        <w:bidi w:val="0"/>
        <w:spacing w:lineRule="auto" w:line="288" w:before="160" w:after="160"/>
        <w:jc w:val="left"/>
        <w:rPr/>
      </w:pPr>
      <w:r>
        <w:rPr>
          <w:rFonts w:ascii="Times New Roman;serif" w:hAnsi="Times New Roman;serif"/>
          <w:b w:val="false"/>
          <w:color w:val="000000"/>
          <w:sz w:val="20"/>
        </w:rPr>
        <w:t>Our products are: the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scientifically validated dietary supplements; the LifeVantage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dietary supplements that include the MindBody GLP-1 System</w:t>
      </w:r>
      <w:r>
        <w:rPr>
          <w:color w:val="000000"/>
        </w:rPr>
        <w:t>™</w:t>
      </w:r>
      <w:r>
        <w:rPr>
          <w:rFonts w:ascii="Times New Roman;serif" w:hAnsi="Times New Roman;serif"/>
          <w:b w:val="false"/>
          <w:color w:val="000000"/>
          <w:sz w:val="20"/>
        </w:rPr>
        <w:t>, Omega+, ProBio, IC Bright</w:t>
      </w:r>
      <w:r>
        <w:rPr>
          <w:rFonts w:ascii="Times New Roman;serif" w:hAnsi="Times New Roman;serif"/>
          <w:b w:val="false"/>
          <w:color w:val="000000"/>
          <w:sz w:val="13"/>
        </w:rPr>
        <w:t>®</w:t>
      </w:r>
      <w:r>
        <w:rPr>
          <w:rFonts w:ascii="Times New Roman;serif" w:hAnsi="Times New Roman;serif"/>
          <w:b w:val="false"/>
          <w:color w:val="000000"/>
          <w:sz w:val="20"/>
        </w:rPr>
        <w:t>, the Rise AM &amp; Reset PM System</w:t>
      </w:r>
      <w:r>
        <w:rPr>
          <w:rFonts w:ascii="Times New Roman;serif" w:hAnsi="Times New Roman;serif"/>
          <w:b w:val="false"/>
          <w:color w:val="000000"/>
          <w:sz w:val="13"/>
        </w:rPr>
        <w:t>®</w:t>
      </w:r>
      <w:r>
        <w:rPr>
          <w:rFonts w:ascii="Times New Roman;serif" w:hAnsi="Times New Roman;serif"/>
          <w:b w:val="false"/>
          <w:color w:val="000000"/>
          <w:sz w:val="20"/>
        </w:rPr>
        <w:t>, D3+, and Daily Wellness; the PhysIQ Fat Burn and Prebiotic dietary supplements; the TrueScience</w:t>
      </w:r>
      <w:r>
        <w:rPr>
          <w:rFonts w:ascii="Times New Roman;serif" w:hAnsi="Times New Roman;serif"/>
          <w:b w:val="false"/>
          <w:color w:val="000000"/>
          <w:sz w:val="13"/>
        </w:rPr>
        <w:t xml:space="preserve">® </w:t>
      </w:r>
      <w:r>
        <w:rPr>
          <w:rFonts w:ascii="Times New Roman;serif" w:hAnsi="Times New Roman;serif"/>
          <w:b w:val="false"/>
          <w:color w:val="000000"/>
          <w:sz w:val="20"/>
        </w:rPr>
        <w:t>line of skin and hair care products and Liquid Collagen; the Petandim</w:t>
      </w:r>
      <w:r>
        <w:rPr>
          <w:rFonts w:ascii="Times New Roman;serif" w:hAnsi="Times New Roman;serif"/>
          <w:b w:val="false"/>
          <w:color w:val="000000"/>
          <w:sz w:val="13"/>
        </w:rPr>
        <w:t xml:space="preserve">® </w:t>
      </w:r>
      <w:r>
        <w:rPr>
          <w:rFonts w:ascii="Times New Roman;serif" w:hAnsi="Times New Roman;serif"/>
          <w:b w:val="false"/>
          <w:color w:val="000000"/>
          <w:sz w:val="20"/>
        </w:rPr>
        <w:t>companion pet supplement formulated to combat oxidative stress in dogs; and AXIO</w:t>
      </w:r>
      <w:r>
        <w:rPr>
          <w:rFonts w:ascii="Times New Roman;serif" w:hAnsi="Times New Roman;serif"/>
          <w:b w:val="false"/>
          <w:color w:val="000000"/>
          <w:sz w:val="13"/>
        </w:rPr>
        <w:t>®</w:t>
      </w:r>
      <w:r>
        <w:rPr>
          <w:rFonts w:ascii="Times New Roman;serif" w:hAnsi="Times New Roman;serif"/>
          <w:b w:val="false"/>
          <w:color w:val="000000"/>
          <w:sz w:val="20"/>
        </w:rPr>
        <w:t xml:space="preserve">, our nootropic energy drink mixes. We believe the significant number of customers who regularly and repeatedly purchase our products is a strong indicator of the health benefits of our products. </w:t>
      </w:r>
    </w:p>
    <w:p>
      <w:pPr>
        <w:pStyle w:val="TextBody"/>
        <w:bidi w:val="0"/>
        <w:spacing w:lineRule="auto" w:line="288" w:before="160" w:after="160"/>
        <w:jc w:val="left"/>
        <w:rPr/>
      </w:pPr>
      <w:r>
        <w:rPr>
          <w:rFonts w:ascii="Times New Roman;serif" w:hAnsi="Times New Roman;serif"/>
          <w:b w:val="false"/>
          <w:color w:val="000000"/>
          <w:sz w:val="20"/>
        </w:rPr>
        <w:t>The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line includes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NRF1 Synergizer</w:t>
      </w:r>
      <w:r>
        <w:rPr>
          <w:rFonts w:ascii="Times New Roman;serif" w:hAnsi="Times New Roman;serif"/>
          <w:b w:val="false"/>
          <w:color w:val="000000"/>
          <w:sz w:val="13"/>
        </w:rPr>
        <w:t>®</w:t>
      </w:r>
      <w:r>
        <w:rPr>
          <w:rFonts w:ascii="Times New Roman;serif" w:hAnsi="Times New Roman;serif"/>
          <w:b w:val="false"/>
          <w:color w:val="000000"/>
          <w:sz w:val="20"/>
        </w:rPr>
        <w:t>,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Nrf2 Synergizer</w:t>
      </w:r>
      <w:r>
        <w:rPr>
          <w:rFonts w:ascii="Times New Roman;serif" w:hAnsi="Times New Roman;serif"/>
          <w:b w:val="false"/>
          <w:color w:val="000000"/>
          <w:sz w:val="13"/>
        </w:rPr>
        <w:t>®</w:t>
      </w:r>
      <w:r>
        <w:rPr>
          <w:rFonts w:ascii="Times New Roman;serif" w:hAnsi="Times New Roman;serif"/>
          <w:b w:val="false"/>
          <w:color w:val="000000"/>
          <w:sz w:val="20"/>
        </w:rPr>
        <w:t>, and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NAD Synergizer</w:t>
      </w:r>
      <w:r>
        <w:rPr>
          <w:rFonts w:ascii="Times New Roman;serif" w:hAnsi="Times New Roman;serif"/>
          <w:b w:val="false"/>
          <w:color w:val="000000"/>
          <w:sz w:val="13"/>
        </w:rPr>
        <w:t>®</w:t>
      </w:r>
      <w:r>
        <w:rPr>
          <w:rFonts w:ascii="Times New Roman;serif" w:hAnsi="Times New Roman;serif"/>
          <w:b w:val="false"/>
          <w:color w:val="000000"/>
          <w:sz w:val="20"/>
        </w:rPr>
        <w:t>. The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NRF1 Synergizer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formulated to increase cellular energy and performance by boosting mitochondria production to improve cellular repair and slow cellular aging. The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Nrf2 Synergizer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NAD Synergizer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was specifically formulated to target cell signaling pathways involved in the synthesis and recycling of a specific molecule called NAD (nicotinamide adenine dinucleotide), and it has been shown to double sirtuin activity, supporting increased health, focus, energy, mental clarity, and mood. Use of the three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products together, marketed as the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Tri-Synergizer</w:t>
      </w:r>
      <w:r>
        <w:rPr>
          <w:rFonts w:ascii="Times New Roman;serif" w:hAnsi="Times New Roman;serif"/>
          <w:b w:val="false"/>
          <w:color w:val="000000"/>
          <w:sz w:val="13"/>
        </w:rPr>
        <w:t>®</w:t>
      </w:r>
      <w:r>
        <w:rPr>
          <w:rFonts w:ascii="Times New Roman;serif" w:hAnsi="Times New Roman;serif"/>
          <w:b w:val="false"/>
          <w:color w:val="000000"/>
          <w:sz w:val="20"/>
        </w:rPr>
        <w:t xml:space="preserve">, has been shown to produce synergistic benefits greater than using the single products on their own. </w:t>
      </w:r>
    </w:p>
    <w:p>
      <w:pPr>
        <w:pStyle w:val="TextBody"/>
        <w:bidi w:val="0"/>
        <w:spacing w:lineRule="auto" w:line="288" w:before="160" w:after="160"/>
        <w:jc w:val="left"/>
        <w:rPr/>
      </w:pPr>
      <w:r>
        <w:rPr>
          <w:rFonts w:ascii="Times New Roman;serif" w:hAnsi="Times New Roman;serif"/>
          <w:b w:val="false"/>
          <w:color w:val="000000"/>
          <w:sz w:val="20"/>
        </w:rPr>
        <w:t>The LifeVantage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product line includes: the new MindBody GLP-1 System</w:t>
      </w:r>
      <w:r>
        <w:rPr>
          <w:color w:val="000000"/>
        </w:rPr>
        <w:t>™</w:t>
      </w:r>
      <w:r>
        <w:rPr>
          <w:rFonts w:ascii="Times New Roman;serif" w:hAnsi="Times New Roman;serif"/>
          <w:b w:val="false"/>
          <w:color w:val="000000"/>
          <w:sz w:val="20"/>
        </w:rPr>
        <w:t>, a dietary supplement that combines two products MB Core</w:t>
      </w:r>
      <w:r>
        <w:rPr>
          <w:color w:val="000000"/>
        </w:rPr>
        <w:t xml:space="preserve">™ </w:t>
      </w:r>
      <w:r>
        <w:rPr>
          <w:rFonts w:ascii="Times New Roman;serif" w:hAnsi="Times New Roman;serif"/>
          <w:b w:val="false"/>
          <w:color w:val="000000"/>
          <w:sz w:val="20"/>
        </w:rPr>
        <w:t>and MB Enhance</w:t>
      </w:r>
      <w:r>
        <w:rPr>
          <w:color w:val="000000"/>
        </w:rPr>
        <w:t xml:space="preserve">™ </w:t>
      </w:r>
      <w:r>
        <w:rPr>
          <w:rFonts w:ascii="Times New Roman;serif" w:hAnsi="Times New Roman;serif"/>
          <w:b w:val="false"/>
          <w:color w:val="000000"/>
          <w:sz w:val="20"/>
        </w:rPr>
        <w:t>designed to support weight loss and wellness by activating GLP-1 naturally and balancing signals along the gut-brain axis; Omega+, a dietary supplement that combines DHA and EPA Omega-3 fatty acids, omega-7 fatty acids, and vitamin D3 to support cognitive health, cardiovascular health, skin health, and the immune system; ProBio, a dietary supplement designed to support optimal digestion and immune system function; Daily Wellness, a dietary supplement designed to support immune health. IC Bright</w:t>
      </w:r>
      <w:r>
        <w:rPr>
          <w:rFonts w:ascii="Times New Roman;serif" w:hAnsi="Times New Roman;serif"/>
          <w:b w:val="false"/>
          <w:color w:val="000000"/>
          <w:sz w:val="13"/>
        </w:rPr>
        <w:t>®</w:t>
      </w:r>
      <w:r>
        <w:rPr>
          <w:rFonts w:ascii="Times New Roman;serif" w:hAnsi="Times New Roman;serif"/>
          <w:b w:val="false"/>
          <w:color w:val="000000"/>
          <w:sz w:val="20"/>
        </w:rPr>
        <w:t>, a dietary supplement to help support eye and brain health, reduce eye fatigue and strain, support cognitive functions, and may help support normal sleep patterns; the Rise AM &amp; Reset PM System</w:t>
      </w:r>
      <w:r>
        <w:rPr>
          <w:rFonts w:ascii="Times New Roman;serif" w:hAnsi="Times New Roman;serif"/>
          <w:b w:val="false"/>
          <w:color w:val="000000"/>
          <w:sz w:val="13"/>
        </w:rPr>
        <w:t>®</w:t>
      </w:r>
      <w:r>
        <w:rPr>
          <w:rFonts w:ascii="Times New Roman;serif" w:hAnsi="Times New Roman;serif"/>
          <w:b w:val="false"/>
          <w:color w:val="000000"/>
          <w:sz w:val="20"/>
        </w:rPr>
        <w:t>, a dietary supplement that uses Timewise Nutrient Delivery</w:t>
      </w:r>
      <w:r>
        <w:rPr>
          <w:color w:val="000000"/>
        </w:rPr>
        <w:t xml:space="preserve">™ </w:t>
      </w:r>
      <w:r>
        <w:rPr>
          <w:rFonts w:ascii="Times New Roman;serif" w:hAnsi="Times New Roman;serif"/>
          <w:b w:val="false"/>
          <w:color w:val="000000"/>
          <w:sz w:val="20"/>
        </w:rPr>
        <w:t>to provide the body with the right nutrients in the right amounts at the right time and D3+, a dietary supplement that provides vitamin D3, vitamin K2, magnesium, calcium, and other trace minerals to support a balanced immune system, strong bones, and cardiovascular health.</w:t>
      </w:r>
    </w:p>
    <w:p>
      <w:pPr>
        <w:pStyle w:val="TextBody"/>
        <w:bidi w:val="0"/>
        <w:spacing w:lineRule="auto" w:line="288" w:before="160" w:after="160"/>
        <w:jc w:val="left"/>
        <w:rPr/>
      </w:pPr>
      <w:r>
        <w:rPr>
          <w:rFonts w:ascii="Times New Roman;serif" w:hAnsi="Times New Roman;serif"/>
          <w:b w:val="false"/>
          <w:color w:val="000000"/>
          <w:sz w:val="20"/>
        </w:rPr>
        <w:t>PhysIQ</w:t>
      </w:r>
      <w:r>
        <w:rPr>
          <w:color w:val="000000"/>
        </w:rPr>
        <w:t xml:space="preserve">™ </w:t>
      </w:r>
      <w:r>
        <w:rPr>
          <w:rFonts w:ascii="Times New Roman;serif" w:hAnsi="Times New Roman;serif"/>
          <w:b w:val="false"/>
          <w:color w:val="000000"/>
          <w:sz w:val="20"/>
        </w:rPr>
        <w:t>Fat Burn is a dietary supplement designed to support weight management, and PhysIQ</w:t>
      </w:r>
      <w:r>
        <w:rPr>
          <w:color w:val="000000"/>
        </w:rPr>
        <w:t xml:space="preserve">™ </w:t>
      </w:r>
      <w:r>
        <w:rPr>
          <w:rFonts w:ascii="Times New Roman;serif" w:hAnsi="Times New Roman;serif"/>
          <w:b w:val="false"/>
          <w:color w:val="000000"/>
          <w:sz w:val="20"/>
        </w:rPr>
        <w:t xml:space="preserve">Prebiotic is a dietary supplement designed to support a healthy digestive tract. </w:t>
      </w:r>
    </w:p>
    <w:p>
      <w:pPr>
        <w:pStyle w:val="TextBody"/>
        <w:bidi w:val="0"/>
        <w:spacing w:lineRule="auto" w:line="288" w:before="160" w:after="160"/>
        <w:jc w:val="left"/>
        <w:rPr/>
      </w:pPr>
      <w:r>
        <w:rPr>
          <w:rFonts w:ascii="Times New Roman;serif" w:hAnsi="Times New Roman;serif"/>
          <w:b w:val="false"/>
          <w:color w:val="000000"/>
          <w:sz w:val="20"/>
        </w:rPr>
        <w:t>Our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line of skin and hair care products includes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TrueClean Refining Cleanser,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TrueRenew Daily Firming Complex,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TrueLift Illuminating Eye Cream,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TrueHydrate Brightening Moisturizer,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TrueTone Perfecting Lotion,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TrueProtect Daily Mineral Sunstick SPF 30,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Perfecting Lotion,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Hand Cream,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Invigorating Shampoo,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Nourishing Conditioner,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Scalp Serum, and TrueScience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Liquid Collagen, a dietary supplement that activates, replenishes, and maintains collagen to support firmness and elasticity from within. </w:t>
      </w:r>
    </w:p>
    <w:p>
      <w:pPr>
        <w:pStyle w:val="TextBody"/>
        <w:bidi w:val="0"/>
        <w:spacing w:lineRule="auto" w:line="288" w:before="160" w:after="160"/>
        <w:jc w:val="left"/>
        <w:rPr/>
      </w:pPr>
      <w:r>
        <w:rPr>
          <w:rFonts w:ascii="Times New Roman;serif" w:hAnsi="Times New Roman;serif"/>
          <w:b w:val="false"/>
          <w:color w:val="000000"/>
          <w:sz w:val="20"/>
        </w:rPr>
        <w:t>Petandim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is a supplement specially formulated to combat oxidative stress in dogs through Nrf2 activation. </w:t>
      </w:r>
    </w:p>
    <w:p>
      <w:pPr>
        <w:pStyle w:val="TextBody"/>
        <w:bidi w:val="0"/>
        <w:spacing w:lineRule="auto" w:line="288" w:before="160" w:after="160"/>
        <w:jc w:val="left"/>
        <w:rPr/>
      </w:pPr>
      <w:r>
        <w:rPr>
          <w:rFonts w:ascii="Times New Roman;serif" w:hAnsi="Times New Roman;serif"/>
          <w:b w:val="false"/>
          <w:color w:val="000000"/>
          <w:sz w:val="20"/>
        </w:rPr>
        <w:t>AXIO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is our line of our nootropic energy drink mixes formulated to promote alertness and support mental performance. </w:t>
      </w:r>
    </w:p>
    <w:p>
      <w:pPr>
        <w:pStyle w:val="TextBody"/>
        <w:bidi w:val="0"/>
        <w:spacing w:lineRule="auto" w:line="288" w:before="160" w:after="160"/>
        <w:jc w:val="left"/>
        <w:rPr/>
      </w:pPr>
      <w:r>
        <w:rPr>
          <w:rFonts w:ascii="Times New Roman;serif" w:hAnsi="Times New Roman;serif"/>
          <w:b w:val="false"/>
          <w:color w:val="000000"/>
          <w:sz w:val="20"/>
          <w:shd w:fill="FFFFFF" w:val="clear"/>
        </w:rPr>
        <w:t xml:space="preserve">We sell our products both individually and in stacks. A stack consists of multiple products bundled together that are designed to achieve a specific result. </w:t>
      </w:r>
      <w:r>
        <w:rPr>
          <w:rFonts w:ascii="Times New Roman;serif" w:hAnsi="Times New Roman;serif"/>
          <w:b w:val="false"/>
          <w:color w:val="000000"/>
          <w:sz w:val="20"/>
        </w:rPr>
        <w:t>In fiscal year 2025, our stack strategy continued to focus on the brand message of activation. During the year, we introduced a number of new stacks to meet customer and independent consultant needs. Prior to the launch of our latest activator, the MindBody GLP-1 System</w:t>
      </w:r>
      <w:r>
        <w:rPr>
          <w:color w:val="000000"/>
        </w:rPr>
        <w:t xml:space="preserve">™ </w:t>
      </w:r>
      <w:r>
        <w:rPr>
          <w:rFonts w:ascii="Times New Roman;serif" w:hAnsi="Times New Roman;serif"/>
          <w:b w:val="false"/>
          <w:color w:val="000000"/>
          <w:sz w:val="20"/>
        </w:rPr>
        <w:t>, we introduced the Kickstart Bundle, which features a selection of products (varies by market) to help prepare the body for GLP-1 activation. Additionally, several stacks were introduced that incorporated the MindBody GLP-1 System</w:t>
      </w:r>
      <w:r>
        <w:rPr>
          <w:color w:val="000000"/>
        </w:rPr>
        <w:t xml:space="preserve">™ </w:t>
      </w:r>
      <w:r>
        <w:rPr>
          <w:rFonts w:ascii="Times New Roman;serif" w:hAnsi="Times New Roman;serif"/>
          <w:b w:val="false"/>
          <w:color w:val="000000"/>
          <w:sz w:val="20"/>
        </w:rPr>
        <w:t xml:space="preserve">to offer consumers support for weight management and wellness along with delivering other targeted benefits as part of their activated lifestyle. </w:t>
      </w:r>
    </w:p>
    <w:p>
      <w:pPr>
        <w:pStyle w:val="TextBody"/>
        <w:bidi w:val="0"/>
        <w:spacing w:lineRule="auto" w:line="288" w:before="160" w:after="160"/>
        <w:jc w:val="left"/>
        <w:rPr/>
      </w:pPr>
      <w:r>
        <w:rPr>
          <w:rFonts w:ascii="Times New Roman;serif" w:hAnsi="Times New Roman;serif"/>
          <w:b w:val="false"/>
          <w:color w:val="000000"/>
          <w:sz w:val="20"/>
        </w:rPr>
        <w:t>We also introduced our Healthy Weight Stack, which includes the MindBody GLP-1 System</w:t>
      </w:r>
      <w:r>
        <w:rPr>
          <w:color w:val="000000"/>
        </w:rPr>
        <w:t xml:space="preserve">™ </w:t>
      </w:r>
      <w:r>
        <w:rPr>
          <w:rFonts w:ascii="Times New Roman;serif" w:hAnsi="Times New Roman;serif"/>
          <w:b w:val="false"/>
          <w:color w:val="000000"/>
          <w:sz w:val="20"/>
        </w:rPr>
        <w:t>and 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Nrf2 Synergizer</w:t>
      </w:r>
      <w:r>
        <w:rPr>
          <w:rFonts w:ascii="Times New Roman;serif" w:hAnsi="Times New Roman;serif"/>
          <w:b w:val="false"/>
          <w:color w:val="000000"/>
          <w:sz w:val="13"/>
        </w:rPr>
        <w:t>®</w:t>
      </w:r>
      <w:r>
        <w:rPr>
          <w:rFonts w:ascii="Times New Roman;serif" w:hAnsi="Times New Roman;serif"/>
          <w:b w:val="false"/>
          <w:color w:val="000000"/>
          <w:sz w:val="20"/>
        </w:rPr>
        <w:t xml:space="preserve">. Results of an in vitro study were released that showed beneficial “activation synergies” when both products were used together, including enhanced fatty acid metabolism, improved defense against oxidative stress, and activation of 22 new genes that help cells make what they need to support organ strength, structure, and signaling.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We continue to offer other popular stacks with products that complement one another with inner activation power for internal benefits that can be felt, external benefits that can be seen, or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We currently have additional products in development and additional product offerings that come with our acquisition of LoveBiome's critical assets in October 2025. Any delays or difficulties in intr</w:t>
      </w:r>
      <w:r>
        <w:rPr>
          <w:rFonts w:ascii="Times New Roman;serif" w:hAnsi="Times New Roman;serif"/>
          <w:b w:val="false"/>
          <w:color w:val="000000"/>
          <w:sz w:val="20"/>
        </w:rPr>
        <w:t xml:space="preserve">oducing compelling products or attractive initiatives or tools into our markets may have a negative impact on our revenue and our ability to attract new independent consultants and customers. </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Compensation Plan for our Independent Consultants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 2023, we launched a new compensation plan for our independent consultants in the United States, Japan, Australia, and New Zealand markets. We refer to this compensation plan as our Evolve Compensation Plan. On February 1, 2024, we launched the Evolve Compensation Plan in the Canada, Mexico, and Europe markets. On November 1, 2024 we launched an optimized version of the Evolve Compensation Plan in the United States, Japan, Australia, New Zealand, Canada, Mexico, and Europe markets. On March 1, 2025, we launched the Evolve Compensation Plan in other markets, including Taiwan, Hong Kong, and Singapore.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Accounts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we primarily utilize a direct selling model for the distribution of a majority of our products, the success and growth of our business depends in large part on the effectiveness of our independent consultants to attract and retain customers to purchase our products and our ability to attract new and retain existing independent consultants. Changes in our product sales typically are the result of variations in product sales volume relating to fluctuations in the number of active independent consultants and customers purchasing our products. The number of active independent consultants and customers is, therefore, used by management as a key non-financial measure.</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our active accounts base by geographic region. These numbers have been rounded to the nearest thousand as of the dates indicated. For purposes of this report, we define “Active Accounts” as only those independent consultants and customers who have purchased from us at any time during the most recent three-month period, either for personal use or for resale.</w:t>
      </w:r>
    </w:p>
    <w:tbl>
      <w:tblPr>
        <w:tblW w:w="10205" w:type="dxa"/>
        <w:jc w:val="left"/>
        <w:tblInd w:w="0" w:type="dxa"/>
        <w:tblLayout w:type="fixed"/>
        <w:tblCellMar>
          <w:top w:w="28" w:type="dxa"/>
          <w:left w:w="28" w:type="dxa"/>
          <w:bottom w:w="28" w:type="dxa"/>
          <w:right w:w="28" w:type="dxa"/>
        </w:tblCellMar>
      </w:tblPr>
      <w:tblGrid>
        <w:gridCol w:w="793"/>
        <w:gridCol w:w="697"/>
        <w:gridCol w:w="701"/>
        <w:gridCol w:w="412"/>
        <w:gridCol w:w="414"/>
        <w:gridCol w:w="109"/>
        <w:gridCol w:w="109"/>
        <w:gridCol w:w="109"/>
        <w:gridCol w:w="109"/>
        <w:gridCol w:w="307"/>
        <w:gridCol w:w="309"/>
        <w:gridCol w:w="271"/>
        <w:gridCol w:w="109"/>
        <w:gridCol w:w="109"/>
        <w:gridCol w:w="109"/>
        <w:gridCol w:w="412"/>
        <w:gridCol w:w="414"/>
        <w:gridCol w:w="109"/>
        <w:gridCol w:w="109"/>
        <w:gridCol w:w="109"/>
        <w:gridCol w:w="109"/>
        <w:gridCol w:w="307"/>
        <w:gridCol w:w="309"/>
        <w:gridCol w:w="271"/>
        <w:gridCol w:w="109"/>
        <w:gridCol w:w="109"/>
        <w:gridCol w:w="109"/>
        <w:gridCol w:w="556"/>
        <w:gridCol w:w="491"/>
        <w:gridCol w:w="493"/>
        <w:gridCol w:w="109"/>
        <w:gridCol w:w="109"/>
        <w:gridCol w:w="109"/>
        <w:gridCol w:w="280"/>
        <w:gridCol w:w="232"/>
        <w:gridCol w:w="683"/>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from Prior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Change</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Independent Consultants</w:t>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Active Independent Consultants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Customers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Americas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Asia/Pacific &amp; Europe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Active Customers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Accounts</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Americas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Asia/Pacific &amp; Europe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Active Accounts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September 30, 2025 and 2024</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Revenue.</w:t>
      </w:r>
      <w:r>
        <w:rPr>
          <w:color w:val="000000"/>
        </w:rPr>
        <w:t xml:space="preserve"> </w:t>
      </w:r>
      <w:r>
        <w:rPr>
          <w:rFonts w:ascii="Times New Roman;serif" w:hAnsi="Times New Roman;serif"/>
          <w:b w:val="false"/>
          <w:color w:val="000000"/>
          <w:sz w:val="20"/>
        </w:rPr>
        <w:t>We generated net revenue of $47.6 million and $47.2 million</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September 30, 2025 and 2024, respectively. The slight increase in revenue for the three months ended September 30, 2025 was primarily driven by sales of our MindBody GLP-1 </w:t>
      </w:r>
      <w:r>
        <w:rPr>
          <w:rFonts w:ascii="Times New Roman;serif" w:hAnsi="Times New Roman;serif"/>
          <w:b w:val="false"/>
          <w:color w:val="000000"/>
          <w:sz w:val="20"/>
        </w:rPr>
        <w:t>System</w:t>
      </w:r>
      <w:r>
        <w:rPr>
          <w:color w:val="000000"/>
        </w:rPr>
        <w:t>™</w:t>
      </w:r>
      <w:r>
        <w:rPr>
          <w:rFonts w:ascii="Times New Roman;serif" w:hAnsi="Times New Roman;serif"/>
          <w:b w:val="false"/>
          <w:color w:val="000000"/>
          <w:sz w:val="20"/>
          <w:shd w:fill="FFFFFF" w:val="clear"/>
        </w:rPr>
        <w:t xml:space="preserve">, which launched in the U.S. market in October 2024 and in the Japan market and exclusively to independent consultants in the Australia, New Zealand, Europe, United Kingdom, Mexico and Thailand markets in March 2025. The sales of our MindBody GLP-1 </w:t>
      </w:r>
      <w:r>
        <w:rPr>
          <w:rFonts w:ascii="Times New Roman;serif" w:hAnsi="Times New Roman;serif"/>
          <w:b w:val="false"/>
          <w:color w:val="000000"/>
          <w:sz w:val="20"/>
        </w:rPr>
        <w:t>System</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were offset by reduced sales of our </w:t>
      </w:r>
      <w:r>
        <w:rPr>
          <w:rFonts w:ascii="Times New Roman;serif" w:hAnsi="Times New Roman;serif"/>
          <w:b w:val="false"/>
          <w:color w:val="000000"/>
          <w:sz w:val="20"/>
        </w:rPr>
        <w:t>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TrueScience</w:t>
      </w:r>
      <w:r>
        <w:rPr>
          <w:rFonts w:ascii="Times New Roman;serif" w:hAnsi="Times New Roman;serif"/>
          <w:b w:val="false"/>
          <w:color w:val="000000"/>
          <w:sz w:val="13"/>
        </w:rPr>
        <w:t xml:space="preserve">® </w:t>
      </w:r>
      <w:r>
        <w:rPr>
          <w:rFonts w:ascii="Times New Roman;serif" w:hAnsi="Times New Roman;serif"/>
          <w:b w:val="false"/>
          <w:color w:val="000000"/>
          <w:sz w:val="20"/>
        </w:rPr>
        <w:t>product lines.</w:t>
      </w:r>
      <w:r>
        <w:rPr>
          <w:color w:val="000000"/>
          <w:shd w:fill="FFFFFF" w:val="clear"/>
        </w:rPr>
        <w:t xml:space="preserve"> </w:t>
      </w:r>
      <w:r>
        <w:rPr>
          <w:rFonts w:ascii="Times New Roman;serif" w:hAnsi="Times New Roman;serif"/>
          <w:b w:val="false"/>
          <w:color w:val="000000"/>
          <w:sz w:val="20"/>
          <w:shd w:fill="FFFFFF" w:val="clear"/>
        </w:rPr>
        <w:t>Foreign currency fluctuations positively impacted our revenue by $0.2 million, or 0.4%,</w:t>
      </w:r>
      <w:r>
        <w:rPr>
          <w:color w:val="000000"/>
        </w:rPr>
        <w:t xml:space="preserve"> </w:t>
      </w:r>
      <w:r>
        <w:rPr>
          <w:rFonts w:ascii="Times New Roman;serif" w:hAnsi="Times New Roman;serif"/>
          <w:b w:val="false"/>
          <w:color w:val="000000"/>
          <w:sz w:val="20"/>
          <w:shd w:fill="FFFFFF" w:val="clear"/>
        </w:rPr>
        <w:t>during the three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erif" w:hAnsi="Times New Roman;serif"/>
          <w:b w:val="false"/>
          <w:color w:val="000000"/>
          <w:sz w:val="20"/>
          <w:u w:val="single"/>
        </w:rPr>
        <w:t>Americas</w:t>
      </w:r>
      <w:r>
        <w:rPr>
          <w:rFonts w:ascii="Times New Roman;serif" w:hAnsi="Times New Roman;serif"/>
          <w:b w:val="false"/>
          <w:color w:val="000000"/>
          <w:sz w:val="20"/>
        </w:rPr>
        <w:t>. The following table sets forth revenue for the three months ended September 30, 2025 and 2024 for the Americas region (in thousands):</w:t>
      </w:r>
    </w:p>
    <w:tbl>
      <w:tblPr>
        <w:tblW w:w="6557" w:type="dxa"/>
        <w:jc w:val="left"/>
        <w:tblInd w:w="0" w:type="dxa"/>
        <w:tblLayout w:type="fixed"/>
        <w:tblCellMar>
          <w:top w:w="28" w:type="dxa"/>
          <w:left w:w="28" w:type="dxa"/>
          <w:bottom w:w="28" w:type="dxa"/>
          <w:right w:w="28" w:type="dxa"/>
        </w:tblCellMar>
      </w:tblPr>
      <w:tblGrid>
        <w:gridCol w:w="490"/>
        <w:gridCol w:w="429"/>
        <w:gridCol w:w="431"/>
        <w:gridCol w:w="273"/>
        <w:gridCol w:w="934"/>
        <w:gridCol w:w="141"/>
        <w:gridCol w:w="141"/>
        <w:gridCol w:w="141"/>
        <w:gridCol w:w="141"/>
        <w:gridCol w:w="273"/>
        <w:gridCol w:w="934"/>
        <w:gridCol w:w="141"/>
        <w:gridCol w:w="109"/>
        <w:gridCol w:w="109"/>
        <w:gridCol w:w="109"/>
        <w:gridCol w:w="255"/>
        <w:gridCol w:w="256"/>
        <w:gridCol w:w="551"/>
        <w:gridCol w:w="109"/>
        <w:gridCol w:w="109"/>
        <w:gridCol w:w="109"/>
        <w:gridCol w:w="109"/>
        <w:gridCol w:w="109"/>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 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pPr>
      <w:r>
        <w:rPr>
          <w:rFonts w:ascii="Times New Roman;serif" w:hAnsi="Times New Roman;serif"/>
          <w:b w:val="false"/>
          <w:color w:val="000000"/>
          <w:sz w:val="20"/>
        </w:rPr>
        <w:t>Re</w:t>
      </w:r>
      <w:r>
        <w:rPr>
          <w:rFonts w:ascii="Times New Roman;serif" w:hAnsi="Times New Roman;serif"/>
          <w:b w:val="false"/>
          <w:color w:val="000000"/>
          <w:sz w:val="20"/>
          <w:shd w:fill="FFFFFF" w:val="clear"/>
        </w:rPr>
        <w:t>venue in the Americas region for the three months ended September 30, 2025 increased $0.3 million, or 0.8%, from the prior year period. In October 2024, we launched our MindBody GLP-1 System</w:t>
      </w:r>
      <w:r>
        <w:rPr>
          <w:color w:val="000000"/>
        </w:rPr>
        <w:t>™</w:t>
      </w:r>
      <w:r>
        <w:rPr>
          <w:color w:val="000000"/>
          <w:shd w:fill="FFFFFF" w:val="clear"/>
        </w:rPr>
        <w:t xml:space="preserve"> </w:t>
      </w:r>
      <w:r>
        <w:rPr>
          <w:rFonts w:ascii="Times New Roman;serif" w:hAnsi="Times New Roman;serif"/>
          <w:b w:val="false"/>
          <w:color w:val="000000"/>
          <w:sz w:val="20"/>
          <w:shd w:fill="FFFFFF" w:val="clear"/>
        </w:rPr>
        <w:t>in the United States. The slight increase in revenue for the three months ended September 30, 2025 was primarily driven by sales of our MindBody GLP-1 System</w:t>
      </w:r>
      <w:r>
        <w:rPr>
          <w:color w:val="000000"/>
          <w:shd w:fill="FFFFFF" w:val="clear"/>
        </w:rPr>
        <w:t>™</w:t>
      </w:r>
      <w:r>
        <w:rPr>
          <w:rFonts w:ascii="Times New Roman;serif" w:hAnsi="Times New Roman;serif"/>
          <w:b w:val="false"/>
          <w:color w:val="000000"/>
          <w:sz w:val="20"/>
          <w:shd w:fill="FFFFFF" w:val="clear"/>
        </w:rPr>
        <w:t xml:space="preserve">, offset by reduced sales of our </w:t>
      </w:r>
      <w:r>
        <w:rPr>
          <w:rFonts w:ascii="Times New Roman;serif" w:hAnsi="Times New Roman;serif"/>
          <w:b w:val="false"/>
          <w:color w:val="000000"/>
          <w:sz w:val="20"/>
        </w:rPr>
        <w:t>Protandim</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TrueScience</w:t>
      </w:r>
      <w:r>
        <w:rPr>
          <w:rFonts w:ascii="Times New Roman;serif" w:hAnsi="Times New Roman;serif"/>
          <w:b w:val="false"/>
          <w:color w:val="000000"/>
          <w:sz w:val="13"/>
        </w:rPr>
        <w:t xml:space="preserve">® </w:t>
      </w:r>
      <w:r>
        <w:rPr>
          <w:rFonts w:ascii="Times New Roman;serif" w:hAnsi="Times New Roman;serif"/>
          <w:b w:val="false"/>
          <w:color w:val="000000"/>
          <w:sz w:val="20"/>
        </w:rPr>
        <w:t>product lines</w:t>
      </w:r>
      <w:r>
        <w:rPr>
          <w:color w:val="000000"/>
          <w:shd w:fill="FFFFFF" w:val="clear"/>
        </w:rPr>
        <w:t xml:space="preserve"> </w:t>
      </w:r>
      <w:r>
        <w:rPr>
          <w:rFonts w:ascii="Times New Roman;serif" w:hAnsi="Times New Roman;serif"/>
          <w:b w:val="false"/>
          <w:color w:val="000000"/>
          <w:sz w:val="20"/>
          <w:shd w:fill="FFFFFF" w:val="clear"/>
        </w:rPr>
        <w:t>and decreases in our total Active Accounts.</w:t>
      </w:r>
    </w:p>
    <w:p>
      <w:pPr>
        <w:pStyle w:val="TextBody"/>
        <w:bidi w:val="0"/>
        <w:spacing w:lineRule="auto" w:line="288" w:before="160" w:after="160"/>
        <w:ind w:left="0" w:right="0" w:firstLine="450"/>
        <w:jc w:val="left"/>
        <w:rPr/>
      </w:pPr>
      <w:r>
        <w:rPr>
          <w:rFonts w:ascii="Times New Roman;serif" w:hAnsi="Times New Roman;serif"/>
          <w:b w:val="false"/>
          <w:color w:val="000000"/>
          <w:sz w:val="20"/>
          <w:u w:val="single"/>
        </w:rPr>
        <w:t>Asia/Pacific &amp; Europe</w:t>
      </w:r>
      <w:r>
        <w:rPr>
          <w:rFonts w:ascii="Times New Roman;serif" w:hAnsi="Times New Roman;serif"/>
          <w:b w:val="false"/>
          <w:color w:val="000000"/>
          <w:sz w:val="20"/>
        </w:rPr>
        <w:t>. The following table sets forth revenue for the three months ended September 30, 2025 and 2024 for the Asia/Pacific &amp; Europe region and its principal markets (in thousands):</w:t>
      </w:r>
    </w:p>
    <w:tbl>
      <w:tblPr>
        <w:tblW w:w="7576" w:type="dxa"/>
        <w:jc w:val="left"/>
        <w:tblInd w:w="0" w:type="dxa"/>
        <w:tblLayout w:type="fixed"/>
        <w:tblCellMar>
          <w:top w:w="28" w:type="dxa"/>
          <w:left w:w="28" w:type="dxa"/>
          <w:bottom w:w="28" w:type="dxa"/>
          <w:right w:w="28" w:type="dxa"/>
        </w:tblCellMar>
      </w:tblPr>
      <w:tblGrid>
        <w:gridCol w:w="866"/>
        <w:gridCol w:w="759"/>
        <w:gridCol w:w="775"/>
        <w:gridCol w:w="273"/>
        <w:gridCol w:w="934"/>
        <w:gridCol w:w="141"/>
        <w:gridCol w:w="141"/>
        <w:gridCol w:w="141"/>
        <w:gridCol w:w="141"/>
        <w:gridCol w:w="273"/>
        <w:gridCol w:w="934"/>
        <w:gridCol w:w="141"/>
        <w:gridCol w:w="109"/>
        <w:gridCol w:w="109"/>
        <w:gridCol w:w="109"/>
        <w:gridCol w:w="240"/>
        <w:gridCol w:w="240"/>
        <w:gridCol w:w="551"/>
        <w:gridCol w:w="109"/>
        <w:gridCol w:w="109"/>
        <w:gridCol w:w="109"/>
        <w:gridCol w:w="109"/>
        <w:gridCol w:w="109"/>
        <w:gridCol w:w="154"/>
      </w:tblGrid>
      <w:tr>
        <w:trPr/>
        <w:tc>
          <w:tcPr>
            <w:tcW w:w="86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 &amp; Europe 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Revenue in the Asia/Pacific &amp; Europe region increased $42,000, or 0.4%, for the three months ended September 30, 2025, as com</w:t>
      </w:r>
      <w:r>
        <w:rPr>
          <w:rFonts w:ascii="Times New Roman;serif" w:hAnsi="Times New Roman;serif"/>
          <w:b w:val="false"/>
          <w:color w:val="000000"/>
          <w:sz w:val="20"/>
        </w:rPr>
        <w:t>pared to the prior year period. Total Active Accounts in the region decreased 3.2% compared to the prior year</w:t>
      </w:r>
      <w:r>
        <w:rPr>
          <w:color w:val="000000"/>
          <w:shd w:fill="FFFFFF" w:val="clear"/>
        </w:rPr>
        <w:t xml:space="preserve"> </w:t>
      </w:r>
      <w:r>
        <w:rPr>
          <w:rFonts w:ascii="Times New Roman;serif" w:hAnsi="Times New Roman;serif"/>
          <w:b w:val="false"/>
          <w:color w:val="000000"/>
          <w:sz w:val="20"/>
          <w:shd w:fill="FFFFFF" w:val="clear"/>
        </w:rPr>
        <w:t>period. In March 2025, we launched our MindBody GLP-1 System</w:t>
      </w:r>
      <w:r>
        <w:rPr>
          <w:color w:val="000000"/>
          <w:shd w:fill="FFFFFF" w:val="clear"/>
        </w:rPr>
        <w:t xml:space="preserve">™ </w:t>
      </w:r>
      <w:r>
        <w:rPr>
          <w:rFonts w:ascii="Times New Roman;serif" w:hAnsi="Times New Roman;serif"/>
          <w:b w:val="false"/>
          <w:color w:val="000000"/>
          <w:sz w:val="20"/>
          <w:shd w:fill="FFFFFF" w:val="clear"/>
        </w:rPr>
        <w:t>in Japan and exclusively to our independent consultants in Australia, New Zealand, Europe, United Kingdom, Mexico and Thailand. The overall increase in revenue within the Asia/Pacific &amp; Europe region was primarily driven by sales of our MindBody GLP-1 System</w:t>
      </w:r>
      <w:r>
        <w:rPr>
          <w:color w:val="000000"/>
          <w:shd w:fill="FFFFFF" w:val="clear"/>
        </w:rPr>
        <w:t xml:space="preserve">™ </w:t>
      </w:r>
      <w:r>
        <w:rPr>
          <w:rFonts w:ascii="Times New Roman;serif" w:hAnsi="Times New Roman;serif"/>
          <w:b w:val="false"/>
          <w:color w:val="000000"/>
          <w:sz w:val="20"/>
          <w:shd w:fill="FFFFFF" w:val="clear"/>
        </w:rPr>
        <w:t>and positive impacts from foreign currency exchange rate fluctuations, partially offset by decreases in total Active Accounts and the closure of our Philippines market in June 2025.</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Overall, revenue in the Asia/Pacific &amp; Europe region was positively impacted by foreign currency exchange rate fluctuations in the amount of approximately $0.2 million, or 1.8%, during the three months ended September 30, 2025, as compared to the prior year period. Revenue in Japan was positively impacted by foreign exchange rate fluctuations in the amount of approximately $0.1 million, or 0.9%, during the three months ended September 30, 2025, as compared to the prior year period. On a constant currency basis, revenue in Japan increased 2.6% for the three months ended September 30, 2025, as compared to the prior year period. The increase in revenue on a constant currency basis in Japan during three months ended September 30, 2025 was due the launch of our MindBody GLP-1 System</w:t>
      </w:r>
      <w:r>
        <w:rPr>
          <w:color w:val="000000"/>
          <w:shd w:fill="FFFFFF" w:val="clear"/>
        </w:rPr>
        <w:t xml:space="preserve">™ </w:t>
      </w:r>
      <w:r>
        <w:rPr>
          <w:rFonts w:ascii="Times New Roman;serif" w:hAnsi="Times New Roman;serif"/>
          <w:b w:val="false"/>
          <w:color w:val="000000"/>
          <w:sz w:val="20"/>
          <w:shd w:fill="FFFFFF" w:val="clear"/>
        </w:rPr>
        <w:t xml:space="preserve">in March 2025. </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 xml:space="preserve">Globally, our sales and marketing efforts continue to be directed toward strengthening our core business through our fiscal year initiatives and building our worldwide sales. We plan to continue the refinement and expansion of our product offerings internationally, including our MindBody GLP-1 </w:t>
      </w:r>
      <w:r>
        <w:rPr>
          <w:rFonts w:ascii="Times New Roman;serif" w:hAnsi="Times New Roman;serif"/>
          <w:b w:val="false"/>
          <w:color w:val="000000"/>
          <w:sz w:val="20"/>
        </w:rPr>
        <w:t>System</w:t>
      </w:r>
      <w:r>
        <w:rPr>
          <w:color w:val="000000"/>
        </w:rPr>
        <w:t>™</w:t>
      </w:r>
      <w:r>
        <w:rPr>
          <w:rFonts w:ascii="Times New Roman;serif" w:hAnsi="Times New Roman;serif"/>
          <w:b w:val="false"/>
          <w:color w:val="000000"/>
          <w:sz w:val="20"/>
          <w:shd w:fill="FFFFFF" w:val="clear"/>
        </w:rPr>
        <w:t>, during the remainder of fiscal year 2026 and beyond. In addition, our acquisition of LoveBiome's critical assets in October 2025 is expected to continue to drive revenue growth globally through its active accounts and product offerings leading to increased average order size and increased ability to attract and retain new independent consultants and customers with a compelling product lineup.</w:t>
      </w:r>
    </w:p>
    <w:p>
      <w:pPr>
        <w:pStyle w:val="TextBody"/>
        <w:bidi w:val="0"/>
        <w:spacing w:lineRule="auto" w:line="288" w:before="160" w:after="160"/>
        <w:ind w:left="0" w:right="0" w:firstLine="450"/>
        <w:jc w:val="left"/>
        <w:rPr/>
      </w:pPr>
      <w:r>
        <w:rPr>
          <w:rFonts w:ascii="Times New Roman;serif" w:hAnsi="Times New Roman;serif"/>
          <w:b w:val="false"/>
          <w:i/>
          <w:color w:val="000000"/>
          <w:sz w:val="20"/>
          <w:shd w:fill="FFFFFF" w:val="clear"/>
        </w:rPr>
        <w:t xml:space="preserve">Cost of Sales. </w:t>
      </w:r>
      <w:r>
        <w:rPr>
          <w:rFonts w:ascii="Times New Roman;serif" w:hAnsi="Times New Roman;serif"/>
          <w:b w:val="false"/>
          <w:color w:val="000000"/>
          <w:sz w:val="20"/>
          <w:shd w:fill="FFFFFF" w:val="clear"/>
        </w:rPr>
        <w:t>Cost of sales were $9.7 million and $9.5 million for the three months ended September 30, 2025 and 2024, respectively, resulting in gross profit percentages of 79.5% and 79.9%, respectively. The increase in cost of sales as a percentage of revenue is primarily due to increases in shipping and warehouse expenses during the three months ended September 30, 2025.</w:t>
      </w:r>
    </w:p>
    <w:p>
      <w:pPr>
        <w:pStyle w:val="TextBody"/>
        <w:bidi w:val="0"/>
        <w:spacing w:lineRule="auto" w:line="288" w:before="160" w:after="160"/>
        <w:ind w:left="0" w:right="0" w:firstLine="450"/>
        <w:jc w:val="left"/>
        <w:rPr/>
      </w:pPr>
      <w:r>
        <w:rPr>
          <w:rFonts w:ascii="Times New Roman;serif" w:hAnsi="Times New Roman;serif"/>
          <w:b w:val="false"/>
          <w:i/>
          <w:color w:val="000000"/>
          <w:sz w:val="20"/>
          <w:shd w:fill="FFFFFF" w:val="clear"/>
        </w:rPr>
        <w:t>Commissions and Incentives.</w:t>
      </w:r>
      <w:r>
        <w:rPr>
          <w:color w:val="000000"/>
          <w:shd w:fill="FFFFFF" w:val="clear"/>
        </w:rPr>
        <w:t xml:space="preserve"> </w:t>
      </w:r>
      <w:r>
        <w:rPr>
          <w:rFonts w:ascii="Times New Roman;serif" w:hAnsi="Times New Roman;serif"/>
          <w:b w:val="false"/>
          <w:color w:val="000000"/>
          <w:sz w:val="20"/>
          <w:shd w:fill="FFFFFF" w:val="clear"/>
        </w:rPr>
        <w:t>Commissions and incentives expenses during the three months ended September 30, 2025 were $20.7 million, or 43.5% of revenue as compared to $20.3 million, or 43.0% of revenue, for the three months ended September 30, 2024. The increase in commissions and incentives expenses as a percentage of revenue compared to the prior year period is due to changes in sales mix and the timing and magnitude of promotional and incentive programs.</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Commissions and incentives expenses, as a percentage of revenue, may fluctuate in future periods based on our ability to hold incentive trips and events and the timing and magnitude of compensation, incentive and promotional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Selling, general and administrative expenses during the three months ended September 30, 2025 were $14.9 million, or 31.2% of revenue, as compared to $14.8 million, or 31.4% of revenue, for the three months ended September 30, 2024</w:t>
      </w:r>
      <w:r>
        <w:rPr>
          <w:rFonts w:ascii="Times New Roman;serif" w:hAnsi="Times New Roman;serif"/>
          <w:b w:val="false"/>
          <w:color w:val="000000"/>
          <w:sz w:val="20"/>
          <w:shd w:fill="FFFFFF" w:val="clear"/>
        </w:rPr>
        <w:t xml:space="preserve">. The slight decrease in selling, general and administrative expenses as a percentage of revenue during the three months ended September 30, 2025 compared to the prior year period is primarily due to decreases in the variable portion of employee related compensation expenses offset partially by increases in event and professional services expenses. </w:t>
      </w:r>
    </w:p>
    <w:p>
      <w:pPr>
        <w:pStyle w:val="TextBody"/>
        <w:bidi w:val="0"/>
        <w:spacing w:lineRule="auto" w:line="288" w:before="160" w:after="160"/>
        <w:ind w:left="0" w:right="0" w:firstLine="450"/>
        <w:jc w:val="left"/>
        <w:rPr/>
      </w:pPr>
      <w:r>
        <w:rPr>
          <w:rFonts w:ascii="Times New Roman;serif" w:hAnsi="Times New Roman;serif"/>
          <w:b w:val="false"/>
          <w:i/>
          <w:color w:val="000000"/>
          <w:sz w:val="20"/>
        </w:rPr>
        <w:t>Total Other Income (Expense)</w:t>
      </w:r>
      <w:r>
        <w:rPr>
          <w:rFonts w:ascii="Times New Roman;serif" w:hAnsi="Times New Roman;serif"/>
          <w:b w:val="false"/>
          <w:i/>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September 30, 2025</w:t>
      </w:r>
      <w:r>
        <w:rPr>
          <w:color w:val="000000"/>
          <w:shd w:fill="FFFFFF" w:val="clear"/>
        </w:rPr>
        <w:t xml:space="preserve"> </w:t>
      </w:r>
      <w:r>
        <w:rPr>
          <w:rFonts w:ascii="Times New Roman;serif" w:hAnsi="Times New Roman;serif"/>
          <w:b w:val="false"/>
          <w:color w:val="000000"/>
          <w:sz w:val="20"/>
          <w:shd w:fill="FFFFFF" w:val="clear"/>
        </w:rPr>
        <w:t xml:space="preserve">we recognized total net other expense of $27,000 as compared to total net other income of $8,000 for the </w:t>
      </w:r>
      <w:r>
        <w:rPr>
          <w:rFonts w:ascii="Times New Roman;serif" w:hAnsi="Times New Roman;serif"/>
          <w:b w:val="false"/>
          <w:color w:val="000000"/>
          <w:sz w:val="20"/>
        </w:rPr>
        <w:t>three months ended September 30, 2024</w:t>
      </w:r>
      <w:r>
        <w:rPr>
          <w:rFonts w:ascii="Times New Roman;serif" w:hAnsi="Times New Roman;serif"/>
          <w:b w:val="false"/>
          <w:color w:val="000000"/>
          <w:sz w:val="20"/>
          <w:shd w:fill="FFFFFF" w:val="clear"/>
        </w:rPr>
        <w:t xml:space="preserve">. Total net other income (expense) for the three months ended September 30, 2025 and 2024 consisted primarily of interest income, offset by foreign currency gains and losses. </w:t>
      </w:r>
    </w:p>
    <w:p>
      <w:pPr>
        <w:pStyle w:val="TextBody"/>
        <w:bidi w:val="0"/>
        <w:spacing w:lineRule="auto" w:line="288" w:before="160" w:after="160"/>
        <w:ind w:left="0" w:right="0" w:firstLine="450"/>
        <w:jc w:val="left"/>
        <w:rPr/>
      </w:pPr>
      <w:r>
        <w:rPr>
          <w:rFonts w:ascii="Times New Roman;serif" w:hAnsi="Times New Roman;serif"/>
          <w:b w:val="false"/>
          <w:i/>
          <w:color w:val="000000"/>
          <w:sz w:val="20"/>
          <w:shd w:fill="FFFFFF" w:val="clear"/>
        </w:rPr>
        <w:t>Income Tax Expense</w:t>
      </w:r>
      <w:r>
        <w:rPr>
          <w:rFonts w:ascii="Times New Roman;serif" w:hAnsi="Times New Roman;serif"/>
          <w:b w:val="false"/>
          <w:color w:val="000000"/>
          <w:sz w:val="20"/>
          <w:shd w:fill="FFFFFF" w:val="clear"/>
        </w:rPr>
        <w:t>. We recognized income tax expense of $0.1 million for the three months ended September 30, 2025, as compared to an income tax expense of $0.8 million for the three months ended September 30, 2024. The effective tax rate for the three months ended September 30, 2025 was 3.8% compared to 29.2% for the three months ended September 30, 2024.</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 in the effective tax rate for the three months ended September 30, 2025 compared to the prior year period was primarily due to changes in taxable income and the impact of discrete items.</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that our effective tax rate will fluctuate slightly during the remainder of fiscal 2026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Liquidity</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 xml:space="preserve">Our primary liquidity and capital resource requirements are to finance the cost of our planned operating expenses and working capital (principally inventory purchases), fund capital expenditures, and service our debt, which includes any outstanding balances under our credit facility. </w:t>
      </w:r>
      <w:r>
        <w:rPr>
          <w:rFonts w:ascii="Times New Roman;serif" w:hAnsi="Times New Roman;serif"/>
          <w:b w:val="false"/>
          <w:color w:val="000000"/>
          <w:sz w:val="20"/>
        </w:rPr>
        <w:t>We have generally relied on cash flow from operations to fund operating activities and we have, at times, incurred long-term debt in order to fund stock repurchases and strategic transactions.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available liquidity was $13.1 million, which consisted of available cash and cash equivalents. This represents a decrease of $7.1 million from the $20.2 million in cash and cash equivalents as of June 30, 2025. </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 xml:space="preserve">During the three months ended September 30, 2025, our net cash used in operating activities was $2.3 million as compared to $0.6 million during the three months ended September 30, 2024. The increase in cash used in operating activities is primarily related to the payment of employee related incentive compensation expense during the three months ended September 30, 2025, previously accrued at </w:t>
      </w:r>
      <w:r>
        <w:rPr>
          <w:rFonts w:ascii="Times New Roman;serif" w:hAnsi="Times New Roman;serif"/>
          <w:b w:val="false"/>
          <w:color w:val="000000"/>
          <w:sz w:val="20"/>
        </w:rPr>
        <w:t>June 30, 2025.</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our net cash used in investing activities was $0.4 million, as a result of the purchase of fixed assets. During the three months ended September 30, 2024, our net cash used in investing activities was $0.3 million, as a result of the purchase of fixed assets.</w:t>
      </w:r>
    </w:p>
    <w:p>
      <w:pPr>
        <w:pStyle w:val="TextBody"/>
        <w:bidi w:val="0"/>
        <w:spacing w:lineRule="auto" w:line="288" w:before="160" w:after="160"/>
        <w:ind w:left="0" w:right="0" w:firstLine="450"/>
        <w:jc w:val="left"/>
        <w:rPr/>
      </w:pPr>
      <w:r>
        <w:rPr>
          <w:rFonts w:ascii="Times New Roman;serif" w:hAnsi="Times New Roman;serif"/>
          <w:b w:val="false"/>
          <w:color w:val="000000"/>
          <w:sz w:val="20"/>
        </w:rPr>
        <w:t>Cash used in financing activities during the three months ended September 30, 2025 was $4.3 million as a result of our payment of cash dividends, repurchases of common stock, and shares purchased as payment of tax withholding upon vesting of equity awards, partially offset by proceeds from stock issued under our 2019 Employee Stock Purchase Plan (as amended, the “2019 ESPP”). Cash used in financing activities during the three months ended September 30, 2024 was $1.8 million as a result of our payment of cash dividends, the repurchas</w:t>
      </w:r>
      <w:r>
        <w:rPr>
          <w:rFonts w:ascii="Times New Roman;serif" w:hAnsi="Times New Roman;serif"/>
          <w:b w:val="false"/>
          <w:color w:val="000000"/>
          <w:sz w:val="20"/>
          <w:shd w:fill="FFFFFF" w:val="clear"/>
        </w:rPr>
        <w:t xml:space="preserve">e of common stock, and shares purchased as payment of tax </w:t>
      </w:r>
      <w:r>
        <w:rPr>
          <w:rFonts w:ascii="Times New Roman;serif" w:hAnsi="Times New Roman;serif"/>
          <w:b w:val="false"/>
          <w:color w:val="000000"/>
          <w:sz w:val="20"/>
        </w:rPr>
        <w:t>withholding upon vesting of equity awards, partially offset by proceeds from stock issued under our 2019 ESPP and stock option exercises.</w:t>
      </w:r>
    </w:p>
    <w:p>
      <w:pPr>
        <w:pStyle w:val="TextBody"/>
        <w:bidi w:val="0"/>
        <w:spacing w:lineRule="auto" w:line="288" w:before="160" w:after="160"/>
        <w:ind w:left="0" w:right="0" w:firstLine="450"/>
        <w:jc w:val="left"/>
        <w:rPr/>
      </w:pPr>
      <w:r>
        <w:rPr>
          <w:rFonts w:ascii="Times New Roman;serif" w:hAnsi="Times New Roman;serif"/>
          <w:b w:val="false"/>
          <w:color w:val="000000"/>
          <w:sz w:val="20"/>
        </w:rPr>
        <w:t xml:space="preserve">At September 30, 2025 and June 30, 2025, the total amount of our foreign subsidiary cash </w:t>
      </w:r>
      <w:r>
        <w:rPr>
          <w:rFonts w:ascii="Times New Roman;serif" w:hAnsi="Times New Roman;serif"/>
          <w:b w:val="false"/>
          <w:color w:val="000000"/>
          <w:sz w:val="20"/>
          <w:shd w:fill="FFFFFF" w:val="clear"/>
        </w:rPr>
        <w:t xml:space="preserve">was $4.7 million </w:t>
      </w:r>
      <w:r>
        <w:rPr>
          <w:rFonts w:ascii="Times New Roman;serif" w:hAnsi="Times New Roman;serif"/>
          <w:b w:val="false"/>
          <w:color w:val="000000"/>
          <w:sz w:val="20"/>
        </w:rPr>
        <w:t>and $6.4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we had working capital (current assets minus current liabilities) of $26.2 million, compared to working capital of $23.7 million at June 30, 2025.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2024 Credit Facility (as defined below), provides for a revolving line of credit in an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principal amount not to exceed $5.0 million. We would also consider realigning our strategic plans including a reduction in capital spending and expenses. </w:t>
      </w:r>
    </w:p>
    <w:p>
      <w:pPr>
        <w:pStyle w:val="TextBody"/>
        <w:bidi w:val="0"/>
        <w:spacing w:lineRule="auto" w:line="288" w:before="16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Capital Resources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Shelf Registration Statement</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31, 2023, we filed a shelf registration statement on Form S-3 (the “2023 Shelf Registration”) with the Securities and Exchange Commission (“SEC”) that was declared effective on April 6, 2023, which permits us to offer up to $75 million of common stock, preferred stock, debt securities and warrants in one or more offerings and in any combination, including in units from time to time. Our 2023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2024 Credit Facility</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April 12, 2024, we entered into a Loan Agreement, as amended (the “Loan Agreement”) with Bank of America, N.A., as Lender (the “Lender”). In connection with the Loan Agreement and on the same date, we, Lifeline Nutraceuticals Corporation, as Guarantor (the “Guarantor”), and the Lender also entered into a Continuing and Unconditional Guaranty (the “Continuing and Unconditional Guaranty”) and a Security and Pledge Agreement (the “Security and Pledge Agreement”). The Loan Agreement provides for a revolving line of credit in an aggregate principal amount not to exceed $5.0 million (the “Line of Credit” and collectively with the Loan Agreement, the Continuing and Unconditional Guaranty and the Security and Pledge Agreement, the “2024 Credit Facility”).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September 22, 2025, we entered into an amendment to the Loan Agreement, which amended the 2024 Credit Facility (“Amendment No. 1”) to allow the proceeds of the credit to be also used for permitted acquisitions. On September 22, 2025, we also entered into a collateral assignment of, and grant of security interest in, the LoveBiome assets purchased by the Company.</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event we borrow under the Line of Credit, interest will be payable commencing on the last day of each month following such borrowing until payment in full of all principal outstanding under the Line of Credit, with all unpaid principal and interest due on April 12, 2027 (the “Expiration Date”). The Line of Credit will bear interest at a rate per year equal to the sum of (i) the greater of the Term Secured Overnight Financing Rate Daily Floating Rate (as defined in the Loan Agreement) or 0.00%, plus (ii) 2.00%. Amounts under the Line of Credit may be repaid and re-borrowed from time to time until the Expiration Date. </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obligations under the Loan Agreement are secured by a security interest in substantially all of the assets of the Company and the Guarantor, as further provided for in the Security and Pledge Agreement. Pursuant to the Continuing and Unconditional Guaranty, the Guarantor guarantees and promises to pay promptly to the Lender all indebtedness of the Company when due. </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Loan Agreement contains customary covenants, including affirmative and negative covenants that in certain circumstances restrict our ability to incur additional indebtedness, make certain investments, purchase or otherwise acquire all or substantially all the assets or equity interests of other companies, or transfer any part of the business or any assets of the Company or the Guarantor. The Loan Agreement requires us to maintain specified financial ratios and satisfy certain financial condition tests. </w:t>
      </w:r>
    </w:p>
    <w:p>
      <w:pPr>
        <w:pStyle w:val="TextBody"/>
        <w:bidi w:val="0"/>
        <w:spacing w:lineRule="auto" w:line="288" w:before="160" w:after="160"/>
        <w:ind w:left="0" w:right="0" w:firstLine="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Loan Agreement contains certain customary events of default, including, among other things, our failure to make required payments under the Loan Agreement, certain breaches of representations made by us or the Guarantor, insolvency or bankruptcy of the Company or the Guarantor, failure to have an enforceable first lien or security interest in any property given as security for the Loan Agreement, or our failure to comply with covenants set forth in the Loan Agreement. If an event of default occurs under the Loan Agreement, the obligation of the Lender to make any additional credit available to us may be terminated and the amounts outstanding may become immediately due and payable in the discretion of the Lender, provided that in the event of insolvency or bankruptcy of the Company or the Guarantor, all debts outstanding under the Loan Agreement will automatically become due and payable. Upon the occurrence of any default or after maturity, all amounts outstanding under the Loan Agreement will at the option of the Lender bear interest at a rate which is 2.00% higher than the rate of interest otherwise provided under the Loan Agreement. </w:t>
      </w:r>
    </w:p>
    <w:p>
      <w:pPr>
        <w:pStyle w:val="TextBody"/>
        <w:bidi w:val="0"/>
        <w:spacing w:lineRule="auto" w:line="288" w:before="160" w:after="160"/>
        <w:ind w:left="0" w:right="0" w:firstLine="450"/>
        <w:jc w:val="left"/>
        <w:rPr/>
      </w:pPr>
      <w:r>
        <w:rPr>
          <w:rFonts w:ascii="Times New Roman;serif" w:hAnsi="Times New Roman;serif"/>
          <w:b w:val="false"/>
          <w:color w:val="000000"/>
          <w:sz w:val="20"/>
          <w:shd w:fill="FFFFFF" w:val="clear"/>
        </w:rPr>
        <w:t>As of the date of this report, there is no balance outstanding under the 2024 Credit Facility</w:t>
      </w:r>
      <w:r>
        <w:rPr>
          <w:rFonts w:ascii="Times New Roman;serif" w:hAnsi="Times New Roman;serif"/>
          <w:b w:val="false"/>
          <w:i/>
          <w:color w:val="000000"/>
          <w:sz w:val="20"/>
        </w:rPr>
        <w:t xml:space="preserve">. </w:t>
      </w:r>
    </w:p>
    <w:p>
      <w:pPr>
        <w:pStyle w:val="TextBody"/>
        <w:bidi w:val="0"/>
        <w:spacing w:lineRule="auto" w:line="288" w:before="160" w:after="160"/>
        <w:jc w:val="left"/>
        <w:rPr/>
      </w:pPr>
      <w:r>
        <w:rPr>
          <w:rFonts w:ascii="Times New Roman;serif" w:hAnsi="Times New Roman;serif"/>
          <w:b w:val="false"/>
          <w:color w:val="000000"/>
          <w:sz w:val="20"/>
          <w:u w:val="single"/>
          <w:shd w:fill="FFFFFF" w:val="clear"/>
        </w:rPr>
        <w:t>Commitments and Obligations</w:t>
      </w:r>
      <w:r>
        <w:rPr>
          <w:color w:val="000000"/>
          <w:shd w:fill="FFFFFF" w:val="clear"/>
        </w:rPr>
        <w:t xml:space="preserve">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Please refer to Note 7 to the condensed consolidated financial statements contained in this report for information regarding our contingent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our audit committee has reviewed the disclosures noted below.</w:t>
      </w:r>
    </w:p>
    <w:p>
      <w:pPr>
        <w:pStyle w:val="TextBody"/>
        <w:bidi w:val="0"/>
        <w:spacing w:lineRule="auto" w:line="288" w:before="160" w:after="160"/>
        <w:jc w:val="left"/>
        <w:rPr/>
      </w:pPr>
      <w:r>
        <w:rPr>
          <w:rFonts w:ascii="Times New Roman;serif" w:hAnsi="Times New Roman;serif"/>
          <w:b w:val="false"/>
          <w:color w:val="000000"/>
          <w:sz w:val="20"/>
          <w:u w:val="single"/>
        </w:rPr>
        <w:t>Stock-Based Compensation</w:t>
      </w:r>
      <w:r>
        <w:rPr>
          <w:color w:val="000000"/>
        </w:rPr>
        <w:t xml:space="preserve">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Historically, our estimates and underlying assumptions have not materially deviated from our actual reported results and rates. However, we base the assumptions we use on our best estimates, which involves inherent uncertainties based on market conditions that are outside of our control. If actual results are not consistent with the assumptions we use, the stock-based compensation expense reported in our consolidated financial statements may not be representative of the actual economic cost of stock-based compensation. For example, if actual employee forfeitures significantly differ from our estimated forfeitures, we may be required to adjust our consolidated financial statements in future periods.</w:t>
      </w:r>
    </w:p>
    <w:p>
      <w:pPr>
        <w:pStyle w:val="TextBody"/>
        <w:bidi w:val="0"/>
        <w:spacing w:lineRule="auto" w:line="288" w:before="16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Income Taxes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includes income from U.S. and foreign subsidiaries taxed at statutory rates, the accrual or release of amounts for tax uncertainties, and U.S. tax impacts of foreign income in the U.S.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the future tax consequences attributable to temporary differences between the carrying amounts of assets and liabilities on the financial statements and their respective tax bases. Deferred tax assets also are recognized for net operating losses and credit carryforwards. Deferred tax assets and liabilities are measured using the enacted rates applicable to taxable income in the years in which the temporary differences are expected to reverse and the credits are expected to be used. The effect on deferred tax assets and liabilities of a change in tax rates is recognized in income in the period that includes the enactment date. An assessment is made as to whether or not a valuation allowance is required to offset deferred tax assets. This assessment requires estimates as to future operating results, as well as an evaluation of the effectiveness of our tax planning strategies. These estimates are made on an ongoing basis based upon our business plans and growth strategies in each market and consequently, future material changes in the valuation allowance are possible. The valuation allowance reduces the deferred tax assets to an amount that management determined is more-likely-than-not to be realized.</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operate in and file income tax returns in the U.S. and numerous foreign jurisdictions with complex tax laws and regulations, which are subject to examination by tax authorities. The complexity of our global structure requires specialized knowledge and judgment in determining the application of tax laws in various jurisdictions.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and penalties related to tax contingency or settlement items are recorded as a component of the provision for income taxes in our Consolidated Statements of Operations and Comprehensive Income. We record accruals for tax contingencies as a component of accrued liabilities or other long-term liabilities on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item is 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Disclosure Controls and Procedures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September 30, 2025.</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Changes in Internal Control over Financial Reporting </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2025 that have materially affected, or are reasonably likely to materially affect, our internal control over financial reporting.</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Inherent Limitations of Internal Control Over Financial Reporting</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8 to our unaudited condensed consolidated financial statements contained within this quarterly report on Form 10-Q for a discussion of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risk factors discussed in “Part I. Item 1A — Risk Factors” in our annual report on Form 10-K for the fiscal year ended June 30, 2025, filed on September 4, 2025.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with respect to all purchases of our common stock made by or on behalf of the Company or any “affiliated purchaser,” as defined in Rule 10b-18 under the Exchange Act,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September 30, 2025. All purchases listed below were made in the open market at prevailing market prices.</w:t>
      </w:r>
    </w:p>
    <w:tbl>
      <w:tblPr>
        <w:tblW w:w="10205" w:type="dxa"/>
        <w:jc w:val="left"/>
        <w:tblInd w:w="0" w:type="dxa"/>
        <w:tblLayout w:type="fixed"/>
        <w:tblCellMar>
          <w:top w:w="28" w:type="dxa"/>
          <w:left w:w="28" w:type="dxa"/>
          <w:bottom w:w="28" w:type="dxa"/>
          <w:right w:w="28" w:type="dxa"/>
        </w:tblCellMar>
      </w:tblPr>
      <w:tblGrid>
        <w:gridCol w:w="681"/>
        <w:gridCol w:w="319"/>
        <w:gridCol w:w="320"/>
        <w:gridCol w:w="109"/>
        <w:gridCol w:w="109"/>
        <w:gridCol w:w="109"/>
        <w:gridCol w:w="506"/>
        <w:gridCol w:w="456"/>
        <w:gridCol w:w="458"/>
        <w:gridCol w:w="109"/>
        <w:gridCol w:w="109"/>
        <w:gridCol w:w="109"/>
        <w:gridCol w:w="281"/>
        <w:gridCol w:w="822"/>
        <w:gridCol w:w="145"/>
        <w:gridCol w:w="109"/>
        <w:gridCol w:w="109"/>
        <w:gridCol w:w="109"/>
        <w:gridCol w:w="760"/>
        <w:gridCol w:w="743"/>
        <w:gridCol w:w="745"/>
        <w:gridCol w:w="109"/>
        <w:gridCol w:w="109"/>
        <w:gridCol w:w="109"/>
        <w:gridCol w:w="387"/>
        <w:gridCol w:w="1985"/>
        <w:gridCol w:w="289"/>
      </w:tblGrid>
      <w:tr>
        <w:trPr/>
        <w:tc>
          <w:tcPr>
            <w:tcW w:w="6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Dollar Value of Shares that May Yet Be Purchased Under the Plans or Programs</w:t>
            </w:r>
            <w:r>
              <w:rPr>
                <w:rFonts w:ascii="Times New Roman;serif" w:hAnsi="Times New Roman;serif"/>
                <w:b/>
                <w:color w:val="000000"/>
                <w:sz w:val="13"/>
              </w:rPr>
              <w:t>(1)</w:t>
            </w:r>
          </w:p>
        </w:tc>
      </w:tr>
      <w:tr>
        <w:trPr/>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17,117 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17,117 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17,054,775 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August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24,285 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16,737,090 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September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16,697,457 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44,364 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44,364 </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360"/>
        <w:jc w:val="left"/>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On November 27, 2017, our Board of Directors approved a stock repurchase program, as amended on February 1, 2019, August 27, 2020, February 17, 2022, and June 12, 2023. Under the program, we are authorized to repurchase up to $60.0 million of our outstanding shares through December 31, 2026.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authorized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60" w:after="160"/>
        <w:ind w:left="0" w:right="0" w:firstLine="450"/>
        <w:jc w:val="left"/>
        <w:rPr/>
      </w:pPr>
      <w:r>
        <w:rPr>
          <w:rFonts w:ascii="Times New Roman;serif" w:hAnsi="Times New Roman;serif"/>
          <w:b w:val="false"/>
          <w:color w:val="000000"/>
          <w:sz w:val="20"/>
        </w:rPr>
        <w:t>During the three months ended September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none of our officers or directors</w:t>
      </w:r>
      <w:r>
        <w:rPr>
          <w:color w:val="000000"/>
          <w:shd w:fill="FFFFFF" w:val="clear"/>
        </w:rPr>
        <w:t xml:space="preserve"> </w:t>
      </w:r>
      <w:r>
        <w:rPr>
          <w:rFonts w:ascii="Times New Roman;serif" w:hAnsi="Times New Roman;serif"/>
          <w:b w:val="false"/>
          <w:color w:val="000000"/>
          <w:sz w:val="20"/>
          <w:shd w:fill="FFFFFF" w:val="clear"/>
        </w:rPr>
        <w:t>(as defined in Rule 16a-1(f) of the Exchange Act) informed the Company of adoption, modification or termination o</w:t>
      </w:r>
      <w:r>
        <w:rPr>
          <w:rFonts w:ascii="Times New Roman;serif" w:hAnsi="Times New Roman;serif"/>
          <w:b w:val="false"/>
          <w:color w:val="000000"/>
          <w:sz w:val="20"/>
        </w:rPr>
        <w:t>f a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3"/>
        <w:gridCol w:w="213"/>
        <w:gridCol w:w="215"/>
        <w:gridCol w:w="109"/>
        <w:gridCol w:w="109"/>
        <w:gridCol w:w="109"/>
        <w:gridCol w:w="2638"/>
        <w:gridCol w:w="2359"/>
        <w:gridCol w:w="2302"/>
        <w:gridCol w:w="109"/>
        <w:gridCol w:w="109"/>
        <w:gridCol w:w="109"/>
        <w:gridCol w:w="461"/>
        <w:gridCol w:w="461"/>
        <w:gridCol w:w="659"/>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Document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 or Incorporate by Reference From</w:t>
            </w:r>
          </w:p>
        </w:tc>
      </w:tr>
      <w:tr>
        <w:trPr/>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Incorporation, as filed with the Delaware Secretary of State on March 9,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Current Report on Form 8-K filed with the SEC on March 13, 2018.</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dated as of August 9,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3.1 to the Current Report on Form 8-K filed with the SEC on August 15, 2019.</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93025xex311.htm">
              <w:r>
                <w:rPr>
                  <w:rStyle w:val="InternetLink"/>
                  <w:rFonts w:ascii="Times New Roman;serif" w:hAnsi="Times New Roman;serif"/>
                  <w:b w:val="false"/>
                  <w:color w:val="0000FF"/>
                  <w:sz w:val="20"/>
                  <w:u w:val="single"/>
                </w:rPr>
                <w:t>Certification of principal executive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93025xex312.htm">
              <w:r>
                <w:rPr>
                  <w:rStyle w:val="InternetLink"/>
                  <w:rFonts w:ascii="Times New Roman;serif" w:hAnsi="Times New Roman;serif"/>
                  <w:b w:val="false"/>
                  <w:color w:val="0000FF"/>
                  <w:sz w:val="20"/>
                  <w:u w:val="single"/>
                </w:rPr>
                <w:t>Certification of principal financial officer pursuant to Rule 13a-14(a)/15d-14(a)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93025xex321.htm">
              <w:r>
                <w:rPr>
                  <w:rStyle w:val="InternetLink"/>
                  <w:rFonts w:ascii="Times New Roman;serif" w:hAnsi="Times New Roman;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fvn_93025xex322.htm">
              <w:r>
                <w:rPr>
                  <w:rStyle w:val="InternetLink"/>
                  <w:rFonts w:ascii="Times New Roman;serif" w:hAnsi="Times New Roman;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Company’s quarterly report on Form 10-Q for the quarter ended September 30, 2025 formatted in Inline XBRL (extensible Business Reporting Language): (i) Unaudited Condensed Consolidated Balance Sheets at September 30, 2025 and June 30, 2025; (ii) Unaudited Condensed Consolidated Statements of Operations and Other Comprehensive Income for the three months ended September 30, 2025 and 2024; (iii) Unaudited Condensed Consolidated Statement of Stockholders’ Equity for the three months ended September 30, 2025 and 2025; (iv) Unaudited Condensed Consolidated Statements of Cash Flows for the three months ended September 30, 2025 and 2024; and (v) Notes to Unaudited Condensed Consolidated Financial Statements, tagged as blocks of text.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303"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506"/>
        <w:gridCol w:w="1506"/>
        <w:gridCol w:w="21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LIFEVANTAGE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R. Fife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R. Fife</w:t>
              <w:br/>
              <w:t>President and 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 A. Aure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 A. Aure</w:t>
              <w:br/>
              <w:t>Chief Financial Officer</w:t>
              <w:br/>
              <w:t>(Principal Financial Officer and Principal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Steven R. Fife, certify that:</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 Carl A. Aure, certify that:</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LifeVantage Corporation;</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of this quarterly report on Form 10-Q of LifeVantage Corporation (the “Company”) for the period ended September 30, 2025, with the Securities and Exchange Commission on the date hereof (the “report”), I, Steven R. Fife, Principal Executive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R. Fife</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R. Fife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of this quarterly report on Form 10-Q of LifeVantage Corporation (the “Company”) for the period ended September 30, 2025, with the Securities and Exchange Commission on the date hereof (the “report”), I, Carl A. Aure, Principal Financial Officer of the Company, certify, pursuant to 18 U.S.C. Section 1350, as adopted pursuant to Section 906 of the Sarbanes-Oxley Act of 2002, that:</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bl>
      <w:tblPr>
        <w:tblW w:w="2430" w:type="dxa"/>
        <w:jc w:val="lef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 A. Aure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Carl A. Aure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9146/000084914618000046/ex31-certificateofincorpor.htm" TargetMode="External"/><Relationship Id="rId3" Type="http://schemas.openxmlformats.org/officeDocument/2006/relationships/hyperlink" Target="https://www.sec.gov/Archives/edgar/data/849146/000084914619000066/lifevantage-amendedandrest.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17026</Words>
  <Characters>95861</Characters>
  <CharactersWithSpaces>112123</CharactersWithSpaces>
  <Paragraphs>1450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