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5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2"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12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UNDER SECTION 13 OR 15 (d) OF THE SECURITIES EXCHANGE ACT OF 1934</w:t>
      </w:r>
    </w:p>
    <w:p>
      <w:pPr>
        <w:spacing w:after="0" w:line="2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62" w:lineRule="exact"/>
        <w:rPr>
          <w:sz w:val="24"/>
          <w:szCs w:val="24"/>
          <w:color w:val="auto"/>
        </w:rPr>
      </w:pPr>
    </w:p>
    <w:p>
      <w:pPr>
        <w:ind w:left="720" w:right="6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 (d) OF THE SECURITIES EXCHANGE ACT OF 1934</w:t>
      </w:r>
    </w:p>
    <w:p>
      <w:pPr>
        <w:spacing w:after="0" w:line="132" w:lineRule="exact"/>
        <w:rPr>
          <w:sz w:val="24"/>
          <w:szCs w:val="24"/>
          <w:color w:val="auto"/>
        </w:rPr>
      </w:pPr>
    </w:p>
    <w:p>
      <w:pPr>
        <w:ind w:left="296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-5080</wp:posOffset>
            </wp:positionV>
            <wp:extent cx="1363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001-35647</w:t>
      </w:r>
    </w:p>
    <w:p>
      <w:pPr>
        <w:spacing w:after="0" w:line="3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LIFEVANTAGE CORPORATION</w:t>
      </w:r>
    </w:p>
    <w:p>
      <w:pPr>
        <w:spacing w:after="0" w:line="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ectPr>
          <w:pgSz w:w="11900" w:h="16838" w:orient="portrait"/>
          <w:cols w:equalWidth="0" w:num="1">
            <w:col w:w="11340"/>
          </w:cols>
          <w:pgMar w:left="240" w:top="727" w:right="31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90-0224471</w:t>
      </w:r>
    </w:p>
    <w:p>
      <w:pPr>
        <w:spacing w:after="0" w:line="72" w:lineRule="exact"/>
        <w:rPr>
          <w:sz w:val="24"/>
          <w:szCs w:val="24"/>
          <w:color w:val="auto"/>
        </w:rPr>
      </w:pPr>
    </w:p>
    <w:p>
      <w:pPr>
        <w:sectPr>
          <w:pgSz w:w="11900" w:h="16838" w:orient="portrait"/>
          <w:cols w:equalWidth="0" w:num="2">
            <w:col w:w="7540" w:space="720"/>
            <w:col w:w="3080"/>
          </w:cols>
          <w:pgMar w:left="240" w:top="727" w:right="31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2">
            <w:col w:w="7400" w:space="720"/>
            <w:col w:w="3220"/>
          </w:cols>
          <w:pgMar w:left="240" w:top="727" w:right="3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9785 S. Monroe Street, Ste 400, Sandy, UT 84070</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(801) 432-9000</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p>
      <w:pPr>
        <w:spacing w:after="0" w:line="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w:t>
      </w:r>
    </w:p>
    <w:p>
      <w:pPr>
        <w:sectPr>
          <w:pgSz w:w="11900" w:h="16838" w:orient="portrait"/>
          <w:cols w:equalWidth="0" w:num="1">
            <w:col w:w="11340"/>
          </w:cols>
          <w:pgMar w:left="240" w:top="727" w:right="319" w:bottom="1440" w:gutter="0" w:footer="0" w:header="0"/>
          <w:type w:val="continuous"/>
        </w:sectPr>
      </w:pPr>
    </w:p>
    <w:p>
      <w:pPr>
        <w:spacing w:after="0" w:line="152" w:lineRule="exact"/>
        <w:rPr>
          <w:sz w:val="24"/>
          <w:szCs w:val="24"/>
          <w:color w:val="auto"/>
        </w:rPr>
      </w:pPr>
    </w:p>
    <w:p>
      <w:pPr>
        <w:ind w:right="3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580" w:val="left"/>
          <w:tab w:leader="none" w:pos="128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issuer’s common stock, par value $0.0001 per share, as of April 26, 2019 was 14,340,159.</w:t>
      </w:r>
    </w:p>
    <w:p>
      <w:pPr>
        <w:sectPr>
          <w:pgSz w:w="11900" w:h="16838" w:orient="portrait"/>
          <w:cols w:equalWidth="0" w:num="1">
            <w:col w:w="11340"/>
          </w:cols>
          <w:pgMar w:left="240" w:top="727" w:right="31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108"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properly manage, motivate and retain our independent distributors or to attract new independent distributors on an ongoing basis;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manage existing markets, open new international markets or expand our operations;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our independent distributors with applicable legal requirements or our policies and procedures;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new products and technological innovations to gain distributor or market acceptance;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execute our product launch process due to increased pressure on our supply chain, information systems and management;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appropriately manage our inventory;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our business and stock price due to ineffective internal controls;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information technology systems;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cyber security risks and to maintain the integrity of data;</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comply with financial covenants imposed by our credit facility and the impact of debt service obligations and restrictive debt covenants;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 fluctuations;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or complete desired acquisitions;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a few products for revenue;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materials for our products may become difficult to obtain or expensive;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manufacture our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transportation channels used to distribute our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a product recall;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on our business or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selling program could be found to not be in compliance with current or newly adopted laws or regulations in various markets;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2" w:name="page3"/>
    <w:bookmarkEnd w:id="2"/>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may be expensive and time consuming;</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skin care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investigatory and enforcement action by the Federal Trade Commission;</w:t>
      </w:r>
    </w:p>
    <w:p>
      <w:pPr>
        <w:spacing w:after="0" w:line="14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authorities may question our tax positions or transfer pricing policies or change their laws in a manner that could increase our effective tax rate or otherwise harm our business;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anti-corruption laws;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build and integrate our new management team could harm our business;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held responsible for certain taxes or assessments relating to the activity of our independent distributors;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dietary supplement market;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intellectual property rights;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claims that we infringe on their intellectual property;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against us;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delisting of our common stock due to non-compliance with Nasdaq's continued listing requirements;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market price of our common stock;</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sales of shares may negatively impact the market price of our common stock; and</w:t>
      </w:r>
    </w:p>
    <w:p>
      <w:pPr>
        <w:spacing w:after="0" w:line="14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of outstanding common shares may occur if holders of our existing options exercise their securities or upon future vesting of performance restricted stock units.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580" w:right="2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2460" w:type="dxa"/>
            <w:vAlign w:val="bottom"/>
            <w:tcBorders>
              <w:bottom w:val="single" w:sz="8" w:color="0000FF"/>
            </w:tcBorders>
            <w:gridSpan w:val="7"/>
          </w:tcPr>
          <w:p>
            <w:pPr>
              <w:spacing w:after="0" w:line="170"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PART I. Financial Information</w:t>
              </w:r>
            </w:hyperlink>
          </w:p>
        </w:tc>
        <w:tc>
          <w:tcPr>
            <w:tcW w:w="7900" w:type="dxa"/>
            <w:vAlign w:val="bottom"/>
            <w:gridSpan w:val="11"/>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17"/>
                <w:szCs w:val="17"/>
                <w:color w:val="auto"/>
              </w:rPr>
            </w:pPr>
          </w:p>
        </w:tc>
      </w:tr>
      <w:tr>
        <w:trPr>
          <w:trHeight w:val="25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Financial Statements:</w:t>
              </w:r>
            </w:hyperlink>
          </w:p>
        </w:tc>
        <w:tc>
          <w:tcPr>
            <w:tcW w:w="7660" w:type="dxa"/>
            <w:vAlign w:val="bottom"/>
            <w:gridSpan w:val="10"/>
          </w:tcPr>
          <w:p>
            <w:pPr>
              <w:spacing w:after="0"/>
              <w:rPr>
                <w:sz w:val="22"/>
                <w:szCs w:val="22"/>
                <w:color w:val="auto"/>
              </w:rPr>
            </w:pPr>
          </w:p>
        </w:tc>
        <w:tc>
          <w:tcPr>
            <w:tcW w:w="9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Condensed Consolidated Balance Sheets (unaudited)</w:t>
              </w:r>
            </w:hyperlink>
          </w:p>
        </w:tc>
        <w:tc>
          <w:tcPr>
            <w:tcW w:w="5400" w:type="dxa"/>
            <w:vAlign w:val="bottom"/>
            <w:gridSpan w:val="7"/>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20" w:type="dxa"/>
            <w:vAlign w:val="bottom"/>
            <w:gridSpan w:val="16"/>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Condensed Consolidated Statements of Operations and Comprehensive Income (unaudited)</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Condensed Consolidated Statement of Stockholders’ Equity (unaudited)</w:t>
              </w:r>
            </w:hyperlink>
          </w:p>
        </w:tc>
        <w:tc>
          <w:tcPr>
            <w:tcW w:w="26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7</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8">
              <w:r>
                <w:rPr>
                  <w:rFonts w:ascii="Times New Roman" w:cs="Times New Roman" w:eastAsia="Times New Roman" w:hAnsi="Times New Roman"/>
                  <w:sz w:val="18"/>
                  <w:szCs w:val="18"/>
                  <w:color w:val="0000FF"/>
                  <w:w w:val="99"/>
                </w:rPr>
                <w:t>Condensed Consolidated Statements of Cash Flows (unaudited)</w:t>
              </w:r>
            </w:hyperlink>
          </w:p>
        </w:tc>
        <w:tc>
          <w:tcPr>
            <w:tcW w:w="600" w:type="dxa"/>
            <w:vAlign w:val="bottom"/>
            <w:tcBorders>
              <w:top w:val="single" w:sz="8" w:color="0000FF"/>
            </w:tcBorders>
            <w:gridSpan w:val="2"/>
          </w:tcPr>
          <w:p>
            <w:pPr>
              <w:spacing w:after="0"/>
              <w:rPr>
                <w:sz w:val="21"/>
                <w:szCs w:val="21"/>
                <w:color w:val="auto"/>
              </w:rPr>
            </w:pPr>
          </w:p>
        </w:tc>
        <w:tc>
          <w:tcPr>
            <w:tcW w:w="402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Times New Roman" w:cs="Times New Roman" w:eastAsia="Times New Roman" w:hAnsi="Times New Roman"/>
                <w:sz w:val="18"/>
                <w:szCs w:val="18"/>
                <w:color w:val="0000FF"/>
                <w:w w:val="88"/>
              </w:rPr>
            </w:pPr>
            <w:hyperlink w:anchor="page8">
              <w:r>
                <w:rPr>
                  <w:rFonts w:ascii="Times New Roman" w:cs="Times New Roman" w:eastAsia="Times New Roman" w:hAnsi="Times New Roman"/>
                  <w:sz w:val="18"/>
                  <w:szCs w:val="18"/>
                  <w:color w:val="0000FF"/>
                  <w:w w:val="88"/>
                </w:rPr>
                <w:t>8</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w:anchor="page9">
              <w:r>
                <w:rPr>
                  <w:rFonts w:ascii="Times New Roman" w:cs="Times New Roman" w:eastAsia="Times New Roman" w:hAnsi="Times New Roman"/>
                  <w:sz w:val="18"/>
                  <w:szCs w:val="18"/>
                  <w:color w:val="0000FF"/>
                  <w:w w:val="99"/>
                </w:rPr>
                <w:t>Notes to Condensed Consolidated Financial Statements (unaudited)</w:t>
              </w:r>
            </w:hyperlink>
          </w:p>
        </w:tc>
        <w:tc>
          <w:tcPr>
            <w:tcW w:w="43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9">
              <w:r>
                <w:rPr>
                  <w:rFonts w:ascii="Times New Roman" w:cs="Times New Roman" w:eastAsia="Times New Roman" w:hAnsi="Times New Roman"/>
                  <w:sz w:val="18"/>
                  <w:szCs w:val="18"/>
                  <w:color w:val="0000FF"/>
                  <w:w w:val="88"/>
                </w:rPr>
                <w:t>9</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6"/>
          </w:tcPr>
          <w:p>
            <w:pPr>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18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80" w:type="dxa"/>
            <w:vAlign w:val="bottom"/>
            <w:tcBorders>
              <w:left w:val="single" w:sz="8" w:color="0000FF"/>
            </w:tcBorders>
            <w:gridSpan w:val="4"/>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10"/>
          </w:tcPr>
          <w:p>
            <w:pPr>
              <w:spacing w:after="0"/>
              <w:rPr>
                <w:rFonts w:ascii="Times New Roman" w:cs="Times New Roman" w:eastAsia="Times New Roman" w:hAnsi="Times New Roman"/>
                <w:sz w:val="18"/>
                <w:szCs w:val="18"/>
                <w:color w:val="0000FF"/>
                <w:w w:val="99"/>
              </w:rPr>
            </w:pPr>
            <w:hyperlink w:anchor="page25">
              <w:r>
                <w:rPr>
                  <w:rFonts w:ascii="Times New Roman" w:cs="Times New Roman" w:eastAsia="Times New Roman" w:hAnsi="Times New Roman"/>
                  <w:sz w:val="18"/>
                  <w:szCs w:val="18"/>
                  <w:color w:val="0000FF"/>
                  <w:w w:val="99"/>
                </w:rPr>
                <w:t>Quantitative and Qualitative Disclosures About Market Risk</w:t>
              </w:r>
            </w:hyperlink>
          </w:p>
        </w:tc>
        <w:tc>
          <w:tcPr>
            <w:tcW w:w="2080" w:type="dxa"/>
            <w:vAlign w:val="bottom"/>
            <w:gridSpan w:val="4"/>
          </w:tcPr>
          <w:p>
            <w:pPr>
              <w:spacing w:after="0"/>
              <w:rPr>
                <w:sz w:val="21"/>
                <w:szCs w:val="21"/>
                <w:color w:val="auto"/>
              </w:rPr>
            </w:pPr>
          </w:p>
        </w:tc>
        <w:tc>
          <w:tcPr>
            <w:tcW w:w="278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7"/>
          </w:tcPr>
          <w:p>
            <w:pPr>
              <w:spacing w:after="0"/>
              <w:rPr>
                <w:rFonts w:ascii="Times New Roman" w:cs="Times New Roman" w:eastAsia="Times New Roman" w:hAnsi="Times New Roman"/>
                <w:sz w:val="18"/>
                <w:szCs w:val="18"/>
                <w:color w:val="0000FF"/>
                <w:w w:val="99"/>
              </w:rPr>
            </w:pPr>
            <w:hyperlink w:anchor="page26">
              <w:r>
                <w:rPr>
                  <w:rFonts w:ascii="Times New Roman" w:cs="Times New Roman" w:eastAsia="Times New Roman" w:hAnsi="Times New Roman"/>
                  <w:sz w:val="18"/>
                  <w:szCs w:val="18"/>
                  <w:color w:val="0000FF"/>
                  <w:w w:val="99"/>
                </w:rPr>
                <w:t>Controls and Procedures</w:t>
              </w:r>
            </w:hyperlink>
          </w:p>
        </w:tc>
        <w:tc>
          <w:tcPr>
            <w:tcW w:w="2580" w:type="dxa"/>
            <w:vAlign w:val="bottom"/>
            <w:gridSpan w:val="3"/>
          </w:tcPr>
          <w:p>
            <w:pPr>
              <w:spacing w:after="0"/>
              <w:rPr>
                <w:sz w:val="21"/>
                <w:szCs w:val="21"/>
                <w:color w:val="auto"/>
              </w:rPr>
            </w:pPr>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000" w:type="dxa"/>
            <w:vAlign w:val="bottom"/>
            <w:gridSpan w:val="4"/>
          </w:tcPr>
          <w:p>
            <w:pPr>
              <w:spacing w:after="0"/>
              <w:rPr>
                <w:rFonts w:ascii="Times New Roman" w:cs="Times New Roman" w:eastAsia="Times New Roman" w:hAnsi="Times New Roman"/>
                <w:sz w:val="18"/>
                <w:szCs w:val="18"/>
                <w:color w:val="0000FF"/>
                <w:w w:val="97"/>
              </w:rPr>
            </w:pPr>
            <w:hyperlink w:anchor="page26">
              <w:r>
                <w:rPr>
                  <w:rFonts w:ascii="Times New Roman" w:cs="Times New Roman" w:eastAsia="Times New Roman" w:hAnsi="Times New Roman"/>
                  <w:sz w:val="18"/>
                  <w:szCs w:val="18"/>
                  <w:color w:val="0000FF"/>
                  <w:w w:val="97"/>
                </w:rPr>
                <w:t>PART II. Other Information</w:t>
              </w:r>
            </w:hyperlink>
          </w:p>
        </w:tc>
        <w:tc>
          <w:tcPr>
            <w:tcW w:w="8360" w:type="dxa"/>
            <w:vAlign w:val="bottom"/>
            <w:gridSpan w:val="14"/>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26</w:t>
              </w:r>
            </w:hyperlink>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5"/>
          </w:tcPr>
          <w:p>
            <w:pPr>
              <w:spacing w:after="0"/>
              <w:rPr>
                <w:rFonts w:ascii="Times New Roman" w:cs="Times New Roman" w:eastAsia="Times New Roman" w:hAnsi="Times New Roman"/>
                <w:sz w:val="18"/>
                <w:szCs w:val="18"/>
                <w:color w:val="0000FF"/>
                <w:w w:val="95"/>
              </w:rPr>
            </w:pPr>
            <w:hyperlink w:anchor="page26">
              <w:r>
                <w:rPr>
                  <w:rFonts w:ascii="Times New Roman" w:cs="Times New Roman" w:eastAsia="Times New Roman" w:hAnsi="Times New Roman"/>
                  <w:sz w:val="18"/>
                  <w:szCs w:val="18"/>
                  <w:color w:val="0000FF"/>
                  <w:w w:val="95"/>
                </w:rPr>
                <w:t>Legal Proceedings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5"/>
          </w:tcPr>
          <w:p>
            <w:pPr>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Risk Factors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0"/>
          </w:tcPr>
          <w:p>
            <w:pPr>
              <w:spacing w:after="0"/>
              <w:rPr>
                <w:rFonts w:ascii="Times New Roman" w:cs="Times New Roman" w:eastAsia="Times New Roman" w:hAnsi="Times New Roman"/>
                <w:sz w:val="18"/>
                <w:szCs w:val="18"/>
                <w:color w:val="0000FF"/>
                <w:w w:val="99"/>
              </w:rPr>
            </w:pPr>
            <w:hyperlink w:anchor="page27">
              <w:r>
                <w:rPr>
                  <w:rFonts w:ascii="Times New Roman" w:cs="Times New Roman" w:eastAsia="Times New Roman" w:hAnsi="Times New Roman"/>
                  <w:sz w:val="18"/>
                  <w:szCs w:val="18"/>
                  <w:color w:val="0000FF"/>
                  <w:w w:val="99"/>
                </w:rPr>
                <w:t>Unregistered Sales of Equity Securities and Use of Proceeds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10"/>
          </w:tcPr>
          <w:p>
            <w:pPr>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Defaults Upon Senior Securities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7"/>
          </w:tcPr>
          <w:p>
            <w:pPr>
              <w:spacing w:after="0"/>
              <w:rPr>
                <w:rFonts w:ascii="Times New Roman" w:cs="Times New Roman" w:eastAsia="Times New Roman" w:hAnsi="Times New Roman"/>
                <w:sz w:val="18"/>
                <w:szCs w:val="18"/>
                <w:color w:val="0000FF"/>
                <w:w w:val="99"/>
              </w:rPr>
            </w:pPr>
            <w:hyperlink w:anchor="page27">
              <w:r>
                <w:rPr>
                  <w:rFonts w:ascii="Times New Roman" w:cs="Times New Roman" w:eastAsia="Times New Roman" w:hAnsi="Times New Roman"/>
                  <w:sz w:val="18"/>
                  <w:szCs w:val="18"/>
                  <w:color w:val="0000FF"/>
                  <w:w w:val="99"/>
                </w:rPr>
                <w:t>Mine Safety Disclosures</w:t>
              </w:r>
            </w:hyperlink>
          </w:p>
        </w:tc>
        <w:tc>
          <w:tcPr>
            <w:tcW w:w="540" w:type="dxa"/>
            <w:vAlign w:val="bottom"/>
          </w:tcPr>
          <w:p>
            <w:pPr>
              <w:spacing w:after="0"/>
              <w:rPr>
                <w:sz w:val="21"/>
                <w:szCs w:val="21"/>
                <w:color w:val="auto"/>
              </w:rPr>
            </w:pPr>
          </w:p>
        </w:tc>
        <w:tc>
          <w:tcPr>
            <w:tcW w:w="690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5"/>
          </w:tcPr>
          <w:p>
            <w:pPr>
              <w:spacing w:after="0"/>
              <w:rPr>
                <w:rFonts w:ascii="Times New Roman" w:cs="Times New Roman" w:eastAsia="Times New Roman" w:hAnsi="Times New Roman"/>
                <w:sz w:val="18"/>
                <w:szCs w:val="18"/>
                <w:color w:val="0000FF"/>
                <w:w w:val="97"/>
              </w:rPr>
            </w:pPr>
            <w:hyperlink w:anchor="page27">
              <w:r>
                <w:rPr>
                  <w:rFonts w:ascii="Times New Roman" w:cs="Times New Roman" w:eastAsia="Times New Roman" w:hAnsi="Times New Roman"/>
                  <w:sz w:val="18"/>
                  <w:szCs w:val="18"/>
                  <w:color w:val="0000FF"/>
                  <w:w w:val="97"/>
                </w:rPr>
                <w:t>Other Information</w:t>
              </w:r>
            </w:hyperlink>
          </w:p>
        </w:tc>
        <w:tc>
          <w:tcPr>
            <w:tcW w:w="460" w:type="dxa"/>
            <w:vAlign w:val="bottom"/>
            <w:gridSpan w:val="2"/>
          </w:tcPr>
          <w:p>
            <w:pPr>
              <w:spacing w:after="0"/>
              <w:rPr>
                <w:sz w:val="21"/>
                <w:szCs w:val="21"/>
                <w:color w:val="auto"/>
              </w:rPr>
            </w:pPr>
          </w:p>
        </w:tc>
        <w:tc>
          <w:tcPr>
            <w:tcW w:w="744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5"/>
          </w:tcPr>
          <w:p>
            <w:pPr>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Exhibits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Signatures</w:t>
              </w:r>
            </w:hyperlink>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r>
      <w:tr>
        <w:trPr>
          <w:trHeight w:val="507"/>
        </w:trPr>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600" w:type="dxa"/>
            <w:vAlign w:val="bottom"/>
            <w:gridSpan w:val="11"/>
          </w:tcPr>
          <w:p>
            <w:pPr>
              <w:ind w:left="448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00" w:type="dxa"/>
            <w:vAlign w:val="bottom"/>
          </w:tcPr>
          <w:p>
            <w:pPr>
              <w:spacing w:after="0"/>
              <w:rPr>
                <w:sz w:val="16"/>
                <w:szCs w:val="16"/>
                <w:color w:val="auto"/>
              </w:rPr>
            </w:pPr>
          </w:p>
        </w:tc>
        <w:tc>
          <w:tcPr>
            <w:tcW w:w="15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June 30, 2018</w:t>
            </w:r>
          </w:p>
        </w:tc>
      </w:tr>
      <w:tr>
        <w:trPr>
          <w:trHeight w:val="252"/>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16,652</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2,067</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 net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13,627</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6,141</w:t>
            </w: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42,677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38,938</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84"/>
        </w:trPr>
        <w:tc>
          <w:tcPr>
            <w:tcW w:w="7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6,587</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1,115</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3,255</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1,247</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54,105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51,142</w:t>
            </w:r>
          </w:p>
        </w:tc>
      </w:tr>
      <w:tr>
        <w:trPr>
          <w:trHeight w:val="67"/>
        </w:trPr>
        <w:tc>
          <w:tcPr>
            <w:tcW w:w="7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51"/>
        </w:trPr>
        <w:tc>
          <w:tcPr>
            <w:tcW w:w="7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5,065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3,813</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Commissions payable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7,546</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10,407</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23,805</w:t>
            </w:r>
          </w:p>
        </w:tc>
      </w:tr>
      <w:tr>
        <w:trPr>
          <w:trHeight w:val="270"/>
        </w:trPr>
        <w:tc>
          <w:tcPr>
            <w:tcW w:w="7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Principal amount</w:t>
            </w: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unamortized discount and deferred offering costs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 net of unamortized discount and deferred offering costs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3,412</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1,978</w:t>
            </w: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29,359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29,195</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 Note 7</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 par value $0.0001 per share, 5,000 shares authorized, no shares issued or</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41"/>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 par value $0.0001 per share, 40,000 shares authorized and 14,328 and 14,073</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4"/>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and outstanding as of March 31, 2019 and June 30, 2018, respectively</w:t>
            </w:r>
          </w:p>
        </w:tc>
        <w:tc>
          <w:tcPr>
            <w:tcW w:w="28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125,695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124,663</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(102,731)</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24,746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21,947</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54,105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51,142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type w:val="continuous"/>
        </w:sectPr>
      </w:pPr>
    </w:p>
    <w:bookmarkStart w:id="5" w:name="page6"/>
    <w:bookmarkEnd w:id="5"/>
    <w:p>
      <w:pPr>
        <w:jc w:val="center"/>
        <w:spacing w:after="0" w:line="275"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STATEMENTS OF OPERATIONS AND COMPREHENSIVE INCOME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262"/>
        </w:trPr>
        <w:tc>
          <w:tcPr>
            <w:tcW w:w="51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2"/>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56,012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50,562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169,788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149,171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26,778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46,742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41,641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122,393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Commissions and incentives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27,205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71,124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45,246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44,501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137,379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116,370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14,136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line="275"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 OF STOCKHOLDERS’ EQUITY (Unaudited)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320" w:type="dxa"/>
            <w:vAlign w:val="bottom"/>
            <w:gridSpan w:val="3"/>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0"/>
                <w:szCs w:val="10"/>
                <w:color w:val="auto"/>
              </w:rPr>
            </w:pPr>
          </w:p>
        </w:tc>
        <w:tc>
          <w:tcPr>
            <w:tcW w:w="12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300" w:type="dxa"/>
            <w:vAlign w:val="bottom"/>
          </w:tcPr>
          <w:p>
            <w:pPr>
              <w:spacing w:after="0"/>
              <w:rPr>
                <w:sz w:val="10"/>
                <w:szCs w:val="10"/>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2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June 30, 2018</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14,073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124,663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21,947</w:t>
            </w:r>
          </w:p>
        </w:tc>
        <w:tc>
          <w:tcPr>
            <w:tcW w:w="0" w:type="dxa"/>
            <w:vAlign w:val="bottom"/>
          </w:tcPr>
          <w:p>
            <w:pPr>
              <w:spacing w:after="0"/>
              <w:rPr>
                <w:sz w:val="1"/>
                <w:szCs w:val="1"/>
                <w:color w:val="auto"/>
              </w:rPr>
            </w:pP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effect of adoption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principle</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July 1, 2018</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14,073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124,663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21,944</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options</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canceled or surrendered as payment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tax withholding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September 30, 2018</w:t>
            </w:r>
          </w:p>
        </w:tc>
        <w:tc>
          <w:tcPr>
            <w:tcW w:w="12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14,103</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125,464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23,531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options</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issued under equity award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plans</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canceled or surrendered as payment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tax withholding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December 31, 2018</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14,267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123,501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21,018</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options</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canceled or surrendered as payment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tax withholding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March 31, 2019</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14,328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125,695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24,746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receivable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Inventory, net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accrued expenses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10,805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7,785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convertible note receivable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equipment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on term loan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Shares purchased as payment of tax withholding</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 of options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Effect on Cash</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2,494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16,652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11,458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15,913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13,952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43"/>
        </w:trPr>
        <w:tc>
          <w:tcPr>
            <w:tcW w:w="7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26"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notes should be read in conjunction with the audited financial statements and notes of LifeVantage Corporation (the “Company”) as of and for the year ended June 30, 2018 included in the annual report on Form 10-K filed with the Securities and Exchange Commission (“SEC”) on August 15, 2018.</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4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LifeVantage Corporation is a company focused on biohacking the aging code through nutrigenomics, the study of how nutrition and naturally occurring compounds affect our genes. The Company is dedicated to helping people achieve their health, wellness and financial goals. The Company provides quality, scientifically-validated products and a financially rewarding direct sales business opportunity to customers and independent distributors. The Company sells its products in the United States, Japan, Hong Kong, Australia, Canada, Mexico, Thailand, the United Kingdom, the Netherlands, Germany, Austria, Taiwan and Spain. The Company also sells its products in a number of countries to customers for personal consumption only. In addition, the Company sells its products in China through an e-commerce business model.</w:t>
      </w:r>
    </w:p>
    <w:p>
      <w:pPr>
        <w:spacing w:after="0" w:line="107" w:lineRule="exact"/>
        <w:rPr>
          <w:sz w:val="20"/>
          <w:szCs w:val="20"/>
          <w:color w:val="auto"/>
        </w:rPr>
      </w:pPr>
    </w:p>
    <w:p>
      <w:pPr>
        <w:jc w:val="both"/>
        <w:ind w:firstLine="405"/>
        <w:spacing w:after="0" w:line="234" w:lineRule="auto"/>
        <w:rPr>
          <w:sz w:val="20"/>
          <w:szCs w:val="20"/>
          <w:color w:val="auto"/>
        </w:rPr>
      </w:pPr>
      <w:r>
        <w:rPr>
          <w:rFonts w:ascii="Times New Roman" w:cs="Times New Roman" w:eastAsia="Times New Roman" w:hAnsi="Times New Roman"/>
          <w:sz w:val="18"/>
          <w:szCs w:val="18"/>
          <w:color w:val="auto"/>
        </w:rPr>
        <w:t>The Company engages in the identification, research, development and distribution of advanced nutraceutical dietary supplements and skin and hair care products, including its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Omega+ and ProBio dietary supplements, the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line of Nrf2-infused skin and hair care products, Petandim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Dogs,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Energy Drink mixes, and the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Weight Management System.</w:t>
      </w:r>
    </w:p>
    <w:p>
      <w:pPr>
        <w:spacing w:after="0" w:line="21"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On March 9, 2018, following approval by the Company's stockholders and its 2018 Annual Meeting of Stockholders, the Company changed its state of incorporation from the State of Colorado to the State of Delaware pursuant to a plan of conversion. All outstanding shares of common stock, options and share units of the Colorado corporation were converted into an equivalent share, option or share unit of the Delaware corporation and the par value of the Company's common stock was adjusted to $0.0001. All directors and officers of the Colorado corporation held the same position within the Delaware corporation on the date of reincorporation.</w:t>
      </w:r>
    </w:p>
    <w:p>
      <w:pPr>
        <w:spacing w:after="0" w:line="10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March 31, 2019, and the results of operations for the three and nine months ended March 31, 2019 and 2018, and the cash flows for the nine months ended March 31, 2019 and 2018.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10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2018, pursuant to the rules and regulations of the SEC. For further information, refer to the financial statements and notes thereto as of and for the year ended June 30, 2018, and included in the annual report on Form 10-K on file with the SEC.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48"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materially from those estimates and assumptions. On an ongoing basis, the Company reviews its estimates, including those related to inventory valuation and obsolescence, sales returns, income taxes and tax valuation reserves, transfer pricing methodology and positions, impairment of receivables, share-based compensation, and loss contingencies.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4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comprehensive income. Transaction gains and losses are included in other expense, net in the condensed consolidated statements of operations and comprehensive income. For the three months ended March 31, 2019 and 2018, a net foreign currency loss of $44,000 and a gain of $0.1 million, respectively, are recorded in other expense, net. For the nine months ended March 31, 2019 and 2018, a net foreign currency loss of $0.1 million and a gain of $0.1 million, respectively, are recorded in other expense, net.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4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9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To hedge risks associated with the foreign-currency-denominated intercompany transactions, the Company entered into forward foreign exchange contracts which were all settled by the end of March 2019 and were not designated for hedge accounting. For the three months ended March 31, 2019 and 2018, realized losses of $0.1 million and $0.1 million, respectively, related to forward contracts, are recorded in other expense, net. For the nine months ended March 31, 2019 and 2018, realized losses of $0.2 million and $0.2 million, respectively, related to forward contracts, are recorded in other expense, net. The Company did not hold any derivative instruments at March 31, 2019.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considers only its monetary liquid assets with original maturities of three months or less as cash and cash equivalents.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48"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March 31, 2019, the Company had $12.2 million in cash accounts at one financial institution and $3.7 million in accounts at other financial institutions. As of March 31, 2019 and June 30, 2018, and during the periods then ended, the Company’s cash balances exceeded federally insured limits.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48"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as of March 31, 2019 and June 30, 2018 consist primarily of credit card receivables. Based on the Company’s verification process for customer credit cards and historical information available, management has determined that an allowance for doubtful accounts on credit card sales related to its customer sales as of March 31, 2019 is not necessary. No bad debt expense was recorded during the three and nine months ended March 31, 2019 and 2018.</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2019 and June 30, 2018, inventory consisted of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6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10,237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7,859</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5,768</w:t>
            </w:r>
          </w:p>
        </w:tc>
      </w:tr>
      <w:tr>
        <w:trPr>
          <w:trHeight w:val="27"/>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inventory</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14,490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13,627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Inventories are carried and depicted above at the lower of cost or market, using the first-in, first-out method, which includes a reduction in inventory values of $0.5 million and $1.4 million at March 31, 2019 and June 30, 2018, respectively, related to obsolete and slow-moving inventory.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Receivable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76" w:right="239" w:bottom="1440" w:gutter="0" w:footer="0" w:header="0"/>
        </w:sectPr>
      </w:pPr>
    </w:p>
    <w:bookmarkStart w:id="10" w:name="page11"/>
    <w:bookmarkEnd w:id="10"/>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Interest shall accrue at a rate of 8% per annum, compounded annually. The principal and unpaid accrued interest of the note will either be repaid in cash or converted into shares of equity securities of GEG. As of March 31, 2019, the note receivable balance was $2.1 million, including accrued interest, which is included in prepaid expenses and other on the condensed consolidated balance sheet.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Company ships the majority of its product directly to the consumer and receives substantially all payment for these sales in the form of credit card receipts. Revenue from direct product sales to customers is recognized upon shipment, which is when passage of title and risk of loss occurs. 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customers for returned product. The Company allows terminating independent distributors to return up to 30% of unopened, unexpired product that they have purchased within the prior twelve months for a full refund, less a 10% restocking fee.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w:t>
      </w:r>
    </w:p>
    <w:p>
      <w:pPr>
        <w:spacing w:after="0" w:line="148"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Shipping and handling costs associated with inbound freight and freight out to customers, including independent distributors, are included in cost of sales. Shipping and handling fees charged to customers are included in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Company expenses all costs related to research and development activities, as incurred. Research and development expenses for the three months ended March 31, 2019 and 2018 were $0.1 million and $0.3 million, respectively. Research and development expenses for the nine months ended March 31, 2019 and 2018 were $1.0 million and $0.8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99"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The Black-Scholes option 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9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for new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240"/>
        <w:spacing w:after="0" w:line="282" w:lineRule="auto"/>
        <w:rPr>
          <w:sz w:val="20"/>
          <w:szCs w:val="20"/>
          <w:color w:val="auto"/>
        </w:rPr>
      </w:pPr>
      <w:r>
        <w:rPr>
          <w:rFonts w:ascii="Times New Roman" w:cs="Times New Roman" w:eastAsia="Times New Roman" w:hAnsi="Times New Roman"/>
          <w:sz w:val="18"/>
          <w:szCs w:val="18"/>
          <w:color w:val="auto"/>
        </w:rPr>
        <w:t>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81"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2019 and 2018, the Company recognized income tax expense of $0.2 million and $2.8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Per Share</w:t>
      </w:r>
    </w:p>
    <w:p>
      <w:pPr>
        <w:spacing w:after="0" w:line="14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95"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and 2018, the effects of approximately 18,000 and 0.5 million common shares, respectively, issuable upon exercise of options and non-vested shares of restricted stock are not included in computations as their effect was anti-dilutive. For the nine months ended March 31, 2019 and 2018, the effects of approximately 0.3 million and 0.6 million common shares, respectively, issuable upon exercise of options and non-vested shares of restricted stock are not included in computations as their effect was anti-dilutive.</w:t>
      </w:r>
    </w:p>
    <w:p>
      <w:pPr>
        <w:spacing w:after="0" w:line="99"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14,165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13,975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awards and options</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15,286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14,136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Net income per share,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48"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does not use profitability reports on a regional or divisional basis for making business decisions. However, the Company does disaggregate revenue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two geographic regions: the Americas region and the Asia/Pacific &amp; Europe region. See disaggregated revenue in Note 3.</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Company's long-lived assets for its most significant geographic markets: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9,778</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921</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Accounting Pronouncements</w:t>
      </w:r>
    </w:p>
    <w:p>
      <w:pPr>
        <w:spacing w:after="0" w:line="14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 (Topic 606)</w:t>
      </w:r>
      <w:r>
        <w:rPr>
          <w:rFonts w:ascii="Times New Roman" w:cs="Times New Roman" w:eastAsia="Times New Roman" w:hAnsi="Times New Roman"/>
          <w:sz w:val="18"/>
          <w:szCs w:val="18"/>
          <w:color w:val="auto"/>
        </w:rPr>
        <w:t>, and has subsequently issued ASU 2015-14,</w:t>
      </w:r>
      <w:r>
        <w:rPr>
          <w:rFonts w:ascii="Times New Roman" w:cs="Times New Roman" w:eastAsia="Times New Roman" w:hAnsi="Times New Roman"/>
          <w:sz w:val="18"/>
          <w:szCs w:val="18"/>
          <w:i w:val="1"/>
          <w:iCs w:val="1"/>
          <w:color w:val="auto"/>
        </w:rPr>
        <w:t xml:space="preserve"> Revenue from Contracts with Customers (Topic 606): Deferral of the 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ASU 2016-08, </w:t>
      </w:r>
      <w:r>
        <w:rPr>
          <w:rFonts w:ascii="Times New Roman" w:cs="Times New Roman" w:eastAsia="Times New Roman" w:hAnsi="Times New Roman"/>
          <w:sz w:val="18"/>
          <w:szCs w:val="18"/>
          <w:i w:val="1"/>
          <w:iCs w:val="1"/>
          <w:color w:val="auto"/>
        </w:rPr>
        <w:t>Revenue from Contracts with Customers (Topic 606): Principal versus Agent Considerations (Reporting Revenue Gross versus Net)</w:t>
      </w:r>
      <w:r>
        <w:rPr>
          <w:rFonts w:ascii="Times New Roman" w:cs="Times New Roman" w:eastAsia="Times New Roman" w:hAnsi="Times New Roman"/>
          <w:sz w:val="18"/>
          <w:szCs w:val="18"/>
          <w:color w:val="auto"/>
        </w:rPr>
        <w:t xml:space="preserve">, ASU 2016-10, </w:t>
      </w:r>
      <w:r>
        <w:rPr>
          <w:rFonts w:ascii="Times New Roman" w:cs="Times New Roman" w:eastAsia="Times New Roman" w:hAnsi="Times New Roman"/>
          <w:sz w:val="18"/>
          <w:szCs w:val="18"/>
          <w:i w:val="1"/>
          <w:iCs w:val="1"/>
          <w:color w:val="auto"/>
        </w:rPr>
        <w:t>Revenue from</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Contracts with Customers (Topic 606): Identifying Performance Obligations and Licensing</w:t>
      </w:r>
      <w:r>
        <w:rPr>
          <w:rFonts w:ascii="Times New Roman" w:cs="Times New Roman" w:eastAsia="Times New Roman" w:hAnsi="Times New Roman"/>
          <w:sz w:val="18"/>
          <w:szCs w:val="18"/>
          <w:color w:val="auto"/>
        </w:rPr>
        <w:t>, ASU 2016-11,</w:t>
      </w:r>
      <w:r>
        <w:rPr>
          <w:rFonts w:ascii="Times New Roman" w:cs="Times New Roman" w:eastAsia="Times New Roman" w:hAnsi="Times New Roman"/>
          <w:sz w:val="18"/>
          <w:szCs w:val="18"/>
          <w:i w:val="1"/>
          <w:iCs w:val="1"/>
          <w:color w:val="auto"/>
        </w:rPr>
        <w:t xml:space="preserve"> Revenue Recognition (Topic 605) and Derivatives and Hedging (Topic 815)</w:t>
      </w:r>
      <w:r>
        <w:rPr>
          <w:rFonts w:ascii="Times New Roman" w:cs="Times New Roman" w:eastAsia="Times New Roman" w:hAnsi="Times New Roman"/>
          <w:sz w:val="18"/>
          <w:szCs w:val="18"/>
          <w:color w:val="auto"/>
        </w:rPr>
        <w:t>, ASU 2016-12,</w:t>
      </w:r>
      <w:r>
        <w:rPr>
          <w:rFonts w:ascii="Times New Roman" w:cs="Times New Roman" w:eastAsia="Times New Roman" w:hAnsi="Times New Roman"/>
          <w:sz w:val="18"/>
          <w:szCs w:val="18"/>
          <w:i w:val="1"/>
          <w:iCs w:val="1"/>
          <w:color w:val="auto"/>
        </w:rPr>
        <w:t xml:space="preserve"> Revenue from Contracts with Customers (Topic 606): Narrow-Scope Improvements and Practical Expedients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ASU 2016-20, </w:t>
      </w:r>
      <w:r>
        <w:rPr>
          <w:rFonts w:ascii="Times New Roman" w:cs="Times New Roman" w:eastAsia="Times New Roman" w:hAnsi="Times New Roman"/>
          <w:sz w:val="18"/>
          <w:szCs w:val="18"/>
          <w:i w:val="1"/>
          <w:iCs w:val="1"/>
          <w:color w:val="auto"/>
        </w:rPr>
        <w:t>Technical Corrections and Improvements to Topic 606, Revenue from Contracts with Customers</w:t>
      </w:r>
      <w:r>
        <w:rPr>
          <w:rFonts w:ascii="Times New Roman" w:cs="Times New Roman" w:eastAsia="Times New Roman" w:hAnsi="Times New Roman"/>
          <w:sz w:val="18"/>
          <w:szCs w:val="18"/>
          <w:color w:val="auto"/>
        </w:rPr>
        <w:t xml:space="preserve"> (collectively, Topic 606).</w:t>
      </w:r>
    </w:p>
    <w:p>
      <w:pPr>
        <w:spacing w:after="0" w:line="94" w:lineRule="exact"/>
        <w:rPr>
          <w:sz w:val="20"/>
          <w:szCs w:val="20"/>
          <w:color w:val="auto"/>
        </w:rPr>
      </w:pPr>
    </w:p>
    <w:p>
      <w:pPr>
        <w:jc w:val="both"/>
        <w:ind w:right="260" w:firstLine="405"/>
        <w:spacing w:after="0" w:line="272" w:lineRule="auto"/>
        <w:rPr>
          <w:sz w:val="20"/>
          <w:szCs w:val="20"/>
          <w:color w:val="auto"/>
        </w:rPr>
      </w:pPr>
      <w:r>
        <w:rPr>
          <w:rFonts w:ascii="Times New Roman" w:cs="Times New Roman" w:eastAsia="Times New Roman" w:hAnsi="Times New Roman"/>
          <w:sz w:val="17"/>
          <w:szCs w:val="17"/>
          <w:color w:val="auto"/>
        </w:rPr>
        <w:t>Topic 606 outlines a single comprehensive model for entities to use in accounting for revenue arising from contracts with customers and supersedes most current revenue recognition guidance, including industry-specific guidance. The core principle of Topic 606 is for companies to recognize revenue to depict the transfer of goods or services to customers in amounts that reflect the consideration it expects to receive in exchange for those goods or services.</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guidance also requires additional disclosure about the nature, amount, timing and uncertainty of revenue and cash flows arising from customer contracts, including significant judgments and changes in judgments and assets recognized from costs incurred to fulfill a contract. This guidance was effective for the Company beginning on July 1, 2018 with the option to adopt using either a full retrospective or a modified retrospective approach. The Company adopted Topic 606 using the modified retrospective approach, under which the cumulative effect of initially applying Topic 606 was recognized as an immaterial adjustment to the opening balance of retained earnings during the first quarter of fiscal 2019.</w:t>
      </w:r>
    </w:p>
    <w:p>
      <w:pPr>
        <w:spacing w:after="0" w:line="10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 evaluated each of its revenue streams and identified similar performance obligations under Topic 606 as compared to previous revenue recognition guidance. During its evaluation, the Company reviewed its loyalty points program and, based on the new guidance, changed the method of accounting from a cost provision method to a deferred revenue method, which resulted in immaterial adjustments to beginning balances upon adoption. As of December 31, 2018, the Company discontinued its loyalty points program, which resulted in an increase in revenue of approximately $0.5 million during the nine months ended March 31, 2019 from the recognition of deferred revenue related to accrued loyalty points.</w:t>
      </w:r>
    </w:p>
    <w:p>
      <w:pPr>
        <w:spacing w:after="0" w:line="103"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There are also considerations related to internal control over financial reporting associated with implementing Topic 606. The Company evaluated its control framework for revenue recognition and identified no material changes needed in response to the new guidance. The Company also evaluated the expanded disclosure requirements under Topic 606 and designed and implemented the appropriate controls over gathering and reporting the information required under Topic 606. See Note 3.</w:t>
      </w:r>
    </w:p>
    <w:p>
      <w:pPr>
        <w:spacing w:after="0" w:line="97"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For lessees, this ASU requires that for all leases not considered to be short term, a company recognize both a right-of-use asset and lease liability on its balance sheet, representing the obligation to make payments and the right to use or control the use of a specified asset for the lease term. This ASU is effective for annual periods beginning after December 15, 2018 and interim periods within those annual periods. The Company is currently evaluating the impact of the ASU on the Company’s outstanding leases and it consolidated financial statements. The Company expects the adoption will result in a material increase to the assets and liabilities on the consolidated balance sheet, but does not expect a material impact on the consolidated statements of operations and comprehensive income or consolidated statements of cash flows.</w:t>
      </w:r>
    </w:p>
    <w:p>
      <w:pPr>
        <w:spacing w:after="0" w:line="10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May 2017, FASB issued ASU No. 2017-09, </w:t>
      </w:r>
      <w:r>
        <w:rPr>
          <w:rFonts w:ascii="Times New Roman" w:cs="Times New Roman" w:eastAsia="Times New Roman" w:hAnsi="Times New Roman"/>
          <w:sz w:val="18"/>
          <w:szCs w:val="18"/>
          <w:i w:val="1"/>
          <w:iCs w:val="1"/>
          <w:color w:val="auto"/>
        </w:rPr>
        <w:t>Compensation - Stock Compensation (Topic 718): Scope of Modification Accounting</w:t>
      </w:r>
      <w:r>
        <w:rPr>
          <w:rFonts w:ascii="Times New Roman" w:cs="Times New Roman" w:eastAsia="Times New Roman" w:hAnsi="Times New Roman"/>
          <w:sz w:val="18"/>
          <w:szCs w:val="18"/>
          <w:color w:val="auto"/>
        </w:rPr>
        <w:t>. The ASU provides guidance about which changes to the terms or conditions of a share-based award require an entity to apply modification accounting in Topic 718. An entity should account for the effects of a modification unless all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This ASU became effective for the Company on July 1, 2018 and will be applied to an award modified on or after July 1, 2018.</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4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95" w:lineRule="exact"/>
        <w:rPr>
          <w:sz w:val="20"/>
          <w:szCs w:val="20"/>
          <w:color w:val="auto"/>
        </w:rPr>
      </w:pPr>
    </w:p>
    <w:p>
      <w:pPr>
        <w:ind w:right="40" w:firstLine="405"/>
        <w:spacing w:after="0" w:line="212" w:lineRule="auto"/>
        <w:rPr>
          <w:sz w:val="20"/>
          <w:szCs w:val="20"/>
          <w:color w:val="auto"/>
        </w:rPr>
      </w:pPr>
      <w:r>
        <w:rPr>
          <w:rFonts w:ascii="Times New Roman" w:cs="Times New Roman" w:eastAsia="Times New Roman" w:hAnsi="Times New Roman"/>
          <w:sz w:val="18"/>
          <w:szCs w:val="18"/>
          <w:color w:val="auto"/>
        </w:rPr>
        <w:t>The Company generates the majority of its revenues through product sales to customers. These products include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line of dietary supplements, Omega+ and ProBio dietary supplements, the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line of Nrf2-infused skin and hair care products, Petandim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Dogs,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Energy Drink mixes, and the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578" w:right="259" w:bottom="1440" w:gutter="0" w:footer="0" w:header="0"/>
        </w:sectPr>
      </w:pPr>
    </w:p>
    <w:bookmarkStart w:id="13" w:name="page14"/>
    <w:bookmarkEnd w:id="13"/>
    <w:p>
      <w:pPr>
        <w:ind w:right="160"/>
        <w:spacing w:after="0" w:line="282" w:lineRule="auto"/>
        <w:rPr>
          <w:sz w:val="20"/>
          <w:szCs w:val="20"/>
          <w:color w:val="auto"/>
        </w:rPr>
      </w:pPr>
      <w:r>
        <w:rPr>
          <w:rFonts w:ascii="Times New Roman" w:cs="Times New Roman" w:eastAsia="Times New Roman" w:hAnsi="Times New Roman"/>
          <w:sz w:val="18"/>
          <w:szCs w:val="18"/>
          <w:color w:val="auto"/>
        </w:rPr>
        <w:t>price basis. Any discounts are accounted for as a direct reduction to the transaction price. Shipping and handling revenue is recognized upon shipment when the performance obligation is completed.</w:t>
      </w:r>
    </w:p>
    <w:p>
      <w:pPr>
        <w:spacing w:after="0" w:line="8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also charges amounts to independent distributors to attend events held by the Company.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48"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performance, including amounts which are refundable. Deferred revenue is included in accrued expenses in the condensed consolidated balance sheets and includes pre-sell tickets to events and obligations related to the Company’s loyalty points program.</w:t>
      </w:r>
    </w:p>
    <w:p>
      <w:pPr>
        <w:spacing w:after="0" w:line="9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Company pre-sells tickets to its events. When cash payments are received in advance of events, the cash received is recorded to deferred revenue until the event is held, at which time the Company has performed its obligations under the contract and the revenue is recognized.</w:t>
      </w:r>
    </w:p>
    <w:p>
      <w:pPr>
        <w:spacing w:after="0" w:line="8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Historically, the Company has offered a loyalty points program for its customers that allows the customers to earn points from ongoing purchases that can be redeemed for products. As of December 31, 2018, the Company discontinued its loyalty points program and all revenues previously deferred under the program have been recognized. The Company accounted for these points prior to the discontinuance of the program as a reduction to the transaction price based on estimated usage.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Returns and Allowances</w:t>
      </w:r>
    </w:p>
    <w:p>
      <w:pPr>
        <w:spacing w:after="0" w:line="148"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direct sales customers for returned product. The Company allows terminating independent distributors to return up to 30% of unopened, unexpired product that they have purchased within the prior twelve months for a full refund, less a 10% restocking fee. The Company establishes a refund liability reserve and an asset reserve for its right to recover products based on historical experience. The returns asset reserve and returns liability reserve are evaluated on a quarterly basis. As of March 31, 2019 and June 30, 2018, the returns liability reserve, net was $0.3 million and $0.4 million, respectively.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reports revenue in two geographic regions: the Americas region and the Asia/Pacific &amp; Europe region. The following table presents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revenues disaggregated by these two geographic regions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40,366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123,885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111,092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 &amp; Europe</w:t>
            </w:r>
          </w:p>
        </w:tc>
        <w:tc>
          <w:tcPr>
            <w:tcW w:w="34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15,646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45,903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38,079</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56,012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50,562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169,788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149,171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information as to the Company’s revenue from operations in the most significant geographical areas is set forth below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37,598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35,585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115,574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104,514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10,099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10,064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30,184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31,303</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Long-Term Debt</w:t>
      </w:r>
    </w:p>
    <w:p>
      <w:pPr>
        <w:spacing w:after="0" w:line="148"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jc w:val="center"/>
        <w:ind w:right="140"/>
        <w:spacing w:after="0"/>
        <w:rPr>
          <w:sz w:val="20"/>
          <w:szCs w:val="20"/>
          <w:color w:val="auto"/>
        </w:rPr>
      </w:pPr>
      <w:r>
        <w:rPr>
          <w:rFonts w:ascii="Times New Roman" w:cs="Times New Roman" w:eastAsia="Times New Roman" w:hAnsi="Times New Roman"/>
          <w:sz w:val="18"/>
          <w:szCs w:val="18"/>
          <w:color w:val="auto"/>
        </w:rPr>
        <w:t>(the “2016 Revolving Loan,” and collectively with the 2016 Term Loan, the 2016 Loan Agreement and the Security Agreement, the “2016 Credit Facility”).</w:t>
      </w:r>
    </w:p>
    <w:p>
      <w:pPr>
        <w:spacing w:after="0" w:line="14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9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On May 4, 2018, the Company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08"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spacing w:after="0" w:line="9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On February 1, 2019, the Company entered into a loan modification agreement, which amended the 2016 Credit Facility, as amended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03"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March 31, 2019, the Company was in compliance with all applicable covenants under the 2016 Credit Facility, as amended.</w:t>
      </w:r>
    </w:p>
    <w:p>
      <w:pPr>
        <w:spacing w:after="0" w:line="108"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The Company’s book value for the 2016 Credit Facility, as amended, approximates the fair value. Aggregate future principal payments required in accordance with the terms of the 2016 Credit Facility, as amended, are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Ending June 30,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(remaining three months ending June 30, 2019)</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Stockholders’ Equity</w:t>
      </w:r>
    </w:p>
    <w:p>
      <w:pPr>
        <w:spacing w:after="0" w:line="14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31, 2019, the Company issued 0.1 million and 0.1 million shares, respectively, of common stock upon the exercise of options. During the three and nine months ended March 31, 2019, 14,000 and 0.2 million shares, respectively, of restricted stock were canceled or surrendered as payment of tax withholding upon vesting.</w:t>
      </w:r>
    </w:p>
    <w:p>
      <w:pPr>
        <w:spacing w:after="0" w:line="95"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On November 27, 2017, the Company announced a share repurchase program authorizing it to repurchase up to $5 million in shares of the Company's common stock. The repurchase program permits the Company to purchase shares through a</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spacing w:after="0" w:line="255" w:lineRule="auto"/>
        <w:rPr>
          <w:sz w:val="20"/>
          <w:szCs w:val="20"/>
          <w:color w:val="auto"/>
        </w:rPr>
      </w:pPr>
      <w:r>
        <w:rPr>
          <w:rFonts w:ascii="Times New Roman" w:cs="Times New Roman" w:eastAsia="Times New Roman" w:hAnsi="Times New Roman"/>
          <w:sz w:val="18"/>
          <w:szCs w:val="18"/>
          <w:color w:val="auto"/>
        </w:rPr>
        <w:t>variety of methods, including in the open market, through privately negotiated transactions or other means as determined by the Company's management. As part of the repurchase program, the Company may enter into a pre-arranged stock repurchase plan which will operate in accordance with guidelines specified under Rule 10b5-1 of the Securities Exchange Act. Accordingly, transactions, if any, would be completed in accordance with the terms of the stock repurchase plan, including specified price, volume and timing conditions. The authorization may be suspended or discontinued at any time and expires on November 27, 2020. On February 1, 2019, the Board of Directors approved an amendment to the share repurchase program to increase the authorized share repurchase amount from $5 million to $15 million. During the nine months ended March 31, 2019, 0.1 million shares of common stock were purchased by the Company under this repurchase program. At March 31, 2019, there is $11.8 million remaining under this repurchase program.</w:t>
      </w:r>
    </w:p>
    <w:p>
      <w:pPr>
        <w:spacing w:after="0" w:line="108"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preferred shares. However, as of March 31, 2019, none have been issued and no rights or preferences have been assigned to the preferred shares by the Company’s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Long-Term Incentive Plans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Equity-Settled Plans</w:t>
      </w:r>
    </w:p>
    <w:p>
      <w:pPr>
        <w:spacing w:after="0" w:line="148"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$1.75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Effective November 21, 2016, no new awards can be granted under the 2007 Plan.</w:t>
      </w:r>
    </w:p>
    <w:p>
      <w:pPr>
        <w:spacing w:after="0" w:line="108"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$20.09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will be added to the 2017 Plan pool as described below.</w:t>
      </w:r>
    </w:p>
    <w:p>
      <w:pPr>
        <w:spacing w:after="0" w:line="10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Company adopted, and the stockholders approved, the 2017 Long-Term Incentive Plan (the “2017 Plan”), effective February 16, 2017, to provide incentives to eligible employees, directors and consultants. On November 15, 2018 and February 2, 2018, the stockholders approved amendments to the 2017 Plan to increase by 715,000 shares and 425,000 shares, respectively, the number of shares of the Company's common stock that are available for issuance under the 2017 Plan. The maximum number of shares that can be issued under the 2017 Plan is not to exceed 2,265,000 shares, calculated as the sum of (i) 1,790,000 shares and (ii) up to 475,000 shares previously reserved for issuance under the 2010 Plan, including shares returned upon cancellation, termination or forfeiture of awards that were previously granted under that plan. As of March 31, 2019, a maximum of 2.3 million shares of the Company's common stock can be issued under the 2017 Plan in connection with the grant of awards. Outstanding stock options awarded under the 2017 Plan have exercise prices of $4.44 per share, and vest over a three year vesting period. Awards expire in accordance with the terms of each award and the shares subject to the award are added back to the 2017 Plan upon expiration of the award. The contractual term of stock options granted are substantially the same as described above for the 2007 Plan and 2010 Plan. As of March 31, 2019, there were stock option awards outstanding, net of awards expired, for an aggregate of 0.4 million shares of the Company's common stock.</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Cash-Settled Plans</w:t>
      </w:r>
    </w:p>
    <w:p>
      <w:pPr>
        <w:spacing w:after="0" w:line="148"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Company adopted a performance incentive plan effective July 1, 2015 (the "Fiscal 2016 Performance Plan"). The Fiscal 2016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2016 Performance Plan seeks to achieve this purpose by providing for awards in the form of performance share units (the “Units”). No shares will be issued under the Fiscal 2016 Performance Plan. Awards may be settled only with cash and will be paid subsequent to award vesting. The fair</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580" w:right="259" w:bottom="1440" w:gutter="0" w:footer="0" w:header="0"/>
        </w:sectPr>
      </w:pPr>
    </w:p>
    <w:bookmarkStart w:id="16" w:name="page17"/>
    <w:bookmarkEnd w:id="16"/>
    <w:p>
      <w:pPr>
        <w:ind w:right="40"/>
        <w:spacing w:after="0" w:line="255" w:lineRule="auto"/>
        <w:rPr>
          <w:sz w:val="20"/>
          <w:szCs w:val="20"/>
          <w:color w:val="auto"/>
        </w:rPr>
      </w:pPr>
      <w:r>
        <w:rPr>
          <w:rFonts w:ascii="Times New Roman" w:cs="Times New Roman" w:eastAsia="Times New Roman" w:hAnsi="Times New Roman"/>
          <w:sz w:val="18"/>
          <w:szCs w:val="18"/>
          <w:color w:val="auto"/>
        </w:rPr>
        <w:t>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separate performance incentive plans effective July 1, 2016 (the "Fiscal 2017 Performance Plan") and July 1, 2017 (the "Fiscal 2018 Performance Plan"). The Fiscal 2017 Performance Plan and Fiscal 2018 Performance Plan include performance-based and service-based vesting requirements and payment terms that are substantially the same as described above for the Fiscal 2016 Performance Plan.</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4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Employee Stock Purchase Plan ("ESPP") was adopted on September 20, 2018, and subsequently approved by the stockholders on November 15, 2018. The purpose of the ESPP is to provide the Company's employees with the ability to acquire shares of the Company's common stock at a discount to the purchase date fair market value through payroll deductions. The first six-month offering period began March 1, 2019. During the three and nine months ended March 31, 2019, no shares of common stock were purchased under the ESPP.</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44"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accounting guidance for stock-based compensation, payments in equity instruments for goods or services are accounted for by the fair value method. For the three and nine months ended March 31, 2019, stock-based compensation of $1.0 million and $3.6 million, respectively, was reflected as an increase to additional paid-in capital and an increase of $0.1 million and $0.5 million, respectively, was included in other accrued expenses, all of which was employee related. For the three and nine months ended March 31, 2018, stock-based compensation of $1.3 million and $2.3 million, respectively, was reflected as an increase to additional paid-in capital and an increase of $0.6 million and $0.2 million, respectively, was included in other accrued expenses, all of which was employee related.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4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contingent liabilities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March 31, 2019, and based on the assessment, there are no probable loss contingencies requiring accrual or disclosures within its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Accruals</w:t>
      </w:r>
    </w:p>
    <w:p>
      <w:pPr>
        <w:spacing w:after="0" w:line="14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ind w:right="40"/>
        <w:spacing w:after="0" w:line="266" w:lineRule="auto"/>
        <w:rPr>
          <w:sz w:val="20"/>
          <w:szCs w:val="20"/>
          <w:color w:val="auto"/>
        </w:rPr>
      </w:pPr>
      <w:r>
        <w:rPr>
          <w:rFonts w:ascii="Times New Roman" w:cs="Times New Roman" w:eastAsia="Times New Roman" w:hAnsi="Times New Roman"/>
          <w:sz w:val="18"/>
          <w:szCs w:val="18"/>
          <w:color w:val="auto"/>
        </w:rPr>
        <w:t>material effect on the Company's business, financial condition, results of operations or cash flows will depend on a number of variables, including: the timing and amount of such losses; the structure and type of any remedies; the significance of the impact any such losses, damages or remedies may have on the consolidated financial statements; and the unique facts and circumstances of the particular matter that may give rise to additional factors.</w:t>
      </w:r>
    </w:p>
    <w:p>
      <w:pPr>
        <w:spacing w:after="0" w:line="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Class Action Lawsuit (</w:t>
      </w:r>
      <w:r>
        <w:rPr>
          <w:rFonts w:ascii="Times New Roman" w:cs="Times New Roman" w:eastAsia="Times New Roman" w:hAnsi="Times New Roman"/>
          <w:sz w:val="18"/>
          <w:szCs w:val="18"/>
          <w:b w:val="1"/>
          <w:bCs w:val="1"/>
          <w:i w:val="1"/>
          <w:iCs w:val="1"/>
          <w:color w:val="auto"/>
        </w:rPr>
        <w:t>Smith v. LifeVantage Corp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January 24, 2018, a purported class action was filed in the United States District Court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District of Connecticut, entitled </w:t>
      </w:r>
      <w:r>
        <w:rPr>
          <w:rFonts w:ascii="Times New Roman" w:cs="Times New Roman" w:eastAsia="Times New Roman" w:hAnsi="Times New Roman"/>
          <w:sz w:val="18"/>
          <w:szCs w:val="18"/>
          <w:i w:val="1"/>
          <w:iCs w:val="1"/>
          <w:color w:val="auto"/>
        </w:rPr>
        <w:t>Smith v. LifeVantage Corp</w:t>
      </w:r>
      <w:r>
        <w:rPr>
          <w:rFonts w:ascii="Times New Roman" w:cs="Times New Roman" w:eastAsia="Times New Roman" w:hAnsi="Times New Roman"/>
          <w:sz w:val="18"/>
          <w:szCs w:val="18"/>
          <w:color w:val="auto"/>
        </w:rPr>
        <w:t>., Case No. 3:18-cv-a35 (D. Connecticut filed Jan. 24, 2018). In this action, plaintiff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Chief Executive Officer remains a defendant in the case). However, the amended complaint adds a new antitrust claim, alleging that the Company fraudulently obtained patents for its products and is attempting to use those patents in an anti-competitive manner. LifeVantage filed a Motion to Dismiss the amended complaint on November 5, 2018, Plaintiffs filed a response to LifeVantage’s Motion to Dismiss on December 17, 2018, and LifeVantage filed a reply brief on January 10, 2019. With the matter now being fully briefed, the Court can issue a ruling based on the briefs submitted by the parties or schedule a hearing for oral argument before entering a decision on the motion.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103"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Matters. </w:t>
      </w:r>
      <w:r>
        <w:rPr>
          <w:rFonts w:ascii="Times New Roman" w:cs="Times New Roman" w:eastAsia="Times New Roman" w:hAnsi="Times New Roman"/>
          <w:sz w:val="18"/>
          <w:szCs w:val="18"/>
          <w:color w:val="auto"/>
        </w:rPr>
        <w:t>In addition to the matters described above, the Company also may become involved in other litigation and regulatory matters incidental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Transactions</w:t>
      </w:r>
    </w:p>
    <w:p>
      <w:pPr>
        <w:spacing w:after="0" w:line="148"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Company contracted with GEG for outsourced software application development services pursuant to an agreement entered into between the Company and GEG, which included a convertible note. For discussion related to the convertible note between the Company and GEG, see Note 2. David Toole, who served as a member of the Company's board of directors until February 2, 2018, is a majority owner and an officer of GEG.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are a company focused on biohacking the aging code through nutrigenomics, the study of how nutrition and naturally occurring compounds affect our genes. We are dedicated to helping people achieve their health, wellness and financial goals. We provide quality, scientifically-validated products and a financially rewarding direct sales business opportunity to customers and independent distributors. We engage in the identification, research, development and distribution of advanced nutraceutical dietary supplements and personal care products. We currently sell our products to customers and independent distributors in two geographic regions that we have classified as the Americas region and the Asia/Pacific &amp; Europe region.</w:t>
      </w:r>
    </w:p>
    <w:p>
      <w:pPr>
        <w:spacing w:after="0" w:line="103"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Our revenue depends on the number and productivity of our independent distributors and the number of our customers. When we are successful in attracting and retaining independent distributors and customers, it is largely because of:</w:t>
      </w:r>
    </w:p>
    <w:p>
      <w:pPr>
        <w:spacing w:after="0" w:line="81" w:lineRule="exact"/>
        <w:rPr>
          <w:sz w:val="20"/>
          <w:szCs w:val="20"/>
          <w:color w:val="auto"/>
        </w:rPr>
      </w:pPr>
    </w:p>
    <w:p>
      <w:pPr>
        <w:jc w:val="both"/>
        <w:ind w:left="740" w:right="260" w:hanging="327"/>
        <w:spacing w:after="0" w:line="204"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scientifically-validated products, including our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Omega+ and ProBio dietary supplements, the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line of Nrf2-infused skin and hair care products, Petandim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Dogs,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Energy Drink mixes, and the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Weight Management System;</w:t>
      </w:r>
    </w:p>
    <w:p>
      <w:pPr>
        <w:spacing w:after="0" w:line="11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plan and other sales initiatives; and</w:t>
      </w:r>
    </w:p>
    <w:p>
      <w:pPr>
        <w:spacing w:after="0" w:line="14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delivery of superior customer service.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580" w:right="259" w:bottom="1440" w:gutter="0" w:footer="0" w:header="0"/>
        </w:sectPr>
      </w:pPr>
    </w:p>
    <w:bookmarkStart w:id="18" w:name="page19"/>
    <w:bookmarkEnd w:id="18"/>
    <w:p>
      <w:pPr>
        <w:ind w:firstLine="324"/>
        <w:spacing w:after="0" w:line="256" w:lineRule="auto"/>
        <w:rPr>
          <w:sz w:val="20"/>
          <w:szCs w:val="20"/>
          <w:color w:val="auto"/>
        </w:rPr>
      </w:pPr>
      <w:r>
        <w:rPr>
          <w:rFonts w:ascii="Times New Roman" w:cs="Times New Roman" w:eastAsia="Times New Roman" w:hAnsi="Times New Roman"/>
          <w:sz w:val="18"/>
          <w:szCs w:val="18"/>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Japan, Hong Kong, Australia, Canada, Mexico, Thailand, the United Kingdom, the Netherlands, Germany, Austria, Taiwan and Spain. We also sell our products in a number of countries to customers for personal consumption only. In addition, we sell our products in China through our e-commerce business model. Entering a new market requires a considerable amount of time, resources and continued support. If we are unable to properly support an existing or new market, our revenue growth may be negatively impacted.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48" w:lineRule="exact"/>
        <w:rPr>
          <w:sz w:val="20"/>
          <w:szCs w:val="20"/>
          <w:color w:val="auto"/>
        </w:rPr>
      </w:pPr>
    </w:p>
    <w:p>
      <w:pPr>
        <w:ind w:right="80" w:firstLine="405"/>
        <w:spacing w:after="0" w:line="205" w:lineRule="auto"/>
        <w:rPr>
          <w:sz w:val="20"/>
          <w:szCs w:val="20"/>
          <w:color w:val="auto"/>
        </w:rPr>
      </w:pPr>
      <w:r>
        <w:rPr>
          <w:rFonts w:ascii="Times New Roman" w:cs="Times New Roman" w:eastAsia="Times New Roman" w:hAnsi="Times New Roman"/>
          <w:sz w:val="18"/>
          <w:szCs w:val="18"/>
          <w:color w:val="auto"/>
        </w:rPr>
        <w:t>Our line of scientifically-validated dietary supplements includes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and Nrf2 Synergizers™, Omega+ and ProBio.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Synergizer is formulated to increase cellular energy and performance by boosting mitochondria production to improve cellular repair and slow cellular aging.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LifeVantage Omega+ is a dietary supplement that combines DHA and EPA Omega-3 fatty acids, Omega-7 fatty acids, and Vitamin D3 to support cognitive health, cardiovascular health, skin health, and the immune system. LifeVantage ProBio is a dietary supplement designed to support optimal digestion and immune system function. Our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anti-aging skin care line includes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Facial Cleanser,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Perfecting Lotion,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Eye Serum,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Anti-Aging Cream and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Hand Cream. Our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Hair Care System includes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Invigorating Shampoo,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Nourishing Conditioner and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Scalp Serum. Axio</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color w:val="auto"/>
        </w:rPr>
        <w:t xml:space="preserve"> is our line of Smart Energy Drink mixes formulated to promote alertness and support mental performance.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our Smart Weight Management System which includes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Fat Burn,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Prebiotic and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Whey Protein, all formulated to aid in weight management. Petandim™ for Dogs is a supplement specially formulated to combat oxidative stress in dogs through Nrf2 activation.</w:t>
      </w:r>
    </w:p>
    <w:p>
      <w:pPr>
        <w:spacing w:after="0" w:line="125" w:lineRule="exact"/>
        <w:rPr>
          <w:sz w:val="20"/>
          <w:szCs w:val="20"/>
          <w:color w:val="auto"/>
        </w:rPr>
      </w:pPr>
    </w:p>
    <w:p>
      <w:pPr>
        <w:ind w:firstLine="324"/>
        <w:spacing w:after="0" w:line="198" w:lineRule="auto"/>
        <w:rPr>
          <w:sz w:val="20"/>
          <w:szCs w:val="20"/>
          <w:color w:val="auto"/>
        </w:rPr>
      </w:pPr>
      <w:r>
        <w:rPr>
          <w:rFonts w:ascii="Times New Roman" w:cs="Times New Roman" w:eastAsia="Times New Roman" w:hAnsi="Times New Roman"/>
          <w:sz w:val="18"/>
          <w:szCs w:val="18"/>
          <w:color w:val="auto"/>
        </w:rPr>
        <w:t>A stack consists of multiple products bundled together that are designed to achieve a specific result. The Vitality Stack includes four of our nutrigenomics products -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and Nrf2 Synergizers™, Omega+ and ProBio. It was designed to provide a foundation for wellness, supporting healthy organs, including the brain, heart, eyes, and other vitals. Vitality Stack is our premier product bundle and we also offer stacks for our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lines.</w:t>
      </w:r>
    </w:p>
    <w:p>
      <w:pPr>
        <w:spacing w:after="0" w:line="9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14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Because we utilize a direct selling model for the distribution of a majority of our products, the success and growth of our business is primarily based on the effectiveness of our independent distributors in selling our products and on our ability to attract new and retain existing independent distributors. Changes in our product sales typically are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changes in our active customer base by geographic region. These numbers have been rounded to the nearest thousand as of the dates indicated. For purposes of this report, we only count as active members those independent distributors and customers who have purchased from us at any time during the most recent three-month period, either for personal use or for resale.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240" w:type="dxa"/>
            <w:vAlign w:val="bottom"/>
          </w:tcPr>
          <w:p>
            <w:pPr>
              <w:spacing w:after="0"/>
              <w:rPr>
                <w:sz w:val="11"/>
                <w:szCs w:val="11"/>
                <w:color w:val="auto"/>
              </w:rPr>
            </w:pPr>
          </w:p>
        </w:tc>
        <w:tc>
          <w:tcPr>
            <w:tcW w:w="17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Change from Prior</w:t>
            </w:r>
          </w:p>
        </w:tc>
        <w:tc>
          <w:tcPr>
            <w:tcW w:w="100" w:type="dxa"/>
            <w:vAlign w:val="bottom"/>
          </w:tcPr>
          <w:p>
            <w:pPr>
              <w:spacing w:after="0"/>
              <w:rPr>
                <w:sz w:val="11"/>
                <w:szCs w:val="11"/>
                <w:color w:val="auto"/>
              </w:rPr>
            </w:pPr>
          </w:p>
        </w:tc>
        <w:tc>
          <w:tcPr>
            <w:tcW w:w="13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Active Independent Distributors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Asia/Pacific &amp; Europe</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97"/>
        </w:trPr>
        <w:tc>
          <w:tcPr>
            <w:tcW w:w="3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Active Independent Distributors</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68,000</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63,000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5,000</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11"/>
        </w:trPr>
        <w:tc>
          <w:tcPr>
            <w:tcW w:w="3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Active Customers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Asia/Pacific &amp; Europe</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Active Customers</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Active Members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Asia/Pacific &amp; Europe</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39,000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57"/>
        </w:trPr>
        <w:tc>
          <w:tcPr>
            <w:tcW w:w="3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Active Members</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189,000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173,000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and Nine Months ended March 31, 2019 compared to the Three and Nine Months ended March 31, 2018</w:t>
      </w:r>
    </w:p>
    <w:p>
      <w:pPr>
        <w:spacing w:after="0" w:line="142" w:lineRule="exact"/>
        <w:rPr>
          <w:sz w:val="20"/>
          <w:szCs w:val="20"/>
          <w:color w:val="auto"/>
        </w:rPr>
      </w:pPr>
    </w:p>
    <w:p>
      <w:pPr>
        <w:ind w:right="5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generated net revenue of $56.0 million and $50.6 million during the three months ended March 31, 2019 and 2018, respectively.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net revenue of $169.8 million and $149.2 million during the nine months ended March 31, 2019 and 2018, respectively. Foreign currency fluctuations negatively impacted our revenue $0.6 million or 1.3% and $1.2 million or 0.8% during the three and nine months ended March 31, 2019, respectively.</w:t>
      </w:r>
    </w:p>
    <w:p>
      <w:pPr>
        <w:spacing w:after="0" w:line="1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The following table sets forth revenue for the three and nine months ended March 31, 2019 and 2018 for the Americas region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37,598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35,585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115,574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104,514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2,441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8,311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6,578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Americas 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40,366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38,026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123,885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111,092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17" w:lineRule="exact"/>
        <w:rPr>
          <w:sz w:val="20"/>
          <w:szCs w:val="20"/>
          <w:color w:val="auto"/>
        </w:rPr>
      </w:pPr>
    </w:p>
    <w:p>
      <w:pPr>
        <w:ind w:right="60" w:firstLine="405"/>
        <w:spacing w:after="0" w:line="233" w:lineRule="auto"/>
        <w:rPr>
          <w:sz w:val="20"/>
          <w:szCs w:val="20"/>
          <w:color w:val="auto"/>
        </w:rPr>
      </w:pPr>
      <w:r>
        <w:rPr>
          <w:rFonts w:ascii="Times New Roman" w:cs="Times New Roman" w:eastAsia="Times New Roman" w:hAnsi="Times New Roman"/>
          <w:sz w:val="18"/>
          <w:szCs w:val="18"/>
          <w:color w:val="auto"/>
        </w:rPr>
        <w:t>Revenue in the Americas region for the three and nine months ended March 31, 2019 increased $2.3 million or 6.2% and $12.8 million or 11.5%, respectively, from the prior year same periods. Revenue in the Americas increased due to our continued investment in our red carpet program, the introduction of our new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Hair Care System in the United States, an overall increase in active members during the current year period and further expansion of our product lines in Mexico and Canada.</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8"/>
          <w:szCs w:val="18"/>
          <w:u w:val="single" w:color="auto"/>
          <w:color w:val="auto"/>
        </w:rPr>
        <w:t>Asia/Pacific &amp; Europe</w:t>
      </w:r>
      <w:r>
        <w:rPr>
          <w:rFonts w:ascii="Times New Roman" w:cs="Times New Roman" w:eastAsia="Times New Roman" w:hAnsi="Times New Roman"/>
          <w:sz w:val="18"/>
          <w:szCs w:val="18"/>
          <w:color w:val="auto"/>
        </w:rPr>
        <w:t>. The following table sets forth revenue for the three and nine months ended March 31, 2019 and 2018 for the Asia/Pacific &amp;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region and its principal markets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10,099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10,064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31,303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15,719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6,776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132.0 %</w:t>
            </w:r>
          </w:p>
        </w:tc>
      </w:tr>
      <w:tr>
        <w:trPr>
          <w:trHeight w:val="27"/>
        </w:trPr>
        <w:tc>
          <w:tcPr>
            <w:tcW w:w="3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Asia/Pacific &amp; Europe 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15,646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12,536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45,903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38,079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17"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Revenue in the Asia/Pacific &amp; Europe region increased $3.1 million or 24.8% and $7.8 million or 20.5% for the three and nine months ended March 31, 2019, respectively, as compared to the prior year same periods. The year over year increase in this region was mainly due to increased revenues in our recently launched Taiwan market and substantial increases in our Europe, Thailand and Australia markets as we continue to focus on growth in these regions. Revenue in the Asia/Pacific &amp; Europe region was negatively impacted approximately $0.5 million or 4.1% and $0.9 million or 2.3% during the three and nine months ended March 31, 2019, respectively, as compared to the prior year periods, by foreign currency exchange rate fluctuations. Revenue in Japan was negatively impacted approximately $0.2 million or 1.8% and $0.2 million or 0.7% during the three and nine months ended March 31, 2019, respectively, as compared to the prior year periods, by foreign currency exchange rate fluctuations. On a constant currency basis, revenue in Japan increased 2.1% and decreased 2.9% for the three and nine months ended March 31, 2019, respectively, as compared to the prior year periods. Revenue in Japan for the nine months ended March 31, 2019 decreased mainly due to an overall decrease in active members.</w:t>
      </w:r>
    </w:p>
    <w:p>
      <w:pPr>
        <w:spacing w:after="0" w:line="108" w:lineRule="exact"/>
        <w:rPr>
          <w:sz w:val="20"/>
          <w:szCs w:val="20"/>
          <w:color w:val="auto"/>
        </w:rPr>
      </w:pPr>
    </w:p>
    <w:p>
      <w:pPr>
        <w:ind w:right="180" w:firstLine="405"/>
        <w:spacing w:after="0" w:line="230" w:lineRule="auto"/>
        <w:rPr>
          <w:sz w:val="20"/>
          <w:szCs w:val="20"/>
          <w:color w:val="auto"/>
        </w:rPr>
      </w:pPr>
      <w:r>
        <w:rPr>
          <w:rFonts w:ascii="Times New Roman" w:cs="Times New Roman" w:eastAsia="Times New Roman" w:hAnsi="Times New Roman"/>
          <w:sz w:val="18"/>
          <w:szCs w:val="18"/>
          <w:color w:val="auto"/>
        </w:rPr>
        <w:t>Globally, we continue to focus on strengthening our core business through our fiscal 2019 initiatives, which include continued investment in our red carpet program, expanding our global footprint, including the roll out of our product lines to international markets, and the continued development and enhancement of compelling distributor training tools and technologies that will help our independent distributors grow their businesses. During the nine months ended March 31, 2019, we completed our first three full fiscal quarters of operations in Taiwan, opened full on-the-ground business operations in Austria and Spain, further expanded and updated our product offerings with the introduction of our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Hair Care System and the updating of the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Weight Management System and held large events for our independent distributors in the U.S. and Japan, including Global Convention that was held during the second quarter of fiscal 2019. We continue working on refining our mainland China e-commerce business model and have planned expansion into additional European markets during the fourth quarter of fiscal 2019.</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gross profit percentage for the three months ended March 31, 2019 and 2018 was 83.4% and 82.4%, respectively. Our gross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for the nine months ended March 31, 2019 and 2018 was 83.4% and 82.0%, respectively. The increase in gross margin is primarily due to benefits of a price increase during the second half of fiscal 2018, decreased inventory obsolescence and handling costs and changes to our geographic and product sales mix.</w:t>
      </w:r>
    </w:p>
    <w:p>
      <w:pPr>
        <w:spacing w:after="0" w:line="99"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Commissions and Incentives. </w:t>
      </w:r>
      <w:r>
        <w:rPr>
          <w:rFonts w:ascii="Times New Roman" w:cs="Times New Roman" w:eastAsia="Times New Roman" w:hAnsi="Times New Roman"/>
          <w:sz w:val="18"/>
          <w:szCs w:val="18"/>
          <w:color w:val="auto"/>
        </w:rPr>
        <w:t>Commissions and incentives expenses during the three months ended March 31, 2019 were $27.2 million or 48.6%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as compared to commissions and incentives expenses of $24.3 million or 48.1% of revenues for the three months ended March 31, 2018. Commissions and incentives expenses during the nine months ended March 31, 2019 were $83.2 million or 49.0% of revenues as compared to commissions and incentives expenses of $71.1 million or 47.7% of revenues for the nine months ended March 31, 2018.</w:t>
      </w:r>
    </w:p>
    <w:p>
      <w:pPr>
        <w:spacing w:after="0" w:line="101"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increase in commissions and incentives expenses as a percentage of revenues for the three and nine months ended March 31, 2019 as compared to the prior year period is due to the continued investment in our red carpet program and other promotional and incentive programs designed to increase revenues. Distributor commissions as a percentage of commissionable revenues generated remained consistent during the comparable periods.</w:t>
      </w:r>
    </w:p>
    <w:p>
      <w:pPr>
        <w:spacing w:after="0" w:line="95"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We expect commissions and incentives expenses for the remainder of fiscal 2019 to decrease slightly as a percentage of revenue as we continue to refine our investments in our incentive and promotional activities. We anticipate that there will continue to be fluctuations from quarter to quarter caused by the timing and magnitude of compensation, incentive and promotional programs.</w:t>
      </w:r>
    </w:p>
    <w:p>
      <w:pPr>
        <w:spacing w:after="0" w:line="93"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during the three months ended March 31, 2019 were $17.3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30.9% of revenues as compared to selling, general and administrative expenses of $15.0 million or 29.7% of revenues for the three months ended March 31, 2018. Selling, general and administrative expenses during the nine months ended March 31, 2019 were $54.2 million or 31.9% of revenues as compared to selling, general and administrative expenses of $45.2 million or 30.3% of revenues for the nine months ended March 31, 2018.</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during the three and nine months ended March 31, 2019 compared to the prior year same period primarily was due to expenses associated with Global Convention and other events, including our U.S. Elite Academy, our Japan Convention and our Japan Elite Academy. Expenses associated with stock and other employee incentive compensation programs increased as a result of improved revenue performance and increases in our share price as compared to the prior year period.</w:t>
      </w:r>
    </w:p>
    <w:p>
      <w:pPr>
        <w:spacing w:after="0" w:line="99"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We expect selling, general and administrative expenses, as a percent of revenue, to decrease for the remainder of the fiscal year due to decreased event spending and as we leverage current spending and execute on our strategic investments and initiatives designed to increase revenue. We also anticipate that there will be fluctuations from period to period due to the timing of product and market launches and other planned events.</w:t>
      </w:r>
    </w:p>
    <w:p>
      <w:pPr>
        <w:spacing w:after="0" w:line="93" w:lineRule="exact"/>
        <w:rPr>
          <w:sz w:val="20"/>
          <w:szCs w:val="20"/>
          <w:color w:val="auto"/>
        </w:rPr>
      </w:pPr>
    </w:p>
    <w:p>
      <w:pPr>
        <w:jc w:val="both"/>
        <w:ind w:right="38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Other Expense. </w:t>
      </w:r>
      <w:r>
        <w:rPr>
          <w:rFonts w:ascii="Times New Roman" w:cs="Times New Roman" w:eastAsia="Times New Roman" w:hAnsi="Times New Roman"/>
          <w:sz w:val="18"/>
          <w:szCs w:val="18"/>
          <w:color w:val="auto"/>
        </w:rPr>
        <w:t>During the three and nine months ended March 31, 2019, we recognized net other expenses of $0.1 million and $0.4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net other expenses of $0.1 million and $0.5 million, respectively, for the three and nine months ended March 31, 2018. Total other expense for the three and nine months ended March 31, 2019 consisted primarily of interest expense and foreign currency gains and losses.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interest expense for the three and nine months ended March 31, 2019 and 2018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64"/>
        </w:trPr>
        <w:tc>
          <w:tcPr>
            <w:tcW w:w="60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 Term Loan</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264</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 Term Loan</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 Term Loan</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92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right="1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We recognized income tax expense of $0.4 million and $0.2 million, respectively, for the three and nine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as compared to income tax expense of $0.6 million and $2.8 million, respectively, for the three and nine months ended March 31, 2018.</w:t>
      </w:r>
    </w:p>
    <w:p>
      <w:pPr>
        <w:spacing w:after="0" w:line="79"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effective tax rate was 5.6% of pre-tax income during the nine months ended March 31, 2019, compared to 50.1% for the same prior year period. The tax rate for fiscal 2019 was favorably benefited by discrete book to tax differences resulting from the vesting of performance restricted stock units and favorable return to provision adjustments that occurred during the period. In addition, the effective tax rate reflects the federal tax reform legislation enacted during December 2017 that reduced the corporate tax rate to 21%.</w:t>
      </w:r>
    </w:p>
    <w:p>
      <w:pPr>
        <w:spacing w:after="0" w:line="99"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We expect that our effective tax rate will increase during the remainder of fiscal 2019 as the impact of the discrete benefits mentioned above are diluted as our pre-tax income increases; however, our tax rate can be significantly impacted by various book to tax differences and fluctuations in our stock price that occur during the year which are difficult to forecast.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144"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95"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2019, our available liquidity was $15.9 million, which consisted of available cash and cash equivalents. This represents an decrease of $0.7 million from the $16.7 million in cash and cash equivalents as of June 30, 2018.</w:t>
      </w:r>
    </w:p>
    <w:p>
      <w:pPr>
        <w:spacing w:after="0" w:line="81"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During the nine months ended March 31, 2019, our net cash provided by operating activities was $10.8 million as compared to net cash provided by operating activities of $7.8 million during the nine months ended March 31, 2018.</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ind w:firstLine="432"/>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2019, our net cash used in investing activities was $3.7 million, as a result of investments in a convertible note receivable and the purchase of fixed assets. During the nine months ended March 31, 2018, our net cash used in investing activities was $3.4 million, as a result of the purchase of fixed assets.</w:t>
      </w:r>
    </w:p>
    <w:p>
      <w:pPr>
        <w:spacing w:after="0" w:line="9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during the nine months ended March 31, 2019 was $7.8 million as a result of our quarterly and accelerated principal payments on the 2016 Term Loan, shares purchased as payment of tax withholding and repurchase of company stock, partially offset by proceeds from stock option exercises. Cash used in financing activities during the nine months ended March 31, 2018 was $2.0 million as a result of our quarterly principal payments on the 2016 Term Loan and repurchase of company stock, partially offset by proceeds from stock option exercises.</w:t>
      </w:r>
    </w:p>
    <w:p>
      <w:pPr>
        <w:spacing w:after="0" w:line="99"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At March 31, 2019 and June 30, 2018, the total amount of our foreign subsidiary cash was $6.7 million and $4.3 million, respectively. The December 2017 tax reform previously mentioned enacted a 100% dividend deduction for &gt; 10% owned foreign corporations. Therefore, in the future, if needed, we expect to be able to repatriate cash from foreign subsidiaries without paying additional U.S. taxes.</w:t>
      </w:r>
    </w:p>
    <w:p>
      <w:pPr>
        <w:spacing w:after="0" w:line="9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At March 31, 2019, we had working capital (current assets minus current liabilities) of $15.2 million, compared to working capital of $15.1 million at June 30, 2018.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provides for a revolving loan facility in an aggregate principal amount up to $5.0 million, as amended. We would also consider realigning our strategic plans including a reduction in capital spending and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Resources</w:t>
      </w:r>
    </w:p>
    <w:p>
      <w:pPr>
        <w:spacing w:after="0" w:line="14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03"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principal amount of the 2016 Term Loan is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95"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On May 4, 2018, we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08"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On February 1, 2019, we entered into a loan modification agreement, which amended the 2016 Credit Facility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03"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March 31, 2019, we were in compliance with all applicable non-financial and restrictive covenants under the 2016 Credit Facility, as amended.</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580" w:right="259" w:bottom="1440" w:gutter="0" w:footer="0" w:header="0"/>
        </w:sectPr>
      </w:pPr>
    </w:p>
    <w:bookmarkStart w:id="23" w:name="page24"/>
    <w:bookmarkEnd w:id="23"/>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81" w:lineRule="exact"/>
        <w:rPr>
          <w:sz w:val="20"/>
          <w:szCs w:val="20"/>
          <w:color w:val="auto"/>
        </w:rPr>
      </w:pPr>
    </w:p>
    <w:p>
      <w:pPr>
        <w:ind w:left="660" w:right="320" w:hanging="247"/>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minimum fixed charge coverage ratio (as defined in the 2016 Loan Agreement, as amended) of at least 1.10 to 1.00 at the end of each fiscal quarter, measured on a trailing twelve month basis;</w:t>
      </w:r>
    </w:p>
    <w:p>
      <w:pPr>
        <w:spacing w:after="0" w:line="80" w:lineRule="exact"/>
        <w:rPr>
          <w:rFonts w:ascii="Times New Roman" w:cs="Times New Roman" w:eastAsia="Times New Roman" w:hAnsi="Times New Roman"/>
          <w:sz w:val="18"/>
          <w:szCs w:val="18"/>
          <w:color w:val="auto"/>
        </w:rPr>
      </w:pPr>
    </w:p>
    <w:p>
      <w:pPr>
        <w:ind w:left="660" w:right="240" w:hanging="247"/>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minimum consolidated working capital (as defined in the 2016 Loan Agreement, as amended) at the end of each fiscal quarter of at least $6.0 million; and</w:t>
      </w:r>
    </w:p>
    <w:p>
      <w:pPr>
        <w:spacing w:after="0" w:line="80" w:lineRule="exact"/>
        <w:rPr>
          <w:rFonts w:ascii="Times New Roman" w:cs="Times New Roman" w:eastAsia="Times New Roman" w:hAnsi="Times New Roman"/>
          <w:sz w:val="18"/>
          <w:szCs w:val="18"/>
          <w:color w:val="auto"/>
        </w:rPr>
      </w:pPr>
    </w:p>
    <w:p>
      <w:pPr>
        <w:ind w:left="660" w:right="140" w:hanging="247"/>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ratio of total liabilities to tangible net worth (as defined in the 2016 Loan Agreement, as amended) of not greater than 3.00 to 1.00 at the end of each quarter, measured on a trailing twelve month basis.</w:t>
      </w:r>
    </w:p>
    <w:p>
      <w:pPr>
        <w:spacing w:after="0" w:line="81" w:lineRule="exact"/>
        <w:rPr>
          <w:sz w:val="20"/>
          <w:szCs w:val="20"/>
          <w:color w:val="auto"/>
        </w:rPr>
      </w:pPr>
    </w:p>
    <w:p>
      <w:pPr>
        <w:ind w:right="680" w:firstLine="405"/>
        <w:spacing w:after="0" w:line="313" w:lineRule="auto"/>
        <w:rPr>
          <w:sz w:val="20"/>
          <w:szCs w:val="20"/>
          <w:color w:val="auto"/>
        </w:rPr>
      </w:pPr>
      <w:r>
        <w:rPr>
          <w:rFonts w:ascii="Times New Roman" w:cs="Times New Roman" w:eastAsia="Times New Roman" w:hAnsi="Times New Roman"/>
          <w:sz w:val="17"/>
          <w:szCs w:val="17"/>
          <w:color w:val="auto"/>
        </w:rPr>
        <w:t>As of March 31, 2019,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Obligations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contractual payment obligations and commitments as of March 31, 2019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2"/>
                <w:szCs w:val="12"/>
                <w:color w:val="auto"/>
              </w:rPr>
            </w:pPr>
          </w:p>
        </w:tc>
        <w:tc>
          <w:tcPr>
            <w:tcW w:w="10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operating obligations </w:t>
            </w:r>
            <w:r>
              <w:rPr>
                <w:rFonts w:ascii="Times New Roman" w:cs="Times New Roman" w:eastAsia="Times New Roman" w:hAnsi="Times New Roman"/>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23,841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12,353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9,203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34,823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17,268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13,938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60" w:right="580" w:hanging="328"/>
        <w:spacing w:after="0" w:line="282" w:lineRule="auto"/>
        <w:tabs>
          <w:tab w:leader="none" w:pos="5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obligations represent non-cancelable contractual obligations primarily related to marketing and sponsorship commitments and purchases of inventory.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2019, we did not have any off-balance sheet arrangements.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0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Allowances for Product Returns</w:t>
      </w:r>
    </w:p>
    <w:p>
      <w:pPr>
        <w:spacing w:after="0" w:line="144" w:lineRule="exact"/>
        <w:rPr>
          <w:sz w:val="20"/>
          <w:szCs w:val="20"/>
          <w:color w:val="auto"/>
        </w:rPr>
      </w:pPr>
    </w:p>
    <w:p>
      <w:pPr>
        <w:jc w:val="both"/>
        <w:ind w:right="340" w:firstLine="432"/>
        <w:spacing w:after="0" w:line="266" w:lineRule="auto"/>
        <w:rPr>
          <w:sz w:val="20"/>
          <w:szCs w:val="20"/>
          <w:color w:val="auto"/>
        </w:rPr>
      </w:pPr>
      <w:r>
        <w:rPr>
          <w:rFonts w:ascii="Times New Roman" w:cs="Times New Roman" w:eastAsia="Times New Roman" w:hAnsi="Times New Roman"/>
          <w:sz w:val="18"/>
          <w:szCs w:val="18"/>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March 31, 2019, our shipments of products sold totaling approximately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spacing w:after="0" w:line="282" w:lineRule="auto"/>
        <w:rPr>
          <w:sz w:val="20"/>
          <w:szCs w:val="20"/>
          <w:color w:val="auto"/>
        </w:rPr>
      </w:pPr>
      <w:r>
        <w:rPr>
          <w:rFonts w:ascii="Times New Roman" w:cs="Times New Roman" w:eastAsia="Times New Roman" w:hAnsi="Times New Roman"/>
          <w:sz w:val="18"/>
          <w:szCs w:val="18"/>
          <w:color w:val="auto"/>
        </w:rPr>
        <w:t>$18.9 million were subject to the return policy. In addition, we allow terminating independent distributors to return up to 30% of unopened, unexpired product they purchased within the prior twelve months.</w:t>
      </w:r>
    </w:p>
    <w:p>
      <w:pPr>
        <w:spacing w:after="0" w:line="8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We monitor our product returns estimate on an ongoing basis and revise the allowances to reflect our experience. Our allowance for product returns was $0.3 million at March 31, 2019, compared with $0.4 million at June 30, 2018.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Valuation</w:t>
      </w:r>
    </w:p>
    <w:p>
      <w:pPr>
        <w:spacing w:after="0" w:line="14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market value. Factors utilized in the determination of estimated market value include (i) current sales data and historical return rates, (ii) estimates of future demand, (iii) competitive pricing pressures, (iv) new production introductions, (v) product expiration dates, and (vi) component and packaging obsolescence.</w:t>
      </w:r>
    </w:p>
    <w:p>
      <w:pPr>
        <w:spacing w:after="0" w:line="103"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and 2018, we recognized expenses of $39,000 and $0.3 million, respectively, related to obsolete and slow-moving inventory.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ship the majority of our product directly to the consumer and receive substantially all payment for these sales in the form of credit card receipts.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direct product sales to customers is recognized upon shipment, which is when passage of title and risk of loss occurs.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44"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Costs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expense all of our payments related to research and development activities as incurred.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Accruals</w:t>
      </w:r>
    </w:p>
    <w:p>
      <w:pPr>
        <w:spacing w:after="0" w:line="14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2 to our unaudited condensed consolidated financial statements for a discussion of recently issued accounting standards.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580" w:right="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48"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During the nine months ended March 31, 2019, approximately 31.9% of our net revenue was realized outside of the United States. The local currency of each international subsidiary is generally the functional currency. All revenues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March 31, 2019, we did not have any derivative instruments. A 10% strengthening of the U.S. dollar compared to all of the foreign currencies in which we transact business would have resulted in a 2.9% decrease of our nine months ended March 31, 2019 revenue, in the amount of $4.9 million.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as amended. Based on that evaluation, our Chief Executive Officer and Chief Financial Officer concluded that our disclosure controls and procedures were designed and operating effectively as of March 31, 2019.</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March 31, 2019 that have materially affected or are reasonably likely to materially affect our internal controls over financial reporting.</w:t>
      </w:r>
    </w:p>
    <w:p>
      <w:pPr>
        <w:spacing w:after="0" w:line="8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An evaluation required by paragraph (d) of Rules 13a-15 and 15d-15 of the Exchange Act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March 31, 2019 that have materially affected, or are reasonably likely to materially affect, our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 Over Financial Reporting</w:t>
      </w:r>
    </w:p>
    <w:p>
      <w:pPr>
        <w:spacing w:after="0" w:line="14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See Note 7 to our unaudited condensed consolidated financial statements contained within this quarterly report on Form 10-Q for a discussion of our legal proceedings.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576"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 Risk Factors” in our annual report on Form 10-K for the fiscal year ended June 30, 2018, filed on August 15, 2018.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83"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November 27, 2017, our Board of Directors approved a stock repurchase plan. Under the plan, which became effective on November 27, 2017, we were authorized to repurchase up to $5.0 million of our outstanding shares through November 27, 2020. On February 1, 2019, our Board of Directors approved an amendment to the share repurchase program to increase the authorized share repurchase amount to $15.0 million.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may enter into a pre-arranged stock repurchase plan which will operate in accordance with guidelines specified under Rule 10b5-1 of the Securities Exchange Act of 1934. Accordingly, transactions, if any, under the pre-arranged repurchase plan would be completed in accordance with the terms of the stock repurchase plan, including specified price, volume and timing conditions. The authorization may be suspended or discontinued at any time and expires on November 27, 2020. During the three months ended March 31, 2019, we repurchased 14,730 shares of our common stock on the open market at an aggregate purchase price of $0.2 million under this repurchase program.</w:t>
      </w:r>
    </w:p>
    <w:p>
      <w:pPr>
        <w:spacing w:after="0" w:line="105"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all purchases made by the Company during the three months ended March 31, 2019. All purchases listed below were made in the open market at prevailing market prices.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Dollar Value</w:t>
            </w:r>
          </w:p>
        </w:tc>
      </w:t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of Shares that May Yet</w:t>
            </w:r>
          </w:p>
        </w:tc>
      </w:t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2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 Purchased Under the</w:t>
            </w:r>
          </w:p>
        </w:tc>
      </w:tr>
      <w:tr>
        <w:trPr>
          <w:trHeight w:val="238"/>
        </w:trPr>
        <w:tc>
          <w:tcPr>
            <w:tcW w:w="284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r>
      <w:tr>
        <w:trPr>
          <w:trHeight w:val="27"/>
        </w:trPr>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February 28</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11,991,601</w:t>
            </w:r>
          </w:p>
        </w:tc>
      </w:tr>
      <w:tr>
        <w:trPr>
          <w:trHeight w:val="27"/>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14,130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14,130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11,793,877</w:t>
            </w:r>
          </w:p>
        </w:tc>
      </w:tr>
      <w:tr>
        <w:trPr>
          <w:trHeight w:val="2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76"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1" w:lineRule="exact"/>
        <w:rPr>
          <w:sz w:val="20"/>
          <w:szCs w:val="20"/>
          <w:color w:val="auto"/>
        </w:rPr>
      </w:pPr>
    </w:p>
    <w:p>
      <w:pPr>
        <w:ind w:left="360"/>
        <w:spacing w:after="0"/>
        <w:tabs>
          <w:tab w:leader="none" w:pos="3160" w:val="left"/>
          <w:tab w:leader="none" w:pos="7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Document Description</w:t>
      </w:r>
      <w:r>
        <w:rPr>
          <w:sz w:val="20"/>
          <w:szCs w:val="20"/>
          <w:color w:val="auto"/>
        </w:rPr>
        <w:tab/>
      </w:r>
      <w:r>
        <w:rPr>
          <w:rFonts w:ascii="Times New Roman" w:cs="Times New Roman" w:eastAsia="Times New Roman" w:hAnsi="Times New Roman"/>
          <w:sz w:val="14"/>
          <w:szCs w:val="14"/>
          <w:b w:val="1"/>
          <w:bCs w:val="1"/>
          <w:color w:val="auto"/>
        </w:rPr>
        <w:t>Filed Herewith or Incorporate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24765</wp:posOffset>
            </wp:positionV>
            <wp:extent cx="6903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ectPr>
          <w:pgSz w:w="11900" w:h="16838" w:orient="portrait"/>
          <w:cols w:equalWidth="0" w:num="1">
            <w:col w:w="11220"/>
          </w:cols>
          <w:pgMar w:left="240" w:top="711" w:right="439" w:bottom="1440" w:gutter="0" w:footer="0" w:header="0"/>
        </w:sectPr>
      </w:pPr>
    </w:p>
    <w:p>
      <w:pPr>
        <w:spacing w:after="0" w:line="237" w:lineRule="exact"/>
        <w:rPr>
          <w:sz w:val="20"/>
          <w:szCs w:val="20"/>
          <w:color w:val="auto"/>
        </w:rPr>
      </w:pPr>
    </w:p>
    <w:p>
      <w:pPr>
        <w:ind w:left="68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10">
        <w:r>
          <w:rPr>
            <w:rFonts w:ascii="Times New Roman" w:cs="Times New Roman" w:eastAsia="Times New Roman" w:hAnsi="Times New Roman"/>
            <w:sz w:val="17"/>
            <w:szCs w:val="17"/>
            <w:u w:val="single" w:color="auto"/>
            <w:color w:val="0000FF"/>
          </w:rPr>
          <w:t>Plan of Conversion, dated March 9, 2018</w:t>
        </w:r>
      </w:hyperlink>
    </w:p>
    <w:p>
      <w:pPr>
        <w:spacing w:after="0" w:line="200" w:lineRule="exact"/>
        <w:rPr>
          <w:sz w:val="20"/>
          <w:szCs w:val="20"/>
          <w:color w:val="auto"/>
        </w:rPr>
      </w:pPr>
    </w:p>
    <w:p>
      <w:pPr>
        <w:spacing w:after="0" w:line="255" w:lineRule="exact"/>
        <w:rPr>
          <w:sz w:val="20"/>
          <w:szCs w:val="20"/>
          <w:color w:val="auto"/>
        </w:rPr>
      </w:pPr>
    </w:p>
    <w:p>
      <w:pPr>
        <w:ind w:left="1300" w:right="240" w:hanging="618"/>
        <w:spacing w:after="0" w:line="282"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1">
        <w:r>
          <w:rPr>
            <w:rFonts w:ascii="Times New Roman" w:cs="Times New Roman" w:eastAsia="Times New Roman" w:hAnsi="Times New Roman"/>
            <w:sz w:val="18"/>
            <w:szCs w:val="18"/>
            <w:u w:val="single" w:color="auto"/>
            <w:color w:val="0000FF"/>
          </w:rPr>
          <w:t>Certificate of Incorporation, as filed with the Delaware Secretary of</w:t>
        </w:r>
      </w:hyperlink>
      <w:r>
        <w:rPr>
          <w:rFonts w:ascii="Times New Roman" w:cs="Times New Roman" w:eastAsia="Times New Roman" w:hAnsi="Times New Roman"/>
          <w:sz w:val="18"/>
          <w:szCs w:val="18"/>
          <w:u w:val="single" w:color="auto"/>
          <w:color w:val="0000FF"/>
        </w:rPr>
        <w:t xml:space="preserve"> </w:t>
      </w:r>
      <w:hyperlink r:id="rId11">
        <w:r>
          <w:rPr>
            <w:rFonts w:ascii="Times New Roman" w:cs="Times New Roman" w:eastAsia="Times New Roman" w:hAnsi="Times New Roman"/>
            <w:sz w:val="18"/>
            <w:szCs w:val="18"/>
            <w:u w:val="single" w:color="auto"/>
            <w:color w:val="0000FF"/>
          </w:rPr>
          <w:t>State on March 9, 2018</w:t>
        </w:r>
      </w:hyperlink>
    </w:p>
    <w:p>
      <w:pPr>
        <w:spacing w:after="0" w:line="175" w:lineRule="exact"/>
        <w:rPr>
          <w:sz w:val="20"/>
          <w:szCs w:val="20"/>
          <w:color w:val="auto"/>
        </w:rPr>
      </w:pPr>
    </w:p>
    <w:p>
      <w:pPr>
        <w:ind w:left="68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2">
        <w:r>
          <w:rPr>
            <w:rFonts w:ascii="Times New Roman" w:cs="Times New Roman" w:eastAsia="Times New Roman" w:hAnsi="Times New Roman"/>
            <w:sz w:val="17"/>
            <w:szCs w:val="17"/>
            <w:u w:val="single" w:color="auto"/>
            <w:color w:val="0000FF"/>
          </w:rPr>
          <w:t>Bylaws, effective March 9, 2018</w:t>
        </w:r>
      </w:hyperlink>
    </w:p>
    <w:p>
      <w:pPr>
        <w:spacing w:after="0" w:line="200" w:lineRule="exact"/>
        <w:rPr>
          <w:sz w:val="20"/>
          <w:szCs w:val="20"/>
          <w:color w:val="auto"/>
        </w:rPr>
      </w:pPr>
    </w:p>
    <w:p>
      <w:pPr>
        <w:spacing w:after="0" w:line="255" w:lineRule="exact"/>
        <w:rPr>
          <w:sz w:val="20"/>
          <w:szCs w:val="20"/>
          <w:color w:val="auto"/>
        </w:rPr>
      </w:pPr>
    </w:p>
    <w:p>
      <w:pPr>
        <w:ind w:left="1300" w:right="20" w:hanging="618"/>
        <w:spacing w:after="0" w:line="282"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13">
        <w:r>
          <w:rPr>
            <w:rFonts w:ascii="Times New Roman" w:cs="Times New Roman" w:eastAsia="Times New Roman" w:hAnsi="Times New Roman"/>
            <w:sz w:val="18"/>
            <w:szCs w:val="18"/>
            <w:u w:val="single" w:color="auto"/>
            <w:color w:val="0000FF"/>
          </w:rPr>
          <w:t>Certificate of Conversion as filed with the Delaware Secretary of State</w:t>
        </w:r>
      </w:hyperlink>
      <w:r>
        <w:rPr>
          <w:rFonts w:ascii="Times New Roman" w:cs="Times New Roman" w:eastAsia="Times New Roman" w:hAnsi="Times New Roman"/>
          <w:sz w:val="18"/>
          <w:szCs w:val="18"/>
          <w:u w:val="single" w:color="auto"/>
          <w:color w:val="0000FF"/>
        </w:rPr>
        <w:t xml:space="preserve"> </w:t>
      </w:r>
      <w:hyperlink r:id="rId13">
        <w:r>
          <w:rPr>
            <w:rFonts w:ascii="Times New Roman" w:cs="Times New Roman" w:eastAsia="Times New Roman" w:hAnsi="Times New Roman"/>
            <w:sz w:val="18"/>
            <w:szCs w:val="18"/>
            <w:u w:val="single" w:color="auto"/>
            <w:color w:val="0000FF"/>
          </w:rPr>
          <w:t>on March 9, 2018</w:t>
        </w:r>
      </w:hyperlink>
    </w:p>
    <w:p>
      <w:pPr>
        <w:spacing w:after="0" w:line="175" w:lineRule="exact"/>
        <w:rPr>
          <w:sz w:val="20"/>
          <w:szCs w:val="20"/>
          <w:color w:val="auto"/>
        </w:rPr>
      </w:pPr>
    </w:p>
    <w:p>
      <w:pPr>
        <w:ind w:left="1300" w:right="80" w:hanging="618"/>
        <w:spacing w:after="0" w:line="282"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14">
        <w:r>
          <w:rPr>
            <w:rFonts w:ascii="Times New Roman" w:cs="Times New Roman" w:eastAsia="Times New Roman" w:hAnsi="Times New Roman"/>
            <w:sz w:val="18"/>
            <w:szCs w:val="18"/>
            <w:u w:val="single" w:color="auto"/>
            <w:color w:val="0000FF"/>
          </w:rPr>
          <w:t>Statement of Conversion as filed with the Colorado Secretary of State</w:t>
        </w:r>
      </w:hyperlink>
      <w:r>
        <w:rPr>
          <w:rFonts w:ascii="Times New Roman" w:cs="Times New Roman" w:eastAsia="Times New Roman" w:hAnsi="Times New Roman"/>
          <w:sz w:val="18"/>
          <w:szCs w:val="18"/>
          <w:u w:val="single" w:color="auto"/>
          <w:color w:val="0000FF"/>
        </w:rPr>
        <w:t xml:space="preserve"> </w:t>
      </w:r>
      <w:hyperlink r:id="rId14">
        <w:r>
          <w:rPr>
            <w:rFonts w:ascii="Times New Roman" w:cs="Times New Roman" w:eastAsia="Times New Roman" w:hAnsi="Times New Roman"/>
            <w:sz w:val="18"/>
            <w:szCs w:val="18"/>
            <w:u w:val="single" w:color="auto"/>
            <w:color w:val="0000FF"/>
          </w:rPr>
          <w:t>on March 9, 2018</w:t>
        </w:r>
      </w:hyperlink>
    </w:p>
    <w:p>
      <w:pPr>
        <w:spacing w:after="0" w:line="175" w:lineRule="exact"/>
        <w:rPr>
          <w:sz w:val="20"/>
          <w:szCs w:val="20"/>
          <w:color w:val="auto"/>
        </w:rPr>
      </w:pPr>
    </w:p>
    <w:p>
      <w:pPr>
        <w:ind w:left="1300" w:right="460" w:hanging="663"/>
        <w:spacing w:after="0" w:line="282"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30">
        <w:r>
          <w:rPr>
            <w:rFonts w:ascii="Times New Roman" w:cs="Times New Roman" w:eastAsia="Times New Roman" w:hAnsi="Times New Roman"/>
            <w:sz w:val="18"/>
            <w:szCs w:val="18"/>
            <w:u w:val="single" w:color="auto"/>
            <w:color w:val="0000FF"/>
          </w:rPr>
          <w:t>Certification of principal executive officer pursuant to Rule 13a-</w:t>
        </w:r>
      </w:hyperlink>
      <w:hyperlink w:anchor="page30">
        <w:r>
          <w:rPr>
            <w:rFonts w:ascii="Times New Roman" w:cs="Times New Roman" w:eastAsia="Times New Roman" w:hAnsi="Times New Roman"/>
            <w:sz w:val="18"/>
            <w:szCs w:val="18"/>
            <w:u w:val="single" w:color="auto"/>
            <w:color w:val="0000FF"/>
          </w:rPr>
          <w:t>14(a)/15d-14(a)</w:t>
        </w:r>
      </w:hyperlink>
    </w:p>
    <w:p>
      <w:pPr>
        <w:spacing w:after="0" w:line="175" w:lineRule="exact"/>
        <w:rPr>
          <w:sz w:val="20"/>
          <w:szCs w:val="20"/>
          <w:color w:val="auto"/>
        </w:rPr>
      </w:pPr>
    </w:p>
    <w:p>
      <w:pPr>
        <w:ind w:left="1300" w:right="520" w:hanging="663"/>
        <w:spacing w:after="0" w:line="282"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31">
        <w:r>
          <w:rPr>
            <w:rFonts w:ascii="Times New Roman" w:cs="Times New Roman" w:eastAsia="Times New Roman" w:hAnsi="Times New Roman"/>
            <w:sz w:val="18"/>
            <w:szCs w:val="18"/>
            <w:u w:val="single" w:color="auto"/>
            <w:color w:val="0000FF"/>
          </w:rPr>
          <w:t>Certification of principal financial officer pursuant to Rule 13a-</w:t>
        </w:r>
      </w:hyperlink>
      <w:hyperlink w:anchor="page31">
        <w:r>
          <w:rPr>
            <w:rFonts w:ascii="Times New Roman" w:cs="Times New Roman" w:eastAsia="Times New Roman" w:hAnsi="Times New Roman"/>
            <w:sz w:val="18"/>
            <w:szCs w:val="18"/>
            <w:u w:val="single" w:color="auto"/>
            <w:color w:val="0000FF"/>
          </w:rPr>
          <w:t>14(a)/15d-14(a)</w:t>
        </w:r>
      </w:hyperlink>
    </w:p>
    <w:p>
      <w:pPr>
        <w:spacing w:after="0" w:line="175" w:lineRule="exact"/>
        <w:rPr>
          <w:sz w:val="20"/>
          <w:szCs w:val="20"/>
          <w:color w:val="auto"/>
        </w:rPr>
      </w:pPr>
    </w:p>
    <w:p>
      <w:pPr>
        <w:jc w:val="right"/>
        <w:ind w:left="58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32.1*   </w:t>
      </w:r>
      <w:hyperlink w:anchor="page32">
        <w:r>
          <w:rPr>
            <w:rFonts w:ascii="Times New Roman" w:cs="Times New Roman" w:eastAsia="Times New Roman" w:hAnsi="Times New Roman"/>
            <w:sz w:val="18"/>
            <w:szCs w:val="18"/>
            <w:u w:val="single" w:color="auto"/>
            <w:color w:val="0000FF"/>
          </w:rPr>
          <w:t>Certification of principal executive officer pursuant to 18 U.S.C. 1350,</w:t>
        </w:r>
      </w:hyperlink>
      <w:r>
        <w:rPr>
          <w:rFonts w:ascii="Times New Roman" w:cs="Times New Roman" w:eastAsia="Times New Roman" w:hAnsi="Times New Roman"/>
          <w:sz w:val="18"/>
          <w:szCs w:val="18"/>
          <w:color w:val="auto"/>
        </w:rPr>
        <w:t xml:space="preserve"> </w:t>
      </w:r>
      <w:hyperlink w:anchor="page32">
        <w:r>
          <w:rPr>
            <w:rFonts w:ascii="Times New Roman" w:cs="Times New Roman" w:eastAsia="Times New Roman" w:hAnsi="Times New Roman"/>
            <w:sz w:val="18"/>
            <w:szCs w:val="18"/>
            <w:u w:val="single" w:color="auto"/>
            <w:color w:val="0000FF"/>
          </w:rPr>
          <w:t>as adopted pursuant to Section 906 of the Sarbanes-Oxley Act of 2002</w:t>
        </w:r>
      </w:hyperlink>
    </w:p>
    <w:p>
      <w:pPr>
        <w:spacing w:after="0" w:line="175" w:lineRule="exact"/>
        <w:rPr>
          <w:sz w:val="20"/>
          <w:szCs w:val="20"/>
          <w:color w:val="auto"/>
        </w:rPr>
      </w:pPr>
    </w:p>
    <w:p>
      <w:pPr>
        <w:jc w:val="right"/>
        <w:ind w:left="580" w:right="4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32.2*   </w:t>
      </w:r>
      <w:hyperlink w:anchor="page33">
        <w:r>
          <w:rPr>
            <w:rFonts w:ascii="Times New Roman" w:cs="Times New Roman" w:eastAsia="Times New Roman" w:hAnsi="Times New Roman"/>
            <w:sz w:val="18"/>
            <w:szCs w:val="18"/>
            <w:u w:val="single" w:color="auto"/>
            <w:color w:val="0000FF"/>
          </w:rPr>
          <w:t>Certification of principal financial officer pursuant to 18 U.S.C. 1350,</w:t>
        </w:r>
      </w:hyperlink>
      <w:r>
        <w:rPr>
          <w:rFonts w:ascii="Times New Roman" w:cs="Times New Roman" w:eastAsia="Times New Roman" w:hAnsi="Times New Roman"/>
          <w:sz w:val="18"/>
          <w:szCs w:val="18"/>
          <w:color w:val="auto"/>
        </w:rPr>
        <w:t xml:space="preserve"> </w:t>
      </w:r>
      <w:hyperlink w:anchor="page33">
        <w:r>
          <w:rPr>
            <w:rFonts w:ascii="Times New Roman" w:cs="Times New Roman" w:eastAsia="Times New Roman" w:hAnsi="Times New Roman"/>
            <w:sz w:val="18"/>
            <w:szCs w:val="18"/>
            <w:u w:val="single" w:color="auto"/>
            <w:color w:val="0000FF"/>
          </w:rPr>
          <w:t>as adopted pursuant to Section 906 of the Sarbanes-Oxley Act of 2002</w:t>
        </w:r>
      </w:hyperlink>
    </w:p>
    <w:p>
      <w:pPr>
        <w:spacing w:after="0" w:line="175" w:lineRule="exact"/>
        <w:rPr>
          <w:sz w:val="20"/>
          <w:szCs w:val="20"/>
          <w:color w:val="auto"/>
        </w:rPr>
      </w:pPr>
    </w:p>
    <w:p>
      <w:pPr>
        <w:ind w:left="1300" w:right="120" w:hanging="718"/>
        <w:spacing w:after="0" w:line="269"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the Company’s quarterly report on Form 10-Q for the quarter ended March 31, 2019 formatted in XBRL (extensible Business Reporting Language): (i) Unaudited Condensed Consolidated Balance Sheets at March 31, 2019 and June 30, 2018; (ii) Unaudited Condensed Consolidated Statements of Operations and Other Comprehensive Income for the three and nine months ended March 31, 2019 and 2018; (iii) Unaudited Condensed Consolidated Statement of Stockholders’ Equity for the nine months ended March 31, 2019; (iv) Unaudited Condensed Consolidated Statements of Cash Flows for the nine months ended March 31, 2019 and 2018; and (v) Notes to Unaudited Condensed Consolidated Financial Statements, tagged as blocks of text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Exhibit 2.1 to the Current Report on Form 8-K filed on March 13, 2018.</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Exhibit 3.1 to the Current Report on Form 8-K filed on March 13, 2018.</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Exhibit 3.2 to the Current Report on Form 8-K filed on March 13, 2018.</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Exhibit 3.3 to the Current Report on Form 8-K filed on March 13, 2018.</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Exhibit 3.4 to the Current Report on Form 8-K filed on March 13, 2018.</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622" w:lineRule="exact"/>
        <w:rPr>
          <w:sz w:val="20"/>
          <w:szCs w:val="20"/>
          <w:color w:val="auto"/>
        </w:rPr>
      </w:pPr>
    </w:p>
    <w:p>
      <w:pPr>
        <w:sectPr>
          <w:pgSz w:w="11900" w:h="16838" w:orient="portrait"/>
          <w:cols w:equalWidth="0" w:num="2">
            <w:col w:w="6400" w:space="220"/>
            <w:col w:w="4600"/>
          </w:cols>
          <w:pgMar w:left="240" w:top="711" w:right="439" w:bottom="1440" w:gutter="0" w:footer="0" w:header="0"/>
          <w:type w:val="continuous"/>
        </w:sectPr>
      </w:pPr>
    </w:p>
    <w:p>
      <w:pPr>
        <w:spacing w:after="0" w:line="88" w:lineRule="exact"/>
        <w:rPr>
          <w:sz w:val="20"/>
          <w:szCs w:val="20"/>
          <w:color w:val="auto"/>
        </w:rPr>
      </w:pPr>
    </w:p>
    <w:p>
      <w:pPr>
        <w:ind w:left="1220" w:hanging="717"/>
        <w:spacing w:after="0" w:line="266" w:lineRule="auto"/>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3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240" w:top="711" w:right="439" w:bottom="1440" w:gutter="0" w:footer="0" w:header="0"/>
          <w:type w:val="continuous"/>
        </w:sectPr>
      </w:pPr>
    </w:p>
    <w:bookmarkStart w:id="28" w:name="page29"/>
    <w:bookmarkEnd w:id="2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387" w:lineRule="exact"/>
        <w:rPr>
          <w:sz w:val="20"/>
          <w:szCs w:val="20"/>
          <w:color w:val="auto"/>
        </w:rPr>
      </w:pPr>
    </w:p>
    <w:p>
      <w:pPr>
        <w:ind w:left="40"/>
        <w:spacing w:after="0"/>
        <w:tabs>
          <w:tab w:leader="none" w:pos="600" w:val="left"/>
          <w:tab w:leader="none" w:pos="5720" w:val="left"/>
        </w:tabs>
        <w:rPr>
          <w:sz w:val="20"/>
          <w:szCs w:val="20"/>
          <w:color w:val="auto"/>
        </w:rPr>
      </w:pPr>
      <w:r>
        <w:rPr>
          <w:rFonts w:ascii="Times New Roman" w:cs="Times New Roman" w:eastAsia="Times New Roman" w:hAnsi="Times New Roman"/>
          <w:sz w:val="18"/>
          <w:szCs w:val="18"/>
          <w:color w:val="auto"/>
        </w:rPr>
        <w:t>Date:</w:t>
        <w:tab/>
        <w:t>May 1, 2019</w:t>
      </w:r>
      <w:r>
        <w:rPr>
          <w:sz w:val="20"/>
          <w:szCs w:val="20"/>
          <w:color w:val="auto"/>
        </w:rPr>
        <w:tab/>
      </w:r>
      <w:r>
        <w:rPr>
          <w:rFonts w:ascii="Times New Roman" w:cs="Times New Roman" w:eastAsia="Times New Roman" w:hAnsi="Times New Roman"/>
          <w:sz w:val="17"/>
          <w:szCs w:val="17"/>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Darren Jensen</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9" w:lineRule="exact"/>
        <w:rPr>
          <w:sz w:val="20"/>
          <w:szCs w:val="20"/>
          <w:color w:val="auto"/>
        </w:rPr>
      </w:pPr>
    </w:p>
    <w:p>
      <w:pPr>
        <w:ind w:left="40"/>
        <w:spacing w:after="0"/>
        <w:tabs>
          <w:tab w:leader="none" w:pos="600" w:val="left"/>
          <w:tab w:leader="none" w:pos="5720" w:val="left"/>
        </w:tabs>
        <w:rPr>
          <w:sz w:val="20"/>
          <w:szCs w:val="20"/>
          <w:color w:val="auto"/>
        </w:rPr>
      </w:pPr>
      <w:r>
        <w:rPr>
          <w:rFonts w:ascii="Times New Roman" w:cs="Times New Roman" w:eastAsia="Times New Roman" w:hAnsi="Times New Roman"/>
          <w:sz w:val="18"/>
          <w:szCs w:val="18"/>
          <w:color w:val="auto"/>
        </w:rPr>
        <w:t>Date:</w:t>
        <w:tab/>
        <w:t>May 1, 2019</w:t>
      </w:r>
      <w:r>
        <w:rPr>
          <w:sz w:val="20"/>
          <w:szCs w:val="20"/>
          <w:color w:val="auto"/>
        </w:rPr>
        <w:tab/>
      </w: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Steven R. Fife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80"/>
          </w:cols>
          <w:pgMar w:left="240" w:top="576" w:right="3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Darren Jensen, certify that:</w:t>
      </w:r>
    </w:p>
    <w:p>
      <w:pPr>
        <w:spacing w:after="0" w:line="144"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LifeVantage Corporation;</w:t>
      </w:r>
    </w:p>
    <w:p>
      <w:pPr>
        <w:spacing w:after="0" w:line="144" w:lineRule="exact"/>
        <w:rPr>
          <w:rFonts w:ascii="Times New Roman" w:cs="Times New Roman" w:eastAsia="Times New Roman" w:hAnsi="Times New Roman"/>
          <w:sz w:val="18"/>
          <w:szCs w:val="18"/>
          <w:color w:val="auto"/>
        </w:rPr>
      </w:pPr>
    </w:p>
    <w:p>
      <w:pPr>
        <w:ind w:left="420" w:right="40" w:hanging="412"/>
        <w:spacing w:after="0" w:line="313" w:lineRule="auto"/>
        <w:tabs>
          <w:tab w:leader="none" w:pos="4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7"/>
          <w:szCs w:val="17"/>
          <w:color w:val="auto"/>
        </w:rPr>
      </w:pPr>
    </w:p>
    <w:p>
      <w:pPr>
        <w:ind w:left="420" w:right="500" w:hanging="412"/>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420" w:right="120" w:hanging="412"/>
        <w:spacing w:after="0" w:line="266"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820" w:right="380" w:hanging="407"/>
        <w:spacing w:after="0" w:line="266" w:lineRule="auto"/>
        <w:tabs>
          <w:tab w:leader="none" w:pos="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ind w:left="820" w:right="80" w:hanging="407"/>
        <w:spacing w:after="0" w:line="266" w:lineRule="auto"/>
        <w:tabs>
          <w:tab w:leader="none" w:pos="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jc w:val="both"/>
        <w:ind w:left="820" w:right="880" w:hanging="407"/>
        <w:spacing w:after="0" w:line="313" w:lineRule="auto"/>
        <w:tabs>
          <w:tab w:leader="none" w:pos="8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7"/>
          <w:szCs w:val="17"/>
          <w:color w:val="auto"/>
        </w:rPr>
      </w:pPr>
    </w:p>
    <w:p>
      <w:pPr>
        <w:ind w:left="820" w:right="100" w:hanging="407"/>
        <w:spacing w:after="0" w:line="266" w:lineRule="auto"/>
        <w:tabs>
          <w:tab w:leader="none" w:pos="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420" w:right="420" w:hanging="412"/>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820" w:right="300" w:hanging="407"/>
        <w:spacing w:after="0" w:line="282" w:lineRule="auto"/>
        <w:tabs>
          <w:tab w:leader="none" w:pos="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820" w:right="240" w:hanging="407"/>
        <w:spacing w:after="0" w:line="282" w:lineRule="auto"/>
        <w:tabs>
          <w:tab w:leader="none" w:pos="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2019</w:t>
      </w:r>
    </w:p>
    <w:p>
      <w:pPr>
        <w:spacing w:after="0" w:line="30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34290</wp:posOffset>
            </wp:positionV>
            <wp:extent cx="3027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Steven R. Fife, certify that:</w:t>
      </w:r>
    </w:p>
    <w:p>
      <w:pPr>
        <w:spacing w:after="0" w:line="144"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LifeVantage Corporation;</w:t>
      </w:r>
    </w:p>
    <w:p>
      <w:pPr>
        <w:spacing w:after="0" w:line="144" w:lineRule="exact"/>
        <w:rPr>
          <w:rFonts w:ascii="Times New Roman" w:cs="Times New Roman" w:eastAsia="Times New Roman" w:hAnsi="Times New Roman"/>
          <w:sz w:val="18"/>
          <w:szCs w:val="18"/>
          <w:color w:val="auto"/>
        </w:rPr>
      </w:pPr>
    </w:p>
    <w:p>
      <w:pPr>
        <w:ind w:left="420" w:right="40" w:hanging="412"/>
        <w:spacing w:after="0" w:line="313" w:lineRule="auto"/>
        <w:tabs>
          <w:tab w:leader="none" w:pos="4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7"/>
          <w:szCs w:val="17"/>
          <w:color w:val="auto"/>
        </w:rPr>
      </w:pPr>
    </w:p>
    <w:p>
      <w:pPr>
        <w:ind w:left="420" w:right="500" w:hanging="412"/>
        <w:spacing w:after="0" w:line="282"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420" w:right="120" w:hanging="412"/>
        <w:spacing w:after="0" w:line="266"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820" w:right="380" w:hanging="407"/>
        <w:spacing w:after="0" w:line="266" w:lineRule="auto"/>
        <w:tabs>
          <w:tab w:leader="none" w:pos="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ind w:left="820" w:right="80" w:hanging="407"/>
        <w:spacing w:after="0" w:line="266" w:lineRule="auto"/>
        <w:tabs>
          <w:tab w:leader="none" w:pos="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jc w:val="both"/>
        <w:ind w:left="820" w:right="880" w:hanging="407"/>
        <w:spacing w:after="0" w:line="313" w:lineRule="auto"/>
        <w:tabs>
          <w:tab w:leader="none" w:pos="8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7"/>
          <w:szCs w:val="17"/>
          <w:color w:val="auto"/>
        </w:rPr>
      </w:pPr>
    </w:p>
    <w:p>
      <w:pPr>
        <w:ind w:left="820" w:right="100" w:hanging="407"/>
        <w:spacing w:after="0" w:line="266" w:lineRule="auto"/>
        <w:tabs>
          <w:tab w:leader="none" w:pos="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420" w:right="420" w:hanging="412"/>
        <w:spacing w:after="0" w:line="282"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820" w:right="300" w:hanging="407"/>
        <w:spacing w:after="0" w:line="282" w:lineRule="auto"/>
        <w:tabs>
          <w:tab w:leader="none" w:pos="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820" w:right="240" w:hanging="407"/>
        <w:spacing w:after="0" w:line="282" w:lineRule="auto"/>
        <w:tabs>
          <w:tab w:leader="none" w:pos="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2019</w:t>
      </w:r>
    </w:p>
    <w:p>
      <w:pPr>
        <w:spacing w:after="0" w:line="30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34290</wp:posOffset>
            </wp:positionV>
            <wp:extent cx="3027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p>
      <w:pPr>
        <w:spacing w:after="0" w:line="2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12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this quarterly report on Form 10-Q of LifeVantage Corporation (the “Company”) for the period ended March 31, 2019, with the Securities and Exchange Commission on the date hereof (the “report”), I, Darren Jensen, Principal Executive Officer of the Company, certify, pursuant to 18 U.S.C. Section 1350, as adopted pursuant to Section 906 of the Sarbanes-Oxley Act of 2002, that:</w:t>
      </w:r>
    </w:p>
    <w:p>
      <w:pPr>
        <w:spacing w:after="0" w:line="95" w:lineRule="exact"/>
        <w:rPr>
          <w:sz w:val="20"/>
          <w:szCs w:val="20"/>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2019</w:t>
      </w:r>
    </w:p>
    <w:p>
      <w:pPr>
        <w:spacing w:after="0" w:line="30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34290</wp:posOffset>
            </wp:positionV>
            <wp:extent cx="302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p>
      <w:pPr>
        <w:spacing w:after="0" w:line="2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12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this quarterly report on Form 10-Q of LifeVantage Corporation (the “Company”) for the period ended March 31, 2019, with the Securities and Exchange Commission on the date hereof (the “report”), I, Steven R. Fife, Principal Financial Officer of the Company, certify, pursuant to 18 U.S.C. Section 1350, as adopted pursuant to Section 906 of the Sarbanes-Oxley Act of 2002, that:</w:t>
      </w:r>
    </w:p>
    <w:p>
      <w:pPr>
        <w:spacing w:after="0" w:line="95" w:lineRule="exact"/>
        <w:rPr>
          <w:sz w:val="20"/>
          <w:szCs w:val="20"/>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2019</w:t>
      </w:r>
    </w:p>
    <w:p>
      <w:pPr>
        <w:spacing w:after="0" w:line="30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34290</wp:posOffset>
            </wp:positionV>
            <wp:extent cx="3027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0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10" Type="http://schemas.openxmlformats.org/officeDocument/2006/relationships/hyperlink" Target="http://www.sec.gov/Archives/edgar/data/849146/000084914618000046/ex21-planofconversion.htm" TargetMode="External"/><Relationship Id="rId11" Type="http://schemas.openxmlformats.org/officeDocument/2006/relationships/hyperlink" Target="http://www.sec.gov/Archives/edgar/data/849146/000084914618000046/ex31-certificateofincorpor.htm" TargetMode="External"/><Relationship Id="rId12" Type="http://schemas.openxmlformats.org/officeDocument/2006/relationships/hyperlink" Target="http://www.sec.gov/Archives/edgar/data/849146/000084914618000046/ex32-bylaws.htm" TargetMode="External"/><Relationship Id="rId13" Type="http://schemas.openxmlformats.org/officeDocument/2006/relationships/hyperlink" Target="http://www.sec.gov/Archives/edgar/data/849146/000084914618000046/ex33-certificateofconversi.htm" TargetMode="External"/><Relationship Id="rId14" Type="http://schemas.openxmlformats.org/officeDocument/2006/relationships/hyperlink" Target="http://www.sec.gov/Archives/edgar/data/849146/000084914618000046/ex34-statementofconvers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2019-12-28T13:33:26Z</dcterms:created>
  <dcterms:modified xsi:type="dcterms:W3CDTF">2019-12-28T13:33:26Z</dcterms:modified>
</cp:coreProperties>
</file>