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ind w:left="34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34" w:lineRule="exact"/>
        <w:rPr>
          <w:sz w:val="24"/>
          <w:szCs w:val="24"/>
          <w:color w:val="auto"/>
        </w:rPr>
      </w:pPr>
    </w:p>
    <w:p>
      <w:pPr>
        <w:ind w:left="34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w:t>
      </w:r>
    </w:p>
    <w:p>
      <w:pPr>
        <w:spacing w:after="0" w:line="379" w:lineRule="exact"/>
        <w:rPr>
          <w:sz w:val="24"/>
          <w:szCs w:val="24"/>
          <w:color w:val="auto"/>
        </w:rPr>
      </w:pPr>
    </w:p>
    <w:p>
      <w:pPr>
        <w:ind w:left="700" w:hanging="674"/>
        <w:spacing w:after="0"/>
        <w:tabs>
          <w:tab w:leader="none" w:pos="70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UNDER SECTION 13 OR 15 (d) OF THE SECURITIES EXCHANGE ACT OF 1934</w:t>
      </w:r>
    </w:p>
    <w:p>
      <w:pPr>
        <w:spacing w:after="0" w:line="139" w:lineRule="exact"/>
        <w:rPr>
          <w:rFonts w:ascii="MS PGothic" w:cs="MS PGothic" w:eastAsia="MS PGothic" w:hAnsi="MS PGothic"/>
          <w:sz w:val="20"/>
          <w:szCs w:val="20"/>
          <w:color w:val="auto"/>
        </w:rPr>
      </w:pPr>
    </w:p>
    <w:p>
      <w:pPr>
        <w:ind w:left="3220"/>
        <w:spacing w:after="0"/>
        <w:rPr>
          <w:rFonts w:ascii="MS PGothic" w:cs="MS PGothic" w:eastAsia="MS PGothic" w:hAnsi="MS PGothic"/>
          <w:sz w:val="20"/>
          <w:szCs w:val="20"/>
          <w:color w:val="auto"/>
        </w:rPr>
      </w:pPr>
      <w:r>
        <w:rPr>
          <w:rFonts w:ascii="Arial" w:cs="Arial" w:eastAsia="Arial" w:hAnsi="Arial"/>
          <w:sz w:val="18"/>
          <w:szCs w:val="18"/>
          <w:b w:val="1"/>
          <w:bCs w:val="1"/>
          <w:color w:val="auto"/>
        </w:rPr>
        <w:t>FOR THE QUARTERLY PERIOD ENDED MARCH 31, 2020</w:t>
      </w:r>
    </w:p>
    <w:p>
      <w:pPr>
        <w:spacing w:after="0" w:line="167" w:lineRule="exact"/>
        <w:rPr>
          <w:sz w:val="24"/>
          <w:szCs w:val="24"/>
          <w:color w:val="auto"/>
        </w:rPr>
      </w:pPr>
    </w:p>
    <w:p>
      <w:pPr>
        <w:ind w:left="700" w:hanging="674"/>
        <w:spacing w:after="0"/>
        <w:tabs>
          <w:tab w:leader="none" w:pos="70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 (d) OF THE SECURITIES EXCHANGE ACT OF 1934</w:t>
      </w:r>
    </w:p>
    <w:p>
      <w:pPr>
        <w:spacing w:after="0" w:line="139" w:lineRule="exact"/>
        <w:rPr>
          <w:sz w:val="24"/>
          <w:szCs w:val="24"/>
          <w:color w:val="auto"/>
        </w:rPr>
      </w:pPr>
    </w:p>
    <w:p>
      <w:pPr>
        <w:ind w:left="2860"/>
        <w:spacing w:after="0"/>
        <w:tabs>
          <w:tab w:leader="none" w:pos="71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3961130</wp:posOffset>
            </wp:positionH>
            <wp:positionV relativeFrom="paragraph">
              <wp:posOffset>-7620</wp:posOffset>
            </wp:positionV>
            <wp:extent cx="13627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001-35647</w:t>
      </w:r>
    </w:p>
    <w:p>
      <w:pPr>
        <w:spacing w:after="0" w:line="26" w:lineRule="exact"/>
        <w:rPr>
          <w:sz w:val="24"/>
          <w:szCs w:val="24"/>
          <w:color w:val="auto"/>
        </w:rPr>
      </w:pPr>
    </w:p>
    <w:p>
      <w:pPr>
        <w:ind w:left="34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LIFEVANTAGE CORPORATION</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41" w:lineRule="exact"/>
        <w:rPr>
          <w:sz w:val="24"/>
          <w:szCs w:val="24"/>
          <w:color w:val="auto"/>
        </w:rPr>
      </w:pPr>
    </w:p>
    <w:p>
      <w:pPr>
        <w:ind w:left="34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w:t>
      </w:r>
    </w:p>
    <w:p>
      <w:pPr>
        <w:spacing w:after="0" w:line="287"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3280" w:type="dxa"/>
            <w:vAlign w:val="bottom"/>
          </w:tcPr>
          <w:p>
            <w:pPr>
              <w:jc w:val="center"/>
              <w:ind w:left="2159"/>
              <w:spacing w:after="0"/>
              <w:rPr>
                <w:sz w:val="20"/>
                <w:szCs w:val="20"/>
                <w:color w:val="auto"/>
              </w:rPr>
            </w:pPr>
            <w:r>
              <w:rPr>
                <w:rFonts w:ascii="Arial" w:cs="Arial" w:eastAsia="Arial" w:hAnsi="Arial"/>
                <w:sz w:val="18"/>
                <w:szCs w:val="18"/>
                <w:b w:val="1"/>
                <w:bCs w:val="1"/>
                <w:color w:val="auto"/>
                <w:w w:val="91"/>
              </w:rPr>
              <w:t>Delaware</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60" w:type="dxa"/>
            <w:vAlign w:val="bottom"/>
          </w:tcPr>
          <w:p>
            <w:pPr>
              <w:ind w:left="560"/>
              <w:spacing w:after="0"/>
              <w:rPr>
                <w:sz w:val="20"/>
                <w:szCs w:val="20"/>
                <w:color w:val="auto"/>
              </w:rPr>
            </w:pPr>
            <w:r>
              <w:rPr>
                <w:rFonts w:ascii="Arial" w:cs="Arial" w:eastAsia="Arial" w:hAnsi="Arial"/>
                <w:sz w:val="18"/>
                <w:szCs w:val="18"/>
                <w:b w:val="1"/>
                <w:bCs w:val="1"/>
                <w:color w:val="auto"/>
              </w:rPr>
              <w:t>90-0224471</w:t>
            </w:r>
          </w:p>
        </w:tc>
      </w:tr>
      <w:tr>
        <w:trPr>
          <w:trHeight w:val="217"/>
        </w:trPr>
        <w:tc>
          <w:tcPr>
            <w:tcW w:w="7540" w:type="dxa"/>
            <w:vAlign w:val="bottom"/>
            <w:gridSpan w:val="5"/>
          </w:tcPr>
          <w:p>
            <w:pPr>
              <w:jc w:val="center"/>
              <w:ind w:right="2020"/>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660" w:type="dxa"/>
            <w:vAlign w:val="bottom"/>
          </w:tcPr>
          <w:p>
            <w:pPr>
              <w:spacing w:after="0"/>
              <w:rPr>
                <w:sz w:val="20"/>
                <w:szCs w:val="20"/>
                <w:color w:val="auto"/>
              </w:rPr>
            </w:pPr>
            <w:r>
              <w:rPr>
                <w:rFonts w:ascii="Arial" w:cs="Arial" w:eastAsia="Arial" w:hAnsi="Arial"/>
                <w:sz w:val="14"/>
                <w:szCs w:val="14"/>
                <w:color w:val="auto"/>
              </w:rPr>
              <w:t>(IRS Employer Identification No.)</w:t>
            </w:r>
          </w:p>
        </w:tc>
      </w:tr>
      <w:tr>
        <w:trPr>
          <w:trHeight w:val="371"/>
        </w:trPr>
        <w:tc>
          <w:tcPr>
            <w:tcW w:w="3280" w:type="dxa"/>
            <w:vAlign w:val="bottom"/>
          </w:tcPr>
          <w:p>
            <w:pPr>
              <w:spacing w:after="0"/>
              <w:rPr>
                <w:sz w:val="24"/>
                <w:szCs w:val="24"/>
                <w:color w:val="auto"/>
              </w:rPr>
            </w:pPr>
          </w:p>
        </w:tc>
        <w:tc>
          <w:tcPr>
            <w:tcW w:w="7920" w:type="dxa"/>
            <w:vAlign w:val="bottom"/>
            <w:gridSpan w:val="5"/>
          </w:tcPr>
          <w:p>
            <w:pPr>
              <w:jc w:val="center"/>
              <w:ind w:right="3179"/>
              <w:spacing w:after="0"/>
              <w:rPr>
                <w:sz w:val="20"/>
                <w:szCs w:val="20"/>
                <w:color w:val="auto"/>
              </w:rPr>
            </w:pPr>
            <w:r>
              <w:rPr>
                <w:rFonts w:ascii="Arial" w:cs="Arial" w:eastAsia="Arial" w:hAnsi="Arial"/>
                <w:sz w:val="18"/>
                <w:szCs w:val="18"/>
                <w:b w:val="1"/>
                <w:bCs w:val="1"/>
                <w:color w:val="auto"/>
                <w:w w:val="90"/>
              </w:rPr>
              <w:t>9785 S. Monroe Street, Suite 400, Sandy, UT 84070</w:t>
            </w:r>
          </w:p>
        </w:tc>
      </w:tr>
      <w:tr>
        <w:trPr>
          <w:trHeight w:val="182"/>
        </w:trPr>
        <w:tc>
          <w:tcPr>
            <w:tcW w:w="3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80" w:type="dxa"/>
            <w:vAlign w:val="bottom"/>
            <w:gridSpan w:val="2"/>
          </w:tcPr>
          <w:p>
            <w:pPr>
              <w:jc w:val="center"/>
              <w:ind w:right="80"/>
              <w:spacing w:after="0"/>
              <w:rPr>
                <w:sz w:val="20"/>
                <w:szCs w:val="20"/>
                <w:color w:val="auto"/>
              </w:rPr>
            </w:pPr>
            <w:r>
              <w:rPr>
                <w:rFonts w:ascii="Arial" w:cs="Arial" w:eastAsia="Arial" w:hAnsi="Arial"/>
                <w:sz w:val="14"/>
                <w:szCs w:val="14"/>
                <w:color w:val="auto"/>
                <w:w w:val="95"/>
              </w:rPr>
              <w:t>(Address of principal executive offices, including zip code)</w:t>
            </w:r>
          </w:p>
        </w:tc>
        <w:tc>
          <w:tcPr>
            <w:tcW w:w="3660" w:type="dxa"/>
            <w:vAlign w:val="bottom"/>
          </w:tcPr>
          <w:p>
            <w:pPr>
              <w:spacing w:after="0"/>
              <w:rPr>
                <w:sz w:val="15"/>
                <w:szCs w:val="15"/>
                <w:color w:val="auto"/>
              </w:rPr>
            </w:pPr>
          </w:p>
        </w:tc>
      </w:tr>
      <w:tr>
        <w:trPr>
          <w:trHeight w:val="358"/>
        </w:trPr>
        <w:tc>
          <w:tcPr>
            <w:tcW w:w="3280" w:type="dxa"/>
            <w:vAlign w:val="bottom"/>
          </w:tcPr>
          <w:p>
            <w:pPr>
              <w:spacing w:after="0"/>
              <w:rPr>
                <w:sz w:val="24"/>
                <w:szCs w:val="24"/>
                <w:color w:val="auto"/>
              </w:rPr>
            </w:pPr>
          </w:p>
        </w:tc>
        <w:tc>
          <w:tcPr>
            <w:tcW w:w="4160" w:type="dxa"/>
            <w:vAlign w:val="bottom"/>
            <w:gridSpan w:val="3"/>
          </w:tcPr>
          <w:p>
            <w:pPr>
              <w:jc w:val="center"/>
              <w:ind w:left="390"/>
              <w:spacing w:after="0"/>
              <w:rPr>
                <w:sz w:val="20"/>
                <w:szCs w:val="20"/>
                <w:color w:val="auto"/>
              </w:rPr>
            </w:pPr>
            <w:r>
              <w:rPr>
                <w:rFonts w:ascii="Arial" w:cs="Arial" w:eastAsia="Arial" w:hAnsi="Arial"/>
                <w:sz w:val="18"/>
                <w:szCs w:val="18"/>
                <w:b w:val="1"/>
                <w:bCs w:val="1"/>
                <w:color w:val="auto"/>
                <w:w w:val="90"/>
              </w:rPr>
              <w:t>(801) 432-9000</w:t>
            </w:r>
          </w:p>
        </w:tc>
        <w:tc>
          <w:tcPr>
            <w:tcW w:w="10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182"/>
        </w:trPr>
        <w:tc>
          <w:tcPr>
            <w:tcW w:w="3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8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(Registrant’s telephone number)</w:t>
            </w:r>
          </w:p>
        </w:tc>
        <w:tc>
          <w:tcPr>
            <w:tcW w:w="3660" w:type="dxa"/>
            <w:vAlign w:val="bottom"/>
          </w:tcPr>
          <w:p>
            <w:pPr>
              <w:spacing w:after="0"/>
              <w:rPr>
                <w:sz w:val="15"/>
                <w:szCs w:val="15"/>
                <w:color w:val="auto"/>
              </w:rPr>
            </w:pPr>
          </w:p>
        </w:tc>
      </w:tr>
      <w:tr>
        <w:trPr>
          <w:trHeight w:val="458"/>
        </w:trPr>
        <w:tc>
          <w:tcPr>
            <w:tcW w:w="3280" w:type="dxa"/>
            <w:vAlign w:val="bottom"/>
          </w:tcPr>
          <w:p>
            <w:pPr>
              <w:spacing w:after="0"/>
              <w:rPr>
                <w:sz w:val="24"/>
                <w:szCs w:val="24"/>
                <w:color w:val="auto"/>
              </w:rPr>
            </w:pPr>
          </w:p>
        </w:tc>
        <w:tc>
          <w:tcPr>
            <w:tcW w:w="7920" w:type="dxa"/>
            <w:vAlign w:val="bottom"/>
            <w:gridSpan w:val="5"/>
          </w:tcPr>
          <w:p>
            <w:pPr>
              <w:jc w:val="center"/>
              <w:ind w:right="3199"/>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270"/>
        </w:trPr>
        <w:tc>
          <w:tcPr>
            <w:tcW w:w="3280" w:type="dxa"/>
            <w:vAlign w:val="bottom"/>
          </w:tcPr>
          <w:p>
            <w:pPr>
              <w:jc w:val="center"/>
              <w:ind w:left="319"/>
              <w:spacing w:after="0"/>
              <w:rPr>
                <w:sz w:val="20"/>
                <w:szCs w:val="20"/>
                <w:color w:val="auto"/>
              </w:rPr>
            </w:pPr>
            <w:r>
              <w:rPr>
                <w:rFonts w:ascii="Arial" w:cs="Arial" w:eastAsia="Arial" w:hAnsi="Arial"/>
                <w:sz w:val="18"/>
                <w:szCs w:val="18"/>
                <w:b w:val="1"/>
                <w:bCs w:val="1"/>
                <w:color w:val="auto"/>
                <w:w w:val="90"/>
              </w:rPr>
              <w:t>Common Stock, par value $0.0001</w:t>
            </w: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LFVN</w:t>
            </w:r>
          </w:p>
        </w:tc>
        <w:tc>
          <w:tcPr>
            <w:tcW w:w="3660" w:type="dxa"/>
            <w:vAlign w:val="bottom"/>
          </w:tcPr>
          <w:p>
            <w:pPr>
              <w:ind w:left="620"/>
              <w:spacing w:after="0"/>
              <w:rPr>
                <w:sz w:val="20"/>
                <w:szCs w:val="20"/>
                <w:color w:val="auto"/>
              </w:rPr>
            </w:pPr>
            <w:r>
              <w:rPr>
                <w:rFonts w:ascii="Arial" w:cs="Arial" w:eastAsia="Arial" w:hAnsi="Arial"/>
                <w:sz w:val="18"/>
                <w:szCs w:val="18"/>
                <w:b w:val="1"/>
                <w:bCs w:val="1"/>
                <w:color w:val="auto"/>
              </w:rPr>
              <w:t>The Nasdaq Stock Market LLC</w:t>
            </w:r>
          </w:p>
        </w:tc>
      </w:tr>
      <w:tr>
        <w:trPr>
          <w:trHeight w:val="27"/>
        </w:trPr>
        <w:tc>
          <w:tcPr>
            <w:tcW w:w="3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184"/>
        </w:trPr>
        <w:tc>
          <w:tcPr>
            <w:tcW w:w="3280" w:type="dxa"/>
            <w:vAlign w:val="bottom"/>
          </w:tcPr>
          <w:p>
            <w:pPr>
              <w:jc w:val="center"/>
              <w:ind w:left="319"/>
              <w:spacing w:after="0"/>
              <w:rPr>
                <w:sz w:val="20"/>
                <w:szCs w:val="20"/>
                <w:color w:val="auto"/>
              </w:rPr>
            </w:pPr>
            <w:r>
              <w:rPr>
                <w:rFonts w:ascii="Arial" w:cs="Arial" w:eastAsia="Arial" w:hAnsi="Arial"/>
                <w:sz w:val="14"/>
                <w:szCs w:val="14"/>
                <w:color w:val="auto"/>
                <w:w w:val="92"/>
              </w:rPr>
              <w:t>Title of each class</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8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Trading Symbol(s)</w:t>
            </w:r>
          </w:p>
        </w:tc>
        <w:tc>
          <w:tcPr>
            <w:tcW w:w="3660" w:type="dxa"/>
            <w:vAlign w:val="bottom"/>
          </w:tcPr>
          <w:p>
            <w:pPr>
              <w:ind w:left="560"/>
              <w:spacing w:after="0"/>
              <w:rPr>
                <w:sz w:val="20"/>
                <w:szCs w:val="20"/>
                <w:color w:val="auto"/>
              </w:rPr>
            </w:pPr>
            <w:r>
              <w:rPr>
                <w:rFonts w:ascii="Arial" w:cs="Arial" w:eastAsia="Arial" w:hAnsi="Arial"/>
                <w:sz w:val="14"/>
                <w:szCs w:val="14"/>
                <w:color w:val="auto"/>
              </w:rPr>
              <w:t>Name of each exchange on which registered</w:t>
            </w:r>
          </w:p>
        </w:tc>
      </w:tr>
    </w:tbl>
    <w:p>
      <w:pPr>
        <w:spacing w:after="0" w:line="106" w:lineRule="exact"/>
        <w:rPr>
          <w:sz w:val="24"/>
          <w:szCs w:val="24"/>
          <w:color w:val="auto"/>
        </w:rPr>
      </w:pPr>
    </w:p>
    <w:p>
      <w:pPr>
        <w:ind w:left="34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w:t>
      </w:r>
    </w:p>
    <w:p>
      <w:pPr>
        <w:spacing w:after="0" w:line="153" w:lineRule="exact"/>
        <w:rPr>
          <w:sz w:val="24"/>
          <w:szCs w:val="24"/>
          <w:color w:val="auto"/>
        </w:rPr>
      </w:pPr>
    </w:p>
    <w:p>
      <w:pPr>
        <w:jc w:val="both"/>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29" w:lineRule="exact"/>
        <w:rPr>
          <w:sz w:val="24"/>
          <w:szCs w:val="24"/>
          <w:color w:val="auto"/>
        </w:rPr>
      </w:pPr>
    </w:p>
    <w:p>
      <w:pPr>
        <w:ind w:right="240"/>
        <w:spacing w:after="0" w:line="220" w:lineRule="exact"/>
        <w:rPr>
          <w:sz w:val="20"/>
          <w:szCs w:val="20"/>
          <w:color w:val="auto"/>
        </w:rPr>
      </w:pPr>
      <w:r>
        <w:rPr>
          <w:rFonts w:ascii="Arial" w:cs="Arial" w:eastAsia="Arial" w:hAnsi="Arial"/>
          <w:sz w:val="15"/>
          <w:szCs w:val="15"/>
          <w:color w:val="auto"/>
        </w:rPr>
        <w:t xml:space="preserve">Indicate by check mark whether the registrant has submitted electronically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29" w:lineRule="exact"/>
        <w:rPr>
          <w:sz w:val="24"/>
          <w:szCs w:val="24"/>
          <w:color w:val="auto"/>
        </w:rPr>
      </w:pPr>
    </w:p>
    <w:p>
      <w:pPr>
        <w:jc w:val="both"/>
        <w:ind w:right="180"/>
        <w:spacing w:after="0" w:line="25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356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1920" w:type="dxa"/>
            <w:vAlign w:val="bottom"/>
          </w:tcPr>
          <w:p>
            <w:pPr>
              <w:ind w:left="1620"/>
              <w:spacing w:after="0" w:line="171" w:lineRule="exact"/>
              <w:rPr>
                <w:sz w:val="20"/>
                <w:szCs w:val="20"/>
                <w:color w:val="auto"/>
              </w:rPr>
            </w:pPr>
            <w:r>
              <w:rPr>
                <w:rFonts w:ascii="MS PGothic" w:cs="MS PGothic" w:eastAsia="MS PGothic" w:hAnsi="MS PGothic"/>
                <w:sz w:val="17"/>
                <w:szCs w:val="17"/>
                <w:color w:val="auto"/>
              </w:rPr>
              <w:t>☐</w:t>
            </w:r>
          </w:p>
        </w:tc>
        <w:tc>
          <w:tcPr>
            <w:tcW w:w="3660" w:type="dxa"/>
            <w:vAlign w:val="bottom"/>
          </w:tcPr>
          <w:p>
            <w:pPr>
              <w:ind w:left="120"/>
              <w:spacing w:after="0"/>
              <w:rPr>
                <w:sz w:val="20"/>
                <w:szCs w:val="20"/>
                <w:color w:val="auto"/>
              </w:rPr>
            </w:pPr>
            <w:r>
              <w:rPr>
                <w:rFonts w:ascii="Arial" w:cs="Arial" w:eastAsia="Arial" w:hAnsi="Arial"/>
                <w:sz w:val="17"/>
                <w:szCs w:val="17"/>
                <w:color w:val="auto"/>
              </w:rPr>
              <w:t>Accelerated filer</w:t>
            </w:r>
          </w:p>
        </w:tc>
        <w:tc>
          <w:tcPr>
            <w:tcW w:w="182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3560" w:type="dxa"/>
            <w:vAlign w:val="bottom"/>
          </w:tcPr>
          <w:p>
            <w:pPr>
              <w:spacing w:after="0"/>
              <w:rPr>
                <w:sz w:val="20"/>
                <w:szCs w:val="20"/>
                <w:color w:val="auto"/>
              </w:rPr>
            </w:pPr>
            <w:r>
              <w:rPr>
                <w:rFonts w:ascii="Arial" w:cs="Arial" w:eastAsia="Arial" w:hAnsi="Arial"/>
                <w:sz w:val="17"/>
                <w:szCs w:val="17"/>
                <w:color w:val="auto"/>
              </w:rPr>
              <w:t>Non-accelerated filer</w:t>
            </w:r>
          </w:p>
        </w:tc>
        <w:tc>
          <w:tcPr>
            <w:tcW w:w="1920" w:type="dxa"/>
            <w:vAlign w:val="bottom"/>
          </w:tcPr>
          <w:p>
            <w:pPr>
              <w:ind w:left="1620"/>
              <w:spacing w:after="0" w:line="171" w:lineRule="exact"/>
              <w:rPr>
                <w:sz w:val="20"/>
                <w:szCs w:val="20"/>
                <w:color w:val="auto"/>
              </w:rPr>
            </w:pPr>
            <w:r>
              <w:rPr>
                <w:rFonts w:ascii="MS PGothic" w:cs="MS PGothic" w:eastAsia="MS PGothic" w:hAnsi="MS PGothic"/>
                <w:sz w:val="17"/>
                <w:szCs w:val="17"/>
                <w:color w:val="auto"/>
              </w:rPr>
              <w:t>☐</w:t>
            </w:r>
          </w:p>
        </w:tc>
        <w:tc>
          <w:tcPr>
            <w:tcW w:w="3660" w:type="dxa"/>
            <w:vAlign w:val="bottom"/>
          </w:tcPr>
          <w:p>
            <w:pPr>
              <w:ind w:left="120"/>
              <w:spacing w:after="0"/>
              <w:rPr>
                <w:sz w:val="20"/>
                <w:szCs w:val="20"/>
                <w:color w:val="auto"/>
              </w:rPr>
            </w:pPr>
            <w:r>
              <w:rPr>
                <w:rFonts w:ascii="Arial" w:cs="Arial" w:eastAsia="Arial" w:hAnsi="Arial"/>
                <w:sz w:val="17"/>
                <w:szCs w:val="17"/>
                <w:color w:val="auto"/>
              </w:rPr>
              <w:t>Smaller reporting company</w:t>
            </w:r>
          </w:p>
        </w:tc>
        <w:tc>
          <w:tcPr>
            <w:tcW w:w="182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560" w:type="dxa"/>
            <w:vAlign w:val="bottom"/>
          </w:tcPr>
          <w:p>
            <w:pPr>
              <w:spacing w:after="0"/>
              <w:rPr>
                <w:sz w:val="20"/>
                <w:szCs w:val="20"/>
                <w:color w:val="auto"/>
              </w:rPr>
            </w:pPr>
            <w:r>
              <w:rPr>
                <w:rFonts w:ascii="Arial" w:cs="Arial" w:eastAsia="Arial" w:hAnsi="Arial"/>
                <w:sz w:val="17"/>
                <w:szCs w:val="17"/>
                <w:color w:val="auto"/>
              </w:rPr>
              <w:t>Emerging Growth Company</w:t>
            </w:r>
          </w:p>
        </w:tc>
        <w:tc>
          <w:tcPr>
            <w:tcW w:w="1920" w:type="dxa"/>
            <w:vAlign w:val="bottom"/>
          </w:tcPr>
          <w:p>
            <w:pPr>
              <w:ind w:left="1620"/>
              <w:spacing w:after="0" w:line="181" w:lineRule="exact"/>
              <w:rPr>
                <w:sz w:val="20"/>
                <w:szCs w:val="20"/>
                <w:color w:val="auto"/>
              </w:rPr>
            </w:pPr>
            <w:r>
              <w:rPr>
                <w:rFonts w:ascii="MS PGothic" w:cs="MS PGothic" w:eastAsia="MS PGothic" w:hAnsi="MS PGothic"/>
                <w:sz w:val="18"/>
                <w:szCs w:val="18"/>
                <w:color w:val="auto"/>
              </w:rPr>
              <w:t>☐</w:t>
            </w:r>
          </w:p>
        </w:tc>
        <w:tc>
          <w:tcPr>
            <w:tcW w:w="366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pacing w:after="0" w:line="97" w:lineRule="exact"/>
        <w:rPr>
          <w:sz w:val="24"/>
          <w:szCs w:val="24"/>
          <w:color w:val="auto"/>
        </w:rPr>
      </w:pPr>
    </w:p>
    <w:p>
      <w:pPr>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96"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The number of shares outstanding of the issuer’s common stock, par value $0.0001 per share, as of May 1, 2020 was 14,313,179.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572770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 w:name="page2"/>
    <w:bookmarkEnd w:id="1"/>
    <w:p>
      <w:pPr>
        <w:jc w:val="center"/>
        <w:ind w:right="-1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8"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This quarterly report on Form 10-Q, in particular “Item 2. Management’s Discussion and Analysis of Financial Condition and Results of Operations,” and the information incorporated by reference herein contains “forward-looking statements” (as such term is defined in Section 27A of the Securities Act of 1933, as amended and Section 21E of the Securities Exchange Act of 1934, as amended). These statements, which involve risks and uncertainties, reflect our current expectations, intentions, or strategies regarding our possible future results of operations, performance, and achievements. Forward-looking statements include, without limitation: statements regarding future products or product development; statements regarding future selling, general and administrative costs and research and development spending; statements regarding the future performance of our network marketing efforts; statements regarding our expectations regarding ongoing litigation; statements regarding international growth; and statements regarding future financial performance, results of operations, capital expenditures and sufficiency of capital resources to fund our operating requirements. These forward-looking statements are made pursuant to the safe harbor provisions of the Private Securities Litigation Reform Act of 1995 and applicable rules of the Securities and Exchange Commission and common law.</w:t>
      </w:r>
    </w:p>
    <w:p>
      <w:pPr>
        <w:spacing w:after="0" w:line="118" w:lineRule="exact"/>
        <w:rPr>
          <w:sz w:val="20"/>
          <w:szCs w:val="20"/>
          <w:color w:val="auto"/>
        </w:rPr>
      </w:pPr>
    </w:p>
    <w:p>
      <w:pPr>
        <w:ind w:right="360" w:firstLine="445"/>
        <w:spacing w:after="0" w:line="257" w:lineRule="auto"/>
        <w:rPr>
          <w:sz w:val="20"/>
          <w:szCs w:val="20"/>
          <w:color w:val="auto"/>
        </w:rPr>
      </w:pPr>
      <w:r>
        <w:rPr>
          <w:rFonts w:ascii="Arial" w:cs="Arial" w:eastAsia="Arial" w:hAnsi="Arial"/>
          <w:sz w:val="18"/>
          <w:szCs w:val="18"/>
          <w:color w:val="auto"/>
        </w:rPr>
        <w:t>These forward-looking statements may be identified in this report and the information incorporated by reference by words such as “anticipate,” “believe,” “could,” “estimate,” “expect,” “intend,” “plan,” “predict,” “project,” “should” and similar terms and expressions, including references to assumptions and strategies. These statements reflect our current beliefs and are based on information currently available to us. Accordingly, these statements are subject to certain risks, uncertainties, and contingencies, which could cause our actual results, performance, or achievements to differ materially from those expressed in, or implied by, such statements.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factors are among those that may cause actual results to differ materially from our forward-looking statements:</w:t>
      </w:r>
    </w:p>
    <w:p>
      <w:pPr>
        <w:spacing w:after="0" w:line="144" w:lineRule="exact"/>
        <w:rPr>
          <w:sz w:val="20"/>
          <w:szCs w:val="20"/>
          <w:color w:val="auto"/>
        </w:rPr>
      </w:pPr>
    </w:p>
    <w:p>
      <w:pPr>
        <w:ind w:left="660" w:right="100" w:hanging="328"/>
        <w:spacing w:after="0" w:line="277" w:lineRule="auto"/>
        <w:tabs>
          <w:tab w:leader="none" w:pos="655"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widespread outbreak of an illness or any other communicable disease, such as COVID-19, or any other public health crisis, could adversely affect our business, results of operations and financial condition.</w:t>
      </w:r>
    </w:p>
    <w:p>
      <w:pPr>
        <w:spacing w:after="0" w:line="102" w:lineRule="exact"/>
        <w:rPr>
          <w:rFonts w:ascii="Arial" w:cs="Arial" w:eastAsia="Arial" w:hAnsi="Arial"/>
          <w:sz w:val="18"/>
          <w:szCs w:val="18"/>
          <w:b w:val="1"/>
          <w:bCs w:val="1"/>
          <w:color w:val="auto"/>
        </w:rPr>
      </w:pPr>
    </w:p>
    <w:p>
      <w:pPr>
        <w:ind w:left="660" w:right="34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properly manage, motivate and retain our independent distributors or to attract new customers and independent distributors on an ongoing basis;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manage existing markets, open new international markets or expand our operations;</w:t>
      </w:r>
    </w:p>
    <w:p>
      <w:pPr>
        <w:spacing w:after="0" w:line="171" w:lineRule="exact"/>
        <w:rPr>
          <w:rFonts w:ascii="Arial" w:cs="Arial" w:eastAsia="Arial" w:hAnsi="Arial"/>
          <w:sz w:val="18"/>
          <w:szCs w:val="18"/>
          <w:color w:val="auto"/>
        </w:rPr>
      </w:pPr>
    </w:p>
    <w:p>
      <w:pPr>
        <w:ind w:left="660" w:right="160" w:hanging="328"/>
        <w:spacing w:after="0" w:line="232"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Non-compliance by our independent distributors with applicable legal requirements or our policies and procedures, including making improper and/or illegal claims about our products or earnings opportunity;</w:t>
      </w:r>
    </w:p>
    <w:p>
      <w:pPr>
        <w:spacing w:after="0" w:line="122"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of new products and technological innovations to gain customer or independent distributor or market acceptance;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Inability to execute our product launch process due to increased pressure on our supply chain, information systems and management;</w:t>
      </w:r>
    </w:p>
    <w:p>
      <w:pPr>
        <w:spacing w:after="0" w:line="155"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appropriately manage our inventory;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adverse effects on our business and stock price due to ineffective internal controls;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in our information technology systems;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protect against cyber security risks and to maintain the integrity of data;</w:t>
      </w:r>
    </w:p>
    <w:p>
      <w:pPr>
        <w:spacing w:after="0" w:line="157" w:lineRule="exact"/>
        <w:rPr>
          <w:rFonts w:ascii="Arial" w:cs="Arial" w:eastAsia="Arial" w:hAnsi="Arial"/>
          <w:sz w:val="18"/>
          <w:szCs w:val="18"/>
          <w:color w:val="auto"/>
        </w:rPr>
      </w:pPr>
    </w:p>
    <w:p>
      <w:pPr>
        <w:ind w:left="660" w:right="64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comply with financial covenants imposed by our credit facility and the impact of debt service obligations and restrictive debt covenants;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trade or foreign exchange restrictions, increased tariffs, foreign currency exchange fluctuations;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raise additional capital or complete desired acquisitions;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upon few products for revenue;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 quality materials for our products may become difficult to obtain or expensive;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third parties to manufacture our products;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to the transportation channels used to distribute our products;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039" w:right="459" w:bottom="1440" w:gutter="0" w:footer="0" w:header="0"/>
        </w:sectPr>
      </w:pPr>
    </w:p>
    <w:bookmarkStart w:id="2" w:name="page3"/>
    <w:bookmarkEnd w:id="2"/>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subject to a product recall;</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Unfavorable publicity on our business or products;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direct selling program could be found to not be in compliance with current or newly adopted laws or regulations in various markets;</w:t>
      </w:r>
    </w:p>
    <w:p>
      <w:pPr>
        <w:spacing w:after="0" w:line="169"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Legal proceedings may be expensive and time consuming;</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Strict government regulations on our business;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Regulations governing the production or marketing of our products;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 of investigatory and enforcement action by the Federal Trade Commission;</w:t>
      </w:r>
    </w:p>
    <w:p>
      <w:pPr>
        <w:spacing w:after="0" w:line="144" w:lineRule="exact"/>
        <w:rPr>
          <w:rFonts w:ascii="Arial" w:cs="Arial" w:eastAsia="Arial" w:hAnsi="Arial"/>
          <w:sz w:val="18"/>
          <w:szCs w:val="18"/>
          <w:color w:val="auto"/>
        </w:rPr>
      </w:pPr>
    </w:p>
    <w:p>
      <w:pPr>
        <w:ind w:left="660" w:right="52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Government authorities may question our tax positions or transfer pricing policies or change their laws in a manner that could increase our effective tax rate or otherwise harm our business;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comply with anti-corruption laws;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of, or inability to attract, key personnel;</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may be held responsible for certain taxes or assessments and other obligations relating to the activity of our independent distributors;</w:t>
      </w:r>
    </w:p>
    <w:p>
      <w:pPr>
        <w:spacing w:after="0" w:line="169"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in the dietary supplement and personal care markets;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inability to protect our intellectual property rights;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Third party claims that we infringe on their intellectual property;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liability claims against us;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political, foreign exchange and other risks associated with international operations;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delisting of our common stock due to non-compliance with Nasdaq's continued listing requirements;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Volatility of the market price of our common stock;</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Substantial sales of shares may negatively impact the market price of our common stock; and</w:t>
      </w:r>
    </w:p>
    <w:p>
      <w:pPr>
        <w:spacing w:after="0" w:line="157"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Dilution of outstanding common shares may occur if holders of our existing options exercise their securities or upon future vesting of restricted stock units.</w:t>
      </w:r>
    </w:p>
    <w:p>
      <w:pPr>
        <w:spacing w:after="0" w:line="103"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When considering these forward-looking statements, you should keep in mind the cautionary statements in this report and the documents incorporated by reference. Except as required by law, we have no obligation and do not undertake to update or revise any such forward-looking statements to reflect events or circumstances after the date of this report.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043" w:right="439" w:bottom="1440" w:gutter="0" w:footer="0" w:header="0"/>
        </w:sectPr>
      </w:pPr>
    </w:p>
    <w:bookmarkStart w:id="3" w:name="page4"/>
    <w:bookmarkEnd w:id="3"/>
    <w:p>
      <w:pPr>
        <w:jc w:val="center"/>
        <w:ind w:left="1400"/>
        <w:spacing w:after="0"/>
        <w:rPr>
          <w:sz w:val="20"/>
          <w:szCs w:val="20"/>
          <w:color w:val="auto"/>
        </w:rPr>
      </w:pPr>
      <w:r>
        <w:rPr>
          <w:rFonts w:ascii="Arial" w:cs="Arial" w:eastAsia="Arial" w:hAnsi="Arial"/>
          <w:sz w:val="18"/>
          <w:szCs w:val="18"/>
          <w:color w:val="auto"/>
        </w:rPr>
        <w:t>LIFEVANTAGE CORPORATION</w:t>
      </w:r>
    </w:p>
    <w:p>
      <w:pPr>
        <w:spacing w:after="0" w:line="171" w:lineRule="exact"/>
        <w:rPr>
          <w:sz w:val="20"/>
          <w:szCs w:val="20"/>
          <w:color w:val="auto"/>
        </w:rPr>
      </w:pPr>
    </w:p>
    <w:p>
      <w:pPr>
        <w:jc w:val="center"/>
        <w:ind w:left="1400"/>
        <w:spacing w:after="0"/>
        <w:rPr>
          <w:sz w:val="20"/>
          <w:szCs w:val="20"/>
          <w:color w:val="auto"/>
        </w:rPr>
      </w:pPr>
      <w:r>
        <w:rPr>
          <w:rFonts w:ascii="Arial" w:cs="Arial" w:eastAsia="Arial" w:hAnsi="Arial"/>
          <w:sz w:val="18"/>
          <w:szCs w:val="18"/>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PART I. Financial Information</w:t>
        </w:r>
      </w:hyperlink>
    </w:p>
    <w:p>
      <w:pPr>
        <w:spacing w:after="0" w:line="36" w:lineRule="exact"/>
        <w:rPr>
          <w:sz w:val="20"/>
          <w:szCs w:val="20"/>
          <w:color w:val="auto"/>
        </w:rPr>
      </w:pPr>
    </w:p>
    <w:p>
      <w:pPr>
        <w:spacing w:after="0"/>
        <w:tabs>
          <w:tab w:leader="none" w:pos="1180" w:val="left"/>
        </w:tabs>
        <w:rPr>
          <w:rFonts w:ascii="Arial" w:cs="Arial" w:eastAsia="Arial" w:hAnsi="Arial"/>
          <w:sz w:val="16"/>
          <w:szCs w:val="16"/>
          <w:u w:val="single" w:color="auto"/>
          <w:color w:val="0000FF"/>
        </w:rPr>
      </w:pPr>
      <w:r>
        <w:rPr>
          <w:rFonts w:ascii="Arial" w:cs="Arial" w:eastAsia="Arial" w:hAnsi="Arial"/>
          <w:sz w:val="18"/>
          <w:szCs w:val="18"/>
          <w:color w:val="auto"/>
        </w:rPr>
        <w:t>Item 1.</w:t>
      </w:r>
      <w:r>
        <w:rPr>
          <w:sz w:val="20"/>
          <w:szCs w:val="20"/>
          <w:color w:val="auto"/>
        </w:rPr>
        <w:tab/>
      </w:r>
      <w:hyperlink w:anchor="page5">
        <w:r>
          <w:rPr>
            <w:rFonts w:ascii="Arial" w:cs="Arial" w:eastAsia="Arial" w:hAnsi="Arial"/>
            <w:sz w:val="16"/>
            <w:szCs w:val="16"/>
            <w:u w:val="single" w:color="auto"/>
            <w:color w:val="0000FF"/>
          </w:rPr>
          <w:t>Financial Statements:</w:t>
        </w:r>
      </w:hyperlink>
    </w:p>
    <w:p>
      <w:pPr>
        <w:spacing w:after="0" w:line="63" w:lineRule="exact"/>
        <w:rPr>
          <w:sz w:val="20"/>
          <w:szCs w:val="20"/>
          <w:color w:val="auto"/>
        </w:rPr>
      </w:pPr>
    </w:p>
    <w:p>
      <w:pPr>
        <w:ind w:left="120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Balance Sheets (unaudited)</w:t>
        </w:r>
      </w:hyperlink>
    </w:p>
    <w:p>
      <w:pPr>
        <w:spacing w:after="0" w:line="23" w:lineRule="exact"/>
        <w:rPr>
          <w:sz w:val="20"/>
          <w:szCs w:val="20"/>
          <w:color w:val="auto"/>
        </w:rPr>
      </w:pPr>
    </w:p>
    <w:p>
      <w:pPr>
        <w:ind w:left="1200"/>
        <w:spacing w:after="0"/>
        <w:rPr>
          <w:rFonts w:ascii="Arial" w:cs="Arial" w:eastAsia="Arial" w:hAnsi="Arial"/>
          <w:sz w:val="16"/>
          <w:szCs w:val="16"/>
          <w:u w:val="single" w:color="auto"/>
          <w:color w:val="0000FF"/>
        </w:rPr>
      </w:pPr>
      <w:hyperlink w:anchor="page6">
        <w:r>
          <w:rPr>
            <w:rFonts w:ascii="Arial" w:cs="Arial" w:eastAsia="Arial" w:hAnsi="Arial"/>
            <w:sz w:val="16"/>
            <w:szCs w:val="16"/>
            <w:u w:val="single" w:color="auto"/>
            <w:color w:val="0000FF"/>
          </w:rPr>
          <w:t>Condensed Consolidated Statements of Operations and Comprehensive Income (unaudited)</w:t>
        </w:r>
      </w:hyperlink>
    </w:p>
    <w:p>
      <w:pPr>
        <w:spacing w:after="0" w:line="46" w:lineRule="exact"/>
        <w:rPr>
          <w:sz w:val="20"/>
          <w:szCs w:val="20"/>
          <w:color w:val="auto"/>
        </w:rPr>
      </w:pPr>
    </w:p>
    <w:p>
      <w:pPr>
        <w:ind w:left="120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Condensed Consolidated Statement of Stockholders’ Equity (unaudited)</w:t>
        </w:r>
      </w:hyperlink>
    </w:p>
    <w:p>
      <w:pPr>
        <w:spacing w:after="0" w:line="23" w:lineRule="exact"/>
        <w:rPr>
          <w:sz w:val="20"/>
          <w:szCs w:val="20"/>
          <w:color w:val="auto"/>
        </w:rPr>
      </w:pPr>
    </w:p>
    <w:p>
      <w:pPr>
        <w:ind w:left="120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Condensed Consolidated Statements of Cash Flows (unaudited)</w:t>
        </w:r>
      </w:hyperlink>
    </w:p>
    <w:p>
      <w:pPr>
        <w:spacing w:after="0" w:line="23" w:lineRule="exact"/>
        <w:rPr>
          <w:sz w:val="20"/>
          <w:szCs w:val="20"/>
          <w:color w:val="auto"/>
        </w:rPr>
      </w:pPr>
    </w:p>
    <w:p>
      <w:pPr>
        <w:ind w:left="120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Notes to Condensed Consolidated Financial Statements (unaudited)</w:t>
        </w:r>
      </w:hyperlink>
    </w:p>
    <w:p>
      <w:pPr>
        <w:spacing w:after="0" w:line="23" w:lineRule="exact"/>
        <w:rPr>
          <w:sz w:val="20"/>
          <w:szCs w:val="20"/>
          <w:color w:val="auto"/>
        </w:rPr>
      </w:pPr>
    </w:p>
    <w:p>
      <w:pPr>
        <w:spacing w:after="0"/>
        <w:tabs>
          <w:tab w:leader="none" w:pos="1180" w:val="left"/>
        </w:tabs>
        <w:rPr>
          <w:rFonts w:ascii="Arial" w:cs="Arial" w:eastAsia="Arial" w:hAnsi="Arial"/>
          <w:sz w:val="16"/>
          <w:szCs w:val="16"/>
          <w:u w:val="single" w:color="auto"/>
          <w:color w:val="0000FF"/>
        </w:rPr>
      </w:pPr>
      <w:r>
        <w:rPr>
          <w:rFonts w:ascii="Arial" w:cs="Arial" w:eastAsia="Arial" w:hAnsi="Arial"/>
          <w:sz w:val="18"/>
          <w:szCs w:val="18"/>
          <w:color w:val="auto"/>
        </w:rPr>
        <w:t>Item 2.</w:t>
      </w:r>
      <w:r>
        <w:rPr>
          <w:sz w:val="20"/>
          <w:szCs w:val="20"/>
          <w:color w:val="auto"/>
        </w:rPr>
        <w:tab/>
      </w:r>
      <w:hyperlink w:anchor="page19">
        <w:r>
          <w:rPr>
            <w:rFonts w:ascii="Arial" w:cs="Arial" w:eastAsia="Arial" w:hAnsi="Arial"/>
            <w:sz w:val="16"/>
            <w:szCs w:val="16"/>
            <w:u w:val="single" w:color="auto"/>
            <w:color w:val="0000FF"/>
          </w:rPr>
          <w:t>Management's Discussion and Analysis of Financial Condition and Results of Operations</w:t>
        </w:r>
      </w:hyperlink>
    </w:p>
    <w:p>
      <w:pPr>
        <w:spacing w:after="0" w:line="62" w:lineRule="exact"/>
        <w:rPr>
          <w:sz w:val="20"/>
          <w:szCs w:val="20"/>
          <w:color w:val="auto"/>
        </w:rPr>
      </w:pPr>
    </w:p>
    <w:p>
      <w:pPr>
        <w:spacing w:after="0"/>
        <w:tabs>
          <w:tab w:leader="none" w:pos="1180" w:val="left"/>
        </w:tabs>
        <w:rPr>
          <w:rFonts w:ascii="Arial" w:cs="Arial" w:eastAsia="Arial" w:hAnsi="Arial"/>
          <w:sz w:val="16"/>
          <w:szCs w:val="16"/>
          <w:u w:val="single" w:color="auto"/>
          <w:color w:val="0000FF"/>
        </w:rPr>
      </w:pPr>
      <w:r>
        <w:rPr>
          <w:rFonts w:ascii="Arial" w:cs="Arial" w:eastAsia="Arial" w:hAnsi="Arial"/>
          <w:sz w:val="18"/>
          <w:szCs w:val="18"/>
          <w:color w:val="auto"/>
        </w:rPr>
        <w:t>Item 3.</w:t>
      </w:r>
      <w:r>
        <w:rPr>
          <w:sz w:val="20"/>
          <w:szCs w:val="20"/>
          <w:color w:val="auto"/>
        </w:rPr>
        <w:tab/>
      </w:r>
      <w:hyperlink w:anchor="page27">
        <w:r>
          <w:rPr>
            <w:rFonts w:ascii="Arial" w:cs="Arial" w:eastAsia="Arial" w:hAnsi="Arial"/>
            <w:sz w:val="16"/>
            <w:szCs w:val="16"/>
            <w:u w:val="single" w:color="auto"/>
            <w:color w:val="0000FF"/>
          </w:rPr>
          <w:t>Quantitative and Qualitative Disclosures About Market Risk</w:t>
        </w:r>
      </w:hyperlink>
    </w:p>
    <w:p>
      <w:pPr>
        <w:spacing w:after="0" w:line="63" w:lineRule="exact"/>
        <w:rPr>
          <w:sz w:val="20"/>
          <w:szCs w:val="20"/>
          <w:color w:val="auto"/>
        </w:rPr>
      </w:pPr>
    </w:p>
    <w:p>
      <w:pPr>
        <w:spacing w:after="0"/>
        <w:tabs>
          <w:tab w:leader="none" w:pos="1180" w:val="left"/>
        </w:tabs>
        <w:rPr>
          <w:rFonts w:ascii="Arial" w:cs="Arial" w:eastAsia="Arial" w:hAnsi="Arial"/>
          <w:sz w:val="15"/>
          <w:szCs w:val="15"/>
          <w:u w:val="single" w:color="auto"/>
          <w:color w:val="0000FF"/>
        </w:rPr>
      </w:pPr>
      <w:r>
        <w:rPr>
          <w:rFonts w:ascii="Arial" w:cs="Arial" w:eastAsia="Arial" w:hAnsi="Arial"/>
          <w:sz w:val="18"/>
          <w:szCs w:val="18"/>
          <w:color w:val="auto"/>
        </w:rPr>
        <w:t>Item 4.</w:t>
      </w:r>
      <w:r>
        <w:rPr>
          <w:sz w:val="20"/>
          <w:szCs w:val="20"/>
          <w:color w:val="auto"/>
        </w:rPr>
        <w:tab/>
      </w:r>
      <w:hyperlink w:anchor="page27">
        <w:r>
          <w:rPr>
            <w:rFonts w:ascii="Arial" w:cs="Arial" w:eastAsia="Arial" w:hAnsi="Arial"/>
            <w:sz w:val="15"/>
            <w:szCs w:val="15"/>
            <w:u w:val="single" w:color="auto"/>
            <w:color w:val="0000FF"/>
          </w:rPr>
          <w:t>Controls and Procedures</w:t>
        </w:r>
      </w:hyperlink>
    </w:p>
    <w:p>
      <w:pPr>
        <w:spacing w:after="0" w:line="333" w:lineRule="exact"/>
        <w:rPr>
          <w:sz w:val="20"/>
          <w:szCs w:val="20"/>
          <w:color w:val="auto"/>
        </w:rPr>
      </w:pPr>
    </w:p>
    <w:p>
      <w:pPr>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PART II. Other Information</w:t>
        </w:r>
      </w:hyperlink>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80" w:type="dxa"/>
            <w:vAlign w:val="bottom"/>
          </w:tcPr>
          <w:p>
            <w:pPr>
              <w:spacing w:after="0"/>
              <w:rPr>
                <w:sz w:val="20"/>
                <w:szCs w:val="20"/>
                <w:color w:val="auto"/>
              </w:rPr>
            </w:pPr>
            <w:r>
              <w:rPr>
                <w:rFonts w:ascii="Arial" w:cs="Arial" w:eastAsia="Arial" w:hAnsi="Arial"/>
                <w:sz w:val="18"/>
                <w:szCs w:val="18"/>
                <w:color w:val="auto"/>
              </w:rPr>
              <w:t>Item 1.</w:t>
            </w:r>
          </w:p>
        </w:tc>
        <w:tc>
          <w:tcPr>
            <w:tcW w:w="4560" w:type="dxa"/>
            <w:vAlign w:val="bottom"/>
          </w:tcPr>
          <w:p>
            <w:pPr>
              <w:ind w:left="22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Legal Proceedings</w:t>
              </w:r>
            </w:hyperlink>
          </w:p>
        </w:tc>
      </w:tr>
      <w:tr>
        <w:trPr>
          <w:trHeight w:val="270"/>
        </w:trPr>
        <w:tc>
          <w:tcPr>
            <w:tcW w:w="980" w:type="dxa"/>
            <w:vAlign w:val="bottom"/>
          </w:tcPr>
          <w:p>
            <w:pPr>
              <w:spacing w:after="0"/>
              <w:rPr>
                <w:sz w:val="20"/>
                <w:szCs w:val="20"/>
                <w:color w:val="auto"/>
              </w:rPr>
            </w:pPr>
            <w:r>
              <w:rPr>
                <w:rFonts w:ascii="Arial" w:cs="Arial" w:eastAsia="Arial" w:hAnsi="Arial"/>
                <w:sz w:val="18"/>
                <w:szCs w:val="18"/>
                <w:color w:val="auto"/>
              </w:rPr>
              <w:t>Item 1A.</w:t>
            </w:r>
          </w:p>
        </w:tc>
        <w:tc>
          <w:tcPr>
            <w:tcW w:w="4560" w:type="dxa"/>
            <w:vAlign w:val="bottom"/>
          </w:tcPr>
          <w:p>
            <w:pPr>
              <w:ind w:left="22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Risk Factors</w:t>
              </w:r>
            </w:hyperlink>
          </w:p>
        </w:tc>
      </w:tr>
      <w:tr>
        <w:trPr>
          <w:trHeight w:val="270"/>
        </w:trPr>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4560" w:type="dxa"/>
            <w:vAlign w:val="bottom"/>
          </w:tcPr>
          <w:p>
            <w:pPr>
              <w:ind w:left="220"/>
              <w:spacing w:after="0"/>
              <w:rPr>
                <w:rFonts w:ascii="Arial" w:cs="Arial" w:eastAsia="Arial" w:hAnsi="Arial"/>
                <w:sz w:val="18"/>
                <w:szCs w:val="18"/>
                <w:u w:val="single" w:color="auto"/>
                <w:color w:val="0000FF"/>
                <w:w w:val="89"/>
              </w:rPr>
            </w:pPr>
            <w:hyperlink w:anchor="page28">
              <w:r>
                <w:rPr>
                  <w:rFonts w:ascii="Arial" w:cs="Arial" w:eastAsia="Arial" w:hAnsi="Arial"/>
                  <w:sz w:val="18"/>
                  <w:szCs w:val="18"/>
                  <w:u w:val="single" w:color="auto"/>
                  <w:color w:val="0000FF"/>
                  <w:w w:val="89"/>
                </w:rPr>
                <w:t>Unregistered Sales of Equity Securities and Use of Proceeds</w:t>
              </w:r>
            </w:hyperlink>
          </w:p>
        </w:tc>
      </w:tr>
      <w:tr>
        <w:trPr>
          <w:trHeight w:val="270"/>
        </w:trPr>
        <w:tc>
          <w:tcPr>
            <w:tcW w:w="980" w:type="dxa"/>
            <w:vAlign w:val="bottom"/>
          </w:tcPr>
          <w:p>
            <w:pPr>
              <w:spacing w:after="0"/>
              <w:rPr>
                <w:sz w:val="20"/>
                <w:szCs w:val="20"/>
                <w:color w:val="auto"/>
              </w:rPr>
            </w:pPr>
            <w:r>
              <w:rPr>
                <w:rFonts w:ascii="Arial" w:cs="Arial" w:eastAsia="Arial" w:hAnsi="Arial"/>
                <w:sz w:val="18"/>
                <w:szCs w:val="18"/>
                <w:color w:val="auto"/>
              </w:rPr>
              <w:t>Item 3.</w:t>
            </w:r>
          </w:p>
        </w:tc>
        <w:tc>
          <w:tcPr>
            <w:tcW w:w="4560" w:type="dxa"/>
            <w:vAlign w:val="bottom"/>
          </w:tcPr>
          <w:p>
            <w:pPr>
              <w:ind w:left="22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Defaults Upon Senior Securities</w:t>
              </w:r>
            </w:hyperlink>
          </w:p>
        </w:tc>
      </w:tr>
      <w:tr>
        <w:trPr>
          <w:trHeight w:val="270"/>
        </w:trPr>
        <w:tc>
          <w:tcPr>
            <w:tcW w:w="980" w:type="dxa"/>
            <w:vAlign w:val="bottom"/>
          </w:tcPr>
          <w:p>
            <w:pPr>
              <w:spacing w:after="0"/>
              <w:rPr>
                <w:sz w:val="20"/>
                <w:szCs w:val="20"/>
                <w:color w:val="auto"/>
              </w:rPr>
            </w:pPr>
            <w:r>
              <w:rPr>
                <w:rFonts w:ascii="Arial" w:cs="Arial" w:eastAsia="Arial" w:hAnsi="Arial"/>
                <w:sz w:val="18"/>
                <w:szCs w:val="18"/>
                <w:color w:val="auto"/>
              </w:rPr>
              <w:t>Item 4.</w:t>
            </w:r>
          </w:p>
        </w:tc>
        <w:tc>
          <w:tcPr>
            <w:tcW w:w="4560" w:type="dxa"/>
            <w:vAlign w:val="bottom"/>
          </w:tcPr>
          <w:p>
            <w:pPr>
              <w:ind w:left="22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Mine Safety Disclosures</w:t>
              </w:r>
            </w:hyperlink>
          </w:p>
        </w:tc>
      </w:tr>
      <w:tr>
        <w:trPr>
          <w:trHeight w:val="270"/>
        </w:trPr>
        <w:tc>
          <w:tcPr>
            <w:tcW w:w="980" w:type="dxa"/>
            <w:vAlign w:val="bottom"/>
          </w:tcPr>
          <w:p>
            <w:pPr>
              <w:spacing w:after="0"/>
              <w:rPr>
                <w:sz w:val="20"/>
                <w:szCs w:val="20"/>
                <w:color w:val="auto"/>
              </w:rPr>
            </w:pPr>
            <w:r>
              <w:rPr>
                <w:rFonts w:ascii="Arial" w:cs="Arial" w:eastAsia="Arial" w:hAnsi="Arial"/>
                <w:sz w:val="18"/>
                <w:szCs w:val="18"/>
                <w:color w:val="auto"/>
              </w:rPr>
              <w:t>Item 5.</w:t>
            </w:r>
          </w:p>
        </w:tc>
        <w:tc>
          <w:tcPr>
            <w:tcW w:w="4560" w:type="dxa"/>
            <w:vAlign w:val="bottom"/>
          </w:tcPr>
          <w:p>
            <w:pPr>
              <w:ind w:left="22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Other Information</w:t>
              </w:r>
            </w:hyperlink>
          </w:p>
        </w:tc>
      </w:tr>
      <w:tr>
        <w:trPr>
          <w:trHeight w:val="270"/>
        </w:trPr>
        <w:tc>
          <w:tcPr>
            <w:tcW w:w="980" w:type="dxa"/>
            <w:vAlign w:val="bottom"/>
          </w:tcPr>
          <w:p>
            <w:pPr>
              <w:spacing w:after="0"/>
              <w:rPr>
                <w:sz w:val="20"/>
                <w:szCs w:val="20"/>
                <w:color w:val="auto"/>
              </w:rPr>
            </w:pPr>
            <w:r>
              <w:rPr>
                <w:rFonts w:ascii="Arial" w:cs="Arial" w:eastAsia="Arial" w:hAnsi="Arial"/>
                <w:sz w:val="18"/>
                <w:szCs w:val="18"/>
                <w:color w:val="auto"/>
              </w:rPr>
              <w:t>Item 6.</w:t>
            </w:r>
          </w:p>
        </w:tc>
        <w:tc>
          <w:tcPr>
            <w:tcW w:w="4560" w:type="dxa"/>
            <w:vAlign w:val="bottom"/>
          </w:tcPr>
          <w:p>
            <w:pPr>
              <w:ind w:left="22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Exhibits</w:t>
              </w:r>
            </w:hyperlink>
          </w:p>
        </w:tc>
      </w:tr>
      <w:tr>
        <w:trPr>
          <w:trHeight w:val="256"/>
        </w:trPr>
        <w:tc>
          <w:tcPr>
            <w:tcW w:w="980" w:type="dxa"/>
            <w:vAlign w:val="bottom"/>
          </w:tcPr>
          <w:p>
            <w:pPr>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Signatures</w:t>
              </w:r>
            </w:hyperlink>
          </w:p>
        </w:tc>
        <w:tc>
          <w:tcPr>
            <w:tcW w:w="456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23495</wp:posOffset>
            </wp:positionV>
            <wp:extent cx="6172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30" w:lineRule="exact"/>
        <w:rPr>
          <w:sz w:val="20"/>
          <w:szCs w:val="20"/>
          <w:color w:val="auto"/>
        </w:rPr>
      </w:pPr>
    </w:p>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5</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5</w:t>
        </w:r>
      </w:hyperlink>
    </w:p>
    <w:p>
      <w:pPr>
        <w:spacing w:after="0" w:line="23" w:lineRule="exact"/>
        <w:rPr>
          <w:sz w:val="20"/>
          <w:szCs w:val="20"/>
          <w:color w:val="auto"/>
        </w:rPr>
      </w:pPr>
    </w:p>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5</w:t>
        </w:r>
      </w:hyperlink>
    </w:p>
    <w:p>
      <w:pPr>
        <w:spacing w:after="0" w:line="23" w:lineRule="exact"/>
        <w:rPr>
          <w:sz w:val="20"/>
          <w:szCs w:val="20"/>
          <w:color w:val="auto"/>
        </w:rPr>
      </w:pPr>
    </w:p>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6</w:t>
        </w:r>
      </w:hyperlink>
    </w:p>
    <w:p>
      <w:pPr>
        <w:spacing w:after="0" w:line="23" w:lineRule="exact"/>
        <w:rPr>
          <w:sz w:val="20"/>
          <w:szCs w:val="20"/>
          <w:color w:val="auto"/>
        </w:rPr>
      </w:pPr>
    </w:p>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7</w:t>
        </w:r>
      </w:hyperlink>
    </w:p>
    <w:p>
      <w:pPr>
        <w:spacing w:after="0" w:line="23" w:lineRule="exact"/>
        <w:rPr>
          <w:sz w:val="20"/>
          <w:szCs w:val="20"/>
          <w:color w:val="auto"/>
        </w:rPr>
      </w:pPr>
    </w:p>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8</w:t>
        </w:r>
      </w:hyperlink>
    </w:p>
    <w:p>
      <w:pPr>
        <w:spacing w:after="0" w:line="23" w:lineRule="exact"/>
        <w:rPr>
          <w:sz w:val="20"/>
          <w:szCs w:val="20"/>
          <w:color w:val="auto"/>
        </w:rPr>
      </w:pPr>
    </w:p>
    <w:p>
      <w:pPr>
        <w:jc w:val="right"/>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9</w:t>
        </w:r>
      </w:hyperlink>
    </w:p>
    <w:p>
      <w:pPr>
        <w:spacing w:after="0" w:line="62" w:lineRule="exact"/>
        <w:rPr>
          <w:sz w:val="20"/>
          <w:szCs w:val="20"/>
          <w:color w:val="auto"/>
        </w:rPr>
      </w:pPr>
    </w:p>
    <w:p>
      <w:pPr>
        <w:jc w:val="right"/>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19</w:t>
        </w:r>
      </w:hyperlink>
    </w:p>
    <w:p>
      <w:pPr>
        <w:spacing w:after="0" w:line="63" w:lineRule="exact"/>
        <w:rPr>
          <w:sz w:val="20"/>
          <w:szCs w:val="20"/>
          <w:color w:val="auto"/>
        </w:rPr>
      </w:pPr>
    </w:p>
    <w:p>
      <w:pPr>
        <w:ind w:left="480"/>
        <w:spacing w:after="0"/>
        <w:rPr>
          <w:rFonts w:ascii="Arial" w:cs="Arial" w:eastAsia="Arial" w:hAnsi="Arial"/>
          <w:sz w:val="16"/>
          <w:szCs w:val="16"/>
          <w:u w:val="single" w:color="auto"/>
          <w:color w:val="0000FF"/>
        </w:rPr>
      </w:pPr>
      <w:hyperlink w:anchor="page27">
        <w:r>
          <w:rPr>
            <w:rFonts w:ascii="Arial" w:cs="Arial" w:eastAsia="Arial" w:hAnsi="Arial"/>
            <w:sz w:val="16"/>
            <w:szCs w:val="16"/>
            <w:u w:val="single" w:color="auto"/>
            <w:color w:val="0000FF"/>
          </w:rPr>
          <w:t>27</w:t>
        </w:r>
      </w:hyperlink>
    </w:p>
    <w:p>
      <w:pPr>
        <w:spacing w:after="0" w:line="86" w:lineRule="exact"/>
        <w:rPr>
          <w:sz w:val="20"/>
          <w:szCs w:val="20"/>
          <w:color w:val="auto"/>
        </w:rPr>
      </w:pPr>
    </w:p>
    <w:p>
      <w:pPr>
        <w:ind w:left="480"/>
        <w:spacing w:after="0"/>
        <w:rPr>
          <w:rFonts w:ascii="Arial" w:cs="Arial" w:eastAsia="Arial" w:hAnsi="Arial"/>
          <w:sz w:val="16"/>
          <w:szCs w:val="16"/>
          <w:u w:val="single" w:color="auto"/>
          <w:color w:val="0000FF"/>
        </w:rPr>
      </w:pPr>
      <w:hyperlink w:anchor="page27">
        <w:r>
          <w:rPr>
            <w:rFonts w:ascii="Arial" w:cs="Arial" w:eastAsia="Arial" w:hAnsi="Arial"/>
            <w:sz w:val="16"/>
            <w:szCs w:val="16"/>
            <w:u w:val="single" w:color="auto"/>
            <w:color w:val="0000FF"/>
          </w:rPr>
          <w:t>27</w:t>
        </w:r>
      </w:hyperlink>
    </w:p>
    <w:p>
      <w:pPr>
        <w:spacing w:after="0" w:line="316" w:lineRule="exact"/>
        <w:rPr>
          <w:sz w:val="20"/>
          <w:szCs w:val="20"/>
          <w:color w:val="auto"/>
        </w:rPr>
      </w:pPr>
    </w:p>
    <w:p>
      <w:pPr>
        <w:ind w:left="480"/>
        <w:spacing w:after="0"/>
        <w:rPr>
          <w:rFonts w:ascii="Arial" w:cs="Arial" w:eastAsia="Arial" w:hAnsi="Arial"/>
          <w:sz w:val="16"/>
          <w:szCs w:val="16"/>
          <w:u w:val="single" w:color="auto"/>
          <w:color w:val="0000FF"/>
        </w:rPr>
      </w:pPr>
      <w:hyperlink w:anchor="page28">
        <w:r>
          <w:rPr>
            <w:rFonts w:ascii="Arial" w:cs="Arial" w:eastAsia="Arial" w:hAnsi="Arial"/>
            <w:sz w:val="16"/>
            <w:szCs w:val="16"/>
            <w:u w:val="single" w:color="auto"/>
            <w:color w:val="0000FF"/>
          </w:rPr>
          <w:t>28</w:t>
        </w:r>
      </w:hyperlink>
    </w:p>
    <w:p>
      <w:pPr>
        <w:spacing w:after="0" w:line="86" w:lineRule="exact"/>
        <w:rPr>
          <w:sz w:val="20"/>
          <w:szCs w:val="20"/>
          <w:color w:val="auto"/>
        </w:rPr>
      </w:pPr>
    </w:p>
    <w:p>
      <w:pPr>
        <w:ind w:left="480"/>
        <w:spacing w:after="0"/>
        <w:rPr>
          <w:rFonts w:ascii="Arial" w:cs="Arial" w:eastAsia="Arial" w:hAnsi="Arial"/>
          <w:sz w:val="16"/>
          <w:szCs w:val="16"/>
          <w:u w:val="single" w:color="auto"/>
          <w:color w:val="0000FF"/>
        </w:rPr>
      </w:pPr>
      <w:hyperlink w:anchor="page28">
        <w:r>
          <w:rPr>
            <w:rFonts w:ascii="Arial" w:cs="Arial" w:eastAsia="Arial" w:hAnsi="Arial"/>
            <w:sz w:val="16"/>
            <w:szCs w:val="16"/>
            <w:u w:val="single" w:color="auto"/>
            <w:color w:val="0000FF"/>
          </w:rPr>
          <w:t>28</w:t>
        </w:r>
      </w:hyperlink>
    </w:p>
    <w:p>
      <w:pPr>
        <w:spacing w:after="0" w:line="86" w:lineRule="exact"/>
        <w:rPr>
          <w:sz w:val="20"/>
          <w:szCs w:val="20"/>
          <w:color w:val="auto"/>
        </w:rPr>
      </w:pPr>
    </w:p>
    <w:p>
      <w:pPr>
        <w:ind w:left="480"/>
        <w:spacing w:after="0"/>
        <w:rPr>
          <w:rFonts w:ascii="Arial" w:cs="Arial" w:eastAsia="Arial" w:hAnsi="Arial"/>
          <w:sz w:val="16"/>
          <w:szCs w:val="16"/>
          <w:u w:val="single" w:color="auto"/>
          <w:color w:val="0000FF"/>
        </w:rPr>
      </w:pPr>
      <w:hyperlink w:anchor="page28">
        <w:r>
          <w:rPr>
            <w:rFonts w:ascii="Arial" w:cs="Arial" w:eastAsia="Arial" w:hAnsi="Arial"/>
            <w:sz w:val="16"/>
            <w:szCs w:val="16"/>
            <w:u w:val="single" w:color="auto"/>
            <w:color w:val="0000FF"/>
          </w:rPr>
          <w:t>28</w:t>
        </w:r>
      </w:hyperlink>
    </w:p>
    <w:p>
      <w:pPr>
        <w:spacing w:after="0" w:line="86" w:lineRule="exact"/>
        <w:rPr>
          <w:sz w:val="20"/>
          <w:szCs w:val="20"/>
          <w:color w:val="auto"/>
        </w:rPr>
      </w:pPr>
    </w:p>
    <w:p>
      <w:pPr>
        <w:ind w:left="480"/>
        <w:spacing w:after="0"/>
        <w:rPr>
          <w:rFonts w:ascii="Arial" w:cs="Arial" w:eastAsia="Arial" w:hAnsi="Arial"/>
          <w:sz w:val="16"/>
          <w:szCs w:val="16"/>
          <w:u w:val="single" w:color="auto"/>
          <w:color w:val="0000FF"/>
        </w:rPr>
      </w:pPr>
      <w:hyperlink w:anchor="page28">
        <w:r>
          <w:rPr>
            <w:rFonts w:ascii="Arial" w:cs="Arial" w:eastAsia="Arial" w:hAnsi="Arial"/>
            <w:sz w:val="16"/>
            <w:szCs w:val="16"/>
            <w:u w:val="single" w:color="auto"/>
            <w:color w:val="0000FF"/>
          </w:rPr>
          <w:t>28</w:t>
        </w:r>
      </w:hyperlink>
    </w:p>
    <w:p>
      <w:pPr>
        <w:spacing w:after="0" w:line="86" w:lineRule="exact"/>
        <w:rPr>
          <w:sz w:val="20"/>
          <w:szCs w:val="20"/>
          <w:color w:val="auto"/>
        </w:rPr>
      </w:pPr>
    </w:p>
    <w:p>
      <w:pPr>
        <w:ind w:left="480"/>
        <w:spacing w:after="0"/>
        <w:rPr>
          <w:rFonts w:ascii="Arial" w:cs="Arial" w:eastAsia="Arial" w:hAnsi="Arial"/>
          <w:sz w:val="16"/>
          <w:szCs w:val="16"/>
          <w:u w:val="single" w:color="auto"/>
          <w:color w:val="0000FF"/>
        </w:rPr>
      </w:pPr>
      <w:hyperlink w:anchor="page29">
        <w:r>
          <w:rPr>
            <w:rFonts w:ascii="Arial" w:cs="Arial" w:eastAsia="Arial" w:hAnsi="Arial"/>
            <w:sz w:val="16"/>
            <w:szCs w:val="16"/>
            <w:u w:val="single" w:color="auto"/>
            <w:color w:val="0000FF"/>
          </w:rPr>
          <w:t>29</w:t>
        </w:r>
      </w:hyperlink>
    </w:p>
    <w:p>
      <w:pPr>
        <w:spacing w:after="0" w:line="86" w:lineRule="exact"/>
        <w:rPr>
          <w:sz w:val="20"/>
          <w:szCs w:val="20"/>
          <w:color w:val="auto"/>
        </w:rPr>
      </w:pPr>
    </w:p>
    <w:p>
      <w:pPr>
        <w:ind w:left="480"/>
        <w:spacing w:after="0"/>
        <w:rPr>
          <w:rFonts w:ascii="Arial" w:cs="Arial" w:eastAsia="Arial" w:hAnsi="Arial"/>
          <w:sz w:val="16"/>
          <w:szCs w:val="16"/>
          <w:u w:val="single" w:color="auto"/>
          <w:color w:val="0000FF"/>
        </w:rPr>
      </w:pPr>
      <w:hyperlink w:anchor="page29">
        <w:r>
          <w:rPr>
            <w:rFonts w:ascii="Arial" w:cs="Arial" w:eastAsia="Arial" w:hAnsi="Arial"/>
            <w:sz w:val="16"/>
            <w:szCs w:val="16"/>
            <w:u w:val="single" w:color="auto"/>
            <w:color w:val="0000FF"/>
          </w:rPr>
          <w:t>29</w:t>
        </w:r>
      </w:hyperlink>
    </w:p>
    <w:p>
      <w:pPr>
        <w:spacing w:after="0" w:line="86" w:lineRule="exact"/>
        <w:rPr>
          <w:sz w:val="20"/>
          <w:szCs w:val="20"/>
          <w:color w:val="auto"/>
        </w:rPr>
      </w:pPr>
    </w:p>
    <w:p>
      <w:pPr>
        <w:ind w:left="480"/>
        <w:spacing w:after="0"/>
        <w:rPr>
          <w:rFonts w:ascii="Arial" w:cs="Arial" w:eastAsia="Arial" w:hAnsi="Arial"/>
          <w:sz w:val="16"/>
          <w:szCs w:val="16"/>
          <w:u w:val="single" w:color="auto"/>
          <w:color w:val="0000FF"/>
        </w:rPr>
      </w:pPr>
      <w:hyperlink w:anchor="page29">
        <w:r>
          <w:rPr>
            <w:rFonts w:ascii="Arial" w:cs="Arial" w:eastAsia="Arial" w:hAnsi="Arial"/>
            <w:sz w:val="16"/>
            <w:szCs w:val="16"/>
            <w:u w:val="single" w:color="auto"/>
            <w:color w:val="0000FF"/>
          </w:rPr>
          <w:t>29</w:t>
        </w:r>
      </w:hyperlink>
    </w:p>
    <w:p>
      <w:pPr>
        <w:spacing w:after="0" w:line="86" w:lineRule="exact"/>
        <w:rPr>
          <w:sz w:val="20"/>
          <w:szCs w:val="20"/>
          <w:color w:val="auto"/>
        </w:rPr>
      </w:pPr>
    </w:p>
    <w:p>
      <w:pPr>
        <w:ind w:left="480"/>
        <w:spacing w:after="0"/>
        <w:rPr>
          <w:rFonts w:ascii="Arial" w:cs="Arial" w:eastAsia="Arial" w:hAnsi="Arial"/>
          <w:sz w:val="16"/>
          <w:szCs w:val="16"/>
          <w:u w:val="single" w:color="auto"/>
          <w:color w:val="0000FF"/>
        </w:rPr>
      </w:pPr>
      <w:hyperlink w:anchor="page29">
        <w:r>
          <w:rPr>
            <w:rFonts w:ascii="Arial" w:cs="Arial" w:eastAsia="Arial" w:hAnsi="Arial"/>
            <w:sz w:val="16"/>
            <w:szCs w:val="16"/>
            <w:u w:val="single" w:color="auto"/>
            <w:color w:val="0000FF"/>
          </w:rPr>
          <w:t>29</w:t>
        </w:r>
      </w:hyperlink>
    </w:p>
    <w:p>
      <w:pPr>
        <w:spacing w:after="0" w:line="46" w:lineRule="exact"/>
        <w:rPr>
          <w:sz w:val="20"/>
          <w:szCs w:val="20"/>
          <w:color w:val="auto"/>
        </w:rPr>
      </w:pPr>
    </w:p>
    <w:p>
      <w:pPr>
        <w:ind w:left="480"/>
        <w:spacing w:after="0"/>
        <w:rPr>
          <w:rFonts w:ascii="Arial" w:cs="Arial" w:eastAsia="Arial" w:hAnsi="Arial"/>
          <w:sz w:val="16"/>
          <w:szCs w:val="16"/>
          <w:u w:val="single" w:color="auto"/>
          <w:color w:val="0000FF"/>
        </w:rPr>
      </w:pPr>
      <w:hyperlink w:anchor="page30">
        <w:r>
          <w:rPr>
            <w:rFonts w:ascii="Arial" w:cs="Arial" w:eastAsia="Arial" w:hAnsi="Arial"/>
            <w:sz w:val="16"/>
            <w:szCs w:val="16"/>
            <w:u w:val="single" w:color="auto"/>
            <w:color w:val="0000FF"/>
          </w:rPr>
          <w:t>31</w:t>
        </w:r>
      </w:hyperlink>
    </w:p>
    <w:p>
      <w:pPr>
        <w:sectPr>
          <w:pgSz w:w="11900" w:h="16838" w:orient="portrait"/>
          <w:cols w:equalWidth="0" w:num="2">
            <w:col w:w="9800" w:space="720"/>
            <w:col w:w="660"/>
          </w:cols>
          <w:pgMar w:left="340" w:top="895" w:right="3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LIFEVANTAGE CORPORATION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2020</w:t>
            </w:r>
          </w:p>
        </w:tc>
        <w:tc>
          <w:tcPr>
            <w:tcW w:w="280" w:type="dxa"/>
            <w:vAlign w:val="bottom"/>
          </w:tcPr>
          <w:p>
            <w:pPr>
              <w:spacing w:after="0"/>
              <w:rPr>
                <w:sz w:val="16"/>
                <w:szCs w:val="16"/>
                <w:color w:val="auto"/>
              </w:rPr>
            </w:pPr>
          </w:p>
        </w:tc>
        <w:tc>
          <w:tcPr>
            <w:tcW w:w="1480" w:type="dxa"/>
            <w:vAlign w:val="bottom"/>
          </w:tcPr>
          <w:p>
            <w:pPr>
              <w:jc w:val="right"/>
              <w:ind w:right="375"/>
              <w:spacing w:after="0"/>
              <w:rPr>
                <w:sz w:val="20"/>
                <w:szCs w:val="20"/>
                <w:color w:val="auto"/>
              </w:rPr>
            </w:pPr>
            <w:r>
              <w:rPr>
                <w:rFonts w:ascii="Arial" w:cs="Arial" w:eastAsia="Arial" w:hAnsi="Arial"/>
                <w:sz w:val="14"/>
                <w:szCs w:val="14"/>
                <w:b w:val="1"/>
                <w:bCs w:val="1"/>
                <w:color w:val="auto"/>
              </w:rPr>
              <w:t>June 30, 2019</w:t>
            </w:r>
          </w:p>
        </w:tc>
      </w:tr>
      <w:tr>
        <w:trPr>
          <w:trHeight w:val="225"/>
        </w:trPr>
        <w:tc>
          <w:tcPr>
            <w:tcW w:w="7600" w:type="dxa"/>
            <w:vAlign w:val="bottom"/>
          </w:tcPr>
          <w:p>
            <w:pPr>
              <w:ind w:left="20"/>
              <w:spacing w:after="0"/>
              <w:rPr>
                <w:sz w:val="20"/>
                <w:szCs w:val="20"/>
                <w:color w:val="auto"/>
              </w:rPr>
            </w:pPr>
            <w:r>
              <w:rPr>
                <w:rFonts w:ascii="Arial" w:cs="Arial" w:eastAsia="Arial" w:hAnsi="Arial"/>
                <w:sz w:val="17"/>
                <w:szCs w:val="17"/>
                <w:i w:val="1"/>
                <w:iCs w:val="1"/>
                <w:color w:val="auto"/>
              </w:rPr>
              <w:t>(In thousands, except per share data)</w:t>
            </w:r>
          </w:p>
        </w:tc>
        <w:tc>
          <w:tcPr>
            <w:tcW w:w="24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r>
      <w:tr>
        <w:trPr>
          <w:trHeight w:val="31"/>
        </w:trPr>
        <w:tc>
          <w:tcPr>
            <w:tcW w:w="7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6"/>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2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226"/>
        </w:trPr>
        <w:tc>
          <w:tcPr>
            <w:tcW w:w="760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31"/>
        </w:trPr>
        <w:tc>
          <w:tcPr>
            <w:tcW w:w="7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7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Cash and cash equivalents</w:t>
            </w:r>
          </w:p>
        </w:tc>
        <w:tc>
          <w:tcPr>
            <w:tcW w:w="2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13,464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18,824</w:t>
            </w:r>
          </w:p>
        </w:tc>
      </w:tr>
      <w:tr>
        <w:trPr>
          <w:trHeight w:val="225"/>
        </w:trPr>
        <w:tc>
          <w:tcPr>
            <w:tcW w:w="7600" w:type="dxa"/>
            <w:vAlign w:val="bottom"/>
          </w:tcPr>
          <w:p>
            <w:pPr>
              <w:ind w:left="340"/>
              <w:spacing w:after="0"/>
              <w:rPr>
                <w:sz w:val="20"/>
                <w:szCs w:val="20"/>
                <w:color w:val="auto"/>
              </w:rPr>
            </w:pPr>
            <w:r>
              <w:rPr>
                <w:rFonts w:ascii="Arial" w:cs="Arial" w:eastAsia="Arial" w:hAnsi="Arial"/>
                <w:sz w:val="17"/>
                <w:szCs w:val="17"/>
                <w:color w:val="auto"/>
              </w:rPr>
              <w:t>Accounts receivable</w:t>
            </w:r>
          </w:p>
        </w:tc>
        <w:tc>
          <w:tcPr>
            <w:tcW w:w="240" w:type="dxa"/>
            <w:vAlign w:val="bottom"/>
          </w:tcPr>
          <w:p>
            <w:pPr>
              <w:spacing w:after="0"/>
              <w:rPr>
                <w:sz w:val="19"/>
                <w:szCs w:val="19"/>
                <w:color w:val="auto"/>
              </w:rPr>
            </w:pPr>
          </w:p>
        </w:tc>
        <w:tc>
          <w:tcPr>
            <w:tcW w:w="1500" w:type="dxa"/>
            <w:vAlign w:val="bottom"/>
          </w:tcPr>
          <w:p>
            <w:pPr>
              <w:jc w:val="right"/>
              <w:ind w:right="55"/>
              <w:spacing w:after="0"/>
              <w:rPr>
                <w:sz w:val="20"/>
                <w:szCs w:val="20"/>
                <w:color w:val="auto"/>
              </w:rPr>
            </w:pPr>
            <w:r>
              <w:rPr>
                <w:rFonts w:ascii="Arial" w:cs="Arial" w:eastAsia="Arial" w:hAnsi="Arial"/>
                <w:sz w:val="17"/>
                <w:szCs w:val="17"/>
                <w:color w:val="auto"/>
              </w:rPr>
              <w:t>1,164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ind w:right="75"/>
              <w:spacing w:after="0"/>
              <w:rPr>
                <w:sz w:val="20"/>
                <w:szCs w:val="20"/>
                <w:color w:val="auto"/>
              </w:rPr>
            </w:pPr>
            <w:r>
              <w:rPr>
                <w:rFonts w:ascii="Arial" w:cs="Arial" w:eastAsia="Arial" w:hAnsi="Arial"/>
                <w:sz w:val="17"/>
                <w:szCs w:val="17"/>
                <w:color w:val="auto"/>
              </w:rPr>
              <w:t>2,066</w:t>
            </w:r>
          </w:p>
        </w:tc>
      </w:tr>
      <w:tr>
        <w:trPr>
          <w:trHeight w:val="31"/>
        </w:trPr>
        <w:tc>
          <w:tcPr>
            <w:tcW w:w="7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6"/>
        </w:trPr>
        <w:tc>
          <w:tcPr>
            <w:tcW w:w="7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Income tax receivable</w:t>
            </w:r>
          </w:p>
        </w:tc>
        <w:tc>
          <w:tcPr>
            <w:tcW w:w="2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2,383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1,236</w:t>
            </w:r>
          </w:p>
        </w:tc>
      </w:tr>
      <w:tr>
        <w:trPr>
          <w:trHeight w:val="226"/>
        </w:trPr>
        <w:tc>
          <w:tcPr>
            <w:tcW w:w="7600" w:type="dxa"/>
            <w:vAlign w:val="bottom"/>
          </w:tcPr>
          <w:p>
            <w:pPr>
              <w:ind w:left="340"/>
              <w:spacing w:after="0"/>
              <w:rPr>
                <w:sz w:val="20"/>
                <w:szCs w:val="20"/>
                <w:color w:val="auto"/>
              </w:rPr>
            </w:pPr>
            <w:r>
              <w:rPr>
                <w:rFonts w:ascii="Arial" w:cs="Arial" w:eastAsia="Arial" w:hAnsi="Arial"/>
                <w:sz w:val="17"/>
                <w:szCs w:val="17"/>
                <w:color w:val="auto"/>
              </w:rPr>
              <w:t>Inventory, net</w:t>
            </w:r>
          </w:p>
        </w:tc>
        <w:tc>
          <w:tcPr>
            <w:tcW w:w="240" w:type="dxa"/>
            <w:vAlign w:val="bottom"/>
          </w:tcPr>
          <w:p>
            <w:pPr>
              <w:spacing w:after="0"/>
              <w:rPr>
                <w:sz w:val="19"/>
                <w:szCs w:val="19"/>
                <w:color w:val="auto"/>
              </w:rPr>
            </w:pPr>
          </w:p>
        </w:tc>
        <w:tc>
          <w:tcPr>
            <w:tcW w:w="1500" w:type="dxa"/>
            <w:vAlign w:val="bottom"/>
          </w:tcPr>
          <w:p>
            <w:pPr>
              <w:jc w:val="right"/>
              <w:ind w:right="55"/>
              <w:spacing w:after="0"/>
              <w:rPr>
                <w:sz w:val="20"/>
                <w:szCs w:val="20"/>
                <w:color w:val="auto"/>
              </w:rPr>
            </w:pPr>
            <w:r>
              <w:rPr>
                <w:rFonts w:ascii="Arial" w:cs="Arial" w:eastAsia="Arial" w:hAnsi="Arial"/>
                <w:sz w:val="17"/>
                <w:szCs w:val="17"/>
                <w:color w:val="auto"/>
              </w:rPr>
              <w:t>14,740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ind w:right="75"/>
              <w:spacing w:after="0"/>
              <w:rPr>
                <w:sz w:val="20"/>
                <w:szCs w:val="20"/>
                <w:color w:val="auto"/>
              </w:rPr>
            </w:pPr>
            <w:r>
              <w:rPr>
                <w:rFonts w:ascii="Arial" w:cs="Arial" w:eastAsia="Arial" w:hAnsi="Arial"/>
                <w:sz w:val="17"/>
                <w:szCs w:val="17"/>
                <w:color w:val="auto"/>
              </w:rPr>
              <w:t>13,753</w:t>
            </w:r>
          </w:p>
        </w:tc>
      </w:tr>
      <w:tr>
        <w:trPr>
          <w:trHeight w:val="31"/>
        </w:trPr>
        <w:tc>
          <w:tcPr>
            <w:tcW w:w="7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7"/>
        </w:trPr>
        <w:tc>
          <w:tcPr>
            <w:tcW w:w="7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Prepaid expenses and other</w:t>
            </w:r>
          </w:p>
        </w:tc>
        <w:tc>
          <w:tcPr>
            <w:tcW w:w="2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6,084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7,309</w:t>
            </w:r>
          </w:p>
        </w:tc>
      </w:tr>
      <w:tr>
        <w:trPr>
          <w:trHeight w:val="219"/>
        </w:trPr>
        <w:tc>
          <w:tcPr>
            <w:tcW w:w="7600" w:type="dxa"/>
            <w:vAlign w:val="bottom"/>
          </w:tcPr>
          <w:p>
            <w:pPr>
              <w:ind w:left="660"/>
              <w:spacing w:after="0"/>
              <w:rPr>
                <w:sz w:val="20"/>
                <w:szCs w:val="20"/>
                <w:color w:val="auto"/>
              </w:rPr>
            </w:pPr>
            <w:r>
              <w:rPr>
                <w:rFonts w:ascii="Arial" w:cs="Arial" w:eastAsia="Arial" w:hAnsi="Arial"/>
                <w:sz w:val="17"/>
                <w:szCs w:val="17"/>
                <w:color w:val="auto"/>
              </w:rPr>
              <w:t>Total current assets</w:t>
            </w:r>
          </w:p>
        </w:tc>
        <w:tc>
          <w:tcPr>
            <w:tcW w:w="24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37,835</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43,188</w:t>
            </w:r>
          </w:p>
        </w:tc>
      </w:tr>
      <w:tr>
        <w:trPr>
          <w:trHeight w:val="31"/>
        </w:trPr>
        <w:tc>
          <w:tcPr>
            <w:tcW w:w="7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7"/>
        </w:trPr>
        <w:tc>
          <w:tcPr>
            <w:tcW w:w="76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25"/>
        </w:trPr>
        <w:tc>
          <w:tcPr>
            <w:tcW w:w="7600" w:type="dxa"/>
            <w:vAlign w:val="bottom"/>
          </w:tcPr>
          <w:p>
            <w:pPr>
              <w:ind w:left="340"/>
              <w:spacing w:after="0"/>
              <w:rPr>
                <w:sz w:val="20"/>
                <w:szCs w:val="20"/>
                <w:color w:val="auto"/>
              </w:rPr>
            </w:pPr>
            <w:r>
              <w:rPr>
                <w:rFonts w:ascii="Arial" w:cs="Arial" w:eastAsia="Arial" w:hAnsi="Arial"/>
                <w:sz w:val="17"/>
                <w:szCs w:val="17"/>
                <w:color w:val="auto"/>
              </w:rPr>
              <w:t>Property and equipment, net</w:t>
            </w:r>
          </w:p>
        </w:tc>
        <w:tc>
          <w:tcPr>
            <w:tcW w:w="240" w:type="dxa"/>
            <w:vAlign w:val="bottom"/>
          </w:tcPr>
          <w:p>
            <w:pPr>
              <w:spacing w:after="0"/>
              <w:rPr>
                <w:sz w:val="19"/>
                <w:szCs w:val="19"/>
                <w:color w:val="auto"/>
              </w:rPr>
            </w:pPr>
          </w:p>
        </w:tc>
        <w:tc>
          <w:tcPr>
            <w:tcW w:w="1500" w:type="dxa"/>
            <w:vAlign w:val="bottom"/>
          </w:tcPr>
          <w:p>
            <w:pPr>
              <w:jc w:val="right"/>
              <w:ind w:right="55"/>
              <w:spacing w:after="0"/>
              <w:rPr>
                <w:sz w:val="20"/>
                <w:szCs w:val="20"/>
                <w:color w:val="auto"/>
              </w:rPr>
            </w:pPr>
            <w:r>
              <w:rPr>
                <w:rFonts w:ascii="Arial" w:cs="Arial" w:eastAsia="Arial" w:hAnsi="Arial"/>
                <w:sz w:val="17"/>
                <w:szCs w:val="17"/>
                <w:color w:val="auto"/>
              </w:rPr>
              <w:t>7,384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ind w:right="75"/>
              <w:spacing w:after="0"/>
              <w:rPr>
                <w:sz w:val="20"/>
                <w:szCs w:val="20"/>
                <w:color w:val="auto"/>
              </w:rPr>
            </w:pPr>
            <w:r>
              <w:rPr>
                <w:rFonts w:ascii="Arial" w:cs="Arial" w:eastAsia="Arial" w:hAnsi="Arial"/>
                <w:sz w:val="17"/>
                <w:szCs w:val="17"/>
                <w:color w:val="auto"/>
              </w:rPr>
              <w:t>7,131</w:t>
            </w:r>
          </w:p>
        </w:tc>
      </w:tr>
      <w:tr>
        <w:trPr>
          <w:trHeight w:val="31"/>
        </w:trPr>
        <w:tc>
          <w:tcPr>
            <w:tcW w:w="7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6"/>
        </w:trPr>
        <w:tc>
          <w:tcPr>
            <w:tcW w:w="7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Right-of-use assets</w:t>
            </w:r>
          </w:p>
        </w:tc>
        <w:tc>
          <w:tcPr>
            <w:tcW w:w="2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1,536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r>
      <w:tr>
        <w:trPr>
          <w:trHeight w:val="226"/>
        </w:trPr>
        <w:tc>
          <w:tcPr>
            <w:tcW w:w="7600" w:type="dxa"/>
            <w:vAlign w:val="bottom"/>
          </w:tcPr>
          <w:p>
            <w:pPr>
              <w:ind w:left="340"/>
              <w:spacing w:after="0"/>
              <w:rPr>
                <w:sz w:val="20"/>
                <w:szCs w:val="20"/>
                <w:color w:val="auto"/>
              </w:rPr>
            </w:pPr>
            <w:r>
              <w:rPr>
                <w:rFonts w:ascii="Arial" w:cs="Arial" w:eastAsia="Arial" w:hAnsi="Arial"/>
                <w:sz w:val="17"/>
                <w:szCs w:val="17"/>
                <w:color w:val="auto"/>
              </w:rPr>
              <w:t>Intangible assets, net</w:t>
            </w:r>
          </w:p>
        </w:tc>
        <w:tc>
          <w:tcPr>
            <w:tcW w:w="240" w:type="dxa"/>
            <w:vAlign w:val="bottom"/>
          </w:tcPr>
          <w:p>
            <w:pPr>
              <w:spacing w:after="0"/>
              <w:rPr>
                <w:sz w:val="19"/>
                <w:szCs w:val="19"/>
                <w:color w:val="auto"/>
              </w:rPr>
            </w:pPr>
          </w:p>
        </w:tc>
        <w:tc>
          <w:tcPr>
            <w:tcW w:w="1500" w:type="dxa"/>
            <w:vAlign w:val="bottom"/>
          </w:tcPr>
          <w:p>
            <w:pPr>
              <w:jc w:val="right"/>
              <w:ind w:right="55"/>
              <w:spacing w:after="0"/>
              <w:rPr>
                <w:sz w:val="20"/>
                <w:szCs w:val="20"/>
                <w:color w:val="auto"/>
              </w:rPr>
            </w:pPr>
            <w:r>
              <w:rPr>
                <w:rFonts w:ascii="Arial" w:cs="Arial" w:eastAsia="Arial" w:hAnsi="Arial"/>
                <w:sz w:val="17"/>
                <w:szCs w:val="17"/>
                <w:color w:val="auto"/>
              </w:rPr>
              <w:t>884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ind w:right="75"/>
              <w:spacing w:after="0"/>
              <w:rPr>
                <w:sz w:val="20"/>
                <w:szCs w:val="20"/>
                <w:color w:val="auto"/>
              </w:rPr>
            </w:pPr>
            <w:r>
              <w:rPr>
                <w:rFonts w:ascii="Arial" w:cs="Arial" w:eastAsia="Arial" w:hAnsi="Arial"/>
                <w:sz w:val="17"/>
                <w:szCs w:val="17"/>
                <w:color w:val="auto"/>
              </w:rPr>
              <w:t>983</w:t>
            </w:r>
          </w:p>
        </w:tc>
      </w:tr>
      <w:tr>
        <w:trPr>
          <w:trHeight w:val="31"/>
        </w:trPr>
        <w:tc>
          <w:tcPr>
            <w:tcW w:w="7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7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Deferred income tax asset</w:t>
            </w:r>
          </w:p>
        </w:tc>
        <w:tc>
          <w:tcPr>
            <w:tcW w:w="2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941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2,693</w:t>
            </w:r>
          </w:p>
        </w:tc>
      </w:tr>
      <w:tr>
        <w:trPr>
          <w:trHeight w:val="225"/>
        </w:trPr>
        <w:tc>
          <w:tcPr>
            <w:tcW w:w="7600" w:type="dxa"/>
            <w:vAlign w:val="bottom"/>
          </w:tcPr>
          <w:p>
            <w:pPr>
              <w:ind w:left="340"/>
              <w:spacing w:after="0"/>
              <w:rPr>
                <w:sz w:val="20"/>
                <w:szCs w:val="20"/>
                <w:color w:val="auto"/>
              </w:rPr>
            </w:pPr>
            <w:r>
              <w:rPr>
                <w:rFonts w:ascii="Arial" w:cs="Arial" w:eastAsia="Arial" w:hAnsi="Arial"/>
                <w:sz w:val="17"/>
                <w:szCs w:val="17"/>
                <w:color w:val="auto"/>
              </w:rPr>
              <w:t>Equity securities</w:t>
            </w:r>
          </w:p>
        </w:tc>
        <w:tc>
          <w:tcPr>
            <w:tcW w:w="240" w:type="dxa"/>
            <w:vAlign w:val="bottom"/>
          </w:tcPr>
          <w:p>
            <w:pPr>
              <w:spacing w:after="0"/>
              <w:rPr>
                <w:sz w:val="19"/>
                <w:szCs w:val="19"/>
                <w:color w:val="auto"/>
              </w:rPr>
            </w:pPr>
          </w:p>
        </w:tc>
        <w:tc>
          <w:tcPr>
            <w:tcW w:w="1500" w:type="dxa"/>
            <w:vAlign w:val="bottom"/>
          </w:tcPr>
          <w:p>
            <w:pPr>
              <w:jc w:val="right"/>
              <w:ind w:right="55"/>
              <w:spacing w:after="0"/>
              <w:rPr>
                <w:sz w:val="20"/>
                <w:szCs w:val="20"/>
                <w:color w:val="auto"/>
              </w:rPr>
            </w:pPr>
            <w:r>
              <w:rPr>
                <w:rFonts w:ascii="Arial" w:cs="Arial" w:eastAsia="Arial" w:hAnsi="Arial"/>
                <w:sz w:val="17"/>
                <w:szCs w:val="17"/>
                <w:color w:val="auto"/>
              </w:rPr>
              <w:t>2,205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ind w:right="75"/>
              <w:spacing w:after="0"/>
              <w:rPr>
                <w:sz w:val="20"/>
                <w:szCs w:val="20"/>
                <w:color w:val="auto"/>
              </w:rPr>
            </w:pPr>
            <w:r>
              <w:rPr>
                <w:rFonts w:ascii="Arial" w:cs="Arial" w:eastAsia="Arial" w:hAnsi="Arial"/>
                <w:sz w:val="17"/>
                <w:szCs w:val="17"/>
                <w:color w:val="auto"/>
              </w:rPr>
              <w:t>—</w:t>
            </w:r>
          </w:p>
        </w:tc>
      </w:tr>
      <w:tr>
        <w:trPr>
          <w:trHeight w:val="31"/>
        </w:trPr>
        <w:tc>
          <w:tcPr>
            <w:tcW w:w="7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6"/>
        </w:trPr>
        <w:tc>
          <w:tcPr>
            <w:tcW w:w="7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Other long-term assets</w:t>
            </w:r>
          </w:p>
        </w:tc>
        <w:tc>
          <w:tcPr>
            <w:tcW w:w="2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1,548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1,278</w:t>
            </w:r>
          </w:p>
        </w:tc>
      </w:tr>
      <w:tr>
        <w:trPr>
          <w:trHeight w:val="219"/>
        </w:trPr>
        <w:tc>
          <w:tcPr>
            <w:tcW w:w="760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24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52,333</w:t>
            </w:r>
          </w:p>
        </w:tc>
        <w:tc>
          <w:tcPr>
            <w:tcW w:w="120" w:type="dxa"/>
            <w:vAlign w:val="bottom"/>
          </w:tcPr>
          <w:p>
            <w:pPr>
              <w:spacing w:after="0"/>
              <w:rPr>
                <w:sz w:val="19"/>
                <w:szCs w:val="19"/>
                <w:color w:val="auto"/>
              </w:rPr>
            </w:pPr>
          </w:p>
        </w:tc>
        <w:tc>
          <w:tcPr>
            <w:tcW w:w="280" w:type="dxa"/>
            <w:vAlign w:val="bottom"/>
            <w:tcBorders>
              <w:top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48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55,273</w:t>
            </w:r>
          </w:p>
        </w:tc>
      </w:tr>
      <w:tr>
        <w:trPr>
          <w:trHeight w:val="31"/>
        </w:trPr>
        <w:tc>
          <w:tcPr>
            <w:tcW w:w="7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23"/>
        </w:trPr>
        <w:tc>
          <w:tcPr>
            <w:tcW w:w="76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5"/>
        </w:trPr>
        <w:tc>
          <w:tcPr>
            <w:tcW w:w="7600" w:type="dxa"/>
            <w:vAlign w:val="bottom"/>
          </w:tcPr>
          <w:p>
            <w:pPr>
              <w:ind w:left="20"/>
              <w:spacing w:after="0"/>
              <w:rPr>
                <w:sz w:val="20"/>
                <w:szCs w:val="20"/>
                <w:color w:val="auto"/>
              </w:rPr>
            </w:pPr>
            <w:r>
              <w:rPr>
                <w:rFonts w:ascii="Arial" w:cs="Arial" w:eastAsia="Arial" w:hAnsi="Arial"/>
                <w:sz w:val="17"/>
                <w:szCs w:val="17"/>
                <w:color w:val="auto"/>
              </w:rPr>
              <w:t>LIABILITIES AND STOCKHOLDERS’ EQUITY</w:t>
            </w: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31"/>
        </w:trPr>
        <w:tc>
          <w:tcPr>
            <w:tcW w:w="7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6"/>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225"/>
        </w:trPr>
        <w:tc>
          <w:tcPr>
            <w:tcW w:w="7600" w:type="dxa"/>
            <w:vAlign w:val="bottom"/>
          </w:tcPr>
          <w:p>
            <w:pPr>
              <w:ind w:left="340"/>
              <w:spacing w:after="0"/>
              <w:rPr>
                <w:sz w:val="20"/>
                <w:szCs w:val="20"/>
                <w:color w:val="auto"/>
              </w:rPr>
            </w:pPr>
            <w:r>
              <w:rPr>
                <w:rFonts w:ascii="Arial" w:cs="Arial" w:eastAsia="Arial" w:hAnsi="Arial"/>
                <w:sz w:val="17"/>
                <w:szCs w:val="17"/>
                <w:color w:val="auto"/>
              </w:rPr>
              <w:t>Accounts payable</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500" w:type="dxa"/>
            <w:vAlign w:val="bottom"/>
          </w:tcPr>
          <w:p>
            <w:pPr>
              <w:jc w:val="right"/>
              <w:ind w:right="55"/>
              <w:spacing w:after="0"/>
              <w:rPr>
                <w:sz w:val="20"/>
                <w:szCs w:val="20"/>
                <w:color w:val="auto"/>
              </w:rPr>
            </w:pPr>
            <w:r>
              <w:rPr>
                <w:rFonts w:ascii="Arial" w:cs="Arial" w:eastAsia="Arial" w:hAnsi="Arial"/>
                <w:sz w:val="17"/>
                <w:szCs w:val="17"/>
                <w:color w:val="auto"/>
              </w:rPr>
              <w:t>4,004</w:t>
            </w:r>
          </w:p>
        </w:tc>
        <w:tc>
          <w:tcPr>
            <w:tcW w:w="12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480" w:type="dxa"/>
            <w:vAlign w:val="bottom"/>
          </w:tcPr>
          <w:p>
            <w:pPr>
              <w:jc w:val="right"/>
              <w:ind w:right="75"/>
              <w:spacing w:after="0"/>
              <w:rPr>
                <w:sz w:val="20"/>
                <w:szCs w:val="20"/>
                <w:color w:val="auto"/>
              </w:rPr>
            </w:pPr>
            <w:r>
              <w:rPr>
                <w:rFonts w:ascii="Arial" w:cs="Arial" w:eastAsia="Arial" w:hAnsi="Arial"/>
                <w:sz w:val="17"/>
                <w:szCs w:val="17"/>
                <w:color w:val="auto"/>
              </w:rPr>
              <w:t>5,180</w:t>
            </w:r>
          </w:p>
        </w:tc>
      </w:tr>
      <w:tr>
        <w:trPr>
          <w:trHeight w:val="31"/>
        </w:trPr>
        <w:tc>
          <w:tcPr>
            <w:tcW w:w="7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6"/>
        </w:trPr>
        <w:tc>
          <w:tcPr>
            <w:tcW w:w="7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Commissions payable</w:t>
            </w:r>
          </w:p>
        </w:tc>
        <w:tc>
          <w:tcPr>
            <w:tcW w:w="2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8,223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7,916</w:t>
            </w:r>
          </w:p>
        </w:tc>
      </w:tr>
      <w:tr>
        <w:trPr>
          <w:trHeight w:val="225"/>
        </w:trPr>
        <w:tc>
          <w:tcPr>
            <w:tcW w:w="7600" w:type="dxa"/>
            <w:vAlign w:val="bottom"/>
          </w:tcPr>
          <w:p>
            <w:pPr>
              <w:ind w:left="340"/>
              <w:spacing w:after="0"/>
              <w:rPr>
                <w:sz w:val="20"/>
                <w:szCs w:val="20"/>
                <w:color w:val="auto"/>
              </w:rPr>
            </w:pPr>
            <w:r>
              <w:rPr>
                <w:rFonts w:ascii="Arial" w:cs="Arial" w:eastAsia="Arial" w:hAnsi="Arial"/>
                <w:sz w:val="17"/>
                <w:szCs w:val="17"/>
                <w:color w:val="auto"/>
              </w:rPr>
              <w:t>Income tax payable</w:t>
            </w:r>
          </w:p>
        </w:tc>
        <w:tc>
          <w:tcPr>
            <w:tcW w:w="240" w:type="dxa"/>
            <w:vAlign w:val="bottom"/>
          </w:tcPr>
          <w:p>
            <w:pPr>
              <w:spacing w:after="0"/>
              <w:rPr>
                <w:sz w:val="19"/>
                <w:szCs w:val="19"/>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480" w:type="dxa"/>
            <w:vAlign w:val="bottom"/>
          </w:tcPr>
          <w:p>
            <w:pPr>
              <w:jc w:val="right"/>
              <w:ind w:right="75"/>
              <w:spacing w:after="0"/>
              <w:rPr>
                <w:sz w:val="20"/>
                <w:szCs w:val="20"/>
                <w:color w:val="auto"/>
              </w:rPr>
            </w:pPr>
            <w:r>
              <w:rPr>
                <w:rFonts w:ascii="Arial" w:cs="Arial" w:eastAsia="Arial" w:hAnsi="Arial"/>
                <w:sz w:val="17"/>
                <w:szCs w:val="17"/>
                <w:color w:val="auto"/>
              </w:rPr>
              <w:t>592</w:t>
            </w:r>
          </w:p>
        </w:tc>
      </w:tr>
      <w:tr>
        <w:trPr>
          <w:trHeight w:val="31"/>
        </w:trPr>
        <w:tc>
          <w:tcPr>
            <w:tcW w:w="7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6"/>
        </w:trPr>
        <w:tc>
          <w:tcPr>
            <w:tcW w:w="7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Lease 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1,843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r>
      <w:tr>
        <w:trPr>
          <w:trHeight w:val="226"/>
        </w:trPr>
        <w:tc>
          <w:tcPr>
            <w:tcW w:w="7600" w:type="dxa"/>
            <w:vAlign w:val="bottom"/>
          </w:tcPr>
          <w:p>
            <w:pPr>
              <w:ind w:left="340"/>
              <w:spacing w:after="0"/>
              <w:rPr>
                <w:sz w:val="20"/>
                <w:szCs w:val="20"/>
                <w:color w:val="auto"/>
              </w:rPr>
            </w:pPr>
            <w:r>
              <w:rPr>
                <w:rFonts w:ascii="Arial" w:cs="Arial" w:eastAsia="Arial" w:hAnsi="Arial"/>
                <w:sz w:val="17"/>
                <w:szCs w:val="17"/>
                <w:color w:val="auto"/>
              </w:rPr>
              <w:t>Other accrued expenses</w:t>
            </w:r>
          </w:p>
        </w:tc>
        <w:tc>
          <w:tcPr>
            <w:tcW w:w="240" w:type="dxa"/>
            <w:vAlign w:val="bottom"/>
          </w:tcPr>
          <w:p>
            <w:pPr>
              <w:spacing w:after="0"/>
              <w:rPr>
                <w:sz w:val="19"/>
                <w:szCs w:val="19"/>
                <w:color w:val="auto"/>
              </w:rPr>
            </w:pPr>
          </w:p>
        </w:tc>
        <w:tc>
          <w:tcPr>
            <w:tcW w:w="1500" w:type="dxa"/>
            <w:vAlign w:val="bottom"/>
          </w:tcPr>
          <w:p>
            <w:pPr>
              <w:jc w:val="right"/>
              <w:ind w:right="55"/>
              <w:spacing w:after="0"/>
              <w:rPr>
                <w:sz w:val="20"/>
                <w:szCs w:val="20"/>
                <w:color w:val="auto"/>
              </w:rPr>
            </w:pPr>
            <w:r>
              <w:rPr>
                <w:rFonts w:ascii="Arial" w:cs="Arial" w:eastAsia="Arial" w:hAnsi="Arial"/>
                <w:sz w:val="17"/>
                <w:szCs w:val="17"/>
                <w:color w:val="auto"/>
              </w:rPr>
              <w:t>9,254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ind w:right="75"/>
              <w:spacing w:after="0"/>
              <w:rPr>
                <w:sz w:val="20"/>
                <w:szCs w:val="20"/>
                <w:color w:val="auto"/>
              </w:rPr>
            </w:pPr>
            <w:r>
              <w:rPr>
                <w:rFonts w:ascii="Arial" w:cs="Arial" w:eastAsia="Arial" w:hAnsi="Arial"/>
                <w:sz w:val="17"/>
                <w:szCs w:val="17"/>
                <w:color w:val="auto"/>
              </w:rPr>
              <w:t>11,053</w:t>
            </w:r>
          </w:p>
        </w:tc>
      </w:tr>
      <w:tr>
        <w:trPr>
          <w:trHeight w:val="31"/>
        </w:trPr>
        <w:tc>
          <w:tcPr>
            <w:tcW w:w="7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7"/>
        </w:trPr>
        <w:tc>
          <w:tcPr>
            <w:tcW w:w="7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Current portion of long-term debt, net</w:t>
            </w:r>
          </w:p>
        </w:tc>
        <w:tc>
          <w:tcPr>
            <w:tcW w:w="24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1,454</w:t>
            </w:r>
          </w:p>
        </w:tc>
      </w:tr>
      <w:tr>
        <w:trPr>
          <w:trHeight w:val="219"/>
        </w:trPr>
        <w:tc>
          <w:tcPr>
            <w:tcW w:w="7600" w:type="dxa"/>
            <w:vAlign w:val="bottom"/>
          </w:tcPr>
          <w:p>
            <w:pPr>
              <w:ind w:left="660"/>
              <w:spacing w:after="0"/>
              <w:rPr>
                <w:sz w:val="20"/>
                <w:szCs w:val="20"/>
                <w:color w:val="auto"/>
              </w:rPr>
            </w:pPr>
            <w:r>
              <w:rPr>
                <w:rFonts w:ascii="Arial" w:cs="Arial" w:eastAsia="Arial" w:hAnsi="Arial"/>
                <w:sz w:val="17"/>
                <w:szCs w:val="17"/>
                <w:color w:val="auto"/>
              </w:rPr>
              <w:t>Total current liabilities</w:t>
            </w:r>
          </w:p>
        </w:tc>
        <w:tc>
          <w:tcPr>
            <w:tcW w:w="24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23,324</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26,195</w:t>
            </w:r>
          </w:p>
        </w:tc>
      </w:tr>
      <w:tr>
        <w:trPr>
          <w:trHeight w:val="31"/>
        </w:trPr>
        <w:tc>
          <w:tcPr>
            <w:tcW w:w="7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7"/>
        </w:trPr>
        <w:tc>
          <w:tcPr>
            <w:tcW w:w="76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bl>
    <w:p>
      <w:pPr>
        <w:spacing w:after="0" w:line="9" w:lineRule="exact"/>
        <w:rPr>
          <w:sz w:val="20"/>
          <w:szCs w:val="20"/>
          <w:color w:val="auto"/>
        </w:rPr>
      </w:pPr>
    </w:p>
    <w:p>
      <w:pPr>
        <w:sectPr>
          <w:pgSz w:w="11900" w:h="16838" w:orient="portrait"/>
          <w:cols w:equalWidth="0" w:num="1">
            <w:col w:w="11220"/>
          </w:cols>
          <w:pgMar w:left="320" w:top="891" w:right="359" w:bottom="1440" w:gutter="0" w:footer="0" w:header="0"/>
        </w:sectPr>
      </w:pPr>
    </w:p>
    <w:p>
      <w:pPr>
        <w:ind w:left="20"/>
        <w:spacing w:after="0"/>
        <w:rPr>
          <w:sz w:val="20"/>
          <w:szCs w:val="20"/>
          <w:color w:val="auto"/>
        </w:rPr>
      </w:pPr>
      <w:r>
        <w:rPr>
          <w:rFonts w:ascii="Arial" w:cs="Arial" w:eastAsia="Arial" w:hAnsi="Arial"/>
          <w:sz w:val="17"/>
          <w:szCs w:val="17"/>
          <w:color w:val="auto"/>
        </w:rPr>
        <w:t>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15175" cy="1625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Arial" w:cs="Arial" w:eastAsia="Arial" w:hAnsi="Arial"/>
          <w:sz w:val="17"/>
          <w:szCs w:val="17"/>
          <w:color w:val="auto"/>
        </w:rPr>
        <w:t>Other long-term liabilities</w:t>
      </w:r>
    </w:p>
    <w:p>
      <w:pPr>
        <w:spacing w:after="0" w:line="6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15175"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Arial" w:cs="Arial" w:eastAsia="Arial" w:hAnsi="Arial"/>
          <w:sz w:val="17"/>
          <w:szCs w:val="17"/>
          <w:color w:val="auto"/>
        </w:rPr>
        <w:t>Commitments and contingencies - Note 8</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15175"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4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Preferred stock — par value $0.0001 per share, 5,000 shares authorized, no shares issued or outstanding</w:t>
      </w:r>
    </w:p>
    <w:p>
      <w:pPr>
        <w:spacing w:after="0" w:line="71" w:lineRule="exact"/>
        <w:rPr>
          <w:sz w:val="20"/>
          <w:szCs w:val="20"/>
          <w:color w:val="auto"/>
        </w:rPr>
      </w:pPr>
    </w:p>
    <w:p>
      <w:pPr>
        <w:ind w:left="360" w:right="520"/>
        <w:spacing w:after="0" w:line="232" w:lineRule="auto"/>
        <w:rPr>
          <w:sz w:val="20"/>
          <w:szCs w:val="20"/>
          <w:color w:val="auto"/>
        </w:rPr>
      </w:pPr>
      <w:r>
        <w:rPr>
          <w:rFonts w:ascii="Arial" w:cs="Arial" w:eastAsia="Arial" w:hAnsi="Arial"/>
          <w:sz w:val="17"/>
          <w:szCs w:val="17"/>
          <w:color w:val="auto"/>
        </w:rPr>
        <w:t>Common stock — par value $0.0001 per share, 40,000 shares authorized and 14,295 and 14,114 issued and outstanding as of March 31, 2020 and June 30, 2019,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15175" cy="162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7"/>
          <w:szCs w:val="17"/>
          <w:color w:val="auto"/>
        </w:rPr>
        <w:t>Additional paid-in capital</w:t>
      </w:r>
    </w:p>
    <w:p>
      <w:pPr>
        <w:spacing w:after="0" w:line="6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15175" cy="162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4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Accumulated other comprehensive income</w:t>
      </w:r>
    </w:p>
    <w:p>
      <w:pPr>
        <w:spacing w:after="0" w:line="6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15175"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88595"/>
                    </a:xfrm>
                    <a:prstGeom prst="rect">
                      <a:avLst/>
                    </a:prstGeom>
                    <a:noFill/>
                  </pic:spPr>
                </pic:pic>
              </a:graphicData>
            </a:graphic>
          </wp:anchor>
        </w:drawing>
      </w:r>
    </w:p>
    <w:p>
      <w:pPr>
        <w:spacing w:after="0" w:line="68" w:lineRule="exact"/>
        <w:rPr>
          <w:sz w:val="20"/>
          <w:szCs w:val="20"/>
          <w:color w:val="auto"/>
        </w:rPr>
      </w:pPr>
    </w:p>
    <w:p>
      <w:pPr>
        <w:ind w:left="20"/>
        <w:spacing w:after="0"/>
        <w:tabs>
          <w:tab w:leader="none" w:pos="7600" w:val="left"/>
        </w:tabs>
        <w:rPr>
          <w:sz w:val="20"/>
          <w:szCs w:val="20"/>
          <w:color w:val="auto"/>
        </w:rPr>
      </w:pPr>
      <w:r>
        <w:rPr>
          <w:rFonts w:ascii="Arial" w:cs="Arial" w:eastAsia="Arial" w:hAnsi="Arial"/>
          <w:sz w:val="17"/>
          <w:szCs w:val="17"/>
          <w:color w:val="auto"/>
        </w:rPr>
        <w:t>TOTAL LIABILITIES AND STOCKHOLDERS’ EQUITY</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jc w:val="right"/>
              <w:ind w:right="175"/>
              <w:spacing w:after="0"/>
              <w:rPr>
                <w:sz w:val="20"/>
                <w:szCs w:val="20"/>
                <w:color w:val="auto"/>
              </w:rPr>
            </w:pPr>
            <w:r>
              <w:rPr>
                <w:rFonts w:ascii="Arial" w:cs="Arial" w:eastAsia="Arial" w:hAnsi="Arial"/>
                <w:sz w:val="17"/>
                <w:szCs w:val="17"/>
                <w:color w:val="auto"/>
              </w:rPr>
              <w:t>23</w:t>
            </w:r>
          </w:p>
        </w:tc>
        <w:tc>
          <w:tcPr>
            <w:tcW w:w="580" w:type="dxa"/>
            <w:vAlign w:val="bottom"/>
          </w:tcPr>
          <w:p>
            <w:pPr>
              <w:spacing w:after="0"/>
              <w:rPr>
                <w:sz w:val="18"/>
                <w:szCs w:val="18"/>
                <w:color w:val="auto"/>
              </w:rPr>
            </w:pPr>
          </w:p>
        </w:tc>
        <w:tc>
          <w:tcPr>
            <w:tcW w:w="1180" w:type="dxa"/>
            <w:vAlign w:val="bottom"/>
          </w:tcPr>
          <w:p>
            <w:pPr>
              <w:jc w:val="right"/>
              <w:ind w:right="75"/>
              <w:spacing w:after="0"/>
              <w:rPr>
                <w:sz w:val="20"/>
                <w:szCs w:val="20"/>
                <w:color w:val="auto"/>
              </w:rPr>
            </w:pPr>
            <w:r>
              <w:rPr>
                <w:rFonts w:ascii="Arial" w:cs="Arial" w:eastAsia="Arial" w:hAnsi="Arial"/>
                <w:sz w:val="17"/>
                <w:szCs w:val="17"/>
                <w:color w:val="auto"/>
              </w:rPr>
              <w:t>—</w:t>
            </w:r>
          </w:p>
        </w:tc>
      </w:tr>
      <w:tr>
        <w:trPr>
          <w:trHeight w:val="257"/>
        </w:trPr>
        <w:tc>
          <w:tcPr>
            <w:tcW w:w="820" w:type="dxa"/>
            <w:vAlign w:val="bottom"/>
          </w:tcPr>
          <w:p>
            <w:pPr>
              <w:jc w:val="right"/>
              <w:ind w:right="175"/>
              <w:spacing w:after="0"/>
              <w:rPr>
                <w:sz w:val="20"/>
                <w:szCs w:val="20"/>
                <w:color w:val="auto"/>
              </w:rPr>
            </w:pPr>
            <w:r>
              <w:rPr>
                <w:rFonts w:ascii="Arial" w:cs="Arial" w:eastAsia="Arial" w:hAnsi="Arial"/>
                <w:sz w:val="17"/>
                <w:szCs w:val="17"/>
                <w:color w:val="auto"/>
              </w:rPr>
              <w:t>388</w:t>
            </w:r>
          </w:p>
        </w:tc>
        <w:tc>
          <w:tcPr>
            <w:tcW w:w="580" w:type="dxa"/>
            <w:vAlign w:val="bottom"/>
          </w:tcPr>
          <w:p>
            <w:pPr>
              <w:spacing w:after="0"/>
              <w:rPr>
                <w:sz w:val="22"/>
                <w:szCs w:val="22"/>
                <w:color w:val="auto"/>
              </w:rPr>
            </w:pPr>
          </w:p>
        </w:tc>
        <w:tc>
          <w:tcPr>
            <w:tcW w:w="1180" w:type="dxa"/>
            <w:vAlign w:val="bottom"/>
          </w:tcPr>
          <w:p>
            <w:pPr>
              <w:jc w:val="right"/>
              <w:ind w:right="75"/>
              <w:spacing w:after="0"/>
              <w:rPr>
                <w:sz w:val="20"/>
                <w:szCs w:val="20"/>
                <w:color w:val="auto"/>
              </w:rPr>
            </w:pPr>
            <w:r>
              <w:rPr>
                <w:rFonts w:ascii="Arial" w:cs="Arial" w:eastAsia="Arial" w:hAnsi="Arial"/>
                <w:sz w:val="17"/>
                <w:szCs w:val="17"/>
                <w:color w:val="auto"/>
              </w:rPr>
              <w:t>1,879</w:t>
            </w:r>
          </w:p>
        </w:tc>
      </w:tr>
      <w:tr>
        <w:trPr>
          <w:trHeight w:val="31"/>
        </w:trPr>
        <w:tc>
          <w:tcPr>
            <w:tcW w:w="8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9"/>
        </w:trPr>
        <w:tc>
          <w:tcPr>
            <w:tcW w:w="820" w:type="dxa"/>
            <w:vAlign w:val="bottom"/>
          </w:tcPr>
          <w:p>
            <w:pPr>
              <w:jc w:val="right"/>
              <w:ind w:right="175"/>
              <w:spacing w:after="0"/>
              <w:rPr>
                <w:sz w:val="20"/>
                <w:szCs w:val="20"/>
                <w:color w:val="auto"/>
              </w:rPr>
            </w:pPr>
            <w:r>
              <w:rPr>
                <w:rFonts w:ascii="Arial" w:cs="Arial" w:eastAsia="Arial" w:hAnsi="Arial"/>
                <w:sz w:val="17"/>
                <w:szCs w:val="17"/>
                <w:color w:val="auto"/>
              </w:rPr>
              <w:t>23,735</w:t>
            </w:r>
          </w:p>
        </w:tc>
        <w:tc>
          <w:tcPr>
            <w:tcW w:w="58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Arial" w:cs="Arial" w:eastAsia="Arial" w:hAnsi="Arial"/>
                <w:sz w:val="17"/>
                <w:szCs w:val="17"/>
                <w:color w:val="auto"/>
              </w:rPr>
              <w:t>28,074</w:t>
            </w:r>
          </w:p>
        </w:tc>
      </w:tr>
      <w:tr>
        <w:trPr>
          <w:trHeight w:val="31"/>
        </w:trPr>
        <w:tc>
          <w:tcPr>
            <w:tcW w:w="8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718"/>
        </w:trPr>
        <w:tc>
          <w:tcPr>
            <w:tcW w:w="82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24"/>
                <w:szCs w:val="24"/>
                <w:color w:val="auto"/>
              </w:rPr>
            </w:pPr>
          </w:p>
        </w:tc>
        <w:tc>
          <w:tcPr>
            <w:tcW w:w="1180" w:type="dxa"/>
            <w:vAlign w:val="bottom"/>
          </w:tcPr>
          <w:p>
            <w:pPr>
              <w:jc w:val="right"/>
              <w:ind w:right="75"/>
              <w:spacing w:after="0"/>
              <w:rPr>
                <w:sz w:val="20"/>
                <w:szCs w:val="20"/>
                <w:color w:val="auto"/>
              </w:rPr>
            </w:pPr>
            <w:r>
              <w:rPr>
                <w:rFonts w:ascii="Arial" w:cs="Arial" w:eastAsia="Arial" w:hAnsi="Arial"/>
                <w:sz w:val="17"/>
                <w:szCs w:val="17"/>
                <w:color w:val="auto"/>
              </w:rPr>
              <w:t>—</w:t>
            </w:r>
          </w:p>
        </w:tc>
      </w:tr>
      <w:tr>
        <w:trPr>
          <w:trHeight w:val="311"/>
        </w:trPr>
        <w:tc>
          <w:tcPr>
            <w:tcW w:w="820" w:type="dxa"/>
            <w:vAlign w:val="bottom"/>
          </w:tcPr>
          <w:p>
            <w:pPr>
              <w:jc w:val="right"/>
              <w:ind w:right="175"/>
              <w:spacing w:after="0"/>
              <w:rPr>
                <w:sz w:val="20"/>
                <w:szCs w:val="20"/>
                <w:color w:val="auto"/>
              </w:rPr>
            </w:pPr>
            <w:r>
              <w:rPr>
                <w:rFonts w:ascii="Arial" w:cs="Arial" w:eastAsia="Arial" w:hAnsi="Arial"/>
                <w:sz w:val="17"/>
                <w:szCs w:val="17"/>
                <w:color w:val="auto"/>
              </w:rPr>
              <w:t>1</w:t>
            </w:r>
          </w:p>
        </w:tc>
        <w:tc>
          <w:tcPr>
            <w:tcW w:w="580" w:type="dxa"/>
            <w:vAlign w:val="bottom"/>
          </w:tcPr>
          <w:p>
            <w:pPr>
              <w:spacing w:after="0"/>
              <w:rPr>
                <w:sz w:val="24"/>
                <w:szCs w:val="24"/>
                <w:color w:val="auto"/>
              </w:rPr>
            </w:pPr>
          </w:p>
        </w:tc>
        <w:tc>
          <w:tcPr>
            <w:tcW w:w="1180" w:type="dxa"/>
            <w:vAlign w:val="bottom"/>
          </w:tcPr>
          <w:p>
            <w:pPr>
              <w:jc w:val="right"/>
              <w:ind w:right="75"/>
              <w:spacing w:after="0"/>
              <w:rPr>
                <w:sz w:val="20"/>
                <w:szCs w:val="20"/>
                <w:color w:val="auto"/>
              </w:rPr>
            </w:pPr>
            <w:r>
              <w:rPr>
                <w:rFonts w:ascii="Arial" w:cs="Arial" w:eastAsia="Arial" w:hAnsi="Arial"/>
                <w:sz w:val="17"/>
                <w:szCs w:val="17"/>
                <w:color w:val="auto"/>
              </w:rPr>
              <w:t>1</w:t>
            </w:r>
          </w:p>
        </w:tc>
      </w:tr>
      <w:tr>
        <w:trPr>
          <w:trHeight w:val="324"/>
        </w:trPr>
        <w:tc>
          <w:tcPr>
            <w:tcW w:w="820" w:type="dxa"/>
            <w:vAlign w:val="bottom"/>
          </w:tcPr>
          <w:p>
            <w:pPr>
              <w:jc w:val="right"/>
              <w:ind w:right="175"/>
              <w:spacing w:after="0"/>
              <w:rPr>
                <w:sz w:val="20"/>
                <w:szCs w:val="20"/>
                <w:color w:val="auto"/>
              </w:rPr>
            </w:pPr>
            <w:r>
              <w:rPr>
                <w:rFonts w:ascii="Arial" w:cs="Arial" w:eastAsia="Arial" w:hAnsi="Arial"/>
                <w:sz w:val="17"/>
                <w:szCs w:val="17"/>
                <w:color w:val="auto"/>
                <w:w w:val="87"/>
              </w:rPr>
              <w:t>125,697</w:t>
            </w:r>
          </w:p>
        </w:tc>
        <w:tc>
          <w:tcPr>
            <w:tcW w:w="580" w:type="dxa"/>
            <w:vAlign w:val="bottom"/>
          </w:tcPr>
          <w:p>
            <w:pPr>
              <w:spacing w:after="0"/>
              <w:rPr>
                <w:sz w:val="24"/>
                <w:szCs w:val="24"/>
                <w:color w:val="auto"/>
              </w:rPr>
            </w:pPr>
          </w:p>
        </w:tc>
        <w:tc>
          <w:tcPr>
            <w:tcW w:w="1180" w:type="dxa"/>
            <w:vAlign w:val="bottom"/>
          </w:tcPr>
          <w:p>
            <w:pPr>
              <w:jc w:val="right"/>
              <w:ind w:right="75"/>
              <w:spacing w:after="0"/>
              <w:rPr>
                <w:sz w:val="20"/>
                <w:szCs w:val="20"/>
                <w:color w:val="auto"/>
              </w:rPr>
            </w:pPr>
            <w:r>
              <w:rPr>
                <w:rFonts w:ascii="Arial" w:cs="Arial" w:eastAsia="Arial" w:hAnsi="Arial"/>
                <w:sz w:val="17"/>
                <w:szCs w:val="17"/>
                <w:color w:val="auto"/>
              </w:rPr>
              <w:t>127,096</w:t>
            </w:r>
          </w:p>
        </w:tc>
      </w:tr>
      <w:tr>
        <w:trPr>
          <w:trHeight w:val="256"/>
        </w:trPr>
        <w:tc>
          <w:tcPr>
            <w:tcW w:w="820" w:type="dxa"/>
            <w:vAlign w:val="bottom"/>
          </w:tcPr>
          <w:p>
            <w:pPr>
              <w:jc w:val="right"/>
              <w:ind w:right="135"/>
              <w:spacing w:after="0"/>
              <w:rPr>
                <w:sz w:val="20"/>
                <w:szCs w:val="20"/>
                <w:color w:val="auto"/>
              </w:rPr>
            </w:pPr>
            <w:r>
              <w:rPr>
                <w:rFonts w:ascii="Arial" w:cs="Arial" w:eastAsia="Arial" w:hAnsi="Arial"/>
                <w:sz w:val="17"/>
                <w:szCs w:val="17"/>
                <w:color w:val="auto"/>
                <w:w w:val="91"/>
              </w:rPr>
              <w:t>(97,132)</w:t>
            </w:r>
          </w:p>
        </w:tc>
        <w:tc>
          <w:tcPr>
            <w:tcW w:w="580" w:type="dxa"/>
            <w:vAlign w:val="bottom"/>
          </w:tcPr>
          <w:p>
            <w:pPr>
              <w:spacing w:after="0"/>
              <w:rPr>
                <w:sz w:val="22"/>
                <w:szCs w:val="22"/>
                <w:color w:val="auto"/>
              </w:rPr>
            </w:pPr>
          </w:p>
        </w:tc>
        <w:tc>
          <w:tcPr>
            <w:tcW w:w="1180" w:type="dxa"/>
            <w:vAlign w:val="bottom"/>
          </w:tcPr>
          <w:p>
            <w:pPr>
              <w:jc w:val="right"/>
              <w:ind w:right="35"/>
              <w:spacing w:after="0"/>
              <w:rPr>
                <w:sz w:val="20"/>
                <w:szCs w:val="20"/>
                <w:color w:val="auto"/>
              </w:rPr>
            </w:pPr>
            <w:r>
              <w:rPr>
                <w:rFonts w:ascii="Arial" w:cs="Arial" w:eastAsia="Arial" w:hAnsi="Arial"/>
                <w:sz w:val="17"/>
                <w:szCs w:val="17"/>
                <w:color w:val="auto"/>
              </w:rPr>
              <w:t>(99,960)</w:t>
            </w:r>
          </w:p>
        </w:tc>
      </w:tr>
      <w:tr>
        <w:trPr>
          <w:trHeight w:val="256"/>
        </w:trPr>
        <w:tc>
          <w:tcPr>
            <w:tcW w:w="820" w:type="dxa"/>
            <w:vAlign w:val="bottom"/>
          </w:tcPr>
          <w:p>
            <w:pPr>
              <w:jc w:val="right"/>
              <w:ind w:right="175"/>
              <w:spacing w:after="0"/>
              <w:rPr>
                <w:sz w:val="20"/>
                <w:szCs w:val="20"/>
                <w:color w:val="auto"/>
              </w:rPr>
            </w:pPr>
            <w:r>
              <w:rPr>
                <w:rFonts w:ascii="Arial" w:cs="Arial" w:eastAsia="Arial" w:hAnsi="Arial"/>
                <w:sz w:val="17"/>
                <w:szCs w:val="17"/>
                <w:color w:val="auto"/>
              </w:rPr>
              <w:t>32</w:t>
            </w:r>
          </w:p>
        </w:tc>
        <w:tc>
          <w:tcPr>
            <w:tcW w:w="580" w:type="dxa"/>
            <w:vAlign w:val="bottom"/>
          </w:tcPr>
          <w:p>
            <w:pPr>
              <w:spacing w:after="0"/>
              <w:rPr>
                <w:sz w:val="22"/>
                <w:szCs w:val="22"/>
                <w:color w:val="auto"/>
              </w:rPr>
            </w:pPr>
          </w:p>
        </w:tc>
        <w:tc>
          <w:tcPr>
            <w:tcW w:w="1180" w:type="dxa"/>
            <w:vAlign w:val="bottom"/>
          </w:tcPr>
          <w:p>
            <w:pPr>
              <w:jc w:val="right"/>
              <w:ind w:right="75"/>
              <w:spacing w:after="0"/>
              <w:rPr>
                <w:sz w:val="20"/>
                <w:szCs w:val="20"/>
                <w:color w:val="auto"/>
              </w:rPr>
            </w:pPr>
            <w:r>
              <w:rPr>
                <w:rFonts w:ascii="Arial" w:cs="Arial" w:eastAsia="Arial" w:hAnsi="Arial"/>
                <w:sz w:val="17"/>
                <w:szCs w:val="17"/>
                <w:color w:val="auto"/>
              </w:rPr>
              <w:t>62</w:t>
            </w:r>
          </w:p>
        </w:tc>
      </w:tr>
      <w:tr>
        <w:trPr>
          <w:trHeight w:val="31"/>
        </w:trPr>
        <w:tc>
          <w:tcPr>
            <w:tcW w:w="8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9"/>
        </w:trPr>
        <w:tc>
          <w:tcPr>
            <w:tcW w:w="820" w:type="dxa"/>
            <w:vAlign w:val="bottom"/>
          </w:tcPr>
          <w:p>
            <w:pPr>
              <w:jc w:val="right"/>
              <w:ind w:right="175"/>
              <w:spacing w:after="0"/>
              <w:rPr>
                <w:sz w:val="20"/>
                <w:szCs w:val="20"/>
                <w:color w:val="auto"/>
              </w:rPr>
            </w:pPr>
            <w:r>
              <w:rPr>
                <w:rFonts w:ascii="Arial" w:cs="Arial" w:eastAsia="Arial" w:hAnsi="Arial"/>
                <w:sz w:val="17"/>
                <w:szCs w:val="17"/>
                <w:color w:val="auto"/>
              </w:rPr>
              <w:t>28,598</w:t>
            </w:r>
          </w:p>
        </w:tc>
        <w:tc>
          <w:tcPr>
            <w:tcW w:w="58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Arial" w:cs="Arial" w:eastAsia="Arial" w:hAnsi="Arial"/>
                <w:sz w:val="17"/>
                <w:szCs w:val="17"/>
                <w:color w:val="auto"/>
              </w:rPr>
              <w:t>27,199</w:t>
            </w:r>
          </w:p>
        </w:tc>
      </w:tr>
      <w:tr>
        <w:trPr>
          <w:trHeight w:val="31"/>
        </w:trPr>
        <w:tc>
          <w:tcPr>
            <w:tcW w:w="8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9"/>
        </w:trPr>
        <w:tc>
          <w:tcPr>
            <w:tcW w:w="820" w:type="dxa"/>
            <w:vAlign w:val="bottom"/>
          </w:tcPr>
          <w:p>
            <w:pPr>
              <w:jc w:val="right"/>
              <w:ind w:right="175"/>
              <w:spacing w:after="0"/>
              <w:rPr>
                <w:sz w:val="20"/>
                <w:szCs w:val="20"/>
                <w:color w:val="auto"/>
              </w:rPr>
            </w:pPr>
            <w:r>
              <w:rPr>
                <w:rFonts w:ascii="Arial" w:cs="Arial" w:eastAsia="Arial" w:hAnsi="Arial"/>
                <w:sz w:val="17"/>
                <w:szCs w:val="17"/>
                <w:color w:val="auto"/>
              </w:rPr>
              <w:t>52,333</w:t>
            </w:r>
          </w:p>
        </w:tc>
        <w:tc>
          <w:tcPr>
            <w:tcW w:w="580" w:type="dxa"/>
            <w:vAlign w:val="bottom"/>
          </w:tcPr>
          <w:p>
            <w:pPr>
              <w:jc w:val="right"/>
              <w:ind w:right="395"/>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75"/>
              <w:spacing w:after="0"/>
              <w:rPr>
                <w:sz w:val="20"/>
                <w:szCs w:val="20"/>
                <w:color w:val="auto"/>
              </w:rPr>
            </w:pPr>
            <w:r>
              <w:rPr>
                <w:rFonts w:ascii="Arial" w:cs="Arial" w:eastAsia="Arial" w:hAnsi="Arial"/>
                <w:sz w:val="17"/>
                <w:szCs w:val="17"/>
                <w:color w:val="auto"/>
              </w:rPr>
              <w:t>55,273</w:t>
            </w:r>
          </w:p>
        </w:tc>
      </w:tr>
      <w:tr>
        <w:trPr>
          <w:trHeight w:val="31"/>
        </w:trPr>
        <w:tc>
          <w:tcPr>
            <w:tcW w:w="8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8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-8255</wp:posOffset>
            </wp:positionV>
            <wp:extent cx="11144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14425" cy="8890"/>
                    </a:xfrm>
                    <a:prstGeom prst="rect">
                      <a:avLst/>
                    </a:prstGeom>
                    <a:noFill/>
                  </pic:spPr>
                </pic:pic>
              </a:graphicData>
            </a:graphic>
          </wp:anchor>
        </w:drawing>
        <w:drawing>
          <wp:anchor simplePos="0" relativeHeight="251657728" behindDoc="1" locked="0" layoutInCell="0" allowOverlap="1">
            <wp:simplePos x="0" y="0"/>
            <wp:positionH relativeFrom="column">
              <wp:posOffset>-662940</wp:posOffset>
            </wp:positionH>
            <wp:positionV relativeFrom="paragraph">
              <wp:posOffset>-376555</wp:posOffset>
            </wp:positionV>
            <wp:extent cx="11144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14425" cy="8890"/>
                    </a:xfrm>
                    <a:prstGeom prst="rect">
                      <a:avLst/>
                    </a:prstGeom>
                    <a:noFill/>
                  </pic:spPr>
                </pic:pic>
              </a:graphicData>
            </a:graphic>
          </wp:anchor>
        </w:drawing>
        <w:drawing>
          <wp:anchor simplePos="0" relativeHeight="251657728" behindDoc="1" locked="0" layoutInCell="0" allowOverlap="1">
            <wp:simplePos x="0" y="0"/>
            <wp:positionH relativeFrom="column">
              <wp:posOffset>-662940</wp:posOffset>
            </wp:positionH>
            <wp:positionV relativeFrom="paragraph">
              <wp:posOffset>-1765300</wp:posOffset>
            </wp:positionV>
            <wp:extent cx="11144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7920" w:space="720"/>
            <w:col w:w="2580"/>
          </w:cols>
          <w:pgMar w:left="320" w:top="891" w:right="3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220"/>
          </w:cols>
          <w:pgMar w:left="320" w:top="891" w:right="359" w:bottom="1440" w:gutter="0" w:footer="0" w:header="0"/>
          <w:type w:val="continuous"/>
        </w:sect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type w:val="continuous"/>
        </w:sectPr>
      </w:pPr>
    </w:p>
    <w:bookmarkStart w:id="5" w:name="page6"/>
    <w:bookmarkEnd w:id="5"/>
    <w:p>
      <w:pPr>
        <w:jc w:val="center"/>
        <w:spacing w:after="0" w:line="271" w:lineRule="auto"/>
        <w:rPr>
          <w:sz w:val="20"/>
          <w:szCs w:val="20"/>
          <w:color w:val="auto"/>
        </w:rPr>
      </w:pPr>
      <w:r>
        <w:rPr>
          <w:rFonts w:ascii="Arial" w:cs="Arial" w:eastAsia="Arial" w:hAnsi="Arial"/>
          <w:sz w:val="18"/>
          <w:szCs w:val="18"/>
          <w:color w:val="auto"/>
        </w:rPr>
        <w:t>LIFEVANTAGE CORPORATION AND SUBSIDIARIES CONDENSED CONSOLIDATED STATEMENTS OF OPERATIONS AND COMPREHENSIVE INCOME (Unaudited)</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340" w:type="dxa"/>
            <w:vAlign w:val="bottom"/>
          </w:tcPr>
          <w:p>
            <w:pPr>
              <w:spacing w:after="0"/>
              <w:rPr>
                <w:sz w:val="16"/>
                <w:szCs w:val="16"/>
                <w:color w:val="auto"/>
              </w:rPr>
            </w:pPr>
          </w:p>
        </w:tc>
        <w:tc>
          <w:tcPr>
            <w:tcW w:w="264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rPr>
              <w:t>Nine Months Ended March 31,</w:t>
            </w:r>
          </w:p>
        </w:tc>
        <w:tc>
          <w:tcPr>
            <w:tcW w:w="0" w:type="dxa"/>
            <w:vAlign w:val="bottom"/>
          </w:tcPr>
          <w:p>
            <w:pPr>
              <w:spacing w:after="0"/>
              <w:rPr>
                <w:sz w:val="1"/>
                <w:szCs w:val="1"/>
                <w:color w:val="auto"/>
              </w:rPr>
            </w:pPr>
          </w:p>
        </w:tc>
      </w:tr>
      <w:tr>
        <w:trPr>
          <w:trHeight w:val="195"/>
        </w:trPr>
        <w:tc>
          <w:tcPr>
            <w:tcW w:w="52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7"/>
        </w:trPr>
        <w:tc>
          <w:tcPr>
            <w:tcW w:w="520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net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56,077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56,012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173,547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169,788</w:t>
            </w: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30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9,095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9,270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28,515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28,263</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46,982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46,742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145,032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141,525</w:t>
            </w: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Commissions and incentives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26,668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27,205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82,677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83,166</w:t>
            </w:r>
          </w:p>
        </w:tc>
        <w:tc>
          <w:tcPr>
            <w:tcW w:w="0" w:type="dxa"/>
            <w:vAlign w:val="bottom"/>
          </w:tcPr>
          <w:p>
            <w:pPr>
              <w:spacing w:after="0"/>
              <w:rPr>
                <w:sz w:val="1"/>
                <w:szCs w:val="1"/>
                <w:color w:val="auto"/>
              </w:rPr>
            </w:pPr>
          </w:p>
        </w:tc>
      </w:tr>
      <w:tr>
        <w:trPr>
          <w:trHeight w:val="243"/>
        </w:trPr>
        <w:tc>
          <w:tcPr>
            <w:tcW w:w="520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17,281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17,296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53,098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54,213</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2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43,949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44,501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135,775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137,379</w:t>
            </w:r>
          </w:p>
        </w:tc>
        <w:tc>
          <w:tcPr>
            <w:tcW w:w="0" w:type="dxa"/>
            <w:vAlign w:val="bottom"/>
          </w:tcPr>
          <w:p>
            <w:pPr>
              <w:spacing w:after="0"/>
              <w:rPr>
                <w:sz w:val="1"/>
                <w:szCs w:val="1"/>
                <w:color w:val="auto"/>
              </w:rPr>
            </w:pPr>
          </w:p>
        </w:tc>
      </w:tr>
      <w:tr>
        <w:trPr>
          <w:trHeight w:val="237"/>
        </w:trPr>
        <w:tc>
          <w:tcPr>
            <w:tcW w:w="52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3,033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2,241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9,257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4,146</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340"/>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7"/>
        </w:trPr>
        <w:tc>
          <w:tcPr>
            <w:tcW w:w="5200" w:type="dxa"/>
            <w:vAlign w:val="bottom"/>
          </w:tcPr>
          <w:p>
            <w:pPr>
              <w:ind w:left="660"/>
              <w:spacing w:after="0"/>
              <w:rPr>
                <w:sz w:val="20"/>
                <w:szCs w:val="20"/>
                <w:color w:val="auto"/>
              </w:rPr>
            </w:pPr>
            <w:r>
              <w:rPr>
                <w:rFonts w:ascii="Arial" w:cs="Arial" w:eastAsia="Arial" w:hAnsi="Arial"/>
                <w:sz w:val="18"/>
                <w:szCs w:val="18"/>
                <w:color w:val="auto"/>
              </w:rPr>
              <w:t>Total other expense</w:t>
            </w:r>
          </w:p>
        </w:tc>
        <w:tc>
          <w:tcPr>
            <w:tcW w:w="3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2,666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8,573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3,732</w:t>
            </w:r>
          </w:p>
        </w:tc>
        <w:tc>
          <w:tcPr>
            <w:tcW w:w="0" w:type="dxa"/>
            <w:vAlign w:val="bottom"/>
          </w:tcPr>
          <w:p>
            <w:pPr>
              <w:spacing w:after="0"/>
              <w:rPr>
                <w:sz w:val="1"/>
                <w:szCs w:val="1"/>
                <w:color w:val="auto"/>
              </w:rPr>
            </w:pPr>
          </w:p>
        </w:tc>
      </w:tr>
      <w:tr>
        <w:trPr>
          <w:trHeight w:val="243"/>
        </w:trPr>
        <w:tc>
          <w:tcPr>
            <w:tcW w:w="5200" w:type="dxa"/>
            <w:vAlign w:val="bottom"/>
          </w:tcPr>
          <w:p>
            <w:pPr>
              <w:ind w:left="34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(1,005)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1,661</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1,782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7,725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3,522</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per share: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2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43"/>
        </w:trPr>
        <w:tc>
          <w:tcPr>
            <w:tcW w:w="5200" w:type="dxa"/>
            <w:vAlign w:val="bottom"/>
          </w:tcPr>
          <w:p>
            <w:pPr>
              <w:ind w:left="22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22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14,252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14,165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14,054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14,027</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14,689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15,286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14,592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14,978</w:t>
            </w: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Other comprehensive loss, net of tax:</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Foreign currency translation adjustment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7"/>
        </w:trPr>
        <w:tc>
          <w:tcPr>
            <w:tcW w:w="5200" w:type="dxa"/>
            <w:vAlign w:val="bottom"/>
          </w:tcPr>
          <w:p>
            <w:pPr>
              <w:ind w:left="20"/>
              <w:spacing w:after="0"/>
              <w:rPr>
                <w:sz w:val="20"/>
                <w:szCs w:val="20"/>
                <w:color w:val="auto"/>
              </w:rPr>
            </w:pPr>
            <w:r>
              <w:rPr>
                <w:rFonts w:ascii="Arial" w:cs="Arial" w:eastAsia="Arial" w:hAnsi="Arial"/>
                <w:sz w:val="18"/>
                <w:szCs w:val="18"/>
                <w:color w:val="auto"/>
              </w:rPr>
              <w:t>Other comprehensive loss, net of tax</w:t>
            </w:r>
          </w:p>
        </w:tc>
        <w:tc>
          <w:tcPr>
            <w:tcW w:w="3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1,661</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1,740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7,695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3,476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0" w:right="339" w:bottom="1440" w:gutter="0" w:footer="0" w:header="0"/>
        </w:sectPr>
      </w:pPr>
    </w:p>
    <w:bookmarkStart w:id="6" w:name="page7"/>
    <w:bookmarkEnd w:id="6"/>
    <w:p>
      <w:pPr>
        <w:jc w:val="center"/>
        <w:ind w:left="400" w:right="2500"/>
        <w:spacing w:after="0" w:line="263" w:lineRule="auto"/>
        <w:rPr>
          <w:sz w:val="20"/>
          <w:szCs w:val="20"/>
          <w:color w:val="auto"/>
        </w:rPr>
      </w:pPr>
      <w:r>
        <w:rPr>
          <w:rFonts w:ascii="Arial" w:cs="Arial" w:eastAsia="Arial" w:hAnsi="Arial"/>
          <w:sz w:val="18"/>
          <w:szCs w:val="18"/>
          <w:color w:val="auto"/>
        </w:rPr>
        <w:t>LIFEVANTAGE CORPORATION AND SUBSIDIARIES CONDENSED CONSOLIDATED STATEMENT OF STOCKHOLDERS’ EQUITY (Unaudited)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2140" w:type="dxa"/>
            <w:vAlign w:val="bottom"/>
            <w:gridSpan w:val="3"/>
            <w:vMerge w:val="restart"/>
          </w:tcPr>
          <w:p>
            <w:pPr>
              <w:jc w:val="right"/>
              <w:ind w:right="333"/>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360" w:type="dxa"/>
            <w:vAlign w:val="bottom"/>
          </w:tcPr>
          <w:p>
            <w:pPr>
              <w:spacing w:after="0"/>
              <w:rPr>
                <w:sz w:val="13"/>
                <w:szCs w:val="13"/>
                <w:color w:val="auto"/>
              </w:rPr>
            </w:pPr>
          </w:p>
        </w:tc>
        <w:tc>
          <w:tcPr>
            <w:tcW w:w="2140" w:type="dxa"/>
            <w:vAlign w:val="bottom"/>
            <w:tcBorders>
              <w:bottom w:val="single" w:sz="8" w:color="auto"/>
            </w:tcBorders>
            <w:gridSpan w:val="3"/>
            <w:vMerge w:val="continue"/>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6"/>
              </w:rPr>
              <w:t>Other</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360" w:type="dxa"/>
            <w:vAlign w:val="bottom"/>
          </w:tcPr>
          <w:p>
            <w:pPr>
              <w:spacing w:after="0"/>
              <w:rPr>
                <w:sz w:val="10"/>
                <w:szCs w:val="10"/>
                <w:color w:val="auto"/>
              </w:rPr>
            </w:pPr>
          </w:p>
        </w:tc>
        <w:tc>
          <w:tcPr>
            <w:tcW w:w="130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Shares</w:t>
            </w: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Paid-In</w:t>
            </w:r>
          </w:p>
        </w:tc>
        <w:tc>
          <w:tcPr>
            <w:tcW w:w="160" w:type="dxa"/>
            <w:vAlign w:val="bottom"/>
          </w:tcPr>
          <w:p>
            <w:pPr>
              <w:spacing w:after="0"/>
              <w:rPr>
                <w:sz w:val="10"/>
                <w:szCs w:val="10"/>
                <w:color w:val="auto"/>
              </w:rPr>
            </w:pPr>
          </w:p>
        </w:tc>
        <w:tc>
          <w:tcPr>
            <w:tcW w:w="11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7"/>
              </w:rPr>
              <w:t>Accumulated</w:t>
            </w:r>
          </w:p>
        </w:tc>
        <w:tc>
          <w:tcPr>
            <w:tcW w:w="140" w:type="dxa"/>
            <w:vAlign w:val="bottom"/>
          </w:tcPr>
          <w:p>
            <w:pPr>
              <w:spacing w:after="0"/>
              <w:rPr>
                <w:sz w:val="10"/>
                <w:szCs w:val="10"/>
                <w:color w:val="auto"/>
              </w:rPr>
            </w:pPr>
          </w:p>
        </w:tc>
        <w:tc>
          <w:tcPr>
            <w:tcW w:w="13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260" w:type="dxa"/>
            <w:vAlign w:val="bottom"/>
          </w:tcPr>
          <w:p>
            <w:pPr>
              <w:spacing w:after="0"/>
              <w:rPr>
                <w:sz w:val="10"/>
                <w:szCs w:val="10"/>
                <w:color w:val="auto"/>
              </w:rPr>
            </w:pPr>
          </w:p>
        </w:tc>
        <w:tc>
          <w:tcPr>
            <w:tcW w:w="94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3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14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Income (Loss)</w:t>
            </w: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3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June 30, 2019</w:t>
            </w: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14,114</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53"/>
              <w:spacing w:after="0"/>
              <w:rPr>
                <w:sz w:val="20"/>
                <w:szCs w:val="20"/>
                <w:color w:val="auto"/>
              </w:rPr>
            </w:pPr>
            <w:r>
              <w:rPr>
                <w:rFonts w:ascii="Arial" w:cs="Arial" w:eastAsia="Arial" w:hAnsi="Arial"/>
                <w:sz w:val="18"/>
                <w:szCs w:val="18"/>
                <w:b w:val="1"/>
                <w:bCs w:val="1"/>
                <w:color w:val="auto"/>
                <w:w w:val="79"/>
              </w:rPr>
              <w:t>$</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127,096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(99,960)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CCEEFF"/>
            </w:tcBorders>
            <w:shd w:val="clear" w:color="auto" w:fill="CCEEFF"/>
          </w:tcPr>
          <w:p>
            <w:pPr>
              <w:jc w:val="center"/>
              <w:ind w:left="632"/>
              <w:spacing w:after="0"/>
              <w:rPr>
                <w:sz w:val="20"/>
                <w:szCs w:val="20"/>
                <w:color w:val="auto"/>
              </w:rPr>
            </w:pPr>
            <w:r>
              <w:rPr>
                <w:rFonts w:ascii="Arial" w:cs="Arial" w:eastAsia="Arial" w:hAnsi="Arial"/>
                <w:sz w:val="18"/>
                <w:szCs w:val="18"/>
                <w:b w:val="1"/>
                <w:bCs w:val="1"/>
                <w:color w:val="auto"/>
                <w:w w:val="89"/>
              </w:rPr>
              <w:t>62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27,199</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Arial" w:cs="Arial" w:eastAsia="Arial" w:hAnsi="Arial"/>
                <w:sz w:val="18"/>
                <w:szCs w:val="18"/>
                <w:color w:val="auto"/>
                <w:w w:val="96"/>
              </w:rPr>
              <w:t>Cumulative effect of adoption of accounting</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principle</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0"/>
                <w:szCs w:val="20"/>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ind w:left="512"/>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7"/>
        </w:trPr>
        <w:tc>
          <w:tcPr>
            <w:tcW w:w="33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July 1, 2019</w:t>
            </w: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14,114</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53"/>
              <w:spacing w:after="0"/>
              <w:rPr>
                <w:sz w:val="20"/>
                <w:szCs w:val="20"/>
                <w:color w:val="auto"/>
              </w:rPr>
            </w:pPr>
            <w:r>
              <w:rPr>
                <w:rFonts w:ascii="Arial" w:cs="Arial" w:eastAsia="Arial" w:hAnsi="Arial"/>
                <w:sz w:val="18"/>
                <w:szCs w:val="18"/>
                <w:b w:val="1"/>
                <w:bCs w:val="1"/>
                <w:color w:val="auto"/>
                <w:w w:val="79"/>
              </w:rPr>
              <w:t>$</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127,096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(99,452)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CCEEFF"/>
            </w:tcBorders>
            <w:shd w:val="clear" w:color="auto" w:fill="CCEEFF"/>
          </w:tcPr>
          <w:p>
            <w:pPr>
              <w:jc w:val="center"/>
              <w:ind w:left="632"/>
              <w:spacing w:after="0"/>
              <w:rPr>
                <w:sz w:val="20"/>
                <w:szCs w:val="20"/>
                <w:color w:val="auto"/>
              </w:rPr>
            </w:pPr>
            <w:r>
              <w:rPr>
                <w:rFonts w:ascii="Arial" w:cs="Arial" w:eastAsia="Arial" w:hAnsi="Arial"/>
                <w:sz w:val="18"/>
                <w:szCs w:val="18"/>
                <w:b w:val="1"/>
                <w:bCs w:val="1"/>
                <w:color w:val="auto"/>
                <w:w w:val="89"/>
              </w:rPr>
              <w:t>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27,707</w:t>
            </w: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center"/>
              <w:ind w:left="512"/>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43"/>
        </w:trPr>
        <w:tc>
          <w:tcPr>
            <w:tcW w:w="3360" w:type="dxa"/>
            <w:vAlign w:val="bottom"/>
          </w:tcPr>
          <w:p>
            <w:pPr>
              <w:ind w:left="20"/>
              <w:spacing w:after="0"/>
              <w:rPr>
                <w:sz w:val="20"/>
                <w:szCs w:val="20"/>
                <w:color w:val="auto"/>
              </w:rPr>
            </w:pPr>
            <w:r>
              <w:rPr>
                <w:rFonts w:ascii="Arial" w:cs="Arial" w:eastAsia="Arial" w:hAnsi="Arial"/>
                <w:sz w:val="18"/>
                <w:szCs w:val="18"/>
                <w:color w:val="auto"/>
              </w:rPr>
              <w:t>Exercise of options</w:t>
            </w: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00" w:type="dxa"/>
            <w:vAlign w:val="bottom"/>
            <w:gridSpan w:val="2"/>
          </w:tcPr>
          <w:p>
            <w:pPr>
              <w:jc w:val="center"/>
              <w:ind w:left="512"/>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Common stock issued under employee stock</w:t>
            </w: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plan</w:t>
            </w: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w:t>
            </w: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center"/>
              <w:ind w:left="512"/>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Arial" w:cs="Arial" w:eastAsia="Arial" w:hAnsi="Arial"/>
                <w:sz w:val="18"/>
                <w:szCs w:val="18"/>
                <w:color w:val="auto"/>
                <w:w w:val="88"/>
              </w:rPr>
              <w:t>Shares canceled or surrendered as payment of</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tax withholding</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00" w:type="dxa"/>
            <w:vAlign w:val="bottom"/>
            <w:gridSpan w:val="2"/>
          </w:tcPr>
          <w:p>
            <w:pPr>
              <w:jc w:val="center"/>
              <w:ind w:left="512"/>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Repurchase of company stock</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center"/>
              <w:ind w:left="512"/>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43"/>
        </w:trPr>
        <w:tc>
          <w:tcPr>
            <w:tcW w:w="3360" w:type="dxa"/>
            <w:vAlign w:val="bottom"/>
          </w:tcPr>
          <w:p>
            <w:pPr>
              <w:ind w:left="20"/>
              <w:spacing w:after="0"/>
              <w:rPr>
                <w:sz w:val="20"/>
                <w:szCs w:val="20"/>
                <w:color w:val="auto"/>
              </w:rPr>
            </w:pPr>
            <w:r>
              <w:rPr>
                <w:rFonts w:ascii="Arial" w:cs="Arial" w:eastAsia="Arial" w:hAnsi="Arial"/>
                <w:sz w:val="18"/>
                <w:szCs w:val="18"/>
                <w:color w:val="auto"/>
              </w:rPr>
              <w:t>Currency translation adjustment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1"/>
                <w:szCs w:val="21"/>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80" w:type="dxa"/>
            <w:vAlign w:val="bottom"/>
          </w:tcPr>
          <w:p>
            <w:pPr>
              <w:jc w:val="center"/>
              <w:ind w:left="592"/>
              <w:spacing w:after="0"/>
              <w:rPr>
                <w:sz w:val="20"/>
                <w:szCs w:val="20"/>
                <w:color w:val="auto"/>
              </w:rPr>
            </w:pPr>
            <w:r>
              <w:rPr>
                <w:rFonts w:ascii="Arial" w:cs="Arial" w:eastAsia="Arial" w:hAnsi="Arial"/>
                <w:sz w:val="18"/>
                <w:szCs w:val="18"/>
                <w:color w:val="auto"/>
                <w:w w:val="93"/>
              </w:rPr>
              <w:t>(16)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1,761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center"/>
              <w:ind w:left="512"/>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37"/>
        </w:trPr>
        <w:tc>
          <w:tcPr>
            <w:tcW w:w="3360" w:type="dxa"/>
            <w:vAlign w:val="bottom"/>
          </w:tcPr>
          <w:p>
            <w:pPr>
              <w:ind w:left="20"/>
              <w:spacing w:after="0"/>
              <w:rPr>
                <w:sz w:val="20"/>
                <w:szCs w:val="20"/>
                <w:color w:val="auto"/>
              </w:rPr>
            </w:pPr>
            <w:r>
              <w:rPr>
                <w:rFonts w:ascii="Arial" w:cs="Arial" w:eastAsia="Arial" w:hAnsi="Arial"/>
                <w:sz w:val="18"/>
                <w:szCs w:val="18"/>
                <w:b w:val="1"/>
                <w:bCs w:val="1"/>
                <w:color w:val="auto"/>
              </w:rPr>
              <w:t>Balances, September 30, 2019</w:t>
            </w:r>
          </w:p>
        </w:tc>
        <w:tc>
          <w:tcPr>
            <w:tcW w:w="11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14,034</w:t>
            </w:r>
          </w:p>
        </w:tc>
        <w:tc>
          <w:tcPr>
            <w:tcW w:w="120" w:type="dxa"/>
            <w:vAlign w:val="bottom"/>
          </w:tcPr>
          <w:p>
            <w:pPr>
              <w:spacing w:after="0"/>
              <w:rPr>
                <w:sz w:val="20"/>
                <w:szCs w:val="20"/>
                <w:color w:val="auto"/>
              </w:rPr>
            </w:pPr>
          </w:p>
        </w:tc>
        <w:tc>
          <w:tcPr>
            <w:tcW w:w="840" w:type="dxa"/>
            <w:vAlign w:val="bottom"/>
            <w:tcBorders>
              <w:top w:val="single" w:sz="8" w:color="auto"/>
            </w:tcBorders>
          </w:tcPr>
          <w:p>
            <w:pPr>
              <w:jc w:val="right"/>
              <w:ind w:right="653"/>
              <w:spacing w:after="0"/>
              <w:rPr>
                <w:sz w:val="20"/>
                <w:szCs w:val="20"/>
                <w:color w:val="auto"/>
              </w:rPr>
            </w:pPr>
            <w:r>
              <w:rPr>
                <w:rFonts w:ascii="Arial" w:cs="Arial" w:eastAsia="Arial" w:hAnsi="Arial"/>
                <w:sz w:val="18"/>
                <w:szCs w:val="18"/>
                <w:b w:val="1"/>
                <w:bCs w:val="1"/>
                <w:color w:val="auto"/>
                <w:w w:val="79"/>
              </w:rPr>
              <w:t>$</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128,661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(99,084)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tcBorders>
          </w:tcPr>
          <w:p>
            <w:pPr>
              <w:jc w:val="center"/>
              <w:ind w:left="632"/>
              <w:spacing w:after="0"/>
              <w:rPr>
                <w:sz w:val="20"/>
                <w:szCs w:val="20"/>
                <w:color w:val="auto"/>
              </w:rPr>
            </w:pPr>
            <w:r>
              <w:rPr>
                <w:rFonts w:ascii="Arial" w:cs="Arial" w:eastAsia="Arial" w:hAnsi="Arial"/>
                <w:sz w:val="18"/>
                <w:szCs w:val="18"/>
                <w:b w:val="1"/>
                <w:bCs w:val="1"/>
                <w:color w:val="auto"/>
                <w:w w:val="89"/>
              </w:rPr>
              <w:t>46</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29,624</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1"/>
                <w:szCs w:val="21"/>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1,503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00" w:type="dxa"/>
            <w:vAlign w:val="bottom"/>
            <w:gridSpan w:val="2"/>
          </w:tcPr>
          <w:p>
            <w:pPr>
              <w:jc w:val="center"/>
              <w:ind w:left="512"/>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Exercise of options</w:t>
            </w: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center"/>
              <w:ind w:left="512"/>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Arial" w:cs="Arial" w:eastAsia="Arial" w:hAnsi="Arial"/>
                <w:sz w:val="18"/>
                <w:szCs w:val="18"/>
                <w:color w:val="auto"/>
                <w:w w:val="99"/>
              </w:rPr>
              <w:t>Common stock issued under equity award</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plans</w:t>
            </w: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659</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00" w:type="dxa"/>
            <w:vAlign w:val="bottom"/>
            <w:gridSpan w:val="2"/>
          </w:tcPr>
          <w:p>
            <w:pPr>
              <w:jc w:val="center"/>
              <w:ind w:left="512"/>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Shares canceled or surrendered as payment of</w:t>
            </w: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withholding</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w:t>
            </w: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(4,360)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center"/>
              <w:ind w:left="512"/>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(4,360)</w:t>
            </w:r>
          </w:p>
        </w:tc>
        <w:tc>
          <w:tcPr>
            <w:tcW w:w="0" w:type="dxa"/>
            <w:vAlign w:val="bottom"/>
          </w:tcPr>
          <w:p>
            <w:pPr>
              <w:spacing w:after="0"/>
              <w:rPr>
                <w:sz w:val="1"/>
                <w:szCs w:val="1"/>
                <w:color w:val="auto"/>
              </w:rPr>
            </w:pPr>
          </w:p>
        </w:tc>
      </w:tr>
      <w:tr>
        <w:trPr>
          <w:trHeight w:val="243"/>
        </w:trPr>
        <w:tc>
          <w:tcPr>
            <w:tcW w:w="3360" w:type="dxa"/>
            <w:vAlign w:val="bottom"/>
          </w:tcPr>
          <w:p>
            <w:pPr>
              <w:ind w:left="20"/>
              <w:spacing w:after="0"/>
              <w:rPr>
                <w:sz w:val="20"/>
                <w:szCs w:val="20"/>
                <w:color w:val="auto"/>
              </w:rPr>
            </w:pPr>
            <w:r>
              <w:rPr>
                <w:rFonts w:ascii="Arial" w:cs="Arial" w:eastAsia="Arial" w:hAnsi="Arial"/>
                <w:sz w:val="18"/>
                <w:szCs w:val="18"/>
                <w:color w:val="auto"/>
              </w:rPr>
              <w:t>Repurchase of company stock</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jc w:val="center"/>
              <w:ind w:left="512"/>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w:t>
            </w: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center"/>
              <w:ind w:left="592"/>
              <w:spacing w:after="0"/>
              <w:rPr>
                <w:sz w:val="20"/>
                <w:szCs w:val="20"/>
                <w:color w:val="auto"/>
              </w:rPr>
            </w:pPr>
            <w:r>
              <w:rPr>
                <w:rFonts w:ascii="Arial" w:cs="Arial" w:eastAsia="Arial" w:hAnsi="Arial"/>
                <w:sz w:val="18"/>
                <w:szCs w:val="18"/>
                <w:color w:val="auto"/>
                <w:w w:val="93"/>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33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1"/>
                <w:szCs w:val="21"/>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4,303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jc w:val="center"/>
              <w:ind w:left="512"/>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4,303</w:t>
            </w:r>
          </w:p>
        </w:tc>
        <w:tc>
          <w:tcPr>
            <w:tcW w:w="0" w:type="dxa"/>
            <w:vAlign w:val="bottom"/>
          </w:tcPr>
          <w:p>
            <w:pPr>
              <w:spacing w:after="0"/>
              <w:rPr>
                <w:sz w:val="1"/>
                <w:szCs w:val="1"/>
                <w:color w:val="auto"/>
              </w:rPr>
            </w:pPr>
          </w:p>
        </w:tc>
      </w:tr>
      <w:tr>
        <w:trPr>
          <w:trHeight w:val="27"/>
        </w:trPr>
        <w:tc>
          <w:tcPr>
            <w:tcW w:w="33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December 31, 2019</w:t>
            </w: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14,293</w:t>
            </w: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653"/>
              <w:spacing w:after="0"/>
              <w:rPr>
                <w:sz w:val="20"/>
                <w:szCs w:val="20"/>
                <w:color w:val="auto"/>
              </w:rPr>
            </w:pPr>
            <w:r>
              <w:rPr>
                <w:rFonts w:ascii="Arial" w:cs="Arial" w:eastAsia="Arial" w:hAnsi="Arial"/>
                <w:sz w:val="18"/>
                <w:szCs w:val="18"/>
                <w:b w:val="1"/>
                <w:bCs w:val="1"/>
                <w:color w:val="auto"/>
                <w:w w:val="79"/>
              </w:rPr>
              <w:t>$</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125,858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(96,793)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CCEEFF"/>
            </w:tcBorders>
            <w:shd w:val="clear" w:color="auto" w:fill="CCEEFF"/>
          </w:tcPr>
          <w:p>
            <w:pPr>
              <w:jc w:val="center"/>
              <w:ind w:left="632"/>
              <w:spacing w:after="0"/>
              <w:rPr>
                <w:sz w:val="20"/>
                <w:szCs w:val="20"/>
                <w:color w:val="auto"/>
              </w:rPr>
            </w:pPr>
            <w:r>
              <w:rPr>
                <w:rFonts w:ascii="Arial" w:cs="Arial" w:eastAsia="Arial" w:hAnsi="Arial"/>
                <w:sz w:val="18"/>
                <w:szCs w:val="18"/>
                <w:b w:val="1"/>
                <w:bCs w:val="1"/>
                <w:color w:val="auto"/>
                <w:w w:val="89"/>
              </w:rPr>
              <w:t>32</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29,098</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center"/>
              <w:ind w:left="512"/>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1,191</w:t>
            </w:r>
          </w:p>
        </w:tc>
        <w:tc>
          <w:tcPr>
            <w:tcW w:w="0" w:type="dxa"/>
            <w:vAlign w:val="bottom"/>
          </w:tcPr>
          <w:p>
            <w:pPr>
              <w:spacing w:after="0"/>
              <w:rPr>
                <w:sz w:val="1"/>
                <w:szCs w:val="1"/>
                <w:color w:val="auto"/>
              </w:rPr>
            </w:pPr>
          </w:p>
        </w:tc>
      </w:tr>
      <w:tr>
        <w:trPr>
          <w:trHeight w:val="243"/>
        </w:trPr>
        <w:tc>
          <w:tcPr>
            <w:tcW w:w="3360" w:type="dxa"/>
            <w:vAlign w:val="bottom"/>
          </w:tcPr>
          <w:p>
            <w:pPr>
              <w:ind w:left="20"/>
              <w:spacing w:after="0"/>
              <w:rPr>
                <w:sz w:val="20"/>
                <w:szCs w:val="20"/>
                <w:color w:val="auto"/>
              </w:rPr>
            </w:pPr>
            <w:r>
              <w:rPr>
                <w:rFonts w:ascii="Arial" w:cs="Arial" w:eastAsia="Arial" w:hAnsi="Arial"/>
                <w:sz w:val="18"/>
                <w:szCs w:val="18"/>
                <w:color w:val="auto"/>
              </w:rPr>
              <w:t>Exercise of options</w:t>
            </w: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00" w:type="dxa"/>
            <w:vAlign w:val="bottom"/>
            <w:gridSpan w:val="2"/>
          </w:tcPr>
          <w:p>
            <w:pPr>
              <w:jc w:val="center"/>
              <w:ind w:left="512"/>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Common stock issued under employee stock</w:t>
            </w: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plan</w:t>
            </w: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w:t>
            </w: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center"/>
              <w:ind w:left="512"/>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Arial" w:cs="Arial" w:eastAsia="Arial" w:hAnsi="Arial"/>
                <w:sz w:val="18"/>
                <w:szCs w:val="18"/>
                <w:color w:val="auto"/>
                <w:w w:val="99"/>
              </w:rPr>
              <w:t>Common stock issued under equity award</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plans</w:t>
            </w: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00" w:type="dxa"/>
            <w:vAlign w:val="bottom"/>
            <w:gridSpan w:val="2"/>
          </w:tcPr>
          <w:p>
            <w:pPr>
              <w:jc w:val="center"/>
              <w:ind w:left="512"/>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Shares canceled or surrendered as payment of</w:t>
            </w: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withholding</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w:t>
            </w: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(1,674)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center"/>
              <w:ind w:left="512"/>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(1,674)</w:t>
            </w:r>
          </w:p>
        </w:tc>
        <w:tc>
          <w:tcPr>
            <w:tcW w:w="0" w:type="dxa"/>
            <w:vAlign w:val="bottom"/>
          </w:tcPr>
          <w:p>
            <w:pPr>
              <w:spacing w:after="0"/>
              <w:rPr>
                <w:sz w:val="1"/>
                <w:szCs w:val="1"/>
                <w:color w:val="auto"/>
              </w:rPr>
            </w:pPr>
          </w:p>
        </w:tc>
      </w:tr>
      <w:tr>
        <w:trPr>
          <w:trHeight w:val="243"/>
        </w:trPr>
        <w:tc>
          <w:tcPr>
            <w:tcW w:w="3360" w:type="dxa"/>
            <w:vAlign w:val="bottom"/>
          </w:tcPr>
          <w:p>
            <w:pPr>
              <w:ind w:left="20"/>
              <w:spacing w:after="0"/>
              <w:rPr>
                <w:sz w:val="20"/>
                <w:szCs w:val="20"/>
                <w:color w:val="auto"/>
              </w:rPr>
            </w:pPr>
            <w:r>
              <w:rPr>
                <w:rFonts w:ascii="Arial" w:cs="Arial" w:eastAsia="Arial" w:hAnsi="Arial"/>
                <w:sz w:val="18"/>
                <w:szCs w:val="18"/>
                <w:color w:val="auto"/>
              </w:rPr>
              <w:t>Repurchase of company stock</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jc w:val="center"/>
              <w:ind w:left="512"/>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w:t>
            </w: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center"/>
              <w:ind w:left="512"/>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1"/>
                <w:szCs w:val="21"/>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1,661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jc w:val="center"/>
              <w:ind w:left="512"/>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1,661</w:t>
            </w:r>
          </w:p>
        </w:tc>
        <w:tc>
          <w:tcPr>
            <w:tcW w:w="0" w:type="dxa"/>
            <w:vAlign w:val="bottom"/>
          </w:tcPr>
          <w:p>
            <w:pPr>
              <w:spacing w:after="0"/>
              <w:rPr>
                <w:sz w:val="1"/>
                <w:szCs w:val="1"/>
                <w:color w:val="auto"/>
              </w:rPr>
            </w:pPr>
          </w:p>
        </w:tc>
      </w:tr>
      <w:tr>
        <w:trPr>
          <w:trHeight w:val="27"/>
        </w:trPr>
        <w:tc>
          <w:tcPr>
            <w:tcW w:w="33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March 31, 2020</w:t>
            </w: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14,295</w:t>
            </w: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653"/>
              <w:spacing w:after="0"/>
              <w:rPr>
                <w:sz w:val="20"/>
                <w:szCs w:val="20"/>
                <w:color w:val="auto"/>
              </w:rPr>
            </w:pPr>
            <w:r>
              <w:rPr>
                <w:rFonts w:ascii="Arial" w:cs="Arial" w:eastAsia="Arial" w:hAnsi="Arial"/>
                <w:sz w:val="18"/>
                <w:szCs w:val="18"/>
                <w:b w:val="1"/>
                <w:bCs w:val="1"/>
                <w:color w:val="auto"/>
                <w:w w:val="79"/>
              </w:rPr>
              <w:t>$</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125,697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(97,132)</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CCEEFF"/>
            </w:tcBorders>
            <w:shd w:val="clear" w:color="auto" w:fill="CCEEFF"/>
          </w:tcPr>
          <w:p>
            <w:pPr>
              <w:jc w:val="center"/>
              <w:ind w:left="632"/>
              <w:spacing w:after="0"/>
              <w:rPr>
                <w:sz w:val="20"/>
                <w:szCs w:val="20"/>
                <w:color w:val="auto"/>
              </w:rPr>
            </w:pPr>
            <w:r>
              <w:rPr>
                <w:rFonts w:ascii="Arial" w:cs="Arial" w:eastAsia="Arial" w:hAnsi="Arial"/>
                <w:sz w:val="18"/>
                <w:szCs w:val="18"/>
                <w:b w:val="1"/>
                <w:bCs w:val="1"/>
                <w:color w:val="auto"/>
                <w:w w:val="89"/>
              </w:rPr>
              <w:t>32</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28,598</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180"/>
          </w:cols>
          <w:pgMar w:left="320" w:top="89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5" w:right="399" w:bottom="1440" w:gutter="0" w:footer="0" w:header="0"/>
          <w:type w:val="continuous"/>
        </w:sectPr>
      </w:pPr>
    </w:p>
    <w:bookmarkStart w:id="7" w:name="page8"/>
    <w:bookmarkEnd w:id="7"/>
    <w:p>
      <w:pPr>
        <w:jc w:val="center"/>
        <w:ind w:right="-19"/>
        <w:spacing w:after="0"/>
        <w:rPr>
          <w:sz w:val="20"/>
          <w:szCs w:val="20"/>
          <w:color w:val="auto"/>
        </w:rPr>
      </w:pPr>
      <w:r>
        <w:rPr>
          <w:rFonts w:ascii="Arial" w:cs="Arial" w:eastAsia="Arial" w:hAnsi="Arial"/>
          <w:sz w:val="18"/>
          <w:szCs w:val="18"/>
          <w:color w:val="auto"/>
        </w:rPr>
        <w:t>LIFEVANTAGE CORPORATION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2920" w:type="dxa"/>
            <w:vAlign w:val="bottom"/>
            <w:tcBorders>
              <w:bottom w:val="single" w:sz="8" w:color="auto"/>
            </w:tcBorders>
            <w:gridSpan w:val="4"/>
          </w:tcPr>
          <w:p>
            <w:pPr>
              <w:jc w:val="right"/>
              <w:ind w:right="74"/>
              <w:spacing w:after="0"/>
              <w:rPr>
                <w:sz w:val="20"/>
                <w:szCs w:val="20"/>
                <w:color w:val="auto"/>
              </w:rPr>
            </w:pPr>
            <w:r>
              <w:rPr>
                <w:rFonts w:ascii="Arial" w:cs="Arial" w:eastAsia="Arial" w:hAnsi="Arial"/>
                <w:sz w:val="14"/>
                <w:szCs w:val="14"/>
                <w:b w:val="1"/>
                <w:bCs w:val="1"/>
                <w:color w:val="auto"/>
              </w:rPr>
              <w:t>Nine Months Ended March 31,</w:t>
            </w:r>
          </w:p>
        </w:tc>
        <w:tc>
          <w:tcPr>
            <w:tcW w:w="700" w:type="dxa"/>
            <w:vAlign w:val="bottom"/>
            <w:tcBorders>
              <w:bottom w:val="single" w:sz="8" w:color="auto"/>
            </w:tcBorders>
          </w:tcPr>
          <w:p>
            <w:pPr>
              <w:spacing w:after="0"/>
              <w:rPr>
                <w:sz w:val="16"/>
                <w:szCs w:val="16"/>
                <w:color w:val="auto"/>
              </w:rPr>
            </w:pPr>
          </w:p>
        </w:tc>
      </w:tr>
      <w:tr>
        <w:trPr>
          <w:trHeight w:val="195"/>
        </w:trPr>
        <w:tc>
          <w:tcPr>
            <w:tcW w:w="760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17"/>
                <w:szCs w:val="17"/>
                <w:color w:val="auto"/>
              </w:rPr>
            </w:pPr>
          </w:p>
        </w:tc>
      </w:tr>
      <w:tr>
        <w:trPr>
          <w:trHeight w:val="197"/>
        </w:trPr>
        <w:tc>
          <w:tcPr>
            <w:tcW w:w="76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56"/>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0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r>
      <w:tr>
        <w:trPr>
          <w:trHeight w:val="243"/>
        </w:trPr>
        <w:tc>
          <w:tcPr>
            <w:tcW w:w="760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020" w:type="dxa"/>
            <w:vAlign w:val="bottom"/>
          </w:tcPr>
          <w:p>
            <w:pPr>
              <w:jc w:val="right"/>
              <w:ind w:right="836"/>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7,725</w:t>
            </w:r>
          </w:p>
        </w:tc>
        <w:tc>
          <w:tcPr>
            <w:tcW w:w="120" w:type="dxa"/>
            <w:vAlign w:val="bottom"/>
          </w:tcPr>
          <w:p>
            <w:pPr>
              <w:spacing w:after="0"/>
              <w:rPr>
                <w:sz w:val="21"/>
                <w:szCs w:val="21"/>
                <w:color w:val="auto"/>
              </w:rPr>
            </w:pPr>
          </w:p>
        </w:tc>
        <w:tc>
          <w:tcPr>
            <w:tcW w:w="1060" w:type="dxa"/>
            <w:vAlign w:val="bottom"/>
          </w:tcPr>
          <w:p>
            <w:pPr>
              <w:jc w:val="right"/>
              <w:ind w:right="874"/>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3,522</w:t>
            </w:r>
          </w:p>
        </w:tc>
      </w:tr>
      <w:tr>
        <w:trPr>
          <w:trHeight w:val="27"/>
        </w:trPr>
        <w:tc>
          <w:tcPr>
            <w:tcW w:w="7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600" w:type="dxa"/>
            <w:vAlign w:val="bottom"/>
          </w:tcPr>
          <w:p>
            <w:pPr>
              <w:ind w:left="660"/>
              <w:spacing w:after="0"/>
              <w:rPr>
                <w:sz w:val="20"/>
                <w:szCs w:val="20"/>
                <w:color w:val="auto"/>
              </w:rPr>
            </w:pPr>
            <w:r>
              <w:rPr>
                <w:rFonts w:ascii="Arial" w:cs="Arial" w:eastAsia="Arial" w:hAnsi="Arial"/>
                <w:sz w:val="18"/>
                <w:szCs w:val="18"/>
                <w:color w:val="auto"/>
              </w:rPr>
              <w:t>Depreciation and amortization</w:t>
            </w:r>
          </w:p>
        </w:tc>
        <w:tc>
          <w:tcPr>
            <w:tcW w:w="1020" w:type="dxa"/>
            <w:vAlign w:val="bottom"/>
          </w:tcPr>
          <w:p>
            <w:pPr>
              <w:spacing w:after="0"/>
              <w:rPr>
                <w:sz w:val="21"/>
                <w:szCs w:val="21"/>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1,953</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1,356</w:t>
            </w:r>
          </w:p>
        </w:tc>
      </w:tr>
      <w:tr>
        <w:trPr>
          <w:trHeight w:val="27"/>
        </w:trPr>
        <w:tc>
          <w:tcPr>
            <w:tcW w:w="7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Stock-based compensation</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4,081</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4,136</w:t>
            </w:r>
          </w:p>
        </w:tc>
      </w:tr>
      <w:tr>
        <w:trPr>
          <w:trHeight w:val="243"/>
        </w:trPr>
        <w:tc>
          <w:tcPr>
            <w:tcW w:w="7600" w:type="dxa"/>
            <w:vAlign w:val="bottom"/>
          </w:tcPr>
          <w:p>
            <w:pPr>
              <w:ind w:left="660"/>
              <w:spacing w:after="0"/>
              <w:rPr>
                <w:sz w:val="20"/>
                <w:szCs w:val="20"/>
                <w:color w:val="auto"/>
              </w:rPr>
            </w:pPr>
            <w:r>
              <w:rPr>
                <w:rFonts w:ascii="Arial" w:cs="Arial" w:eastAsia="Arial" w:hAnsi="Arial"/>
                <w:sz w:val="18"/>
                <w:szCs w:val="18"/>
                <w:color w:val="auto"/>
              </w:rPr>
              <w:t>Amortization of right-of-use assets</w:t>
            </w:r>
          </w:p>
        </w:tc>
        <w:tc>
          <w:tcPr>
            <w:tcW w:w="1020" w:type="dxa"/>
            <w:vAlign w:val="bottom"/>
          </w:tcPr>
          <w:p>
            <w:pPr>
              <w:spacing w:after="0"/>
              <w:rPr>
                <w:sz w:val="21"/>
                <w:szCs w:val="21"/>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1,731</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7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Amortization of deferred financing fees</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r>
      <w:tr>
        <w:trPr>
          <w:trHeight w:val="243"/>
        </w:trPr>
        <w:tc>
          <w:tcPr>
            <w:tcW w:w="7600" w:type="dxa"/>
            <w:vAlign w:val="bottom"/>
          </w:tcPr>
          <w:p>
            <w:pPr>
              <w:ind w:left="660"/>
              <w:spacing w:after="0"/>
              <w:rPr>
                <w:sz w:val="20"/>
                <w:szCs w:val="20"/>
                <w:color w:val="auto"/>
              </w:rPr>
            </w:pPr>
            <w:r>
              <w:rPr>
                <w:rFonts w:ascii="Arial" w:cs="Arial" w:eastAsia="Arial" w:hAnsi="Arial"/>
                <w:sz w:val="18"/>
                <w:szCs w:val="18"/>
                <w:color w:val="auto"/>
              </w:rPr>
              <w:t>Amortization of debt discount</w:t>
            </w:r>
          </w:p>
        </w:tc>
        <w:tc>
          <w:tcPr>
            <w:tcW w:w="1020" w:type="dxa"/>
            <w:vAlign w:val="bottom"/>
          </w:tcPr>
          <w:p>
            <w:pPr>
              <w:spacing w:after="0"/>
              <w:rPr>
                <w:sz w:val="21"/>
                <w:szCs w:val="21"/>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23</w:t>
            </w:r>
          </w:p>
        </w:tc>
      </w:tr>
      <w:tr>
        <w:trPr>
          <w:trHeight w:val="27"/>
        </w:trPr>
        <w:tc>
          <w:tcPr>
            <w:tcW w:w="7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Deferred income tax</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1,587</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906</w:t>
            </w:r>
          </w:p>
        </w:tc>
      </w:tr>
      <w:tr>
        <w:trPr>
          <w:trHeight w:val="243"/>
        </w:trPr>
        <w:tc>
          <w:tcPr>
            <w:tcW w:w="760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0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7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Accounts receivable</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887</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144</w:t>
            </w:r>
          </w:p>
        </w:tc>
      </w:tr>
      <w:tr>
        <w:trPr>
          <w:trHeight w:val="243"/>
        </w:trPr>
        <w:tc>
          <w:tcPr>
            <w:tcW w:w="7600" w:type="dxa"/>
            <w:vAlign w:val="bottom"/>
          </w:tcPr>
          <w:p>
            <w:pPr>
              <w:ind w:left="660"/>
              <w:spacing w:after="0"/>
              <w:rPr>
                <w:sz w:val="20"/>
                <w:szCs w:val="20"/>
                <w:color w:val="auto"/>
              </w:rPr>
            </w:pPr>
            <w:r>
              <w:rPr>
                <w:rFonts w:ascii="Arial" w:cs="Arial" w:eastAsia="Arial" w:hAnsi="Arial"/>
                <w:sz w:val="18"/>
                <w:szCs w:val="18"/>
                <w:color w:val="auto"/>
              </w:rPr>
              <w:t>Income tax receivable</w:t>
            </w:r>
          </w:p>
        </w:tc>
        <w:tc>
          <w:tcPr>
            <w:tcW w:w="10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(1,147)</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w w:val="98"/>
              </w:rPr>
              <w:t>(2,267)</w:t>
            </w:r>
          </w:p>
        </w:tc>
      </w:tr>
      <w:tr>
        <w:trPr>
          <w:trHeight w:val="27"/>
        </w:trPr>
        <w:tc>
          <w:tcPr>
            <w:tcW w:w="7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Inventory, net</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(1,151)</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(878)</w:t>
            </w:r>
          </w:p>
        </w:tc>
      </w:tr>
      <w:tr>
        <w:trPr>
          <w:trHeight w:val="243"/>
        </w:trPr>
        <w:tc>
          <w:tcPr>
            <w:tcW w:w="7600" w:type="dxa"/>
            <w:vAlign w:val="bottom"/>
          </w:tcPr>
          <w:p>
            <w:pPr>
              <w:ind w:left="660"/>
              <w:spacing w:after="0"/>
              <w:rPr>
                <w:sz w:val="20"/>
                <w:szCs w:val="20"/>
                <w:color w:val="auto"/>
              </w:rPr>
            </w:pPr>
            <w:r>
              <w:rPr>
                <w:rFonts w:ascii="Arial" w:cs="Arial" w:eastAsia="Arial" w:hAnsi="Arial"/>
                <w:sz w:val="18"/>
                <w:szCs w:val="18"/>
                <w:color w:val="auto"/>
              </w:rPr>
              <w:t>Prepaid expenses and other</w:t>
            </w:r>
          </w:p>
        </w:tc>
        <w:tc>
          <w:tcPr>
            <w:tcW w:w="10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(992)</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692</w:t>
            </w:r>
          </w:p>
        </w:tc>
      </w:tr>
      <w:tr>
        <w:trPr>
          <w:trHeight w:val="27"/>
        </w:trPr>
        <w:tc>
          <w:tcPr>
            <w:tcW w:w="7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Other long-term assets</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w:t>
            </w:r>
          </w:p>
        </w:tc>
      </w:tr>
      <w:tr>
        <w:trPr>
          <w:trHeight w:val="243"/>
        </w:trPr>
        <w:tc>
          <w:tcPr>
            <w:tcW w:w="7600" w:type="dxa"/>
            <w:vAlign w:val="bottom"/>
          </w:tcPr>
          <w:p>
            <w:pPr>
              <w:ind w:left="660"/>
              <w:spacing w:after="0"/>
              <w:rPr>
                <w:sz w:val="20"/>
                <w:szCs w:val="20"/>
                <w:color w:val="auto"/>
              </w:rPr>
            </w:pPr>
            <w:r>
              <w:rPr>
                <w:rFonts w:ascii="Arial" w:cs="Arial" w:eastAsia="Arial" w:hAnsi="Arial"/>
                <w:sz w:val="18"/>
                <w:szCs w:val="18"/>
                <w:color w:val="auto"/>
              </w:rPr>
              <w:t>Accounts payable</w:t>
            </w:r>
          </w:p>
        </w:tc>
        <w:tc>
          <w:tcPr>
            <w:tcW w:w="10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(1,154)</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1,266</w:t>
            </w:r>
          </w:p>
        </w:tc>
      </w:tr>
      <w:tr>
        <w:trPr>
          <w:trHeight w:val="27"/>
        </w:trPr>
        <w:tc>
          <w:tcPr>
            <w:tcW w:w="7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Income tax payable</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(592)</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149</w:t>
            </w:r>
          </w:p>
        </w:tc>
      </w:tr>
      <w:tr>
        <w:trPr>
          <w:trHeight w:val="243"/>
        </w:trPr>
        <w:tc>
          <w:tcPr>
            <w:tcW w:w="7600" w:type="dxa"/>
            <w:vAlign w:val="bottom"/>
          </w:tcPr>
          <w:p>
            <w:pPr>
              <w:ind w:left="660"/>
              <w:spacing w:after="0"/>
              <w:rPr>
                <w:sz w:val="20"/>
                <w:szCs w:val="20"/>
                <w:color w:val="auto"/>
              </w:rPr>
            </w:pPr>
            <w:r>
              <w:rPr>
                <w:rFonts w:ascii="Arial" w:cs="Arial" w:eastAsia="Arial" w:hAnsi="Arial"/>
                <w:sz w:val="18"/>
                <w:szCs w:val="18"/>
                <w:color w:val="auto"/>
              </w:rPr>
              <w:t>Other accrued expenses</w:t>
            </w:r>
          </w:p>
        </w:tc>
        <w:tc>
          <w:tcPr>
            <w:tcW w:w="10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2,161</w:t>
            </w:r>
          </w:p>
        </w:tc>
      </w:tr>
      <w:tr>
        <w:trPr>
          <w:trHeight w:val="27"/>
        </w:trPr>
        <w:tc>
          <w:tcPr>
            <w:tcW w:w="7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Lease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7600" w:type="dxa"/>
            <w:vAlign w:val="bottom"/>
          </w:tcPr>
          <w:p>
            <w:pPr>
              <w:ind w:left="660"/>
              <w:spacing w:after="0"/>
              <w:rPr>
                <w:sz w:val="20"/>
                <w:szCs w:val="20"/>
                <w:color w:val="auto"/>
              </w:rPr>
            </w:pPr>
            <w:r>
              <w:rPr>
                <w:rFonts w:ascii="Arial" w:cs="Arial" w:eastAsia="Arial" w:hAnsi="Arial"/>
                <w:sz w:val="18"/>
                <w:szCs w:val="18"/>
                <w:color w:val="auto"/>
              </w:rPr>
              <w:t>Other long-term liabilities</w:t>
            </w:r>
          </w:p>
        </w:tc>
        <w:tc>
          <w:tcPr>
            <w:tcW w:w="1020" w:type="dxa"/>
            <w:vAlign w:val="bottom"/>
          </w:tcPr>
          <w:p>
            <w:pPr>
              <w:spacing w:after="0"/>
              <w:rPr>
                <w:sz w:val="21"/>
                <w:szCs w:val="21"/>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(416)</w:t>
            </w:r>
          </w:p>
        </w:tc>
      </w:tr>
      <w:tr>
        <w:trPr>
          <w:trHeight w:val="27"/>
        </w:trPr>
        <w:tc>
          <w:tcPr>
            <w:tcW w:w="76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3"/>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8,977</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4"/>
              </w:rPr>
              <w:t>10,805</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0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7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Investments in convertible note receivable</w:t>
            </w:r>
          </w:p>
        </w:tc>
        <w:tc>
          <w:tcPr>
            <w:tcW w:w="10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(2,000)</w:t>
            </w:r>
          </w:p>
        </w:tc>
      </w:tr>
      <w:tr>
        <w:trPr>
          <w:trHeight w:val="243"/>
        </w:trPr>
        <w:tc>
          <w:tcPr>
            <w:tcW w:w="7600" w:type="dxa"/>
            <w:vAlign w:val="bottom"/>
          </w:tcPr>
          <w:p>
            <w:pPr>
              <w:ind w:left="340"/>
              <w:spacing w:after="0"/>
              <w:rPr>
                <w:sz w:val="20"/>
                <w:szCs w:val="20"/>
                <w:color w:val="auto"/>
              </w:rPr>
            </w:pPr>
            <w:r>
              <w:rPr>
                <w:rFonts w:ascii="Arial" w:cs="Arial" w:eastAsia="Arial" w:hAnsi="Arial"/>
                <w:sz w:val="18"/>
                <w:szCs w:val="18"/>
                <w:color w:val="auto"/>
              </w:rPr>
              <w:t>Purchase of equipment</w:t>
            </w:r>
          </w:p>
        </w:tc>
        <w:tc>
          <w:tcPr>
            <w:tcW w:w="10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(2,107)</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w w:val="98"/>
              </w:rPr>
              <w:t>(1,689)</w:t>
            </w:r>
          </w:p>
        </w:tc>
      </w:tr>
      <w:tr>
        <w:trPr>
          <w:trHeight w:val="27"/>
        </w:trPr>
        <w:tc>
          <w:tcPr>
            <w:tcW w:w="76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3"/>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(2,107)</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8"/>
              </w:rPr>
              <w:t>(3,689)</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0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7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Repurchase of company stock</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(5,405)</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(1,706)</w:t>
            </w:r>
          </w:p>
        </w:tc>
      </w:tr>
      <w:tr>
        <w:trPr>
          <w:trHeight w:val="243"/>
        </w:trPr>
        <w:tc>
          <w:tcPr>
            <w:tcW w:w="7600" w:type="dxa"/>
            <w:vAlign w:val="bottom"/>
          </w:tcPr>
          <w:p>
            <w:pPr>
              <w:ind w:left="340"/>
              <w:spacing w:after="0"/>
              <w:rPr>
                <w:sz w:val="20"/>
                <w:szCs w:val="20"/>
                <w:color w:val="auto"/>
              </w:rPr>
            </w:pPr>
            <w:r>
              <w:rPr>
                <w:rFonts w:ascii="Arial" w:cs="Arial" w:eastAsia="Arial" w:hAnsi="Arial"/>
                <w:sz w:val="18"/>
                <w:szCs w:val="18"/>
                <w:color w:val="auto"/>
              </w:rPr>
              <w:t>Payment on term loan</w:t>
            </w:r>
          </w:p>
        </w:tc>
        <w:tc>
          <w:tcPr>
            <w:tcW w:w="10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w w:val="98"/>
              </w:rPr>
              <w:t>(3,500)</w:t>
            </w:r>
          </w:p>
        </w:tc>
      </w:tr>
      <w:tr>
        <w:trPr>
          <w:trHeight w:val="27"/>
        </w:trPr>
        <w:tc>
          <w:tcPr>
            <w:tcW w:w="7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Shares purchased as payment of tax withholding</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(6,096)</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(3,167)</w:t>
            </w:r>
          </w:p>
        </w:tc>
      </w:tr>
      <w:tr>
        <w:trPr>
          <w:trHeight w:val="243"/>
        </w:trPr>
        <w:tc>
          <w:tcPr>
            <w:tcW w:w="7600" w:type="dxa"/>
            <w:vAlign w:val="bottom"/>
          </w:tcPr>
          <w:p>
            <w:pPr>
              <w:ind w:left="340"/>
              <w:spacing w:after="0"/>
              <w:rPr>
                <w:sz w:val="20"/>
                <w:szCs w:val="20"/>
                <w:color w:val="auto"/>
              </w:rPr>
            </w:pPr>
            <w:r>
              <w:rPr>
                <w:rFonts w:ascii="Arial" w:cs="Arial" w:eastAsia="Arial" w:hAnsi="Arial"/>
                <w:sz w:val="18"/>
                <w:szCs w:val="18"/>
                <w:color w:val="auto"/>
              </w:rPr>
              <w:t>Proceeds from common stock issued under employee stock purchase plan</w:t>
            </w:r>
          </w:p>
        </w:tc>
        <w:tc>
          <w:tcPr>
            <w:tcW w:w="1020" w:type="dxa"/>
            <w:vAlign w:val="bottom"/>
          </w:tcPr>
          <w:p>
            <w:pPr>
              <w:spacing w:after="0"/>
              <w:rPr>
                <w:sz w:val="21"/>
                <w:szCs w:val="21"/>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653</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7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Exercise of options</w:t>
            </w:r>
          </w:p>
        </w:tc>
        <w:tc>
          <w:tcPr>
            <w:tcW w:w="10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565</w:t>
            </w: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Net Cash Used in Financing Activities</w:t>
            </w:r>
          </w:p>
        </w:tc>
        <w:tc>
          <w:tcPr>
            <w:tcW w:w="10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9"/>
              </w:rPr>
              <w:t>(12,274)</w:t>
            </w:r>
          </w:p>
        </w:tc>
        <w:tc>
          <w:tcPr>
            <w:tcW w:w="12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8"/>
              </w:rPr>
              <w:t>(7,808)</w:t>
            </w:r>
          </w:p>
        </w:tc>
      </w:tr>
      <w:tr>
        <w:trPr>
          <w:trHeight w:val="27"/>
        </w:trPr>
        <w:tc>
          <w:tcPr>
            <w:tcW w:w="7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Foreign Currency Effect on Cash</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(47)</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Decrease in Cash and Cash Equivalents:</w:t>
            </w:r>
          </w:p>
        </w:tc>
        <w:tc>
          <w:tcPr>
            <w:tcW w:w="10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b w:val="1"/>
                <w:bCs w:val="1"/>
                <w:color w:val="auto"/>
              </w:rPr>
              <w:t>(5,360)</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b w:val="1"/>
                <w:bCs w:val="1"/>
                <w:color w:val="auto"/>
              </w:rPr>
              <w:t>(739)</w:t>
            </w:r>
          </w:p>
        </w:tc>
      </w:tr>
      <w:tr>
        <w:trPr>
          <w:trHeight w:val="27"/>
        </w:trPr>
        <w:tc>
          <w:tcPr>
            <w:tcW w:w="7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 beginning of period</w:t>
            </w:r>
          </w:p>
        </w:tc>
        <w:tc>
          <w:tcPr>
            <w:tcW w:w="10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18,824</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4"/>
              </w:rPr>
              <w:t>16,652</w:t>
            </w:r>
          </w:p>
        </w:tc>
      </w:tr>
      <w:tr>
        <w:trPr>
          <w:trHeight w:val="236"/>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 end of period</w:t>
            </w:r>
          </w:p>
        </w:tc>
        <w:tc>
          <w:tcPr>
            <w:tcW w:w="1020" w:type="dxa"/>
            <w:vAlign w:val="bottom"/>
            <w:tcBorders>
              <w:top w:val="single" w:sz="8" w:color="auto"/>
              <w:bottom w:val="single" w:sz="8" w:color="auto"/>
            </w:tcBorders>
          </w:tcPr>
          <w:p>
            <w:pPr>
              <w:jc w:val="right"/>
              <w:ind w:right="836"/>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13,464</w:t>
            </w:r>
          </w:p>
        </w:tc>
        <w:tc>
          <w:tcPr>
            <w:tcW w:w="120" w:type="dxa"/>
            <w:vAlign w:val="bottom"/>
          </w:tcPr>
          <w:p>
            <w:pPr>
              <w:spacing w:after="0"/>
              <w:rPr>
                <w:sz w:val="20"/>
                <w:szCs w:val="20"/>
                <w:color w:val="auto"/>
              </w:rPr>
            </w:pPr>
          </w:p>
        </w:tc>
        <w:tc>
          <w:tcPr>
            <w:tcW w:w="1060" w:type="dxa"/>
            <w:vAlign w:val="bottom"/>
            <w:tcBorders>
              <w:top w:val="single" w:sz="8" w:color="auto"/>
              <w:bottom w:val="single" w:sz="8" w:color="auto"/>
            </w:tcBorders>
          </w:tcPr>
          <w:p>
            <w:pPr>
              <w:jc w:val="right"/>
              <w:ind w:right="874"/>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15,913</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17"/>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r>
      <w:tr>
        <w:trPr>
          <w:trHeight w:val="243"/>
        </w:trPr>
        <w:tc>
          <w:tcPr>
            <w:tcW w:w="7600" w:type="dxa"/>
            <w:vAlign w:val="bottom"/>
          </w:tcPr>
          <w:p>
            <w:pPr>
              <w:ind w:left="1100"/>
              <w:spacing w:after="0"/>
              <w:rPr>
                <w:sz w:val="20"/>
                <w:szCs w:val="20"/>
                <w:color w:val="auto"/>
              </w:rPr>
            </w:pPr>
            <w:r>
              <w:rPr>
                <w:rFonts w:ascii="Arial" w:cs="Arial" w:eastAsia="Arial" w:hAnsi="Arial"/>
                <w:sz w:val="18"/>
                <w:szCs w:val="18"/>
                <w:color w:val="auto"/>
              </w:rPr>
              <w:t>Cash paid for interest</w:t>
            </w:r>
          </w:p>
        </w:tc>
        <w:tc>
          <w:tcPr>
            <w:tcW w:w="1020" w:type="dxa"/>
            <w:vAlign w:val="bottom"/>
          </w:tcPr>
          <w:p>
            <w:pPr>
              <w:jc w:val="right"/>
              <w:ind w:right="836"/>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060" w:type="dxa"/>
            <w:vAlign w:val="bottom"/>
          </w:tcPr>
          <w:p>
            <w:pPr>
              <w:jc w:val="right"/>
              <w:ind w:right="874"/>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216</w:t>
            </w:r>
          </w:p>
        </w:tc>
      </w:tr>
      <w:tr>
        <w:trPr>
          <w:trHeight w:val="27"/>
        </w:trPr>
        <w:tc>
          <w:tcPr>
            <w:tcW w:w="7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43"/>
        </w:trPr>
        <w:tc>
          <w:tcPr>
            <w:tcW w:w="760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Cash paid for income taxes</w:t>
            </w:r>
          </w:p>
        </w:tc>
        <w:tc>
          <w:tcPr>
            <w:tcW w:w="102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1,377</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74"/>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1,195</w:t>
            </w:r>
          </w:p>
        </w:tc>
      </w:tr>
      <w:tr>
        <w:trPr>
          <w:trHeight w:val="27"/>
        </w:trPr>
        <w:tc>
          <w:tcPr>
            <w:tcW w:w="76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20"/>
          </w:cols>
          <w:pgMar w:left="320" w:top="895"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type w:val="continuous"/>
        </w:sectPr>
      </w:pPr>
    </w:p>
    <w:bookmarkStart w:id="8" w:name="page9"/>
    <w:bookmarkEnd w:id="8"/>
    <w:p>
      <w:pPr>
        <w:jc w:val="center"/>
        <w:ind w:left="360" w:right="2780"/>
        <w:spacing w:after="0" w:line="263" w:lineRule="auto"/>
        <w:rPr>
          <w:sz w:val="20"/>
          <w:szCs w:val="20"/>
          <w:color w:val="auto"/>
        </w:rPr>
      </w:pPr>
      <w:r>
        <w:rPr>
          <w:rFonts w:ascii="Arial" w:cs="Arial" w:eastAsia="Arial" w:hAnsi="Arial"/>
          <w:sz w:val="18"/>
          <w:szCs w:val="18"/>
          <w:color w:val="auto"/>
        </w:rPr>
        <w:t>LIFEVANTAGE CORPORATION AND SUBSIDIARIES NOTES TO CONDENSED CONSOLIDATED FINANCIAL STATEMENTS (Unaudited)</w:t>
      </w:r>
    </w:p>
    <w:p>
      <w:pPr>
        <w:spacing w:after="0" w:line="116"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These unaudited condensed consolidated financial statements and notes should be read in conjunction with the audited financial statements and notes of LifeVantage Corporation (the “Company”) as of and for the year ended June 30, 2019 included in the annual report on Form 10-K filed with the Securities and Exchange Commission (“SEC”) on August 14,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162"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LifeVantage Corporation is a company focused on biohacking the aging code through nutrigenomics, the study of how nutrition and naturally occurring compounds affect our genes to support good health. The Company is dedicated to helping people achieve their health, wellness and financial goals. The Company provides quality, scientifically-validated products to customers and distributors and a financially rewarding direct sales opportunity to independent distributors. The Company sells its products in the United States, Mexico, Japan, Australia, Hong Kong, Canada, Thailand, the United Kingdom, the Netherlands, Germany, Taiwan, Austria, Spain, Ireland, Belgium and New Zealand. The Company also sells its products in a number of countries to customers for personal consumption only. In addition, the Company sells its products in China through an e-commerce business model.</w:t>
      </w:r>
    </w:p>
    <w:p>
      <w:pPr>
        <w:spacing w:after="0" w:line="97" w:lineRule="exact"/>
        <w:rPr>
          <w:sz w:val="20"/>
          <w:szCs w:val="20"/>
          <w:color w:val="auto"/>
        </w:rPr>
      </w:pPr>
    </w:p>
    <w:p>
      <w:pPr>
        <w:ind w:right="140" w:firstLine="405"/>
        <w:spacing w:after="0" w:line="230" w:lineRule="auto"/>
        <w:rPr>
          <w:sz w:val="20"/>
          <w:szCs w:val="20"/>
          <w:color w:val="auto"/>
        </w:rPr>
      </w:pPr>
      <w:r>
        <w:rPr>
          <w:rFonts w:ascii="Arial" w:cs="Arial" w:eastAsia="Arial" w:hAnsi="Arial"/>
          <w:sz w:val="18"/>
          <w:szCs w:val="18"/>
          <w:color w:val="auto"/>
        </w:rPr>
        <w:t>The Company engages in the identification, research, development and distribution of advanced nutraceutical dietary supplements and skin and hair care products, including Protandim</w:t>
      </w:r>
      <w:r>
        <w:rPr>
          <w:rFonts w:ascii="Arial" w:cs="Arial" w:eastAsia="Arial" w:hAnsi="Arial"/>
          <w:sz w:val="23"/>
          <w:szCs w:val="23"/>
          <w:color w:val="auto"/>
          <w:vertAlign w:val="superscript"/>
        </w:rPr>
        <w:t>®</w:t>
      </w:r>
      <w:r>
        <w:rPr>
          <w:rFonts w:ascii="Arial" w:cs="Arial" w:eastAsia="Arial" w:hAnsi="Arial"/>
          <w:sz w:val="18"/>
          <w:szCs w:val="18"/>
          <w:color w:val="auto"/>
        </w:rPr>
        <w:t>, its line of scientifically-validated dietary supplements, LifeVantage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Omega+ and ProBio dietary supplements, TrueScience</w:t>
      </w:r>
      <w:r>
        <w:rPr>
          <w:rFonts w:ascii="Arial" w:cs="Arial" w:eastAsia="Arial" w:hAnsi="Arial"/>
          <w:sz w:val="23"/>
          <w:szCs w:val="23"/>
          <w:color w:val="auto"/>
          <w:vertAlign w:val="superscript"/>
        </w:rPr>
        <w:t>®</w:t>
      </w:r>
      <w:r>
        <w:rPr>
          <w:rFonts w:ascii="Arial" w:cs="Arial" w:eastAsia="Arial" w:hAnsi="Arial"/>
          <w:sz w:val="18"/>
          <w:szCs w:val="18"/>
          <w:color w:val="auto"/>
        </w:rPr>
        <w:t>, its line of skin and hair care products, Petandim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for Dogs, its companion pet supplement formulated to combat oxidative stress in dogs, Axio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Smart Energy Drink mixes, and PhysIQ</w:t>
      </w:r>
      <w:r>
        <w:rPr>
          <w:rFonts w:ascii="Arial" w:cs="Arial" w:eastAsia="Arial" w:hAnsi="Arial"/>
          <w:sz w:val="23"/>
          <w:szCs w:val="23"/>
          <w:color w:val="auto"/>
          <w:vertAlign w:val="superscript"/>
        </w:rPr>
        <w:t>™</w:t>
      </w:r>
      <w:r>
        <w:rPr>
          <w:rFonts w:ascii="Arial" w:cs="Arial" w:eastAsia="Arial" w:hAnsi="Arial"/>
          <w:sz w:val="18"/>
          <w:szCs w:val="18"/>
          <w:color w:val="auto"/>
        </w:rPr>
        <w:t>, its Smart Weight Management System.</w:t>
      </w:r>
    </w:p>
    <w:p>
      <w:pPr>
        <w:spacing w:after="0" w:line="40"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condensed consolidated financial statements included herein have been prepared by the Company’s management, without audit, pursuant to the rules and regulations of the SEC. In the opinion of the Company’s management, these interim financial statements include all adjustments that are considered necessary for a fair presentation of its financial position as of March 31, 2020, and the results of operations for the three and nine months ended March 31, 2020 and 2019, and the cash flows for the nine months ended March 31, 2020 and 2019. Interim results are not necessarily indicative of results for a full year or for any future period. Certain amounts in the prior year financial statements have been reclassified for comparative purposes in order to conform with current year presentation.</w:t>
      </w:r>
    </w:p>
    <w:p>
      <w:pPr>
        <w:spacing w:after="0" w:line="125"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The condensed consolidated financial statements and notes included herein are presented as required by Form 10-Q, and do not contain certain information included in the Company’s audited financial statements and notes for the fiscal year ended June 30, 2019, pursuant to the rules and regulations of the SEC. For further information, refer to the financial statements and notes thereto as of and for the year ended June 30, 2019, and included in the annual report on Form 10-K on file with the SEC.</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162" w:lineRule="exact"/>
        <w:rPr>
          <w:sz w:val="20"/>
          <w:szCs w:val="20"/>
          <w:color w:val="auto"/>
        </w:rPr>
      </w:pPr>
    </w:p>
    <w:p>
      <w:pPr>
        <w:ind w:right="880" w:firstLine="445"/>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wholly-owned subsidiaries. All significant intercompany accounts and transactions are eliminated in consolidation.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48"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The Company prepares the condensed consolidated financial statements and related disclosures in conformity with accounting principles generally accepted in the United States of America (GAAP). In preparing these statements, the Company is required to use estimates and assumptions that affect the reported amounts of assets and liabilities, the disclosure of contingent assets and liabilities at the date of the financial statements and the reported amounts of revenue and expenses during the reporting period. Actual results could differ materially from those estimates and assumptions. On an ongoing basis, the Company reviews its estimates, including, but not limited to, those related to inventory valuation and obsolescence, sales returns, income taxes and tax valuation reserves, transfer pricing methodology and positions, impairment of assets, share-based compensation, and loss contingencies.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62" w:lineRule="exact"/>
        <w:rPr>
          <w:sz w:val="20"/>
          <w:szCs w:val="20"/>
          <w:color w:val="auto"/>
        </w:rPr>
      </w:pPr>
    </w:p>
    <w:p>
      <w:pPr>
        <w:ind w:firstLine="405"/>
        <w:spacing w:after="0" w:line="301" w:lineRule="auto"/>
        <w:rPr>
          <w:sz w:val="20"/>
          <w:szCs w:val="20"/>
          <w:color w:val="auto"/>
        </w:rPr>
      </w:pPr>
      <w:r>
        <w:rPr>
          <w:rFonts w:ascii="Arial" w:cs="Arial" w:eastAsia="Arial" w:hAnsi="Arial"/>
          <w:sz w:val="16"/>
          <w:szCs w:val="16"/>
          <w:color w:val="auto"/>
        </w:rPr>
        <w:t>A portion of the Company’s business operations occurs outside the United States. The local currency of each of the Company’s subsidiaries is generally its functional currency. All assets and liabilities are translated into U.S. dollars at exchange rates existing at the balance sheet dates, revenue and expenses are translated at weighted-average exchange rates and stockholders’ equity is recorded at historical exchange rates. The resulting foreign currency translation adjustments are recorded as a separate component of stockholders’ equity in the condensed consolidated balance sheets and as a component of</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9" w:name="page10"/>
    <w:bookmarkEnd w:id="9"/>
    <w:p>
      <w:pPr>
        <w:ind w:right="280"/>
        <w:spacing w:after="0" w:line="259" w:lineRule="auto"/>
        <w:rPr>
          <w:sz w:val="20"/>
          <w:szCs w:val="20"/>
          <w:color w:val="auto"/>
        </w:rPr>
      </w:pPr>
      <w:r>
        <w:rPr>
          <w:rFonts w:ascii="Arial" w:cs="Arial" w:eastAsia="Arial" w:hAnsi="Arial"/>
          <w:sz w:val="18"/>
          <w:szCs w:val="18"/>
          <w:color w:val="auto"/>
        </w:rPr>
        <w:t>comprehensive income. Transaction gains and losses are included in other expense, net in the condensed consolidated statements of operations and comprehensive income. For the three months ended March 31, 2020 and 2019, net foreign currency losses of $0.5 million and $44,000, respectively, are recorded in other expense, net. For the nine months ended March 31, 2020 and 2019, net foreign currency losses of $0.5 million and $0.1 million, respectively, are recorded in other expense, net.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162" w:lineRule="exact"/>
        <w:rPr>
          <w:sz w:val="20"/>
          <w:szCs w:val="20"/>
          <w:color w:val="auto"/>
        </w:rPr>
      </w:pPr>
    </w:p>
    <w:p>
      <w:pPr>
        <w:ind w:right="160" w:firstLine="405"/>
        <w:spacing w:after="0" w:line="263" w:lineRule="auto"/>
        <w:rPr>
          <w:sz w:val="20"/>
          <w:szCs w:val="20"/>
          <w:color w:val="auto"/>
        </w:rPr>
      </w:pPr>
      <w:r>
        <w:rPr>
          <w:rFonts w:ascii="Arial" w:cs="Arial" w:eastAsia="Arial" w:hAnsi="Arial"/>
          <w:sz w:val="18"/>
          <w:szCs w:val="18"/>
          <w:color w:val="auto"/>
        </w:rPr>
        <w:t>The Company's subsidiaries enter into transactions with each other which may not be denominated in the respective subsidiaries' functional currencies. The Company seeks to reduce its exposure to fluctuations in foreign exchange rates through the use of derivatives. The Company does not use such derivative financial instruments for trading or speculative purposes.</w:t>
      </w:r>
    </w:p>
    <w:p>
      <w:pPr>
        <w:spacing w:after="0" w:line="116" w:lineRule="exact"/>
        <w:rPr>
          <w:sz w:val="20"/>
          <w:szCs w:val="20"/>
          <w:color w:val="auto"/>
        </w:rPr>
      </w:pPr>
    </w:p>
    <w:p>
      <w:pPr>
        <w:ind w:right="40" w:firstLine="405"/>
        <w:spacing w:after="0" w:line="275" w:lineRule="auto"/>
        <w:rPr>
          <w:sz w:val="20"/>
          <w:szCs w:val="20"/>
          <w:color w:val="auto"/>
        </w:rPr>
      </w:pPr>
      <w:r>
        <w:rPr>
          <w:rFonts w:ascii="Arial" w:cs="Arial" w:eastAsia="Arial" w:hAnsi="Arial"/>
          <w:sz w:val="17"/>
          <w:szCs w:val="17"/>
          <w:color w:val="auto"/>
        </w:rPr>
        <w:t>To hedge risks associated with the foreign-currency-denominated intercompany transactions, the Company entered into forward foreign exchange contracts which were all settled by the end of March 2020 and were not designated for hedge accounting. For the three months ended March 31, 2020 and 2019, a realized gain of $0.1 million and a realized loss of $0.1 million, respectively, related to forward contracts, are recorded in other expense, net. For the nine months ended March 31, 2020 and 2019, realized losses of $0.2 million and $0.2 million, respectively, related to forward contracts, are recorded in other expense, net. The Company did not hold any derivative instruments at March 31, 2020.</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considers only its monetary liquid assets with original maturities of three months or less as cash and cash equivalents.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48"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Accounting guidance for financial instruments requires disclosure of significant concentrations of credit risk regardless of the degree of such risk. Financial instruments with significant credit risk include cash and investments. At March 31, 2020, the Company had $9.2 million in cash accounts at one financial institution and $4.3 million in accounts at other financial institutions. As of March 31, 2020 and June 30, 2019, and during the periods then ended, the Company’s cash balances exceeded federally insured limits.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62" w:lineRule="exact"/>
        <w:rPr>
          <w:sz w:val="20"/>
          <w:szCs w:val="20"/>
          <w:color w:val="auto"/>
        </w:rPr>
      </w:pPr>
    </w:p>
    <w:p>
      <w:pPr>
        <w:ind w:right="120" w:firstLine="445"/>
        <w:spacing w:after="0" w:line="259" w:lineRule="auto"/>
        <w:rPr>
          <w:sz w:val="20"/>
          <w:szCs w:val="20"/>
          <w:color w:val="auto"/>
        </w:rPr>
      </w:pPr>
      <w:r>
        <w:rPr>
          <w:rFonts w:ascii="Arial" w:cs="Arial" w:eastAsia="Arial" w:hAnsi="Arial"/>
          <w:sz w:val="18"/>
          <w:szCs w:val="18"/>
          <w:color w:val="auto"/>
        </w:rPr>
        <w:t>The Company’s accounts receivable as of March 31, 2020 and June 30, 2019 consist primarily of credit card receivables. Based on the Company’s verification process for customer credit cards and historical information available, management has determined that an allowance for doubtful accounts on credit card sales related to its customer sales as of March 31, 2020 is not necessary. No bad debt expense was recorded during the three and nine months ended March 31, 2020 and 2019.</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2020 and June 30, 2019, inventory consisted of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60" w:type="dxa"/>
            <w:vAlign w:val="bottom"/>
            <w:gridSpan w:val="3"/>
          </w:tcPr>
          <w:p>
            <w:pPr>
              <w:jc w:val="center"/>
              <w:ind w:left="417"/>
              <w:spacing w:after="0"/>
              <w:rPr>
                <w:sz w:val="20"/>
                <w:szCs w:val="20"/>
                <w:color w:val="auto"/>
              </w:rPr>
            </w:pPr>
            <w:r>
              <w:rPr>
                <w:rFonts w:ascii="Arial" w:cs="Arial" w:eastAsia="Arial" w:hAnsi="Arial"/>
                <w:sz w:val="14"/>
                <w:szCs w:val="14"/>
                <w:b w:val="1"/>
                <w:bCs w:val="1"/>
                <w:color w:val="auto"/>
                <w:w w:val="99"/>
              </w:rPr>
              <w:t>March 31,</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40" w:type="dxa"/>
            <w:vAlign w:val="bottom"/>
            <w:gridSpan w:val="3"/>
          </w:tcPr>
          <w:p>
            <w:pPr>
              <w:jc w:val="center"/>
              <w:ind w:left="437"/>
              <w:spacing w:after="0"/>
              <w:rPr>
                <w:sz w:val="20"/>
                <w:szCs w:val="20"/>
                <w:color w:val="auto"/>
              </w:rPr>
            </w:pPr>
            <w:r>
              <w:rPr>
                <w:rFonts w:ascii="Arial" w:cs="Arial" w:eastAsia="Arial" w:hAnsi="Arial"/>
                <w:sz w:val="14"/>
                <w:szCs w:val="14"/>
                <w:b w:val="1"/>
                <w:bCs w:val="1"/>
                <w:color w:val="auto"/>
                <w:w w:val="92"/>
              </w:rPr>
              <w:t>June 30,</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92"/>
        </w:trPr>
        <w:tc>
          <w:tcPr>
            <w:tcW w:w="5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249"/>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10,330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9,903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Raw materials</w:t>
            </w:r>
          </w:p>
        </w:tc>
        <w:tc>
          <w:tcPr>
            <w:tcW w:w="420" w:type="dxa"/>
            <w:vAlign w:val="bottom"/>
          </w:tcPr>
          <w:p>
            <w:pPr>
              <w:spacing w:after="0"/>
              <w:rPr>
                <w:sz w:val="21"/>
                <w:szCs w:val="21"/>
                <w:color w:val="auto"/>
              </w:rPr>
            </w:pPr>
          </w:p>
        </w:tc>
        <w:tc>
          <w:tcPr>
            <w:tcW w:w="980" w:type="dxa"/>
            <w:vAlign w:val="bottom"/>
          </w:tcPr>
          <w:p>
            <w:pPr>
              <w:jc w:val="right"/>
              <w:ind w:right="57"/>
              <w:spacing w:after="0"/>
              <w:rPr>
                <w:sz w:val="20"/>
                <w:szCs w:val="20"/>
                <w:color w:val="auto"/>
              </w:rPr>
            </w:pPr>
            <w:r>
              <w:rPr>
                <w:rFonts w:ascii="Arial" w:cs="Arial" w:eastAsia="Arial" w:hAnsi="Arial"/>
                <w:sz w:val="18"/>
                <w:szCs w:val="18"/>
                <w:color w:val="auto"/>
              </w:rPr>
              <w:t>4,410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jc w:val="right"/>
              <w:ind w:right="57"/>
              <w:spacing w:after="0"/>
              <w:rPr>
                <w:sz w:val="20"/>
                <w:szCs w:val="20"/>
                <w:color w:val="auto"/>
              </w:rPr>
            </w:pPr>
            <w:r>
              <w:rPr>
                <w:rFonts w:ascii="Arial" w:cs="Arial" w:eastAsia="Arial" w:hAnsi="Arial"/>
                <w:sz w:val="18"/>
                <w:szCs w:val="18"/>
                <w:color w:val="auto"/>
              </w:rPr>
              <w:t>3,850</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5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89"/>
        </w:trPr>
        <w:tc>
          <w:tcPr>
            <w:tcW w:w="5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inventory</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14,740</w:t>
            </w:r>
          </w:p>
        </w:tc>
        <w:tc>
          <w:tcPr>
            <w:tcW w:w="1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13,753</w:t>
            </w: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160" w:firstLine="405"/>
        <w:spacing w:after="0" w:line="308" w:lineRule="auto"/>
        <w:rPr>
          <w:sz w:val="20"/>
          <w:szCs w:val="20"/>
          <w:color w:val="auto"/>
        </w:rPr>
      </w:pPr>
      <w:r>
        <w:rPr>
          <w:rFonts w:ascii="Arial" w:cs="Arial" w:eastAsia="Arial" w:hAnsi="Arial"/>
          <w:sz w:val="17"/>
          <w:szCs w:val="17"/>
          <w:color w:val="auto"/>
        </w:rPr>
        <w:t>Inventories are carried at the lower of cost or net realizable value, using the first-in, first-out method, which includes a reduction in inventory values of $0.2 million and $0.2 million at March 31, 2020 and June 30, 2019, respectively, related to obsolete and slow-moving inventory.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62"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The Company accounts for assets and liabilities using a hierarchy of valuation techniques based on whether the inputs to those valuation techniques are observable or unobservable. Observable inputs reflect market data obtained from independent sources, while unobservable inputs reflect the Company's market assumptions. These two types of inputs have created the fair-value hierarchy below. This hierarchy requires the Company to minimize the use of unobservable inputs and to use observable market data, if available, when determining fair value.</w:t>
      </w:r>
    </w:p>
    <w:p>
      <w:pPr>
        <w:spacing w:after="0" w:line="9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1—Quoted prices for identical instruments in active markets;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0" w:name="page11"/>
    <w:bookmarkEnd w:id="10"/>
    <w:p>
      <w:pPr>
        <w:ind w:left="660" w:right="140" w:hanging="328"/>
        <w:spacing w:after="0" w:line="308"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color w:val="auto"/>
        </w:rPr>
        <w:t>Level 2—Quoted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spacing w:after="0" w:line="65"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Level 3—Valuations derived from valuation techniques in which one or more significant inputs or significant value drivers are unobservable.</w:t>
      </w:r>
    </w:p>
    <w:p>
      <w:pPr>
        <w:spacing w:after="0" w:line="169" w:lineRule="exact"/>
        <w:rPr>
          <w:sz w:val="20"/>
          <w:szCs w:val="20"/>
          <w:color w:val="auto"/>
        </w:rPr>
      </w:pPr>
    </w:p>
    <w:p>
      <w:pPr>
        <w:ind w:right="300" w:firstLine="405"/>
        <w:spacing w:after="0" w:line="263" w:lineRule="auto"/>
        <w:rPr>
          <w:sz w:val="20"/>
          <w:szCs w:val="20"/>
          <w:color w:val="auto"/>
        </w:rPr>
      </w:pPr>
      <w:r>
        <w:rPr>
          <w:rFonts w:ascii="Arial" w:cs="Arial" w:eastAsia="Arial" w:hAnsi="Arial"/>
          <w:sz w:val="18"/>
          <w:szCs w:val="18"/>
          <w:color w:val="auto"/>
        </w:rPr>
        <w:t>Equity securities held by the Company are measured at fair value on a nonrecurring basis; that is, the assets are not measured at fair value on an ongoing basis, but are subject to fair value adjustments using fair value measurements with unobservable inputs (level 3), in certain circumstances (e.g., when there is evidence of impairment).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48"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Revenue is recognized when control of the promised goods or services are transferred to the customer, in an amount that reflects the consideration the Company expects to be entitled to in exchange for those goods or services. Sales, value add, and other taxes the Company collects concurrent with revenue-producing activities are excluded from revenue.</w:t>
      </w:r>
    </w:p>
    <w:p>
      <w:pPr>
        <w:spacing w:after="0" w:line="116" w:lineRule="exact"/>
        <w:rPr>
          <w:sz w:val="20"/>
          <w:szCs w:val="20"/>
          <w:color w:val="auto"/>
        </w:rPr>
      </w:pPr>
    </w:p>
    <w:p>
      <w:pPr>
        <w:ind w:right="40" w:firstLine="445"/>
        <w:spacing w:after="0" w:line="228" w:lineRule="auto"/>
        <w:rPr>
          <w:sz w:val="20"/>
          <w:szCs w:val="20"/>
          <w:color w:val="auto"/>
        </w:rPr>
      </w:pPr>
      <w:r>
        <w:rPr>
          <w:rFonts w:ascii="Arial" w:cs="Arial" w:eastAsia="Arial" w:hAnsi="Arial"/>
          <w:sz w:val="18"/>
          <w:szCs w:val="18"/>
          <w:color w:val="auto"/>
        </w:rPr>
        <w:t>The Company generates the majority of its revenue through product sales to customers. These products include the Protandim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line of dietary supplements, LifeVantage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Omega+ and ProBio dietary supplements, the TrueScience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line of Nrf2-infused skin and hair care products, Petandim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for Dogs, Axio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Smart Energy Drink mixes, and the PhysIQ</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Smart Weight Management System. The Company ships most of its product directly to the consumer and receives substantially all payment for product sales in the form of credit card receipts. Revenue from direct product sales to customers is recognized upon shipment, which is when passage of title and risk of loss occurs. For items sold in packs and bundles, the Company determines the standalone selling price at contract inception for each distinct good, and then allocates the transaction price on a relative standalone selling price basis. Any discounts are accounted for as a direct reduction to the transaction price. Shipping and handling revenue is recognized upon shipment when the performance obligation is completed.</w:t>
      </w:r>
    </w:p>
    <w:p>
      <w:pPr>
        <w:spacing w:after="0" w:line="140" w:lineRule="exact"/>
        <w:rPr>
          <w:sz w:val="20"/>
          <w:szCs w:val="20"/>
          <w:color w:val="auto"/>
        </w:rPr>
      </w:pPr>
    </w:p>
    <w:p>
      <w:pPr>
        <w:ind w:right="100" w:firstLine="445"/>
        <w:spacing w:after="0" w:line="279" w:lineRule="auto"/>
        <w:rPr>
          <w:sz w:val="20"/>
          <w:szCs w:val="20"/>
          <w:color w:val="auto"/>
        </w:rPr>
      </w:pPr>
      <w:r>
        <w:rPr>
          <w:rFonts w:ascii="Arial" w:cs="Arial" w:eastAsia="Arial" w:hAnsi="Arial"/>
          <w:sz w:val="17"/>
          <w:szCs w:val="17"/>
          <w:color w:val="auto"/>
        </w:rPr>
        <w:t>The Company also charges independent distributors to attend certain events held by the Company. Tickets to events are sold as standalone items or included within packs. For event tickets sold in packs, the Company allocates a portion of the transaction price to the ticket on a relative standalone selling price basis. Any discounts are accounted for as a direct reduction to the transaction price. Fee revenue associated with ticket sales is recorded in the month that the event is held, which is when the Company has performed its obligations under the contract.</w:t>
      </w:r>
    </w:p>
    <w:p>
      <w:pPr>
        <w:spacing w:after="0" w:line="90" w:lineRule="exact"/>
        <w:rPr>
          <w:sz w:val="20"/>
          <w:szCs w:val="20"/>
          <w:color w:val="auto"/>
        </w:rPr>
      </w:pPr>
    </w:p>
    <w:p>
      <w:pPr>
        <w:ind w:right="60" w:firstLine="445"/>
        <w:spacing w:after="0"/>
        <w:rPr>
          <w:sz w:val="20"/>
          <w:szCs w:val="20"/>
          <w:color w:val="auto"/>
        </w:rPr>
      </w:pPr>
      <w:r>
        <w:rPr>
          <w:rFonts w:ascii="Arial" w:cs="Arial" w:eastAsia="Arial" w:hAnsi="Arial"/>
          <w:sz w:val="18"/>
          <w:szCs w:val="18"/>
          <w:color w:val="auto"/>
        </w:rPr>
        <w:t>Estimated returns are recorded when product is shipped. Subject to some exceptions based on local regulations, the Company’s return policy is to provide a full refund for product returned within 30 days. After 30 days of purchase, only unopened product that is in a resalable and restockable condition may be returned within twelve months of purchase and shall receive a 100% refund, less a 10% handling and restocking fee and any shipping and handling costs. The Company establishes a refund liability reserve, and an asset reserve for its right to recover products, based on historical experience. The returns asset reserve and returns liability reserve are evaluated on a quarterly basis. As of March 31, 2020 and June 30, 2019, the returns liability reserve, net was $0.3 million and $0.4 million,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and Handling</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Shipping and handling costs associated with inbound freight and freight out to customers and independent distributors are included in cost of sales.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Shipping and handling fees charged to customers are included in revenue.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62" w:lineRule="exact"/>
        <w:rPr>
          <w:sz w:val="20"/>
          <w:szCs w:val="20"/>
          <w:color w:val="auto"/>
        </w:rPr>
      </w:pPr>
    </w:p>
    <w:p>
      <w:pPr>
        <w:ind w:right="180" w:firstLine="445"/>
        <w:spacing w:after="0" w:line="263" w:lineRule="auto"/>
        <w:rPr>
          <w:sz w:val="20"/>
          <w:szCs w:val="20"/>
          <w:color w:val="auto"/>
        </w:rPr>
      </w:pPr>
      <w:r>
        <w:rPr>
          <w:rFonts w:ascii="Arial" w:cs="Arial" w:eastAsia="Arial" w:hAnsi="Arial"/>
          <w:sz w:val="18"/>
          <w:szCs w:val="18"/>
          <w:color w:val="auto"/>
        </w:rPr>
        <w:t>The Company expenses all costs related to research and development activities, as incurred. Research and development expenses for the three months ended March 31, 2020 and 2019 were $0.2 million and $0.1 million, respectively. Research and development expenses for the nine months ended March 31, 2020 and 2019 were $0.8 million and $1.0 million,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48" w:lineRule="exact"/>
        <w:rPr>
          <w:sz w:val="20"/>
          <w:szCs w:val="20"/>
          <w:color w:val="auto"/>
        </w:rPr>
      </w:pPr>
    </w:p>
    <w:p>
      <w:pPr>
        <w:ind w:right="120" w:firstLine="445"/>
        <w:spacing w:after="0" w:line="286" w:lineRule="auto"/>
        <w:rPr>
          <w:sz w:val="20"/>
          <w:szCs w:val="20"/>
          <w:color w:val="auto"/>
        </w:rPr>
      </w:pPr>
      <w:r>
        <w:rPr>
          <w:rFonts w:ascii="Arial" w:cs="Arial" w:eastAsia="Arial" w:hAnsi="Arial"/>
          <w:sz w:val="17"/>
          <w:szCs w:val="17"/>
          <w:color w:val="auto"/>
        </w:rPr>
        <w:t>The Company accounts for leases in accordance with Accounting Standards Codification ("ASC") 842. The Company reviews all contracts and determines if the arrangement is or contains a lease, at inception. Operating leases are included in right-of-use (“ROU”) assets, current lease liabilities and long-term lease liabilities on the condensed consolidated balance sheets. The Company does not have any finance leases.</w:t>
      </w:r>
    </w:p>
    <w:p>
      <w:pPr>
        <w:spacing w:after="0" w:line="98" w:lineRule="exact"/>
        <w:rPr>
          <w:sz w:val="20"/>
          <w:szCs w:val="20"/>
          <w:color w:val="auto"/>
        </w:rPr>
      </w:pPr>
    </w:p>
    <w:p>
      <w:pPr>
        <w:ind w:right="100" w:firstLine="445"/>
        <w:spacing w:after="0" w:line="257" w:lineRule="auto"/>
        <w:rPr>
          <w:sz w:val="20"/>
          <w:szCs w:val="20"/>
          <w:color w:val="auto"/>
        </w:rPr>
      </w:pPr>
      <w:r>
        <w:rPr>
          <w:rFonts w:ascii="Arial" w:cs="Arial" w:eastAsia="Arial" w:hAnsi="Arial"/>
          <w:sz w:val="18"/>
          <w:szCs w:val="18"/>
          <w:color w:val="auto"/>
        </w:rPr>
        <w:t>Operating lease ROU assets represent the Company’s right to use an underlying asset for the lease term and lease liabilities represent the Company’s obligation to make lease payments arising from the lease. ROU assets and lease liabilities are recognized at the lease commencement date based on the estimated present value of lease payments over the lease term. The Company uses its estimated incremental borrowing rate based on the information available at commencement date in determining the present value of future payments. The operating lease ROU asset also includes any upfront lease payments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1" w:name="page12"/>
    <w:bookmarkEnd w:id="11"/>
    <w:p>
      <w:pPr>
        <w:ind w:right="60"/>
        <w:spacing w:after="0" w:line="259" w:lineRule="auto"/>
        <w:rPr>
          <w:sz w:val="20"/>
          <w:szCs w:val="20"/>
          <w:color w:val="auto"/>
        </w:rPr>
      </w:pPr>
      <w:r>
        <w:rPr>
          <w:rFonts w:ascii="Arial" w:cs="Arial" w:eastAsia="Arial" w:hAnsi="Arial"/>
          <w:sz w:val="18"/>
          <w:szCs w:val="18"/>
          <w:color w:val="auto"/>
        </w:rPr>
        <w:t>made and excludes lease incentives and initial direct costs incurred. The Company’s lease terms may include options to extend or terminate the lease when it is reasonably certain that the Company will exercise that option. Lease expense for minimum lease payments is recognized on a straight-line basis over the lease term. Leases with a term of 12 months or less are not recorded on the balance sheet. The Company’s lease agreements do not contain any residual value guarantees.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62" w:lineRule="exact"/>
        <w:rPr>
          <w:sz w:val="20"/>
          <w:szCs w:val="20"/>
          <w:color w:val="auto"/>
        </w:rPr>
      </w:pPr>
    </w:p>
    <w:p>
      <w:pPr>
        <w:jc w:val="both"/>
        <w:ind w:right="100" w:firstLine="405"/>
        <w:spacing w:after="0" w:line="301" w:lineRule="auto"/>
        <w:rPr>
          <w:sz w:val="20"/>
          <w:szCs w:val="20"/>
          <w:color w:val="auto"/>
        </w:rPr>
      </w:pPr>
      <w:r>
        <w:rPr>
          <w:rFonts w:ascii="Arial" w:cs="Arial" w:eastAsia="Arial" w:hAnsi="Arial"/>
          <w:sz w:val="16"/>
          <w:szCs w:val="16"/>
          <w:color w:val="auto"/>
        </w:rPr>
        <w:t>The Company recognizes stock-based compensation by measuring the cost of services to be rendered based on the grant date fair value of the equity award. The Company recognizes stock-based compensation, net of any estimated forfeitures, over the period an employee is required to provide service in exchange for the award, generally referred to as the requisite service period. For awards with market-based performance conditions, the cost of the awards is recognized as the requisite service is rendered by employees, regardless of when, if ever, the market-based performance conditions are satisfied.</w:t>
      </w:r>
    </w:p>
    <w:p>
      <w:pPr>
        <w:spacing w:after="0" w:line="90"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The Black-Scholes option pricing model is used to estimate the fair value of stock options and options under the Company's 2019 Employee Stock Purchase Plan. The determination of the fair value of options is affected by the Company's stock price and a number of assumptions, including expected volatility, expected life, risk-free interest rate and expected dividends. The Company uses historical data for estimating the expected volatility and expected life of stock options required in the Black-Scholes model. The risk-free interest rate assumption is based on observed interest rates appropriate for the expected terms of the stock options.</w:t>
      </w:r>
    </w:p>
    <w:p>
      <w:pPr>
        <w:spacing w:after="0" w:line="107"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The fair value of restricted stock grants is based on the closing market price of the Company's stock on the date of grant less the Company's expected dividend yield. The fair value of performance restricted stock units that include market-based performance conditions is based on the closing market price of the Company's stock on the date of grant less the Company's expected dividend yield, with further adjustments made to reflect the market conditions that must be satisfied in order for the units to vest by using a Monte-Carlo simulation model. Key assumptions for the Monte-Carlo simulation model include the risk-free rate, expected volatility, expected dividends and the correlation coefficient. The fair value of cash-settled performance-based awards, accounted for as liabilities, is remeasured at the end of each reporting period and is based on the closing market price of the Company’s stock on the last day of the reporting period. The Company recognizes compensation costs for awards with performance conditions when it concludes it is probable that the performance conditions will be achieved. The Company reassesses the probability of vesting at each balance sheet date and adjusts compensation costs accordingly.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62" w:lineRule="exact"/>
        <w:rPr>
          <w:sz w:val="20"/>
          <w:szCs w:val="20"/>
          <w:color w:val="auto"/>
        </w:rPr>
      </w:pPr>
    </w:p>
    <w:p>
      <w:pPr>
        <w:ind w:right="40" w:firstLine="445"/>
        <w:spacing w:after="0" w:line="271" w:lineRule="auto"/>
        <w:rPr>
          <w:sz w:val="20"/>
          <w:szCs w:val="20"/>
          <w:color w:val="auto"/>
        </w:rPr>
      </w:pPr>
      <w:r>
        <w:rPr>
          <w:rFonts w:ascii="Arial" w:cs="Arial" w:eastAsia="Arial" w:hAnsi="Arial"/>
          <w:sz w:val="17"/>
          <w:szCs w:val="17"/>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statutory tax rates expected to apply to taxable income in the years in which those temporary differences are expected to be recovered or settled, updated as needed for changes in corporate tax rates. The effect on deferred tax assets and liabilities from a change in tax rates is recognized in income in the period that includes the effective date of the change. The Company recognizes tax liabilities or benefits from an uncertain position only if it is more likely than not that the position will be sustained upon examination by taxing authorities based on the technical merits of the issue. The amount recognized would be the largest liability or benefit that the Company believes has greater than a 50% likelihood of being realized upon settlement.</w:t>
      </w:r>
    </w:p>
    <w:p>
      <w:pPr>
        <w:spacing w:after="0" w:line="97" w:lineRule="exact"/>
        <w:rPr>
          <w:sz w:val="20"/>
          <w:szCs w:val="20"/>
          <w:color w:val="auto"/>
        </w:rPr>
      </w:pPr>
    </w:p>
    <w:p>
      <w:pPr>
        <w:ind w:right="260" w:firstLine="445"/>
        <w:spacing w:after="0" w:line="263" w:lineRule="auto"/>
        <w:rPr>
          <w:sz w:val="20"/>
          <w:szCs w:val="20"/>
          <w:color w:val="auto"/>
        </w:rPr>
      </w:pPr>
      <w:r>
        <w:rPr>
          <w:rFonts w:ascii="Arial" w:cs="Arial" w:eastAsia="Arial" w:hAnsi="Arial"/>
          <w:sz w:val="18"/>
          <w:szCs w:val="18"/>
          <w:color w:val="auto"/>
        </w:rPr>
        <w:t>For the nine months ended March 31, 2020 and 2019, the Company recognized income tax expense of $0.8 million and $0.2 million, respectively, which is reflective of the Company’s current estimated federal, state and foreign effective tax rate. Realization of deferred tax assets is dependent upon future earnings in specific tax jurisdictions, the timing and amount of which are uncertain.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Per Share</w:t>
      </w:r>
    </w:p>
    <w:p>
      <w:pPr>
        <w:spacing w:after="0" w:line="162" w:lineRule="exact"/>
        <w:rPr>
          <w:sz w:val="20"/>
          <w:szCs w:val="20"/>
          <w:color w:val="auto"/>
        </w:rPr>
      </w:pPr>
    </w:p>
    <w:p>
      <w:pPr>
        <w:ind w:right="80" w:firstLine="445"/>
        <w:spacing w:after="0" w:line="263" w:lineRule="auto"/>
        <w:rPr>
          <w:sz w:val="20"/>
          <w:szCs w:val="20"/>
          <w:color w:val="auto"/>
        </w:rPr>
      </w:pPr>
      <w:r>
        <w:rPr>
          <w:rFonts w:ascii="Arial" w:cs="Arial" w:eastAsia="Arial" w:hAnsi="Arial"/>
          <w:sz w:val="18"/>
          <w:szCs w:val="18"/>
          <w:color w:val="auto"/>
        </w:rPr>
        <w:t>Basic income per common share is computed by dividing the net income by the weighted-average number of common shares outstanding during the period, less unvested restricted stock awards. Diluted income per common share is computed by dividing net income by the weighted-average common shares and potentially dilutive common share equivalents using the treasury stock method.</w:t>
      </w:r>
    </w:p>
    <w:p>
      <w:pPr>
        <w:spacing w:after="0" w:line="103"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For the three months ended March 31, 2020 and 2019, the effects of approximately 9,000 and 18,000 common shares, respectively, issuable upon exercise of options and non-vested shares of restricted stock are not included in computations as their effect was anti-dilutive. For the nine months ended March 31, 2020 and 2019, the effects of approximately 0.1 million and 0.3 million common shares, respectively, issuable upon exercise of options and non-vested shares of restricted stock are not included in computations as their effect was anti-dilutive.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12" w:name="page13"/>
    <w:bookmarkEnd w:id="12"/>
    <w:p>
      <w:pPr>
        <w:ind w:right="80" w:firstLine="445"/>
        <w:spacing w:after="0" w:line="277" w:lineRule="auto"/>
        <w:rPr>
          <w:sz w:val="20"/>
          <w:szCs w:val="20"/>
          <w:color w:val="auto"/>
        </w:rPr>
      </w:pPr>
      <w:r>
        <w:rPr>
          <w:rFonts w:ascii="Arial" w:cs="Arial" w:eastAsia="Arial" w:hAnsi="Arial"/>
          <w:sz w:val="18"/>
          <w:szCs w:val="18"/>
          <w:color w:val="auto"/>
        </w:rPr>
        <w:t>The following is a reconciliation of net income per share and the weighted-average common shares outstanding for purposes of computing basic and diluted net income per share (in thousands, except per share amounts):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340" w:type="dxa"/>
            <w:vAlign w:val="bottom"/>
          </w:tcPr>
          <w:p>
            <w:pPr>
              <w:spacing w:after="0"/>
              <w:rPr>
                <w:sz w:val="16"/>
                <w:szCs w:val="16"/>
                <w:color w:val="auto"/>
              </w:rPr>
            </w:pPr>
          </w:p>
        </w:tc>
        <w:tc>
          <w:tcPr>
            <w:tcW w:w="264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rPr>
              <w:t>Nine Months Ended March 31,</w:t>
            </w:r>
          </w:p>
        </w:tc>
        <w:tc>
          <w:tcPr>
            <w:tcW w:w="0" w:type="dxa"/>
            <w:vAlign w:val="bottom"/>
          </w:tcPr>
          <w:p>
            <w:pPr>
              <w:spacing w:after="0"/>
              <w:rPr>
                <w:sz w:val="1"/>
                <w:szCs w:val="1"/>
                <w:color w:val="auto"/>
              </w:rPr>
            </w:pPr>
          </w:p>
        </w:tc>
      </w:tr>
      <w:tr>
        <w:trPr>
          <w:trHeight w:val="196"/>
        </w:trPr>
        <w:tc>
          <w:tcPr>
            <w:tcW w:w="52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6"/>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1,661</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1,782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5"/>
              <w:spacing w:after="0"/>
              <w:rPr>
                <w:sz w:val="20"/>
                <w:szCs w:val="20"/>
                <w:color w:val="auto"/>
              </w:rPr>
            </w:pPr>
            <w:r>
              <w:rPr>
                <w:rFonts w:ascii="Arial" w:cs="Arial" w:eastAsia="Arial" w:hAnsi="Arial"/>
                <w:sz w:val="18"/>
                <w:szCs w:val="18"/>
                <w:color w:val="auto"/>
              </w:rPr>
              <w:t>7,725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3,522</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340"/>
              <w:spacing w:after="0"/>
              <w:rPr>
                <w:sz w:val="20"/>
                <w:szCs w:val="20"/>
                <w:color w:val="auto"/>
              </w:rPr>
            </w:pPr>
            <w:r>
              <w:rPr>
                <w:rFonts w:ascii="Arial" w:cs="Arial" w:eastAsia="Arial" w:hAnsi="Arial"/>
                <w:sz w:val="18"/>
                <w:szCs w:val="18"/>
                <w:color w:val="auto"/>
              </w:rPr>
              <w:t>Basic weighted-average common shares outstanding</w:t>
            </w:r>
          </w:p>
        </w:tc>
        <w:tc>
          <w:tcPr>
            <w:tcW w:w="300" w:type="dxa"/>
            <w:vAlign w:val="bottom"/>
          </w:tcPr>
          <w:p>
            <w:pPr>
              <w:spacing w:after="0"/>
              <w:rPr>
                <w:sz w:val="21"/>
                <w:szCs w:val="21"/>
                <w:color w:val="auto"/>
              </w:rPr>
            </w:pP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14,252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14,165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5"/>
              <w:spacing w:after="0"/>
              <w:rPr>
                <w:sz w:val="20"/>
                <w:szCs w:val="20"/>
                <w:color w:val="auto"/>
              </w:rPr>
            </w:pPr>
            <w:r>
              <w:rPr>
                <w:rFonts w:ascii="Arial" w:cs="Arial" w:eastAsia="Arial" w:hAnsi="Arial"/>
                <w:sz w:val="18"/>
                <w:szCs w:val="18"/>
                <w:color w:val="auto"/>
              </w:rPr>
              <w:t>14,054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14,027</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340"/>
              <w:spacing w:after="0"/>
              <w:rPr>
                <w:sz w:val="20"/>
                <w:szCs w:val="20"/>
                <w:color w:val="auto"/>
              </w:rPr>
            </w:pPr>
            <w:r>
              <w:rPr>
                <w:rFonts w:ascii="Arial" w:cs="Arial" w:eastAsia="Arial" w:hAnsi="Arial"/>
                <w:sz w:val="18"/>
                <w:szCs w:val="18"/>
                <w:color w:val="auto"/>
              </w:rPr>
              <w:t>Stock awards and options</w:t>
            </w:r>
          </w:p>
        </w:tc>
        <w:tc>
          <w:tcPr>
            <w:tcW w:w="300" w:type="dxa"/>
            <w:vAlign w:val="bottom"/>
          </w:tcPr>
          <w:p>
            <w:pPr>
              <w:spacing w:after="0"/>
              <w:rPr>
                <w:sz w:val="21"/>
                <w:szCs w:val="21"/>
                <w:color w:val="auto"/>
              </w:rPr>
            </w:pP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5"/>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weighted-average common shares outstanding</w:t>
            </w:r>
          </w:p>
        </w:tc>
        <w:tc>
          <w:tcPr>
            <w:tcW w:w="3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14,689</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15,286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14,592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14,978</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Net income per share, basic</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00" w:type="dxa"/>
            <w:vAlign w:val="bottom"/>
            <w:vMerge w:val="continue"/>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5"/>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 per share, diluted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0.11</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0.53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62" w:lineRule="exact"/>
        <w:rPr>
          <w:sz w:val="20"/>
          <w:szCs w:val="20"/>
          <w:color w:val="auto"/>
        </w:rPr>
      </w:pPr>
    </w:p>
    <w:p>
      <w:pPr>
        <w:ind w:right="140" w:firstLine="445"/>
        <w:spacing w:after="0" w:line="301" w:lineRule="auto"/>
        <w:rPr>
          <w:sz w:val="20"/>
          <w:szCs w:val="20"/>
          <w:color w:val="auto"/>
        </w:rPr>
      </w:pPr>
      <w:r>
        <w:rPr>
          <w:rFonts w:ascii="Arial" w:cs="Arial" w:eastAsia="Arial" w:hAnsi="Arial"/>
          <w:sz w:val="16"/>
          <w:szCs w:val="16"/>
          <w:color w:val="auto"/>
        </w:rPr>
        <w:t>The Company operates in a single operating segment by selling products directly to customers and through an international network of independent distributors that operates in an integrated manner from market to market. Commissions and incentives expenses are the Company’s largest expense comprised of the commissions paid to its independent distributors. The Company manages its business primarily by managing its international network of independent distributors. The Company disaggregates revenue in two geographic regions: the Americas region and the Asia/Pacific &amp; Europe region.</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Company's revenue disaggregated by these two geographic regions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340" w:type="dxa"/>
            <w:vAlign w:val="bottom"/>
          </w:tcPr>
          <w:p>
            <w:pPr>
              <w:spacing w:after="0"/>
              <w:rPr>
                <w:sz w:val="16"/>
                <w:szCs w:val="16"/>
                <w:color w:val="auto"/>
              </w:rPr>
            </w:pPr>
          </w:p>
        </w:tc>
        <w:tc>
          <w:tcPr>
            <w:tcW w:w="2640" w:type="dxa"/>
            <w:vAlign w:val="bottom"/>
            <w:gridSpan w:val="4"/>
          </w:tcPr>
          <w:p>
            <w:pPr>
              <w:jc w:val="right"/>
              <w:ind w:right="455"/>
              <w:spacing w:after="0"/>
              <w:rPr>
                <w:sz w:val="20"/>
                <w:szCs w:val="20"/>
                <w:color w:val="auto"/>
              </w:rPr>
            </w:pPr>
            <w:r>
              <w:rPr>
                <w:rFonts w:ascii="Arial" w:cs="Arial" w:eastAsia="Arial" w:hAnsi="Arial"/>
                <w:sz w:val="14"/>
                <w:szCs w:val="14"/>
                <w:b w:val="1"/>
                <w:bCs w:val="1"/>
                <w:color w:val="auto"/>
              </w:rPr>
              <w:t>Nine Months Ended March 31,</w:t>
            </w:r>
          </w:p>
        </w:tc>
      </w:tr>
      <w:tr>
        <w:trPr>
          <w:trHeight w:val="196"/>
        </w:trPr>
        <w:tc>
          <w:tcPr>
            <w:tcW w:w="52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40,181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40,366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124,646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123,885</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Asia/Pacific &amp; Europe</w:t>
            </w:r>
          </w:p>
        </w:tc>
        <w:tc>
          <w:tcPr>
            <w:tcW w:w="300" w:type="dxa"/>
            <w:vAlign w:val="bottom"/>
          </w:tcPr>
          <w:p>
            <w:pPr>
              <w:spacing w:after="0"/>
              <w:rPr>
                <w:sz w:val="21"/>
                <w:szCs w:val="21"/>
                <w:color w:val="auto"/>
              </w:rPr>
            </w:pPr>
          </w:p>
        </w:tc>
        <w:tc>
          <w:tcPr>
            <w:tcW w:w="1120" w:type="dxa"/>
            <w:vAlign w:val="bottom"/>
          </w:tcPr>
          <w:p>
            <w:pPr>
              <w:jc w:val="right"/>
              <w:ind w:right="57"/>
              <w:spacing w:after="0"/>
              <w:rPr>
                <w:sz w:val="20"/>
                <w:szCs w:val="20"/>
                <w:color w:val="auto"/>
              </w:rPr>
            </w:pPr>
            <w:r>
              <w:rPr>
                <w:rFonts w:ascii="Arial" w:cs="Arial" w:eastAsia="Arial" w:hAnsi="Arial"/>
                <w:sz w:val="18"/>
                <w:szCs w:val="18"/>
                <w:color w:val="auto"/>
              </w:rPr>
              <w:t>15,896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75"/>
              <w:spacing w:after="0"/>
              <w:rPr>
                <w:sz w:val="20"/>
                <w:szCs w:val="20"/>
                <w:color w:val="auto"/>
              </w:rPr>
            </w:pPr>
            <w:r>
              <w:rPr>
                <w:rFonts w:ascii="Arial" w:cs="Arial" w:eastAsia="Arial" w:hAnsi="Arial"/>
                <w:sz w:val="18"/>
                <w:szCs w:val="18"/>
                <w:color w:val="auto"/>
              </w:rPr>
              <w:t>15,646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7"/>
              <w:spacing w:after="0"/>
              <w:rPr>
                <w:sz w:val="20"/>
                <w:szCs w:val="20"/>
                <w:color w:val="auto"/>
              </w:rPr>
            </w:pPr>
            <w:r>
              <w:rPr>
                <w:rFonts w:ascii="Arial" w:cs="Arial" w:eastAsia="Arial" w:hAnsi="Arial"/>
                <w:sz w:val="18"/>
                <w:szCs w:val="18"/>
                <w:color w:val="auto"/>
              </w:rPr>
              <w:t>48,901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5"/>
              <w:spacing w:after="0"/>
              <w:rPr>
                <w:sz w:val="20"/>
                <w:szCs w:val="20"/>
                <w:color w:val="auto"/>
              </w:rPr>
            </w:pPr>
            <w:r>
              <w:rPr>
                <w:rFonts w:ascii="Arial" w:cs="Arial" w:eastAsia="Arial" w:hAnsi="Arial"/>
                <w:sz w:val="18"/>
                <w:szCs w:val="18"/>
                <w:color w:val="auto"/>
              </w:rPr>
              <w:t>45,903</w:t>
            </w:r>
          </w:p>
        </w:tc>
      </w:tr>
      <w:tr>
        <w:trPr>
          <w:trHeight w:val="27"/>
        </w:trPr>
        <w:tc>
          <w:tcPr>
            <w:tcW w:w="5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5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56,077</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56,012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173,547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169,788</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Additional information as to the Company’s revenue from operations in the most significant geographical areas is set forth below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340" w:type="dxa"/>
            <w:vAlign w:val="bottom"/>
          </w:tcPr>
          <w:p>
            <w:pPr>
              <w:spacing w:after="0"/>
              <w:rPr>
                <w:sz w:val="16"/>
                <w:szCs w:val="16"/>
                <w:color w:val="auto"/>
              </w:rPr>
            </w:pPr>
          </w:p>
        </w:tc>
        <w:tc>
          <w:tcPr>
            <w:tcW w:w="2640" w:type="dxa"/>
            <w:vAlign w:val="bottom"/>
            <w:gridSpan w:val="4"/>
          </w:tcPr>
          <w:p>
            <w:pPr>
              <w:jc w:val="right"/>
              <w:ind w:right="456"/>
              <w:spacing w:after="0"/>
              <w:rPr>
                <w:sz w:val="20"/>
                <w:szCs w:val="20"/>
                <w:color w:val="auto"/>
              </w:rPr>
            </w:pPr>
            <w:r>
              <w:rPr>
                <w:rFonts w:ascii="Arial" w:cs="Arial" w:eastAsia="Arial" w:hAnsi="Arial"/>
                <w:sz w:val="14"/>
                <w:szCs w:val="14"/>
                <w:b w:val="1"/>
                <w:bCs w:val="1"/>
                <w:color w:val="auto"/>
              </w:rPr>
              <w:t>Nine Months Ended March 31,</w:t>
            </w:r>
          </w:p>
        </w:tc>
      </w:tr>
      <w:tr>
        <w:trPr>
          <w:trHeight w:val="196"/>
        </w:trPr>
        <w:tc>
          <w:tcPr>
            <w:tcW w:w="52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37,720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37,598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116,421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115,574</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Japan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59"/>
              <w:spacing w:after="0"/>
              <w:rPr>
                <w:sz w:val="20"/>
                <w:szCs w:val="20"/>
                <w:color w:val="auto"/>
              </w:rPr>
            </w:pPr>
            <w:r>
              <w:rPr>
                <w:rFonts w:ascii="Arial" w:cs="Arial" w:eastAsia="Arial" w:hAnsi="Arial"/>
                <w:sz w:val="18"/>
                <w:szCs w:val="18"/>
                <w:color w:val="auto"/>
              </w:rPr>
              <w:t>9,986</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6"/>
              <w:spacing w:after="0"/>
              <w:rPr>
                <w:sz w:val="20"/>
                <w:szCs w:val="20"/>
                <w:color w:val="auto"/>
              </w:rPr>
            </w:pPr>
            <w:r>
              <w:rPr>
                <w:rFonts w:ascii="Arial" w:cs="Arial" w:eastAsia="Arial" w:hAnsi="Arial"/>
                <w:sz w:val="18"/>
                <w:szCs w:val="18"/>
                <w:color w:val="auto"/>
              </w:rPr>
              <w:t>10,099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9"/>
              <w:spacing w:after="0"/>
              <w:rPr>
                <w:sz w:val="20"/>
                <w:szCs w:val="20"/>
                <w:color w:val="auto"/>
              </w:rPr>
            </w:pPr>
            <w:r>
              <w:rPr>
                <w:rFonts w:ascii="Arial" w:cs="Arial" w:eastAsia="Arial" w:hAnsi="Arial"/>
                <w:sz w:val="18"/>
                <w:szCs w:val="18"/>
                <w:color w:val="auto"/>
              </w:rPr>
              <w:t>31,541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6"/>
              <w:spacing w:after="0"/>
              <w:rPr>
                <w:sz w:val="20"/>
                <w:szCs w:val="20"/>
                <w:color w:val="auto"/>
              </w:rPr>
            </w:pPr>
            <w:r>
              <w:rPr>
                <w:rFonts w:ascii="Arial" w:cs="Arial" w:eastAsia="Arial" w:hAnsi="Arial"/>
                <w:sz w:val="18"/>
                <w:szCs w:val="18"/>
                <w:color w:val="auto"/>
              </w:rPr>
              <w:t>30,184</w:t>
            </w:r>
          </w:p>
        </w:tc>
      </w:tr>
    </w:tbl>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Company's long-lived assets for its most significant geographic markets: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4"/>
                <w:szCs w:val="14"/>
                <w:color w:val="auto"/>
              </w:rPr>
            </w:pPr>
          </w:p>
        </w:tc>
        <w:tc>
          <w:tcPr>
            <w:tcW w:w="1140" w:type="dxa"/>
            <w:vAlign w:val="bottom"/>
          </w:tcPr>
          <w:p>
            <w:pPr>
              <w:jc w:val="right"/>
              <w:ind w:right="379"/>
              <w:spacing w:after="0"/>
              <w:rPr>
                <w:sz w:val="20"/>
                <w:szCs w:val="20"/>
                <w:color w:val="auto"/>
              </w:rPr>
            </w:pPr>
            <w:r>
              <w:rPr>
                <w:rFonts w:ascii="Arial" w:cs="Arial" w:eastAsia="Arial" w:hAnsi="Arial"/>
                <w:sz w:val="14"/>
                <w:szCs w:val="14"/>
                <w:b w:val="1"/>
                <w:bCs w:val="1"/>
                <w:color w:val="auto"/>
              </w:rPr>
              <w:t>June 30,</w:t>
            </w:r>
          </w:p>
        </w:tc>
      </w:tr>
      <w:tr>
        <w:trPr>
          <w:trHeight w:val="192"/>
        </w:trPr>
        <w:tc>
          <w:tcPr>
            <w:tcW w:w="82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9,396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9,772</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Japan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79"/>
              <w:spacing w:after="0"/>
              <w:rPr>
                <w:sz w:val="20"/>
                <w:szCs w:val="20"/>
                <w:color w:val="auto"/>
              </w:rPr>
            </w:pPr>
            <w:r>
              <w:rPr>
                <w:rFonts w:ascii="Arial" w:cs="Arial" w:eastAsia="Arial" w:hAnsi="Arial"/>
                <w:sz w:val="18"/>
                <w:szCs w:val="18"/>
                <w:color w:val="auto"/>
              </w:rPr>
              <w:t>1,324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79"/>
              <w:spacing w:after="0"/>
              <w:rPr>
                <w:sz w:val="20"/>
                <w:szCs w:val="20"/>
                <w:color w:val="auto"/>
              </w:rPr>
            </w:pPr>
            <w:r>
              <w:rPr>
                <w:rFonts w:ascii="Arial" w:cs="Arial" w:eastAsia="Arial" w:hAnsi="Arial"/>
                <w:sz w:val="18"/>
                <w:szCs w:val="18"/>
                <w:color w:val="auto"/>
              </w:rPr>
              <w:t>955</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New Accounting Pronouncements</w:t>
      </w:r>
    </w:p>
    <w:p>
      <w:pPr>
        <w:spacing w:after="0" w:line="162" w:lineRule="exact"/>
        <w:rPr>
          <w:sz w:val="20"/>
          <w:szCs w:val="20"/>
          <w:color w:val="auto"/>
        </w:rPr>
      </w:pPr>
    </w:p>
    <w:p>
      <w:pPr>
        <w:ind w:right="80" w:firstLine="405"/>
        <w:spacing w:after="0" w:line="290" w:lineRule="auto"/>
        <w:rPr>
          <w:sz w:val="20"/>
          <w:szCs w:val="20"/>
          <w:color w:val="auto"/>
        </w:rPr>
      </w:pPr>
      <w:r>
        <w:rPr>
          <w:rFonts w:ascii="Arial" w:cs="Arial" w:eastAsia="Arial" w:hAnsi="Arial"/>
          <w:sz w:val="16"/>
          <w:szCs w:val="16"/>
          <w:color w:val="auto"/>
        </w:rPr>
        <w:t xml:space="preserve">In February 2016, the Financial Accounting Standards Board (“FASB”) issued Accounting Standards Update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which requires all lessees to recognize both a right-of-use asset and lease liability on its balance sheet, representing the obligation to make payments and the right to use or control the use of a specified asset for the lease term. The Company adopted Topic 842 on July 1, 2019, using the modified retrospective transition method. The Company elected the practical expedients available under the provisions of the new standard, including: not reassessing whether expired or existing contracts are or contain leases; not reassessing the classification of expired or existing leases; not reassessing the initial direct cost for any existing leases; and using hindsight in determining the lease term. Upon adoption, the Company recognized cumulative operating lease liabilities of $3.9 million and operating right-of-use assets of $3.3 million. Additionally, a one-time beginning balance adjustment of $0.5 million was recognized in the condensed consolidated statement of stockholders’ equity due to an update to the expected term of an operating lease.</w:t>
      </w:r>
    </w:p>
    <w:p>
      <w:pPr>
        <w:sectPr>
          <w:pgSz w:w="11900" w:h="16838" w:orient="portrait"/>
          <w:cols w:equalWidth="0" w:num="1">
            <w:col w:w="11240"/>
          </w:cols>
          <w:pgMar w:left="320" w:top="104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3 — Gig Economy Group Investment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 Receivable</w:t>
      </w:r>
    </w:p>
    <w:p>
      <w:pPr>
        <w:spacing w:after="0" w:line="158"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The Company entered into a convertible promissory note agreement with Gig Economy Group, Inc. ("GEG") pursuant to which the Company agreed to loan to GEG up to an aggregate of $2.0 million in a series of loan installments, evidenced by a convertible promissory note having a maturity date of May 31, 2019 ("Convertible Note"). The Convertible Note accrued interest at a rate of 8% per annum, compounded annually. On May 17, 2019, the Company and GEG entered into an amendment agreement to extend the maturity date of the Convertible Note to December 31, 2019. In all other aspects, the Convertible Note remained unchanged from the original agreement. Pursuant to a Common Stock Purchase Agreement between the Company and GEG dated December 16, 2019, GEG issued to the Company 1,000,000 shares of GEG’s common stock, par value $0.0001 per share, in consideration for conversion and cancellation of all principal, interest and other amounts due under the Convertible Note (representing $2.2 million in aggregate consideration).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Securities under ASC 321</w:t>
      </w:r>
    </w:p>
    <w:p>
      <w:pPr>
        <w:spacing w:after="0" w:line="144" w:lineRule="exact"/>
        <w:rPr>
          <w:sz w:val="20"/>
          <w:szCs w:val="20"/>
          <w:color w:val="auto"/>
        </w:rPr>
      </w:pPr>
    </w:p>
    <w:p>
      <w:pPr>
        <w:ind w:right="60" w:firstLine="445"/>
        <w:spacing w:after="0" w:line="289" w:lineRule="auto"/>
        <w:rPr>
          <w:sz w:val="20"/>
          <w:szCs w:val="20"/>
          <w:color w:val="auto"/>
        </w:rPr>
      </w:pPr>
      <w:r>
        <w:rPr>
          <w:rFonts w:ascii="Arial" w:cs="Arial" w:eastAsia="Arial" w:hAnsi="Arial"/>
          <w:sz w:val="16"/>
          <w:szCs w:val="16"/>
          <w:color w:val="auto"/>
        </w:rPr>
        <w:t xml:space="preserve">At December 31, 2019, the Company held a minority interest (less than 20%) in GEG, accounted for under ASC 321, </w:t>
      </w:r>
      <w:r>
        <w:rPr>
          <w:rFonts w:ascii="Arial" w:cs="Arial" w:eastAsia="Arial" w:hAnsi="Arial"/>
          <w:sz w:val="16"/>
          <w:szCs w:val="16"/>
          <w:i w:val="1"/>
          <w:iCs w:val="1"/>
          <w:color w:val="auto"/>
        </w:rPr>
        <w:t>Investments - Equity Securities</w:t>
      </w:r>
      <w:r>
        <w:rPr>
          <w:rFonts w:ascii="Arial" w:cs="Arial" w:eastAsia="Arial" w:hAnsi="Arial"/>
          <w:sz w:val="16"/>
          <w:szCs w:val="16"/>
          <w:color w:val="auto"/>
        </w:rPr>
        <w:t xml:space="preserve"> ("ASC 321"), which is included in equity securities in the condensed consolidated balance sheets. Dividends received are reported in earnings if and when received. The Company reviews securities individually for impairment by evaluating if events or circumstances have occurred that may indicate the fair value of the investment is less than its carrying value. If such events or circumstances have occurred, the Company estimates the fair value of the investment and recognizes an impairment loss in other expense, net on the condensed consolidated statements of operations and comprehensive income equal to the difference between the fair value of the investment and its carrying value. In such cases, the estimated fair value of the investment is determined using unobservable inputs including assumptions by GEG's management and quantitative information such as lower valuations in recently completed or proposed financings. These inputs are classified as Level 3. Because GEG is in the early startup stage, GEG is subject to potential changes in cash flows and valuation, and may be unable to raise additional capital necessary to support its ongoing operations.</w:t>
      </w:r>
    </w:p>
    <w:p>
      <w:pPr>
        <w:spacing w:after="0" w:line="99" w:lineRule="exact"/>
        <w:rPr>
          <w:sz w:val="20"/>
          <w:szCs w:val="20"/>
          <w:color w:val="auto"/>
        </w:rPr>
      </w:pPr>
    </w:p>
    <w:p>
      <w:pPr>
        <w:ind w:right="200" w:firstLine="445"/>
        <w:spacing w:after="0" w:line="259" w:lineRule="auto"/>
        <w:rPr>
          <w:sz w:val="20"/>
          <w:szCs w:val="20"/>
          <w:color w:val="auto"/>
        </w:rPr>
      </w:pPr>
      <w:r>
        <w:rPr>
          <w:rFonts w:ascii="Arial" w:cs="Arial" w:eastAsia="Arial" w:hAnsi="Arial"/>
          <w:sz w:val="18"/>
          <w:szCs w:val="18"/>
          <w:color w:val="auto"/>
        </w:rPr>
        <w:t>Equity securities held by the Company lack readily determinable fair values and therefore the securities are measured at cost minus impairment, if any, plus or minus changes resulting from observable price changes in orderly transactions for the identical or similar equity securities of the same issuer. The carrying amount of equity securities held by the Company without readily determinable fair values was $2.2 million at March 31, 2020. During the three months ended March 31, 2020, there were no price changes or impairments recognized.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Leases</w:t>
      </w:r>
    </w:p>
    <w:p>
      <w:pPr>
        <w:spacing w:after="0" w:line="148" w:lineRule="exact"/>
        <w:rPr>
          <w:sz w:val="20"/>
          <w:szCs w:val="20"/>
          <w:color w:val="auto"/>
        </w:rPr>
      </w:pPr>
    </w:p>
    <w:p>
      <w:pPr>
        <w:ind w:right="80" w:firstLine="445"/>
        <w:spacing w:after="0" w:line="263" w:lineRule="auto"/>
        <w:rPr>
          <w:sz w:val="20"/>
          <w:szCs w:val="20"/>
          <w:color w:val="auto"/>
        </w:rPr>
      </w:pPr>
      <w:r>
        <w:rPr>
          <w:rFonts w:ascii="Arial" w:cs="Arial" w:eastAsia="Arial" w:hAnsi="Arial"/>
          <w:sz w:val="18"/>
          <w:szCs w:val="18"/>
          <w:color w:val="auto"/>
        </w:rPr>
        <w:t>The Company has operating leases for current corporate offices and certain equipment. These leases have remaining terms of approximately one year. As of March 31, 2020, the weighted average remaining lease term and weighted average discount rate for operating leases was 0.78 years and 4.92%, respectively.</w:t>
      </w:r>
    </w:p>
    <w:p>
      <w:pPr>
        <w:spacing w:after="0" w:line="116" w:lineRule="exact"/>
        <w:rPr>
          <w:sz w:val="20"/>
          <w:szCs w:val="20"/>
          <w:color w:val="auto"/>
        </w:rPr>
      </w:pPr>
    </w:p>
    <w:p>
      <w:pPr>
        <w:ind w:right="200" w:firstLine="445"/>
        <w:spacing w:after="0" w:line="277" w:lineRule="auto"/>
        <w:rPr>
          <w:sz w:val="20"/>
          <w:szCs w:val="20"/>
          <w:color w:val="auto"/>
        </w:rPr>
      </w:pPr>
      <w:r>
        <w:rPr>
          <w:rFonts w:ascii="Arial" w:cs="Arial" w:eastAsia="Arial" w:hAnsi="Arial"/>
          <w:sz w:val="18"/>
          <w:szCs w:val="18"/>
          <w:color w:val="auto"/>
        </w:rPr>
        <w:t>For the three months ended March 31, 2020, operating lease expense was $0.7 million. For the nine months ended March 31, 2020, operating lease expense was $2.0 million.</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Supplemental cash flow information related to operating leases was as follows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1760" w:type="dxa"/>
            <w:vAlign w:val="bottom"/>
            <w:gridSpan w:val="2"/>
          </w:tcPr>
          <w:p>
            <w:pPr>
              <w:ind w:left="40"/>
              <w:spacing w:after="0"/>
              <w:rPr>
                <w:sz w:val="20"/>
                <w:szCs w:val="20"/>
                <w:color w:val="auto"/>
              </w:rPr>
            </w:pPr>
            <w:r>
              <w:rPr>
                <w:rFonts w:ascii="Arial" w:cs="Arial" w:eastAsia="Arial" w:hAnsi="Arial"/>
                <w:sz w:val="14"/>
                <w:szCs w:val="14"/>
                <w:b w:val="1"/>
                <w:bCs w:val="1"/>
                <w:color w:val="auto"/>
                <w:w w:val="96"/>
              </w:rPr>
              <w:t>Nine Months Ended March</w:t>
            </w:r>
          </w:p>
        </w:tc>
      </w:tr>
      <w:tr>
        <w:trPr>
          <w:trHeight w:val="192"/>
        </w:trPr>
        <w:tc>
          <w:tcPr>
            <w:tcW w:w="7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March 31, 2020</w:t>
            </w:r>
          </w:p>
        </w:tc>
        <w:tc>
          <w:tcPr>
            <w:tcW w:w="380" w:type="dxa"/>
            <w:vAlign w:val="bottom"/>
          </w:tcPr>
          <w:p>
            <w:pPr>
              <w:spacing w:after="0"/>
              <w:rPr>
                <w:sz w:val="16"/>
                <w:szCs w:val="16"/>
                <w:color w:val="auto"/>
              </w:rPr>
            </w:pPr>
          </w:p>
        </w:tc>
        <w:tc>
          <w:tcPr>
            <w:tcW w:w="1380" w:type="dxa"/>
            <w:vAlign w:val="bottom"/>
          </w:tcPr>
          <w:p>
            <w:pPr>
              <w:jc w:val="right"/>
              <w:ind w:right="534"/>
              <w:spacing w:after="0"/>
              <w:rPr>
                <w:sz w:val="20"/>
                <w:szCs w:val="20"/>
                <w:color w:val="auto"/>
              </w:rPr>
            </w:pPr>
            <w:r>
              <w:rPr>
                <w:rFonts w:ascii="Arial" w:cs="Arial" w:eastAsia="Arial" w:hAnsi="Arial"/>
                <w:sz w:val="14"/>
                <w:szCs w:val="14"/>
                <w:b w:val="1"/>
                <w:bCs w:val="1"/>
                <w:color w:val="auto"/>
              </w:rPr>
              <w:t>31, 2020</w:t>
            </w:r>
          </w:p>
        </w:tc>
      </w:tr>
      <w:tr>
        <w:trPr>
          <w:trHeight w:val="250"/>
        </w:trPr>
        <w:tc>
          <w:tcPr>
            <w:tcW w:w="7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cash outflows from operating leases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716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2,156</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lease obligations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4"/>
              <w:spacing w:after="0"/>
              <w:rPr>
                <w:sz w:val="20"/>
                <w:szCs w:val="20"/>
                <w:color w:val="auto"/>
              </w:rPr>
            </w:pPr>
            <w:r>
              <w:rPr>
                <w:rFonts w:ascii="Arial" w:cs="Arial" w:eastAsia="Arial" w:hAnsi="Arial"/>
                <w:sz w:val="18"/>
                <w:szCs w:val="18"/>
                <w:color w:val="auto"/>
              </w:rPr>
              <w:t>—</w:t>
            </w:r>
          </w:p>
        </w:tc>
      </w:tr>
      <w:tr>
        <w:trPr>
          <w:trHeight w:val="392"/>
        </w:trPr>
        <w:tc>
          <w:tcPr>
            <w:tcW w:w="7640" w:type="dxa"/>
            <w:vAlign w:val="bottom"/>
          </w:tcPr>
          <w:p>
            <w:pPr>
              <w:ind w:left="460"/>
              <w:spacing w:after="0"/>
              <w:rPr>
                <w:sz w:val="20"/>
                <w:szCs w:val="20"/>
                <w:color w:val="auto"/>
              </w:rPr>
            </w:pPr>
            <w:r>
              <w:rPr>
                <w:rFonts w:ascii="Arial" w:cs="Arial" w:eastAsia="Arial" w:hAnsi="Arial"/>
                <w:sz w:val="18"/>
                <w:szCs w:val="18"/>
                <w:color w:val="auto"/>
              </w:rPr>
              <w:t>Maturity of lease liabilities at March 31, 2020 are as follows (in thousands):</w:t>
            </w: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72"/>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 ended June 30,</w:t>
            </w: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Amount</w:t>
            </w: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 (remaining three months ending June 30, 2020)</w:t>
            </w:r>
          </w:p>
        </w:tc>
        <w:tc>
          <w:tcPr>
            <w:tcW w:w="1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707</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80" w:type="dxa"/>
            <w:vAlign w:val="bottom"/>
          </w:tcPr>
          <w:p>
            <w:pPr>
              <w:jc w:val="right"/>
              <w:ind w:right="74"/>
              <w:spacing w:after="0"/>
              <w:rPr>
                <w:sz w:val="20"/>
                <w:szCs w:val="20"/>
                <w:color w:val="auto"/>
              </w:rPr>
            </w:pPr>
            <w:r>
              <w:rPr>
                <w:rFonts w:ascii="Arial" w:cs="Arial" w:eastAsia="Arial" w:hAnsi="Arial"/>
                <w:sz w:val="18"/>
                <w:szCs w:val="18"/>
                <w:color w:val="auto"/>
              </w:rPr>
              <w:t>1,192</w:t>
            </w:r>
          </w:p>
        </w:tc>
      </w:tr>
      <w:tr>
        <w:trPr>
          <w:trHeight w:val="27"/>
        </w:trPr>
        <w:tc>
          <w:tcPr>
            <w:tcW w:w="76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1,899</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1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(33)</w:t>
            </w:r>
          </w:p>
        </w:tc>
      </w:tr>
      <w:tr>
        <w:trPr>
          <w:trHeight w:val="27"/>
        </w:trPr>
        <w:tc>
          <w:tcPr>
            <w:tcW w:w="76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9"/>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16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1,866</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14" w:name="page15"/>
    <w:bookmarkEnd w:id="14"/>
    <w:p>
      <w:pPr>
        <w:ind w:left="460"/>
        <w:spacing w:after="0"/>
        <w:rPr>
          <w:sz w:val="20"/>
          <w:szCs w:val="20"/>
          <w:color w:val="auto"/>
        </w:rPr>
      </w:pPr>
      <w:r>
        <w:rPr>
          <w:rFonts w:ascii="Arial" w:cs="Arial" w:eastAsia="Arial" w:hAnsi="Arial"/>
          <w:sz w:val="18"/>
          <w:szCs w:val="18"/>
          <w:color w:val="auto"/>
        </w:rPr>
        <w:t>Under ASC 840, minimum future operating lease obligations at June 30, 2019 were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ending June 30,</w:t>
            </w:r>
          </w:p>
        </w:tc>
        <w:tc>
          <w:tcPr>
            <w:tcW w:w="380" w:type="dxa"/>
            <w:vAlign w:val="bottom"/>
          </w:tcPr>
          <w:p>
            <w:pPr>
              <w:spacing w:after="0"/>
              <w:rPr>
                <w:sz w:val="16"/>
                <w:szCs w:val="16"/>
                <w:color w:val="auto"/>
              </w:rPr>
            </w:pPr>
          </w:p>
        </w:tc>
        <w:tc>
          <w:tcPr>
            <w:tcW w:w="1380" w:type="dxa"/>
            <w:vAlign w:val="bottom"/>
          </w:tcPr>
          <w:p>
            <w:pPr>
              <w:jc w:val="right"/>
              <w:ind w:right="535"/>
              <w:spacing w:after="0"/>
              <w:rPr>
                <w:sz w:val="20"/>
                <w:szCs w:val="20"/>
                <w:color w:val="auto"/>
              </w:rPr>
            </w:pPr>
            <w:r>
              <w:rPr>
                <w:rFonts w:ascii="Arial" w:cs="Arial" w:eastAsia="Arial" w:hAnsi="Arial"/>
                <w:sz w:val="14"/>
                <w:szCs w:val="14"/>
                <w:b w:val="1"/>
                <w:bCs w:val="1"/>
                <w:color w:val="auto"/>
              </w:rPr>
              <w:t>Amount</w:t>
            </w:r>
          </w:p>
        </w:tc>
      </w:tr>
      <w:tr>
        <w:trPr>
          <w:trHeight w:val="250"/>
        </w:trPr>
        <w:tc>
          <w:tcPr>
            <w:tcW w:w="94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2,872</w:t>
            </w:r>
          </w:p>
        </w:tc>
      </w:tr>
      <w:tr>
        <w:trPr>
          <w:trHeight w:val="243"/>
        </w:trPr>
        <w:tc>
          <w:tcPr>
            <w:tcW w:w="9400" w:type="dxa"/>
            <w:vAlign w:val="bottom"/>
          </w:tcPr>
          <w:p>
            <w:pPr>
              <w:ind w:left="20"/>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80" w:type="dxa"/>
            <w:vAlign w:val="bottom"/>
          </w:tcPr>
          <w:p>
            <w:pPr>
              <w:jc w:val="right"/>
              <w:ind w:right="75"/>
              <w:spacing w:after="0"/>
              <w:rPr>
                <w:sz w:val="20"/>
                <w:szCs w:val="20"/>
                <w:color w:val="auto"/>
              </w:rPr>
            </w:pPr>
            <w:r>
              <w:rPr>
                <w:rFonts w:ascii="Arial" w:cs="Arial" w:eastAsia="Arial" w:hAnsi="Arial"/>
                <w:sz w:val="18"/>
                <w:szCs w:val="18"/>
                <w:color w:val="auto"/>
              </w:rPr>
              <w:t>1,140</w:t>
            </w:r>
          </w:p>
        </w:tc>
      </w:tr>
      <w:tr>
        <w:trPr>
          <w:trHeight w:val="27"/>
        </w:trPr>
        <w:tc>
          <w:tcPr>
            <w:tcW w:w="9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8"/>
        </w:trPr>
        <w:tc>
          <w:tcPr>
            <w:tcW w:w="9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4,012</w:t>
            </w:r>
          </w:p>
        </w:tc>
      </w:tr>
      <w:tr>
        <w:trPr>
          <w:trHeight w:val="20"/>
        </w:trPr>
        <w:tc>
          <w:tcPr>
            <w:tcW w:w="9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Long-Term Debt</w:t>
      </w:r>
    </w:p>
    <w:p>
      <w:pPr>
        <w:spacing w:after="0" w:line="148" w:lineRule="exact"/>
        <w:rPr>
          <w:sz w:val="20"/>
          <w:szCs w:val="20"/>
          <w:color w:val="auto"/>
        </w:rPr>
      </w:pPr>
    </w:p>
    <w:p>
      <w:pPr>
        <w:ind w:right="140" w:firstLine="445"/>
        <w:spacing w:after="0" w:line="257" w:lineRule="auto"/>
        <w:rPr>
          <w:sz w:val="20"/>
          <w:szCs w:val="20"/>
          <w:color w:val="auto"/>
        </w:rPr>
      </w:pPr>
      <w:r>
        <w:rPr>
          <w:rFonts w:ascii="Arial" w:cs="Arial" w:eastAsia="Arial" w:hAnsi="Arial"/>
          <w:sz w:val="18"/>
          <w:szCs w:val="18"/>
          <w:color w:val="auto"/>
        </w:rPr>
        <w:t>On March 30, 2016, the Company entered into a loan agreement (the “2016 Loan Agreement”) to refinance its outstanding debt. In connection with the 2016 Loan Agreement and on the same date, the Company entered into a security agreement (the “Security Agreement”). The 2016 Loan Agreement provides for a term loan in an aggregate principal amount of $10.0 million (the “2016 Term Loan") and a revolving loan facility in an aggregate principal amount not to exceed $2.0 million (the “2016 Revolving Loan,” and collectively with the 2016 Term Loan, the 2016 Loan Agreement and the Security Agreement, the “2016 Credit Facility”).</w:t>
      </w:r>
    </w:p>
    <w:p>
      <w:pPr>
        <w:spacing w:after="0" w:line="120"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The principal amount of the 2016 Term Loan is payable in consecutive quarterly installments in the amount of $0.5 million plus accrued interest beginning with the fiscal quarter ended June 30, 2016. If the Company borrows under the 2016 Revolving Loan, interest will be payable quarterly in arrears on the last day of each fiscal quarter.</w:t>
      </w:r>
    </w:p>
    <w:p>
      <w:pPr>
        <w:spacing w:after="0" w:line="116"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On May 4, 2018, the Company entered into a loan modification agreement, which amended the 2016 Credit Facility (“Amendment No. 1”). Amendment No. 1 revised the maturity date from March 30, 2019 to March 31, 2021 (the “Maturity Date”) and increased the fixed interest rate for the term loan from 4.93% to 5.68%. Amendment No. 1 also revised certain financial covenants. The minimum fixed charge coverage ratio (as defined in Amendment No. 1) was revised from a minimum of 1.50 to 1.00 to 1.25 to 1.00, measured on a trailing twelve-month basis, at the end of each fiscal quarter. The minimum working capital was increased from $5.0 million to $8.0 million. The funded debt to EBITDA ratio was replaced with the total liabilities to tangible net worth ratio (as defined in Amendment No. 1) of not greater than 3.00 to 1.00 at the end of each quarter. The minimum tangible net worth measure was removed from the financial covenants.</w:t>
      </w:r>
    </w:p>
    <w:p>
      <w:pPr>
        <w:spacing w:after="0" w:line="114" w:lineRule="exact"/>
        <w:rPr>
          <w:sz w:val="20"/>
          <w:szCs w:val="20"/>
          <w:color w:val="auto"/>
        </w:rPr>
      </w:pPr>
    </w:p>
    <w:p>
      <w:pPr>
        <w:ind w:right="20" w:firstLine="445"/>
        <w:spacing w:after="0" w:line="279" w:lineRule="auto"/>
        <w:rPr>
          <w:sz w:val="20"/>
          <w:szCs w:val="20"/>
          <w:color w:val="auto"/>
        </w:rPr>
      </w:pPr>
      <w:r>
        <w:rPr>
          <w:rFonts w:ascii="Arial" w:cs="Arial" w:eastAsia="Arial" w:hAnsi="Arial"/>
          <w:sz w:val="17"/>
          <w:szCs w:val="17"/>
          <w:color w:val="auto"/>
        </w:rPr>
        <w:t>The Company’s obligations under the 2016 Credit Facility, as amended, are secured by a security interest in substantially all of the Company’s assets. Loans outstanding under the 2016 Credit Facility, as amended, may be prepaid in whole or in part at any time without premium or penalty. In addition, if, at any time, the aggregate principal amount outstanding under the 2016 Revolving Loan exceeds $2.0 million, the Company must prepay an amount equal to such excess. Any principal amount of the 2016 Term Loan which is prepaid or repaid may not be re-borrowed.</w:t>
      </w:r>
    </w:p>
    <w:p>
      <w:pPr>
        <w:spacing w:after="0" w:line="104"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On February 1, 2019, the Company entered into a loan modification agreement, which amended the 2016 Credit Facility, as amended ("Amendment No. 2"). Under Amendment No. 2, the Company made a principal payment of $2.0 million and increased the revolving loan facility from $2.0 million to $5.0 million. Amendment No. 2 also revised certain financial covenants. The minimum fixed charge coverage ratio (as defined in Amendment No. 2) was revised from a minimum of 1.25 to 1.00 to 1.10 to 1.00, measured on a trailing twelve-month basis, at the end of each fiscal quarter. The minimum working capital was decreased from $8.0 million to $6.0 million.</w:t>
      </w:r>
    </w:p>
    <w:p>
      <w:pPr>
        <w:spacing w:after="0" w:line="120" w:lineRule="exact"/>
        <w:rPr>
          <w:sz w:val="20"/>
          <w:szCs w:val="20"/>
          <w:color w:val="auto"/>
        </w:rPr>
      </w:pPr>
    </w:p>
    <w:p>
      <w:pPr>
        <w:ind w:right="80" w:firstLine="445"/>
        <w:spacing w:after="0" w:line="289" w:lineRule="auto"/>
        <w:rPr>
          <w:sz w:val="20"/>
          <w:szCs w:val="20"/>
          <w:color w:val="auto"/>
        </w:rPr>
      </w:pPr>
      <w:r>
        <w:rPr>
          <w:rFonts w:ascii="Arial" w:cs="Arial" w:eastAsia="Arial" w:hAnsi="Arial"/>
          <w:sz w:val="16"/>
          <w:szCs w:val="16"/>
          <w:color w:val="auto"/>
        </w:rPr>
        <w:t>The 2016 Credit Facility, as amended, contains customary covenants, including affirmative and negative covenants that, among other things, restrict the Company’s ability to create certain types of liens, incur additional indebtedness, declare or pay dividends on or redeem capital stock, make other payments to holders of equity interests in the Company, make certain investments, purchase or otherwise acquire all or substantially all the assets or equity interests of other companies, sell assets or enter into consolidations, mergers or transfers of all or any substantial part of the Company’s assets. The 2016 Credit Facility, as amended, also contains various financial covenants that require the Company to maintain certain consolidated working capital amounts, total liabilities to tangible net worth ratios and fixed charge coverage ratios. Additionally, the 2016 Credit Facility, as amended, contains cross-default provisions, whereby a default under the terms of certain indebtedness or an uncured default of a payment or other material obligation of the Company under a material contract of the Company will cause a default on the remaining indebtedness under the 2016 Credit Facility, as amended. As of March 31, 2020, the Company was in compliance with all applicable covenants under the 2016 Credit Facility, as amended.</w:t>
      </w:r>
    </w:p>
    <w:p>
      <w:pPr>
        <w:spacing w:after="0" w:line="85" w:lineRule="exact"/>
        <w:rPr>
          <w:sz w:val="20"/>
          <w:szCs w:val="20"/>
          <w:color w:val="auto"/>
        </w:rPr>
      </w:pPr>
    </w:p>
    <w:p>
      <w:pPr>
        <w:ind w:right="260" w:firstLine="445"/>
        <w:spacing w:after="0" w:line="342" w:lineRule="auto"/>
        <w:rPr>
          <w:sz w:val="20"/>
          <w:szCs w:val="20"/>
          <w:color w:val="auto"/>
        </w:rPr>
      </w:pPr>
      <w:r>
        <w:rPr>
          <w:rFonts w:ascii="Arial" w:cs="Arial" w:eastAsia="Arial" w:hAnsi="Arial"/>
          <w:sz w:val="16"/>
          <w:szCs w:val="16"/>
          <w:color w:val="auto"/>
        </w:rPr>
        <w:t>The Company’s book value for the 2016 Credit Facility, as amended, approximates the fair value. During the three months ended March 31, 2020, the Company repaid, in full, the remaining balance of the 2016 Term Loan in accordance with the terms of the 2016 Credit Facility, as amended.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6 — Stockholders’ Equity</w:t>
      </w:r>
    </w:p>
    <w:p>
      <w:pPr>
        <w:spacing w:after="0" w:line="148" w:lineRule="exact"/>
        <w:rPr>
          <w:sz w:val="20"/>
          <w:szCs w:val="20"/>
          <w:color w:val="auto"/>
        </w:rPr>
      </w:pPr>
    </w:p>
    <w:p>
      <w:pPr>
        <w:jc w:val="both"/>
        <w:ind w:right="420" w:firstLine="445"/>
        <w:spacing w:after="0" w:line="263" w:lineRule="auto"/>
        <w:rPr>
          <w:sz w:val="20"/>
          <w:szCs w:val="20"/>
          <w:color w:val="auto"/>
        </w:rPr>
      </w:pPr>
      <w:r>
        <w:rPr>
          <w:rFonts w:ascii="Arial" w:cs="Arial" w:eastAsia="Arial" w:hAnsi="Arial"/>
          <w:sz w:val="18"/>
          <w:szCs w:val="18"/>
          <w:color w:val="auto"/>
        </w:rPr>
        <w:t>During the three and nine months ended March 31, 2020, the Company issued 1,000 and 25,000 shares, respectively, of common stock upon the exercise of options. During the three and nine months ended March 31, 2020, 0.1 million and 0.4 million shares, respectively, of restricted stock were canceled or surrendered as payment of tax withholding upon vesting.</w:t>
      </w:r>
    </w:p>
    <w:p>
      <w:pPr>
        <w:spacing w:after="0" w:line="116" w:lineRule="exact"/>
        <w:rPr>
          <w:sz w:val="20"/>
          <w:szCs w:val="20"/>
          <w:color w:val="auto"/>
        </w:rPr>
      </w:pPr>
    </w:p>
    <w:p>
      <w:pPr>
        <w:ind w:right="120" w:firstLine="445"/>
        <w:spacing w:after="0" w:line="289" w:lineRule="auto"/>
        <w:rPr>
          <w:sz w:val="20"/>
          <w:szCs w:val="20"/>
          <w:color w:val="auto"/>
        </w:rPr>
      </w:pPr>
      <w:r>
        <w:rPr>
          <w:rFonts w:ascii="Arial" w:cs="Arial" w:eastAsia="Arial" w:hAnsi="Arial"/>
          <w:sz w:val="16"/>
          <w:szCs w:val="16"/>
          <w:color w:val="auto"/>
        </w:rPr>
        <w:t>On November 27, 2017, the Company announced a share repurchase program authorizing it to repurchase up to $5 million in shares of the Company's common stock. The repurchase program permits the Company to purchase shares through a variety of methods, including in the open market, through privately negotiated transactions or other means as determined by the Company's management. As part of the repurchase program, the Company may enter into a pre-arranged stock repurchase plan which operates in accordance with guidelines specified under Rule 10b5-1 of the Securities Exchange Act of 1934, as amended. Accordingly, any transactions under such stock repurchase plan would be completed in accordance with the terms of the plan, including specified price, volume and timing conditions. The authorization may be suspended or discontinued at any time and expires on November 27, 2020. On February 1, 2019, the Board of Directors approved an amendment to the share repurchase program to increase the authorized share repurchase amount from $5 million to $15 million. During the nine months ended March 31, 2020, the Company purchased 0.4 million shares of common stock at an aggregate price of $5.4 million under this repurchase program. At March 31, 2020, there is $3.4 million remaining under this repurchase program.</w:t>
      </w:r>
    </w:p>
    <w:p>
      <w:pPr>
        <w:spacing w:after="0" w:line="99" w:lineRule="exact"/>
        <w:rPr>
          <w:sz w:val="20"/>
          <w:szCs w:val="20"/>
          <w:color w:val="auto"/>
        </w:rPr>
      </w:pPr>
    </w:p>
    <w:p>
      <w:pPr>
        <w:ind w:right="140" w:firstLine="445"/>
        <w:spacing w:after="0" w:line="277" w:lineRule="auto"/>
        <w:rPr>
          <w:sz w:val="20"/>
          <w:szCs w:val="20"/>
          <w:color w:val="auto"/>
        </w:rPr>
      </w:pPr>
      <w:r>
        <w:rPr>
          <w:rFonts w:ascii="Arial" w:cs="Arial" w:eastAsia="Arial" w:hAnsi="Arial"/>
          <w:sz w:val="18"/>
          <w:szCs w:val="18"/>
          <w:color w:val="auto"/>
        </w:rPr>
        <w:t>The Company’s Certificate of Incorporation authorizes the issuance of preferred shares. However, as of March 31, 2020, none have been issued and no rights or preferences have been assigned to the preferred shares by the Company’s board of directors.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Stock-Based Compensation</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Long-Term Incentive Plans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Equity-Settled Plans</w:t>
      </w:r>
    </w:p>
    <w:p>
      <w:pPr>
        <w:spacing w:after="0" w:line="148" w:lineRule="exact"/>
        <w:rPr>
          <w:sz w:val="20"/>
          <w:szCs w:val="20"/>
          <w:color w:val="auto"/>
        </w:rPr>
      </w:pPr>
    </w:p>
    <w:p>
      <w:pPr>
        <w:ind w:right="60" w:firstLine="445"/>
        <w:spacing w:after="0" w:line="271" w:lineRule="auto"/>
        <w:rPr>
          <w:sz w:val="20"/>
          <w:szCs w:val="20"/>
          <w:color w:val="auto"/>
        </w:rPr>
      </w:pPr>
      <w:r>
        <w:rPr>
          <w:rFonts w:ascii="Arial" w:cs="Arial" w:eastAsia="Arial" w:hAnsi="Arial"/>
          <w:sz w:val="17"/>
          <w:szCs w:val="17"/>
          <w:color w:val="auto"/>
        </w:rPr>
        <w:t>The Company adopted, and the stockholders approved, the 2007 Long-Term Incentive Plan (the “2007 Plan”), effective November 21, 2006, to provide incentives to eligible employees, directors and consultants. A maximum of 1.4 million shares of the Company's common stock can be issued under the 2007 Plan in connection with the grant of awards. Awards to purchase common stock have been granted pursuant to the 2007 Plan and are outstanding to various employees, officers, directors, Scientific Advisory Board members and independent distributors at prices between $3.36 and $10.50 per share, with initial vesting periods of one to three years. Awards expire in accordance with the terms of each award and the shares subject to the award are added back to the 2007 Plan upon expiration of the award. The contractual term of stock options granted is generally ten years. Effective November 21, 2016, no new awards can be granted under the 2007 Plan. As of March 31, 2020, under the 2007 Plan, there were stock option awards outstanding, net of awards expired, for an aggregate of 25,000 shares of the Company's common stock.</w:t>
      </w:r>
    </w:p>
    <w:p>
      <w:pPr>
        <w:spacing w:after="0" w:line="111" w:lineRule="exact"/>
        <w:rPr>
          <w:sz w:val="20"/>
          <w:szCs w:val="20"/>
          <w:color w:val="auto"/>
        </w:rPr>
      </w:pPr>
    </w:p>
    <w:p>
      <w:pPr>
        <w:ind w:firstLine="445"/>
        <w:spacing w:after="0" w:line="270" w:lineRule="auto"/>
        <w:rPr>
          <w:sz w:val="20"/>
          <w:szCs w:val="20"/>
          <w:color w:val="auto"/>
        </w:rPr>
      </w:pPr>
      <w:r>
        <w:rPr>
          <w:rFonts w:ascii="Arial" w:cs="Arial" w:eastAsia="Arial" w:hAnsi="Arial"/>
          <w:sz w:val="17"/>
          <w:szCs w:val="17"/>
          <w:color w:val="auto"/>
        </w:rPr>
        <w:t>The Company adopted, and the stockholders approved, the 2010 Long-Term Incentive Plan (the “2010 Plan”), effective September 27, 2010, as amended on August 21, 2014, to provide incentives to certain employees, directors and consultants. A maximum of 1.0 million shares of the Company's common stock can be issued under the 2010 Plan in connection with the grant of awards. Awards to purchase common stock have been granted pursuant to the 2010 Plan and are outstanding to various employees, officers and directors. Outstanding stock options awarded under the 2010 Plan have exercise prices between $5.60 and $20.09 per share, and vest over one to four year vesting periods. Awards expire in accordance with the terms of each award and, upon expiration of the award, the shares subject to the award will be added to the 2017 Plan pool as described below. The contractual term of stock options granted is generally ten years. No new awards will be granted under the 2010 Plan and forfeited or terminated shares may be added to the 2017 Plan pool as described below. As of March 31, 2020, under the 2010 Plan, there were stock option awards outstanding, net of awards expired, for an aggregate of 0.1 million shares of the Company's common stock.</w:t>
      </w:r>
    </w:p>
    <w:p>
      <w:pPr>
        <w:spacing w:after="0" w:line="113" w:lineRule="exact"/>
        <w:rPr>
          <w:sz w:val="20"/>
          <w:szCs w:val="20"/>
          <w:color w:val="auto"/>
        </w:rPr>
      </w:pPr>
    </w:p>
    <w:p>
      <w:pPr>
        <w:ind w:right="20" w:firstLine="445"/>
        <w:spacing w:after="0" w:line="289" w:lineRule="auto"/>
        <w:rPr>
          <w:sz w:val="20"/>
          <w:szCs w:val="20"/>
          <w:color w:val="auto"/>
        </w:rPr>
      </w:pPr>
      <w:r>
        <w:rPr>
          <w:rFonts w:ascii="Arial" w:cs="Arial" w:eastAsia="Arial" w:hAnsi="Arial"/>
          <w:sz w:val="16"/>
          <w:szCs w:val="16"/>
          <w:color w:val="auto"/>
        </w:rPr>
        <w:t>The Company adopted, and the stockholders approved, the 2017 Long-Term Incentive Plan (the “2017 Plan”), effective February 16, 2017, to provide incentives to eligible employees, directors and consultants. On February 2, 2018 and November 15, 2018, the stockholders approved amendments to the 2017 Plan to increase by 425,000 shares and 715,000 shares, respectively, the number of shares of the Company's common stock that are available for issuance under the 2017 Plan. The maximum number of shares that can be issued under the 2017 Plan is not to exceed 2,265,000 shares, calculated as the sum of (i) 1,790,000 shares and (ii) up to 475,000 shares previously reserved for issuance under the 2010 Plan, including shares returned upon cancellation, termination or forfeiture of awards that were previously granted under that plan. As of March 31, 2020, a maximum of 2.3 million shares of the Company's common stock can be issued under the 2017 Plan in connection with the grant of awards. Outstanding stock options awarded under the 2017 Plan have exercise prices of $4.44 per share, and vest over a three year vesting period. Awards expire in accordance with the terms of each award and, upon expiration of the award, the shares subject to the award are added back to the 2017 Plan. The contractual term of stock options granted are substantially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6" w:name="page17"/>
    <w:bookmarkEnd w:id="16"/>
    <w:p>
      <w:pPr>
        <w:ind w:right="80"/>
        <w:spacing w:after="0" w:line="277" w:lineRule="auto"/>
        <w:rPr>
          <w:sz w:val="20"/>
          <w:szCs w:val="20"/>
          <w:color w:val="auto"/>
        </w:rPr>
      </w:pPr>
      <w:r>
        <w:rPr>
          <w:rFonts w:ascii="Arial" w:cs="Arial" w:eastAsia="Arial" w:hAnsi="Arial"/>
          <w:sz w:val="18"/>
          <w:szCs w:val="18"/>
          <w:color w:val="auto"/>
        </w:rPr>
        <w:t>the same as described above for the 2007 Plan and 2010 Plan. As of March 31, 2020, under the 2017 Plan, there were stock option awards outstanding, net of awards expired, for an aggregate of 0.4 million shares of the Company's common stock.</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Cash-Settled Plans</w:t>
      </w:r>
    </w:p>
    <w:p>
      <w:pPr>
        <w:spacing w:after="0" w:line="162" w:lineRule="exact"/>
        <w:rPr>
          <w:sz w:val="20"/>
          <w:szCs w:val="20"/>
          <w:color w:val="auto"/>
        </w:rPr>
      </w:pPr>
    </w:p>
    <w:p>
      <w:pPr>
        <w:ind w:firstLine="445"/>
        <w:spacing w:after="0" w:line="268" w:lineRule="auto"/>
        <w:rPr>
          <w:sz w:val="20"/>
          <w:szCs w:val="20"/>
          <w:color w:val="auto"/>
        </w:rPr>
      </w:pPr>
      <w:r>
        <w:rPr>
          <w:rFonts w:ascii="Arial" w:cs="Arial" w:eastAsia="Arial" w:hAnsi="Arial"/>
          <w:sz w:val="17"/>
          <w:szCs w:val="17"/>
          <w:color w:val="auto"/>
        </w:rPr>
        <w:t>The Company adopted a performance incentive plan effective July 1, 2016 (the "Fiscal 2017 Performance Plan"). The Fiscal 2017 Performance Plan is intended to provide selected employees an opportunity to earn performance-based cash bonuses whose value is based upon the Company’s stock value and to encourage such employees to provide services to the Company and to attract new individuals with outstanding qualifications. The Fiscal 2017 Performance Plan seeks to achieve this purpose by providing for awards in the form of performance share units (the “Units”). No shares will be issued under the Fiscal 2017 Performance Plan. Awards may be settled only with cash and will be paid subsequent to award vesting. The fair value of share-based compensation awards, that include performance shares, are accounted for as liabilities. Vesting for the Units is subject to achievement of both service-based and performance-based vesting requirements. Performance-based vesting occurs in three installments if the Company meets certain performance criteria generally set for each year of a three-year performance period. The service-based vesting criteria occurs in a single installment at the end of the third fiscal year after the awards are granted if the participant has continuously remained in service from the date of award through the end of the third fiscal year. The fair value of these awards is based on the trading price of the Company's common stock and is remeasured at each reporting period date until settlement. The Company adopted a separate performance incentive plan effective July 1, 2017 (the "Fiscal 2018 Performance Plan"). The Fiscal 2018 Performance Plan includes performance-based and service-based vesting requirements and payment terms that are substantially the same as described above for the Fiscal 2017 Performance Plan.</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Employee Stock Purchase Plan</w:t>
      </w:r>
    </w:p>
    <w:p>
      <w:pPr>
        <w:spacing w:after="0" w:line="148" w:lineRule="exact"/>
        <w:rPr>
          <w:sz w:val="20"/>
          <w:szCs w:val="20"/>
          <w:color w:val="auto"/>
        </w:rPr>
      </w:pPr>
    </w:p>
    <w:p>
      <w:pPr>
        <w:ind w:right="860" w:firstLine="445"/>
        <w:spacing w:after="0" w:line="308" w:lineRule="auto"/>
        <w:rPr>
          <w:sz w:val="20"/>
          <w:szCs w:val="20"/>
          <w:color w:val="auto"/>
        </w:rPr>
      </w:pPr>
      <w:r>
        <w:rPr>
          <w:rFonts w:ascii="Arial" w:cs="Arial" w:eastAsia="Arial" w:hAnsi="Arial"/>
          <w:sz w:val="17"/>
          <w:szCs w:val="17"/>
          <w:i w:val="1"/>
          <w:iCs w:val="1"/>
          <w:color w:val="auto"/>
        </w:rPr>
        <w:t xml:space="preserve">General. </w:t>
      </w:r>
      <w:r>
        <w:rPr>
          <w:rFonts w:ascii="Arial" w:cs="Arial" w:eastAsia="Arial" w:hAnsi="Arial"/>
          <w:sz w:val="17"/>
          <w:szCs w:val="17"/>
          <w:color w:val="auto"/>
        </w:rPr>
        <w:t>The Company's 2019 Employee Stock Purchase Plan ("ESPP") was adopted by the board of directors in September 2018 and its</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stockholders approved it in November 2018. The ESPP is intended to qualify under Section 423 of the Internal Revenue Code.</w:t>
      </w:r>
    </w:p>
    <w:p>
      <w:pPr>
        <w:spacing w:after="0" w:line="79" w:lineRule="exact"/>
        <w:rPr>
          <w:sz w:val="20"/>
          <w:szCs w:val="20"/>
          <w:color w:val="auto"/>
        </w:rPr>
      </w:pPr>
    </w:p>
    <w:p>
      <w:pPr>
        <w:ind w:right="220" w:firstLine="445"/>
        <w:spacing w:after="0" w:line="263" w:lineRule="auto"/>
        <w:rPr>
          <w:sz w:val="20"/>
          <w:szCs w:val="20"/>
          <w:color w:val="auto"/>
        </w:rPr>
      </w:pPr>
      <w:r>
        <w:rPr>
          <w:rFonts w:ascii="Arial" w:cs="Arial" w:eastAsia="Arial" w:hAnsi="Arial"/>
          <w:sz w:val="18"/>
          <w:szCs w:val="18"/>
          <w:i w:val="1"/>
          <w:iCs w:val="1"/>
          <w:color w:val="auto"/>
        </w:rPr>
        <w:t xml:space="preserve">Share Reserve. </w:t>
      </w:r>
      <w:r>
        <w:rPr>
          <w:rFonts w:ascii="Arial" w:cs="Arial" w:eastAsia="Arial" w:hAnsi="Arial"/>
          <w:sz w:val="18"/>
          <w:szCs w:val="18"/>
          <w:color w:val="auto"/>
        </w:rPr>
        <w:t>The Company has reserved 0.4 million shares of its common stock for issuance under the ESPP. As of March 31, 2020, 0.3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shares were available for issuance. The number of shares reserved under the ESPP will automatically be adjusted in the event of a stock split, stock dividend or a reverse stock split (including an adjustment to the per-purchase period share limit).</w:t>
      </w:r>
    </w:p>
    <w:p>
      <w:pPr>
        <w:spacing w:after="0" w:line="116" w:lineRule="exact"/>
        <w:rPr>
          <w:sz w:val="20"/>
          <w:szCs w:val="20"/>
          <w:color w:val="auto"/>
        </w:rPr>
      </w:pPr>
    </w:p>
    <w:p>
      <w:pPr>
        <w:ind w:right="40" w:firstLine="445"/>
        <w:spacing w:after="0" w:line="275" w:lineRule="auto"/>
        <w:rPr>
          <w:sz w:val="20"/>
          <w:szCs w:val="20"/>
          <w:color w:val="auto"/>
        </w:rPr>
      </w:pPr>
      <w:r>
        <w:rPr>
          <w:rFonts w:ascii="Arial" w:cs="Arial" w:eastAsia="Arial" w:hAnsi="Arial"/>
          <w:sz w:val="17"/>
          <w:szCs w:val="17"/>
          <w:i w:val="1"/>
          <w:iCs w:val="1"/>
          <w:color w:val="auto"/>
        </w:rPr>
        <w:t xml:space="preserve">Purchase Price. </w:t>
      </w:r>
      <w:r>
        <w:rPr>
          <w:rFonts w:ascii="Arial" w:cs="Arial" w:eastAsia="Arial" w:hAnsi="Arial"/>
          <w:sz w:val="17"/>
          <w:szCs w:val="17"/>
          <w:color w:val="auto"/>
        </w:rPr>
        <w:t>Employees may purchase each share of common stock under the ESPP at a price equal to 85% of the lower of the fair market values</w:t>
      </w:r>
      <w:r>
        <w:rPr>
          <w:rFonts w:ascii="Arial" w:cs="Arial" w:eastAsia="Arial" w:hAnsi="Arial"/>
          <w:sz w:val="17"/>
          <w:szCs w:val="17"/>
          <w:i w:val="1"/>
          <w:iCs w:val="1"/>
          <w:color w:val="auto"/>
        </w:rPr>
        <w:t xml:space="preserve"> </w:t>
      </w:r>
      <w:r>
        <w:rPr>
          <w:rFonts w:ascii="Arial" w:cs="Arial" w:eastAsia="Arial" w:hAnsi="Arial"/>
          <w:sz w:val="17"/>
          <w:szCs w:val="17"/>
          <w:color w:val="auto"/>
        </w:rPr>
        <w:t>of the stock as of the beginning or the end of the six-month offering periods. An employee's contributions to the ESPP are limited to 15% of their regular hourly or salary compensation, and up to a maximum of 3,000 shares may be purchased during any offering period. A participant shall not be granted an option under the ESPP if such option would permit the participant's rights to purchase stock to accrue at a rate exceeding $25,000 grant date fair market value of stock for each calendar year in which such option is outstanding at any time.</w:t>
      </w:r>
    </w:p>
    <w:p>
      <w:pPr>
        <w:spacing w:after="0" w:line="95" w:lineRule="exact"/>
        <w:rPr>
          <w:sz w:val="20"/>
          <w:szCs w:val="20"/>
          <w:color w:val="auto"/>
        </w:rPr>
      </w:pPr>
    </w:p>
    <w:p>
      <w:pPr>
        <w:ind w:right="100" w:firstLine="445"/>
        <w:spacing w:after="0" w:line="277" w:lineRule="auto"/>
        <w:rPr>
          <w:sz w:val="20"/>
          <w:szCs w:val="20"/>
          <w:color w:val="auto"/>
        </w:rPr>
      </w:pPr>
      <w:r>
        <w:rPr>
          <w:rFonts w:ascii="Arial" w:cs="Arial" w:eastAsia="Arial" w:hAnsi="Arial"/>
          <w:sz w:val="18"/>
          <w:szCs w:val="18"/>
          <w:i w:val="1"/>
          <w:iCs w:val="1"/>
          <w:color w:val="auto"/>
        </w:rPr>
        <w:t xml:space="preserve">Offering Periods. </w:t>
      </w:r>
      <w:r>
        <w:rPr>
          <w:rFonts w:ascii="Arial" w:cs="Arial" w:eastAsia="Arial" w:hAnsi="Arial"/>
          <w:sz w:val="18"/>
          <w:szCs w:val="18"/>
          <w:color w:val="auto"/>
        </w:rPr>
        <w:t>Unless otherwise determined by the compensation committee, the ESPP will be operated through a series of successive six-month</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periods, which will begin each year on March 1 and September 1.</w:t>
      </w:r>
    </w:p>
    <w:p>
      <w:pPr>
        <w:spacing w:after="0" w:line="103" w:lineRule="exact"/>
        <w:rPr>
          <w:sz w:val="20"/>
          <w:szCs w:val="20"/>
          <w:color w:val="auto"/>
        </w:rPr>
      </w:pPr>
    </w:p>
    <w:p>
      <w:pPr>
        <w:ind w:right="420" w:firstLine="445"/>
        <w:spacing w:after="0" w:line="277" w:lineRule="auto"/>
        <w:rPr>
          <w:sz w:val="20"/>
          <w:szCs w:val="20"/>
          <w:color w:val="auto"/>
        </w:rPr>
      </w:pPr>
      <w:r>
        <w:rPr>
          <w:rFonts w:ascii="Arial" w:cs="Arial" w:eastAsia="Arial" w:hAnsi="Arial"/>
          <w:sz w:val="18"/>
          <w:szCs w:val="18"/>
          <w:color w:val="auto"/>
        </w:rPr>
        <w:t>During the nine months ended March 31, 2020, 0.1 million shares of common stock were issued under the ESPP. During the nine months ended March 31, 2019, no shares of common stock were issued.</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Stock-Based Compensation</w:t>
      </w:r>
    </w:p>
    <w:p>
      <w:pPr>
        <w:spacing w:after="0" w:line="144" w:lineRule="exact"/>
        <w:rPr>
          <w:sz w:val="20"/>
          <w:szCs w:val="20"/>
          <w:color w:val="auto"/>
        </w:rPr>
      </w:pPr>
    </w:p>
    <w:p>
      <w:pPr>
        <w:ind w:firstLine="445"/>
        <w:spacing w:after="0" w:line="273" w:lineRule="auto"/>
        <w:rPr>
          <w:sz w:val="20"/>
          <w:szCs w:val="20"/>
          <w:color w:val="auto"/>
        </w:rPr>
      </w:pPr>
      <w:r>
        <w:rPr>
          <w:rFonts w:ascii="Arial" w:cs="Arial" w:eastAsia="Arial" w:hAnsi="Arial"/>
          <w:sz w:val="17"/>
          <w:szCs w:val="17"/>
          <w:color w:val="auto"/>
        </w:rPr>
        <w:t>In accordance with accounting guidance for stock-based compensation, payments in equity instruments for goods or services are accounted for by the fair value method. For the three and nine months ended March 31, 2020, stock-based compensation of $1.2 million and $4.0 million, respectively, was reflected as an increase to additional paid-in capital and a decrease of $27,000 and an increase of $0.1 million, respectively, was included in other accrued expenses, all of which was employee related. For the three and nine months ended March 31, 2019, stock-based compensation of $1.0 million and $3.6 million, respectively, was reflected as an increase to additional paid-in capital and an increase of $0.1 million and $0.5 million, respectively, was included in other accrued expenses, all of which was employee related.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Commitments and Contingencies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44"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 xml:space="preserve">The Company accounts for contingent liabilities in accordance with ASC 450, </w:t>
      </w:r>
      <w:r>
        <w:rPr>
          <w:rFonts w:ascii="Arial" w:cs="Arial" w:eastAsia="Arial" w:hAnsi="Arial"/>
          <w:sz w:val="18"/>
          <w:szCs w:val="18"/>
          <w:i w:val="1"/>
          <w:iCs w:val="1"/>
          <w:color w:val="auto"/>
        </w:rPr>
        <w:t>Contingencies</w:t>
      </w:r>
      <w:r>
        <w:rPr>
          <w:rFonts w:ascii="Arial" w:cs="Arial" w:eastAsia="Arial" w:hAnsi="Arial"/>
          <w:sz w:val="18"/>
          <w:szCs w:val="18"/>
          <w:color w:val="auto"/>
        </w:rPr>
        <w:t>. This guidance requires management to assess potential contingent liabilities that may exist as of the date of the financial statements to determine the probability and amount of loss that may have occurred, which inherently involves an exercise of judgment. If the assessment of a contingency indicates that it is probable that a material loss has been incurred and the amount of the liability can be estimated,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17" w:name="page18"/>
    <w:bookmarkEnd w:id="17"/>
    <w:p>
      <w:pPr>
        <w:ind w:right="40"/>
        <w:spacing w:after="0" w:line="257" w:lineRule="auto"/>
        <w:rPr>
          <w:sz w:val="20"/>
          <w:szCs w:val="20"/>
          <w:color w:val="auto"/>
        </w:rPr>
      </w:pPr>
      <w:r>
        <w:rPr>
          <w:rFonts w:ascii="Arial" w:cs="Arial" w:eastAsia="Arial" w:hAnsi="Arial"/>
          <w:sz w:val="18"/>
          <w:szCs w:val="18"/>
          <w:color w:val="auto"/>
        </w:rPr>
        <w:t>then the estimated liability would be accrued in the Company’s financial statements. If the assessment indicates that a potential material loss contingency is not probable but is reasonably possible, or is probable but cannot be estimated, then the nature of the contingent liability, and an estimate of the range of possible losses, if determinable and material, would be disclosed. For loss contingencies considered remote, no accrual or disclosures are generally made. Management has assessed potential contingent liabilities as of March 31, 2020, and based on the assessment, there are no probable loss contingencies requiring accrual or disclosures within its financial statements.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Accruals</w:t>
      </w:r>
    </w:p>
    <w:p>
      <w:pPr>
        <w:spacing w:after="0" w:line="158" w:lineRule="exact"/>
        <w:rPr>
          <w:sz w:val="20"/>
          <w:szCs w:val="20"/>
          <w:color w:val="auto"/>
        </w:rPr>
      </w:pPr>
    </w:p>
    <w:p>
      <w:pPr>
        <w:ind w:right="80" w:firstLine="405"/>
        <w:spacing w:after="0" w:line="268" w:lineRule="auto"/>
        <w:rPr>
          <w:sz w:val="20"/>
          <w:szCs w:val="20"/>
          <w:color w:val="auto"/>
        </w:rPr>
      </w:pPr>
      <w:r>
        <w:rPr>
          <w:rFonts w:ascii="Arial" w:cs="Arial" w:eastAsia="Arial" w:hAnsi="Arial"/>
          <w:sz w:val="17"/>
          <w:szCs w:val="17"/>
          <w:color w:val="auto"/>
        </w:rPr>
        <w:t>In addition to commitments and obligations in the ordinary course of business, from time to time, the Company is subject to various claims, pending and potential legal actions, investigations relating to governmental laws and regulations and other matters arising out of the normal conduct of its business. Management assesses contingencies to determine the degree of probability and range of possible loss for potential accrual in the consolidated financial statements. An estimated loss contingency is accrued in the consolidated financial statements if it is probable that a liability has been incurred and the amount of the loss can be reasonably estimated. Because evaluating legal claims and litigation results are inherently unpredictable and unfavorable results could occur, assessing contingencies is highly subjective and requires judgments about future events. When evaluating contingencies, management may be unable to provide a meaningful estimate due to a number of factors, including the procedural status of the matter in question, the presence of complex or novel legal theories, and/or the ongoing discovery and development of information important to the matters. In addition, damage amounts claimed or asserted against the Company may be unsupported, exaggerated or unrelated to possible outcomes, and as such are not meaningful indicators of a potential liability. Management regularly reviews contingencies to determine the adequacy of financial statement accruals and related disclosures. The amount of ultimate loss may differ from these estimates. It is possible that cash flows or results of operations could be materially affected in any particular period by the unfavorable resolution of one or more of these contingencies. Whether any losses finally determined in any claim, action, investigation or proceeding could reasonably have a material effect on the Company's business, financial condition, results of operations or cash flows will depend on a number of variables, including: the timing and amount of such losses; the structure and type of any remedies; the significance of the impact of any such losses, damages or remedies may have on the consolidated financial statements; and the unique facts and circumstances of the particular matter that may give rise to additional factors.</w:t>
      </w:r>
    </w:p>
    <w:p>
      <w:pPr>
        <w:spacing w:after="0" w:line="108" w:lineRule="exact"/>
        <w:rPr>
          <w:sz w:val="20"/>
          <w:szCs w:val="20"/>
          <w:color w:val="auto"/>
        </w:rPr>
      </w:pPr>
    </w:p>
    <w:p>
      <w:pPr>
        <w:ind w:firstLine="405"/>
        <w:spacing w:after="0" w:line="267" w:lineRule="auto"/>
        <w:rPr>
          <w:sz w:val="20"/>
          <w:szCs w:val="20"/>
          <w:color w:val="auto"/>
        </w:rPr>
      </w:pPr>
      <w:r>
        <w:rPr>
          <w:rFonts w:ascii="Arial" w:cs="Arial" w:eastAsia="Arial" w:hAnsi="Arial"/>
          <w:sz w:val="16"/>
          <w:szCs w:val="16"/>
          <w:b w:val="1"/>
          <w:bCs w:val="1"/>
          <w:color w:val="auto"/>
        </w:rPr>
        <w:t>Class Action Lawsuit (</w:t>
      </w:r>
      <w:r>
        <w:rPr>
          <w:rFonts w:ascii="Arial" w:cs="Arial" w:eastAsia="Arial" w:hAnsi="Arial"/>
          <w:sz w:val="16"/>
          <w:szCs w:val="16"/>
          <w:b w:val="1"/>
          <w:bCs w:val="1"/>
          <w:i w:val="1"/>
          <w:iCs w:val="1"/>
          <w:color w:val="auto"/>
        </w:rPr>
        <w:t>Smith v. LifeVantage Corp</w:t>
      </w:r>
      <w:r>
        <w:rPr>
          <w:rFonts w:ascii="Arial" w:cs="Arial" w:eastAsia="Arial" w:hAnsi="Arial"/>
          <w:sz w:val="16"/>
          <w:szCs w:val="16"/>
          <w:b w:val="1"/>
          <w:bCs w:val="1"/>
          <w:color w:val="auto"/>
        </w:rPr>
        <w:t xml:space="preserve">.): </w:t>
      </w:r>
      <w:r>
        <w:rPr>
          <w:rFonts w:ascii="Arial" w:cs="Arial" w:eastAsia="Arial" w:hAnsi="Arial"/>
          <w:sz w:val="16"/>
          <w:szCs w:val="16"/>
          <w:color w:val="auto"/>
        </w:rPr>
        <w:t>On January 24, 2018, a purported class action was filed in the United States District Court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District of Connecticut, entitled Smith v. LifeVantage Corp., Case No. 3:18-cv-a35 (D. Connecticut filed Jan. 24, 2018). In this action, Plaintiffs alleged that the Company, its Chief Executive Officer, Chief Sales Officer and Chief Marketing Officer operated a pyramid scheme in violation of a variety of federal and state statutes, including RICO and the Connecticut Unfair Trade Practices Act. On April 16, 2018, the Company filed motions with the court to dismiss the complaint against LifeVantage, dismiss the complaint against the Company's executives, transfer the venue of the case from the State of Connecticut to the State of Utah, and contest class certification. On July 23, 2018, the parties filed a stipulation with the Court agreeing to transfer the case to the Federal District Court for Utah. On September 20, 2018, Plaintiffs filed an amended complaint in Utah. As per the parties stipulated agreement, Plaintiff's amended complaint dropped the RICO and Connecticut state law claims and removed the Company's Chief Sales Officer and Chief Marketing Officer as individual defendants (the Chief Executive Officer remains a defendant in the case). The Plaintiffs' amended complaint added an antitrust claim, alleging that the Company fraudulently obtained patents for its products and is attempting to use those patents in an anti-competitive manner. The Company filed a Motion to Dismiss the amended complaint on November 5, 2018, Plaintiffs filed a response to the Company’s Motion to Dismiss on December 17, 2018, and the Company filed a reply brief on January 10, 2019. The Court ruled on the motion on December 5, 2019, dismissing three of the Plaintiff's four claims, including the antitrust claim, unjust enrichment claim, and the securities claim for the sale of unregistered securities. On December 19, 2019, Plaintiffs filed a second amended complaint which included three causes of action, including a 10(b)(5) securities fraud claim, and renewed claims relating to the sale of unregistered securities and unjust enrichment. The Company filed a Motion to Dismiss the Second Amended Complaint on January 28, 2020, and as of March 16, 2020, the Motion has been fully briefed for the court. The parties are now waiting for the court to schedule oral argument or the court may decide the matter on the papers. The Company has not established a loss contingency accrual for this lawsuit as it believes liability is not probable or estimable, and the Company plans to vigorously defend against this lawsuit. Nonetheless, an unfavorable resolution of this matter could have a material adverse effect on the Company's business, results of operations or financial condition.</w:t>
      </w:r>
    </w:p>
    <w:p>
      <w:pPr>
        <w:spacing w:after="0" w:line="94" w:lineRule="exact"/>
        <w:rPr>
          <w:sz w:val="20"/>
          <w:szCs w:val="20"/>
          <w:color w:val="auto"/>
        </w:rPr>
      </w:pPr>
    </w:p>
    <w:p>
      <w:pPr>
        <w:ind w:right="180" w:firstLine="324"/>
        <w:spacing w:after="0" w:line="303" w:lineRule="auto"/>
        <w:rPr>
          <w:sz w:val="20"/>
          <w:szCs w:val="20"/>
          <w:color w:val="auto"/>
        </w:rPr>
      </w:pPr>
      <w:r>
        <w:rPr>
          <w:rFonts w:ascii="Arial" w:cs="Arial" w:eastAsia="Arial" w:hAnsi="Arial"/>
          <w:sz w:val="16"/>
          <w:szCs w:val="16"/>
          <w:b w:val="1"/>
          <w:bCs w:val="1"/>
          <w:color w:val="auto"/>
        </w:rPr>
        <w:t xml:space="preserve">Other Matters. </w:t>
      </w:r>
      <w:r>
        <w:rPr>
          <w:rFonts w:ascii="Arial" w:cs="Arial" w:eastAsia="Arial" w:hAnsi="Arial"/>
          <w:sz w:val="16"/>
          <w:szCs w:val="16"/>
          <w:color w:val="auto"/>
        </w:rPr>
        <w:t>In addition to the matters described above, the Company also may become involved in other litigation and regulatory matters</w:t>
      </w:r>
      <w:r>
        <w:rPr>
          <w:rFonts w:ascii="Arial" w:cs="Arial" w:eastAsia="Arial" w:hAnsi="Arial"/>
          <w:sz w:val="16"/>
          <w:szCs w:val="16"/>
          <w:b w:val="1"/>
          <w:bCs w:val="1"/>
          <w:color w:val="auto"/>
        </w:rPr>
        <w:t xml:space="preserve"> </w:t>
      </w:r>
      <w:r>
        <w:rPr>
          <w:rFonts w:ascii="Arial" w:cs="Arial" w:eastAsia="Arial" w:hAnsi="Arial"/>
          <w:sz w:val="16"/>
          <w:szCs w:val="16"/>
          <w:color w:val="auto"/>
        </w:rPr>
        <w:t>incidental to its business and the matters disclosed in this quarterly report on Form 10-Q, including, but not limited to, product liability claims, regulatory actions, employment matters and commercial disputes. The Company intends to defend itself in any such matters and does not currently believe that the outcome of any such matters will have a material adverse effect on the Company's business, financial condition, results of operations and cash flows.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8" w:name="page19"/>
    <w:bookmarkEnd w:id="18"/>
    <w:p>
      <w:pPr>
        <w:ind w:right="100" w:firstLine="445"/>
        <w:spacing w:after="0" w:line="259" w:lineRule="auto"/>
        <w:rPr>
          <w:sz w:val="20"/>
          <w:szCs w:val="20"/>
          <w:color w:val="auto"/>
        </w:rPr>
      </w:pPr>
      <w:r>
        <w:rPr>
          <w:rFonts w:ascii="Arial" w:cs="Arial" w:eastAsia="Arial" w:hAnsi="Arial"/>
          <w:sz w:val="18"/>
          <w:szCs w:val="18"/>
          <w:color w:val="auto"/>
        </w:rPr>
        <w:t>The Company has entered into a series of agreements with GEG for outsourced software application development services. The Company and GEG have also entered into a common stock purchase agreement. For discussion related to the common stock purchase agreement, see Note 3. Two members of the Company's board of directors serve on the GEG board of directors. During the nine months ended March 31, 2020, the Company paid $1.2 million to GEG for software application development services.</w:t>
      </w:r>
    </w:p>
    <w:p>
      <w:pPr>
        <w:spacing w:after="0" w:line="102" w:lineRule="exact"/>
        <w:rPr>
          <w:sz w:val="20"/>
          <w:szCs w:val="20"/>
          <w:color w:val="auto"/>
        </w:rPr>
      </w:pPr>
    </w:p>
    <w:p>
      <w:pPr>
        <w:ind w:right="3820"/>
        <w:spacing w:after="0" w:line="424"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Overview</w:t>
      </w:r>
    </w:p>
    <w:p>
      <w:pPr>
        <w:spacing w:after="0" w:line="2"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We are a company focused on biohacking the aging code through nutrigenomics, the study of how nutrition and naturally occurring compounds affect human genes to support good health. We are dedicated to helping people achieve their health, wellness and financial goals. We provide quality, scientifically-validated products and a financially rewarding direct sales opportunity to customers and independent distributors. We engage in the identification, research, development and distribution of advanced nutraceutical dietary supplements and skin and hair care products. We currently sell our products to customers and independent distributors in two geographic regions that we have classified as the Americas region and the Asia/Pacific &amp; Europe region.</w:t>
      </w:r>
    </w:p>
    <w:p>
      <w:pPr>
        <w:spacing w:after="0" w:line="111"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Our revenue depends on the number and productivity of our independent distributors and sales to our customers. When we are successful in attracting and retaining independent distributors and customers, it is largely because of:</w:t>
      </w:r>
    </w:p>
    <w:p>
      <w:pPr>
        <w:spacing w:after="0" w:line="103" w:lineRule="exact"/>
        <w:rPr>
          <w:sz w:val="20"/>
          <w:szCs w:val="20"/>
          <w:color w:val="auto"/>
        </w:rPr>
      </w:pPr>
    </w:p>
    <w:p>
      <w:pPr>
        <w:ind w:left="740" w:right="260" w:hanging="327"/>
        <w:spacing w:after="0" w:line="235" w:lineRule="auto"/>
        <w:tabs>
          <w:tab w:leader="none" w:pos="735"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products, including Protandim</w:t>
      </w:r>
      <w:r>
        <w:rPr>
          <w:rFonts w:ascii="Arial" w:cs="Arial" w:eastAsia="Arial" w:hAnsi="Arial"/>
          <w:sz w:val="22"/>
          <w:szCs w:val="22"/>
          <w:color w:val="auto"/>
          <w:vertAlign w:val="superscript"/>
        </w:rPr>
        <w:t>®</w:t>
      </w:r>
      <w:r>
        <w:rPr>
          <w:rFonts w:ascii="Arial" w:cs="Arial" w:eastAsia="Arial" w:hAnsi="Arial"/>
          <w:sz w:val="17"/>
          <w:szCs w:val="17"/>
          <w:color w:val="auto"/>
        </w:rPr>
        <w:t>, our line of scientifically-validated dietary supplements, LifeVantage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Omega+ and ProBio dietary supplements, TrueScience</w:t>
      </w:r>
      <w:r>
        <w:rPr>
          <w:rFonts w:ascii="Arial" w:cs="Arial" w:eastAsia="Arial" w:hAnsi="Arial"/>
          <w:sz w:val="22"/>
          <w:szCs w:val="22"/>
          <w:color w:val="auto"/>
          <w:vertAlign w:val="superscript"/>
        </w:rPr>
        <w:t>®</w:t>
      </w:r>
      <w:r>
        <w:rPr>
          <w:rFonts w:ascii="Arial" w:cs="Arial" w:eastAsia="Arial" w:hAnsi="Arial"/>
          <w:sz w:val="17"/>
          <w:szCs w:val="17"/>
          <w:color w:val="auto"/>
        </w:rPr>
        <w:t>, our line of skin and hair care products, Petandim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for Dogs, our companion pet supplement formulated to combat oxidative stress in dogs, Axio</w:t>
      </w:r>
      <w:r>
        <w:rPr>
          <w:rFonts w:ascii="Arial" w:cs="Arial" w:eastAsia="Arial" w:hAnsi="Arial"/>
          <w:sz w:val="22"/>
          <w:szCs w:val="22"/>
          <w:color w:val="auto"/>
          <w:vertAlign w:val="superscript"/>
        </w:rPr>
        <w:t>®</w:t>
      </w:r>
      <w:r>
        <w:rPr>
          <w:rFonts w:ascii="Arial" w:cs="Arial" w:eastAsia="Arial" w:hAnsi="Arial"/>
          <w:sz w:val="17"/>
          <w:szCs w:val="17"/>
          <w:color w:val="auto"/>
        </w:rPr>
        <w:t>, our Smart Energy Drink mixes, and PhysIQ</w:t>
      </w:r>
      <w:r>
        <w:rPr>
          <w:rFonts w:ascii="Arial" w:cs="Arial" w:eastAsia="Arial" w:hAnsi="Arial"/>
          <w:sz w:val="22"/>
          <w:szCs w:val="22"/>
          <w:color w:val="auto"/>
          <w:vertAlign w:val="superscript"/>
        </w:rPr>
        <w:t>™</w:t>
      </w:r>
      <w:r>
        <w:rPr>
          <w:rFonts w:ascii="Arial" w:cs="Arial" w:eastAsia="Arial" w:hAnsi="Arial"/>
          <w:sz w:val="17"/>
          <w:szCs w:val="17"/>
          <w:color w:val="auto"/>
        </w:rPr>
        <w:t>, our Smart Weight Management System;</w:t>
      </w:r>
    </w:p>
    <w:p>
      <w:pPr>
        <w:spacing w:after="0" w:line="53" w:lineRule="exact"/>
        <w:rPr>
          <w:rFonts w:ascii="Arial" w:cs="Arial" w:eastAsia="Arial" w:hAnsi="Arial"/>
          <w:sz w:val="17"/>
          <w:szCs w:val="17"/>
          <w:color w:val="auto"/>
        </w:rPr>
      </w:pPr>
    </w:p>
    <w:p>
      <w:pPr>
        <w:ind w:left="740" w:hanging="327"/>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compensation plan and other sales initiatives; and</w:t>
      </w:r>
    </w:p>
    <w:p>
      <w:pPr>
        <w:spacing w:after="0" w:line="144" w:lineRule="exact"/>
        <w:rPr>
          <w:rFonts w:ascii="Arial" w:cs="Arial" w:eastAsia="Arial" w:hAnsi="Arial"/>
          <w:sz w:val="18"/>
          <w:szCs w:val="18"/>
          <w:color w:val="auto"/>
        </w:rPr>
      </w:pPr>
    </w:p>
    <w:p>
      <w:pPr>
        <w:ind w:left="740" w:hanging="327"/>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delivery of superior customer service.</w:t>
      </w:r>
    </w:p>
    <w:p>
      <w:pPr>
        <w:spacing w:after="0" w:line="158"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As a result, it is vital to our success that we leverage our product development resources to develop and introduce compelling and innovative products and provide opportunities for our independent distributors to sell these products in a variety of markets. We sell our products in the United States, Mexico, Japan, Australia, Hong Kong, Canada, Thailand, the United Kingdom, the Netherlands, Germany, Taiwan, Austria, Spain, Ireland, Belgium and New Zealand. We also sell our products in a number of countries to customers for personal consumption only. In addition, we sell our products in China through our e-commerce business model. Entering a new market requires a considerable amount of time, resources and continued support. If we are unable to properly support an existing or new market, our revenue growth may be negatively impacted.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on Our Business</w:t>
      </w:r>
    </w:p>
    <w:p>
      <w:pPr>
        <w:spacing w:after="0" w:line="148"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pandemic caused by an outbreak of a new strain of coronavirus (“COVID-19”) has resulted, and is likely to continue to result, in significant national and global economic disruption and may adversely affect our business. Uncertainty exists concerning the magnitude of the impact and duration of the COVID-19 pandemic. As of the date of this filing, we have experienced multiple disruptions at the corporate level as we have transitioned our corporate workforce to a remote working environment, closed some of our showrooms and will call locations in international markets and cancelled multiple planned events in order to comply with group meeting restrictions. Our independent distributors have also experienced disruptions and have begun to adapt their approach for customer outreach and enrollment, including transitioning to a stronger social media presence, in order to sustain their sales volume. Our business may, in the future, experience additional disruptions and be negatively impacted by the COVID-19 pandemic, including as a result of limitations on the ability of our suppliers to manufacture, or procure from manufacturers, the products we sell or any of the raw materials or components required in the production process, or to meet delivery requirements and commitments; limitations on the ability of our employees to perform their work due to illness caused by the pandemic or local, state, or federal orders requiring employees to remain at home; limitations on the ability of carriers to deliver our products to customers; limitations on the ability of our independent distributors to conduct their businesses and purchase our products; and limitations on the ability of our independent distributors or customers to continue to purchase our products due to decreased disposable income.</w:t>
      </w:r>
    </w:p>
    <w:p>
      <w:pPr>
        <w:spacing w:after="0" w:line="10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are evaluating any potential modifications that may be needed to protect our supply chain and preserve adequate liquidity to ensure that our business can continue to operate during this uncertain time. Certain states have issued executive orders requiring all workers to remain at home, unless their work is critical, essential, or life-sustaining. We have transitioned all of our corporate employees to a work from home model and, to date, our employees are performing well in the new environment. With respect to liquidity, we are evaluating and taking actions to ensure that we continue to be responsible with our expenses across our organization.</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9" w:name="page20"/>
    <w:bookmarkEnd w:id="19"/>
    <w:p>
      <w:pPr>
        <w:ind w:firstLine="324"/>
        <w:spacing w:after="0" w:line="259" w:lineRule="auto"/>
        <w:rPr>
          <w:sz w:val="20"/>
          <w:szCs w:val="20"/>
          <w:color w:val="auto"/>
        </w:rPr>
      </w:pPr>
      <w:r>
        <w:rPr>
          <w:rFonts w:ascii="Arial" w:cs="Arial" w:eastAsia="Arial" w:hAnsi="Arial"/>
          <w:sz w:val="18"/>
          <w:szCs w:val="18"/>
          <w:color w:val="auto"/>
        </w:rPr>
        <w:t>While we are unable to determine or predict the nature, duration or scope of the overall impact that the COVID-19 pandemic will have on our business, results of operations, liquidity or capital resources, we will continue to actively monitor the situation and may take further actions that alter our business operations as may be required by federal, state or local authorities or that we determine are in the best interests of our employees, independent distributors, customers, and stockholders.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162" w:lineRule="exact"/>
        <w:rPr>
          <w:sz w:val="20"/>
          <w:szCs w:val="20"/>
          <w:color w:val="auto"/>
        </w:rPr>
      </w:pPr>
    </w:p>
    <w:p>
      <w:pPr>
        <w:ind w:firstLine="324"/>
        <w:spacing w:after="0" w:line="219" w:lineRule="auto"/>
        <w:rPr>
          <w:sz w:val="20"/>
          <w:szCs w:val="20"/>
          <w:color w:val="auto"/>
        </w:rPr>
      </w:pPr>
      <w:r>
        <w:rPr>
          <w:rFonts w:ascii="Arial" w:cs="Arial" w:eastAsia="Arial" w:hAnsi="Arial"/>
          <w:sz w:val="17"/>
          <w:szCs w:val="17"/>
          <w:color w:val="auto"/>
        </w:rPr>
        <w:t>Our line of scientifically-validated dietary supplements includes Protandim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NRF1 Synergizer</w:t>
      </w:r>
      <w:r>
        <w:rPr>
          <w:rFonts w:ascii="Arial" w:cs="Arial" w:eastAsia="Arial" w:hAnsi="Arial"/>
          <w:sz w:val="22"/>
          <w:szCs w:val="22"/>
          <w:color w:val="auto"/>
          <w:vertAlign w:val="superscript"/>
        </w:rPr>
        <w:t>®</w:t>
      </w:r>
      <w:r>
        <w:rPr>
          <w:rFonts w:ascii="Arial" w:cs="Arial" w:eastAsia="Arial" w:hAnsi="Arial"/>
          <w:sz w:val="17"/>
          <w:szCs w:val="17"/>
          <w:color w:val="auto"/>
        </w:rPr>
        <w:t>, Nrf2 Synergizer</w:t>
      </w:r>
      <w:r>
        <w:rPr>
          <w:rFonts w:ascii="Arial" w:cs="Arial" w:eastAsia="Arial" w:hAnsi="Arial"/>
          <w:sz w:val="22"/>
          <w:szCs w:val="22"/>
          <w:color w:val="auto"/>
          <w:vertAlign w:val="superscript"/>
        </w:rPr>
        <w:t>®</w:t>
      </w:r>
      <w:r>
        <w:rPr>
          <w:rFonts w:ascii="Arial" w:cs="Arial" w:eastAsia="Arial" w:hAnsi="Arial"/>
          <w:sz w:val="17"/>
          <w:szCs w:val="17"/>
          <w:color w:val="auto"/>
        </w:rPr>
        <w:t>, and NAD Synergizer</w:t>
      </w:r>
      <w:r>
        <w:rPr>
          <w:rFonts w:ascii="Arial" w:cs="Arial" w:eastAsia="Arial" w:hAnsi="Arial"/>
          <w:sz w:val="22"/>
          <w:szCs w:val="22"/>
          <w:color w:val="auto"/>
          <w:vertAlign w:val="superscript"/>
        </w:rPr>
        <w:t>™</w:t>
      </w:r>
      <w:r>
        <w:rPr>
          <w:rFonts w:ascii="Arial" w:cs="Arial" w:eastAsia="Arial" w:hAnsi="Arial"/>
          <w:sz w:val="17"/>
          <w:szCs w:val="17"/>
          <w:color w:val="auto"/>
        </w:rPr>
        <w:t>, LifeVantage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Omega+ and ProBio. The Protandim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NRF1 Synergizer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is formulated to increase cellular energy and performance by boosting mitochondria production to improve cellular repair and slow cellular aging. The Protandim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Nrf2 Synergizer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contains a proprietary blend of ingredients and has been shown to combat oxidative stress and enhance energy production by increasing the body’s natural antioxidant protection at the genetic level, inducing the production of naturally-occurring protective antioxidant enzymes, including superoxide dismutase, catalase, and glutathione synthase. The Protandim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NAD Synergizer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was specifically formulated to target cell signaling pathways involved in the synthesis and recycling of a specific molecule called NAD (nicotinamide adenine dinucleotide), and has been shown to double sirtuin activity, supporting increased health, focus, energy, mental clarity and mood. LifeVantage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Omega+ is a dietary supplement that combines DHA and EPA Omega-3 fatty acids, Omega-7 fatty acids, and Vitamin D3 to support cognitive health, cardiovascular health, skin health, and the immune system. LifeVantage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ProBio is a dietary supplement designed to support optimal digestion and immune system function. Our TrueScience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line of anti-aging skin and hair care products includes TrueScience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Facial Cleanser, TrueScience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Perfecting Lotion, TrueScience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Eye Serum, TrueScience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Anti-Aging Cream, TrueScience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Hand Cream, TrueScience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Invigorating Shampoo, TrueScience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Nourishing Conditioner and TrueScience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Scalp Serum. Petandim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for Dogs is a supplement specially formulated to combat oxidative stress in dogs through Nrf2 activation. Axio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is our line of Smart Energy Drink mixes formulated to promote alertness and support mental performance. PhysIQ</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is our Smart Weight Management System, which includes PhysIQ™ Fat Burn, PhysIQ™ Prebiotic and PhysIQ™ Whey Protein, all formulated to aid in weight management.</w:t>
      </w:r>
    </w:p>
    <w:p>
      <w:pPr>
        <w:spacing w:after="0" w:line="230" w:lineRule="exact"/>
        <w:rPr>
          <w:sz w:val="20"/>
          <w:szCs w:val="20"/>
          <w:color w:val="auto"/>
        </w:rPr>
      </w:pPr>
    </w:p>
    <w:p>
      <w:pPr>
        <w:ind w:right="100" w:firstLine="324"/>
        <w:spacing w:after="0" w:line="248" w:lineRule="auto"/>
        <w:rPr>
          <w:sz w:val="20"/>
          <w:szCs w:val="20"/>
          <w:color w:val="auto"/>
        </w:rPr>
      </w:pPr>
      <w:r>
        <w:rPr>
          <w:rFonts w:ascii="Arial" w:cs="Arial" w:eastAsia="Arial" w:hAnsi="Arial"/>
          <w:sz w:val="16"/>
          <w:szCs w:val="16"/>
          <w:color w:val="auto"/>
        </w:rPr>
        <w:t>We sell our products both individually and in stacks. A stack consists of multiple products bundled together that are designed to achieve a specific result. The Vitality Stack</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includes four of our nutrigenomics products — Protandim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NRF1 Synergizer</w:t>
      </w:r>
      <w:r>
        <w:rPr>
          <w:rFonts w:ascii="Arial" w:cs="Arial" w:eastAsia="Arial" w:hAnsi="Arial"/>
          <w:sz w:val="20"/>
          <w:szCs w:val="20"/>
          <w:color w:val="auto"/>
          <w:vertAlign w:val="superscript"/>
        </w:rPr>
        <w:t>®</w:t>
      </w:r>
      <w:r>
        <w:rPr>
          <w:rFonts w:ascii="Arial" w:cs="Arial" w:eastAsia="Arial" w:hAnsi="Arial"/>
          <w:sz w:val="16"/>
          <w:szCs w:val="16"/>
          <w:color w:val="auto"/>
        </w:rPr>
        <w:t>, Nrf2 Synergizer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LifeVantage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Omega+ and ProBio. It was designed to provide a foundation for wellness, supporting healthy organs, including the brain, heart, eyes, and other vitals. With the Ultimate Stack</w:t>
      </w:r>
      <w:r>
        <w:rPr>
          <w:rFonts w:ascii="Arial" w:cs="Arial" w:eastAsia="Arial" w:hAnsi="Arial"/>
          <w:sz w:val="20"/>
          <w:szCs w:val="20"/>
          <w:color w:val="auto"/>
          <w:vertAlign w:val="superscript"/>
        </w:rPr>
        <w:t>™</w:t>
      </w:r>
      <w:r>
        <w:rPr>
          <w:rFonts w:ascii="Arial" w:cs="Arial" w:eastAsia="Arial" w:hAnsi="Arial"/>
          <w:sz w:val="16"/>
          <w:szCs w:val="16"/>
          <w:color w:val="auto"/>
        </w:rPr>
        <w:t>, we added Protandim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NAD Synergizer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PhysIQ</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Prebiotic to our Vitality Stack to support gut health and increase sirtuin activity, supporting increased health, focus, energy, mental clarity and mood. Our Protandim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Tri-Synergizer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consists of our Protandim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NRF1 Synergizer</w:t>
      </w:r>
      <w:r>
        <w:rPr>
          <w:rFonts w:ascii="Arial" w:cs="Arial" w:eastAsia="Arial" w:hAnsi="Arial"/>
          <w:sz w:val="20"/>
          <w:szCs w:val="20"/>
          <w:color w:val="auto"/>
          <w:vertAlign w:val="superscript"/>
        </w:rPr>
        <w:t>®</w:t>
      </w:r>
      <w:r>
        <w:rPr>
          <w:rFonts w:ascii="Arial" w:cs="Arial" w:eastAsia="Arial" w:hAnsi="Arial"/>
          <w:sz w:val="16"/>
          <w:szCs w:val="16"/>
          <w:color w:val="auto"/>
        </w:rPr>
        <w:t>, Nrf2 Synergizer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NAD Synergizer</w:t>
      </w:r>
      <w:r>
        <w:rPr>
          <w:rFonts w:ascii="Arial" w:cs="Arial" w:eastAsia="Arial" w:hAnsi="Arial"/>
          <w:sz w:val="20"/>
          <w:szCs w:val="20"/>
          <w:color w:val="auto"/>
          <w:vertAlign w:val="superscript"/>
        </w:rPr>
        <w:t>™</w:t>
      </w:r>
      <w:r>
        <w:rPr>
          <w:rFonts w:ascii="Arial" w:cs="Arial" w:eastAsia="Arial" w:hAnsi="Arial"/>
          <w:sz w:val="16"/>
          <w:szCs w:val="16"/>
          <w:color w:val="auto"/>
        </w:rPr>
        <w:t>, and was designed to effectively reduce oxidative stress, support mitochondria function, increase sirtuin activity, and target cell signaling pathways to fight the effects of aging. We also offer stacks for our PhysIQ</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TrueScience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product lines.</w:t>
      </w:r>
    </w:p>
    <w:p>
      <w:pPr>
        <w:spacing w:after="0" w:line="45" w:lineRule="exact"/>
        <w:rPr>
          <w:sz w:val="20"/>
          <w:szCs w:val="20"/>
          <w:color w:val="auto"/>
        </w:rPr>
      </w:pPr>
    </w:p>
    <w:p>
      <w:pPr>
        <w:ind w:right="260" w:firstLine="324"/>
        <w:spacing w:after="0" w:line="308" w:lineRule="auto"/>
        <w:rPr>
          <w:sz w:val="20"/>
          <w:szCs w:val="20"/>
          <w:color w:val="auto"/>
        </w:rPr>
      </w:pPr>
      <w:r>
        <w:rPr>
          <w:rFonts w:ascii="Arial" w:cs="Arial" w:eastAsia="Arial" w:hAnsi="Arial"/>
          <w:sz w:val="17"/>
          <w:szCs w:val="17"/>
          <w:color w:val="auto"/>
        </w:rPr>
        <w:t>We currently have additional products in development. Any delays or difficulties in introducing compelling products or attractive initiatives or tools into our markets may have a negative impact on our revenue and our ability to attract new independent distributors and customers.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w:t>
      </w:r>
    </w:p>
    <w:p>
      <w:pPr>
        <w:spacing w:after="0" w:line="162"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Because we utilize a direct selling model for the distribution of a majority of our products, the success and growth of our business is primarily based on the effectiveness of our independent distributors to attract customers and sell our products and our ability to attract new and retain existing independent distributors. Changes in our product sales typically are the result of variations in product sales volume relating to fluctuations in the number of active independent distributors and customers purchasing our products. The number of active independent distributors and customers is, therefore, used by management as a key non-financial measure.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0" w:name="page21"/>
    <w:bookmarkEnd w:id="20"/>
    <w:p>
      <w:pPr>
        <w:ind w:right="20" w:firstLine="405"/>
        <w:spacing w:after="0" w:line="286" w:lineRule="auto"/>
        <w:rPr>
          <w:sz w:val="20"/>
          <w:szCs w:val="20"/>
          <w:color w:val="auto"/>
        </w:rPr>
      </w:pPr>
      <w:r>
        <w:rPr>
          <w:rFonts w:ascii="Arial" w:cs="Arial" w:eastAsia="Arial" w:hAnsi="Arial"/>
          <w:sz w:val="17"/>
          <w:szCs w:val="17"/>
          <w:color w:val="auto"/>
        </w:rPr>
        <w:t>The following tables summarize the changes in our active accounts base by geographic region. These numbers have been rounded to the nearest thousand as of the dates indicated. For purposes of this report, we define “Active Accounts” as only those independent distributors and customers who have purchased from us at any time during the most recent three-month period, either for personal use or for resale.</w:t>
      </w:r>
    </w:p>
    <w:p>
      <w:pPr>
        <w:spacing w:after="0" w:line="130"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w w:val="92"/>
              </w:rPr>
              <w:t>As of March 31,</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340" w:type="dxa"/>
            <w:vAlign w:val="bottom"/>
          </w:tcPr>
          <w:p>
            <w:pPr>
              <w:spacing w:after="0"/>
              <w:rPr>
                <w:sz w:val="12"/>
                <w:szCs w:val="12"/>
                <w:color w:val="auto"/>
              </w:rPr>
            </w:pPr>
          </w:p>
        </w:tc>
        <w:tc>
          <w:tcPr>
            <w:tcW w:w="164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2020</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2019</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right"/>
              <w:ind w:right="93"/>
              <w:spacing w:after="0" w:line="139" w:lineRule="exact"/>
              <w:rPr>
                <w:sz w:val="20"/>
                <w:szCs w:val="20"/>
                <w:color w:val="auto"/>
              </w:rPr>
            </w:pPr>
            <w:r>
              <w:rPr>
                <w:rFonts w:ascii="Arial" w:cs="Arial" w:eastAsia="Arial" w:hAnsi="Arial"/>
                <w:sz w:val="14"/>
                <w:szCs w:val="14"/>
                <w:b w:val="1"/>
                <w:bCs w:val="1"/>
                <w:color w:val="auto"/>
              </w:rPr>
              <w:t>Change from</w:t>
            </w:r>
          </w:p>
        </w:tc>
        <w:tc>
          <w:tcPr>
            <w:tcW w:w="120" w:type="dxa"/>
            <w:vAlign w:val="bottom"/>
          </w:tcPr>
          <w:p>
            <w:pPr>
              <w:spacing w:after="0"/>
              <w:rPr>
                <w:sz w:val="12"/>
                <w:szCs w:val="12"/>
                <w:color w:val="auto"/>
              </w:rPr>
            </w:pPr>
          </w:p>
        </w:tc>
        <w:tc>
          <w:tcPr>
            <w:tcW w:w="124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gridSpan w:val="3"/>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Prior Year</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Active Independent Distributors</w:t>
            </w: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Americas</w:t>
            </w: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44,000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45,000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(1,000)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Asia/Pacific &amp; Europe</w:t>
            </w: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22,000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23,000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63"/>
        </w:trPr>
        <w:tc>
          <w:tcPr>
            <w:tcW w:w="3340" w:type="dxa"/>
            <w:vAlign w:val="bottom"/>
          </w:tcPr>
          <w:p>
            <w:pPr>
              <w:ind w:left="360"/>
              <w:spacing w:after="0"/>
              <w:rPr>
                <w:sz w:val="20"/>
                <w:szCs w:val="20"/>
                <w:color w:val="auto"/>
              </w:rPr>
            </w:pPr>
            <w:r>
              <w:rPr>
                <w:rFonts w:ascii="Arial" w:cs="Arial" w:eastAsia="Arial" w:hAnsi="Arial"/>
                <w:sz w:val="18"/>
                <w:szCs w:val="18"/>
                <w:color w:val="auto"/>
              </w:rPr>
              <w:t>Total Active Independent Distributors</w:t>
            </w:r>
          </w:p>
        </w:tc>
        <w:tc>
          <w:tcPr>
            <w:tcW w:w="11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66,000</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68,000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(2,000)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33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20"/>
              <w:spacing w:after="0"/>
              <w:rPr>
                <w:sz w:val="20"/>
                <w:szCs w:val="20"/>
                <w:color w:val="auto"/>
              </w:rPr>
            </w:pPr>
            <w:r>
              <w:rPr>
                <w:rFonts w:ascii="Arial" w:cs="Arial" w:eastAsia="Arial" w:hAnsi="Arial"/>
                <w:sz w:val="18"/>
                <w:szCs w:val="18"/>
                <w:color w:val="auto"/>
              </w:rPr>
              <w:t>Active Customers</w:t>
            </w: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Americas</w:t>
            </w: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85,000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98,000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(13,000)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Asia/Pacific &amp; Europe</w:t>
            </w: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24,000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23,000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1,000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Active Customers</w:t>
            </w: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109,000</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86"/>
              </w:rPr>
              <w:t>121,000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(12,000)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Active Accounts</w:t>
            </w: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Americas</w:t>
            </w: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129,000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w w:val="86"/>
              </w:rPr>
              <w:t>143,000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(14,000)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Asia/Pacific &amp; Europe</w:t>
            </w: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46,000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26.3 %</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46,000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24.3 %</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63"/>
        </w:trPr>
        <w:tc>
          <w:tcPr>
            <w:tcW w:w="3340" w:type="dxa"/>
            <w:vAlign w:val="bottom"/>
          </w:tcPr>
          <w:p>
            <w:pPr>
              <w:ind w:left="360"/>
              <w:spacing w:after="0"/>
              <w:rPr>
                <w:sz w:val="20"/>
                <w:szCs w:val="20"/>
                <w:color w:val="auto"/>
              </w:rPr>
            </w:pPr>
            <w:r>
              <w:rPr>
                <w:rFonts w:ascii="Arial" w:cs="Arial" w:eastAsia="Arial" w:hAnsi="Arial"/>
                <w:sz w:val="18"/>
                <w:szCs w:val="18"/>
                <w:color w:val="auto"/>
              </w:rPr>
              <w:t>Total Active Accounts</w:t>
            </w:r>
          </w:p>
        </w:tc>
        <w:tc>
          <w:tcPr>
            <w:tcW w:w="11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175,000</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86"/>
              </w:rPr>
              <w:t>189,000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(14,000)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
        </w:trPr>
        <w:tc>
          <w:tcPr>
            <w:tcW w:w="33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and Nine Months ended March 31, 2020 and 2019</w:t>
      </w:r>
    </w:p>
    <w:p>
      <w:pPr>
        <w:spacing w:after="0" w:line="158" w:lineRule="exact"/>
        <w:rPr>
          <w:sz w:val="20"/>
          <w:szCs w:val="20"/>
          <w:color w:val="auto"/>
        </w:rPr>
      </w:pPr>
    </w:p>
    <w:p>
      <w:pPr>
        <w:ind w:right="340" w:firstLine="405"/>
        <w:spacing w:after="0" w:line="259"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We generated net revenue of $56.1 million and $56.0 million during the three months ended March 31, 2020 and 2019, respectively. We</w:t>
      </w:r>
      <w:r>
        <w:rPr>
          <w:rFonts w:ascii="Arial" w:cs="Arial" w:eastAsia="Arial" w:hAnsi="Arial"/>
          <w:sz w:val="18"/>
          <w:szCs w:val="18"/>
          <w:i w:val="1"/>
          <w:iCs w:val="1"/>
          <w:color w:val="auto"/>
        </w:rPr>
        <w:t xml:space="preserve"> </w:t>
      </w:r>
      <w:r>
        <w:rPr>
          <w:rFonts w:ascii="Arial" w:cs="Arial" w:eastAsia="Arial" w:hAnsi="Arial"/>
          <w:sz w:val="18"/>
          <w:szCs w:val="18"/>
          <w:color w:val="auto"/>
        </w:rPr>
        <w:t>generated net revenue of $173.5 million and $169.8 million during the nine months ended March 31, 2020 and 2019, respectively. Foreign currency fluctuations negatively impacted our revenue $0.1 million or 0.2% and positively impacted our revenue $0.5 million or 0.3% during the three and nine months ended March 31, 2020, respectively.</w:t>
      </w:r>
    </w:p>
    <w:p>
      <w:pPr>
        <w:spacing w:after="0" w:line="119" w:lineRule="exact"/>
        <w:rPr>
          <w:sz w:val="20"/>
          <w:szCs w:val="20"/>
          <w:color w:val="auto"/>
        </w:rPr>
      </w:pPr>
    </w:p>
    <w:p>
      <w:pPr>
        <w:ind w:right="760" w:firstLine="405"/>
        <w:spacing w:after="0" w:line="277" w:lineRule="auto"/>
        <w:rPr>
          <w:sz w:val="20"/>
          <w:szCs w:val="20"/>
          <w:color w:val="auto"/>
        </w:rPr>
      </w:pPr>
      <w:r>
        <w:rPr>
          <w:rFonts w:ascii="Arial" w:cs="Arial" w:eastAsia="Arial" w:hAnsi="Arial"/>
          <w:sz w:val="18"/>
          <w:szCs w:val="18"/>
          <w:u w:val="single" w:color="auto"/>
          <w:color w:val="auto"/>
        </w:rPr>
        <w:t>Americas</w:t>
      </w:r>
      <w:r>
        <w:rPr>
          <w:rFonts w:ascii="Arial" w:cs="Arial" w:eastAsia="Arial" w:hAnsi="Arial"/>
          <w:sz w:val="18"/>
          <w:szCs w:val="18"/>
          <w:color w:val="auto"/>
        </w:rPr>
        <w:t>. The following table sets forth revenue for the three and nine months ended March 31, 2020 and 2019 for the Americas region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155"/>
              <w:spacing w:after="0"/>
              <w:rPr>
                <w:sz w:val="20"/>
                <w:szCs w:val="20"/>
                <w:color w:val="auto"/>
              </w:rPr>
            </w:pPr>
            <w:r>
              <w:rPr>
                <w:rFonts w:ascii="Arial" w:cs="Arial" w:eastAsia="Arial" w:hAnsi="Arial"/>
                <w:sz w:val="14"/>
                <w:szCs w:val="14"/>
                <w:b w:val="1"/>
                <w:bCs w:val="1"/>
                <w:color w:val="auto"/>
                <w:w w:val="98"/>
              </w:rPr>
              <w:t>Three Months Ended March 31,</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195"/>
              <w:spacing w:after="0"/>
              <w:rPr>
                <w:sz w:val="20"/>
                <w:szCs w:val="20"/>
                <w:color w:val="auto"/>
              </w:rPr>
            </w:pPr>
            <w:r>
              <w:rPr>
                <w:rFonts w:ascii="Arial" w:cs="Arial" w:eastAsia="Arial" w:hAnsi="Arial"/>
                <w:sz w:val="14"/>
                <w:szCs w:val="14"/>
                <w:b w:val="1"/>
                <w:bCs w:val="1"/>
                <w:color w:val="auto"/>
                <w:w w:val="99"/>
              </w:rPr>
              <w:t>Nine Months Ended March 31,</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50"/>
        </w:trPr>
        <w:tc>
          <w:tcPr>
            <w:tcW w:w="34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 Change</w:t>
            </w:r>
          </w:p>
        </w:tc>
        <w:tc>
          <w:tcPr>
            <w:tcW w:w="200" w:type="dxa"/>
            <w:vAlign w:val="bottom"/>
            <w:tcBorders>
              <w:bottom w:val="single" w:sz="8" w:color="auto"/>
            </w:tcBorders>
          </w:tcPr>
          <w:p>
            <w:pPr>
              <w:spacing w:after="0"/>
              <w:rPr>
                <w:sz w:val="21"/>
                <w:szCs w:val="21"/>
                <w:color w:val="auto"/>
              </w:rPr>
            </w:pPr>
          </w:p>
        </w:tc>
      </w:tr>
      <w:tr>
        <w:trPr>
          <w:trHeight w:val="250"/>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37,720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37,598</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116,421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115,574</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3460" w:type="dxa"/>
            <w:vAlign w:val="bottom"/>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020" w:type="dxa"/>
            <w:vAlign w:val="bottom"/>
          </w:tcPr>
          <w:p>
            <w:pPr>
              <w:jc w:val="right"/>
              <w:ind w:right="77"/>
              <w:spacing w:after="0"/>
              <w:rPr>
                <w:sz w:val="20"/>
                <w:szCs w:val="20"/>
                <w:color w:val="auto"/>
              </w:rPr>
            </w:pPr>
            <w:r>
              <w:rPr>
                <w:rFonts w:ascii="Arial" w:cs="Arial" w:eastAsia="Arial" w:hAnsi="Arial"/>
                <w:sz w:val="18"/>
                <w:szCs w:val="18"/>
                <w:color w:val="auto"/>
              </w:rPr>
              <w:t>2,461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55"/>
              <w:spacing w:after="0"/>
              <w:rPr>
                <w:sz w:val="20"/>
                <w:szCs w:val="20"/>
                <w:color w:val="auto"/>
              </w:rPr>
            </w:pPr>
            <w:r>
              <w:rPr>
                <w:rFonts w:ascii="Arial" w:cs="Arial" w:eastAsia="Arial" w:hAnsi="Arial"/>
                <w:sz w:val="18"/>
                <w:szCs w:val="18"/>
                <w:color w:val="auto"/>
              </w:rPr>
              <w:t>2,768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77"/>
              <w:spacing w:after="0"/>
              <w:rPr>
                <w:sz w:val="20"/>
                <w:szCs w:val="20"/>
                <w:color w:val="auto"/>
              </w:rPr>
            </w:pPr>
            <w:r>
              <w:rPr>
                <w:rFonts w:ascii="Arial" w:cs="Arial" w:eastAsia="Arial" w:hAnsi="Arial"/>
                <w:sz w:val="18"/>
                <w:szCs w:val="18"/>
                <w:color w:val="auto"/>
              </w:rPr>
              <w:t>8,225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55"/>
              <w:spacing w:after="0"/>
              <w:rPr>
                <w:sz w:val="20"/>
                <w:szCs w:val="20"/>
                <w:color w:val="auto"/>
              </w:rPr>
            </w:pPr>
            <w:r>
              <w:rPr>
                <w:rFonts w:ascii="Arial" w:cs="Arial" w:eastAsia="Arial" w:hAnsi="Arial"/>
                <w:sz w:val="18"/>
                <w:szCs w:val="18"/>
                <w:color w:val="auto"/>
              </w:rPr>
              <w:t>8,311</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3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88"/>
        </w:trPr>
        <w:tc>
          <w:tcPr>
            <w:tcW w:w="34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Americas 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40,181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40,366</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124,646</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123,885</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134" w:lineRule="exact"/>
        <w:rPr>
          <w:sz w:val="20"/>
          <w:szCs w:val="20"/>
          <w:color w:val="auto"/>
        </w:rPr>
      </w:pPr>
    </w:p>
    <w:p>
      <w:pPr>
        <w:ind w:firstLine="405"/>
        <w:spacing w:after="0" w:line="210" w:lineRule="auto"/>
        <w:rPr>
          <w:sz w:val="20"/>
          <w:szCs w:val="20"/>
          <w:color w:val="auto"/>
        </w:rPr>
      </w:pPr>
      <w:r>
        <w:rPr>
          <w:rFonts w:ascii="Arial" w:cs="Arial" w:eastAsia="Arial" w:hAnsi="Arial"/>
          <w:sz w:val="18"/>
          <w:szCs w:val="18"/>
          <w:color w:val="auto"/>
        </w:rPr>
        <w:t>Revenue in the Americas region for the three and nine months ended March 31, 2020 decreased $0.2 million or 0.5% and increased $0.8 million or 0.6%, respectively, from the prior year periods. Although we had an overall decrease of 9.8% in Active Accounts in the region compared to the prior year period, revenue in the Americas remained consistent primarily due to the launch of our new Protandim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NAD Synergizer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Protandim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Tri-Synergizer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system in October 2019, contributing to an increase in average order size during the period. We also instituted a price change and free shipping initiative beginning in January 2020, which helped drive price alignment among our Protandim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 line and provide increased incentive for monthly subscription purchases.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1" w:name="page22"/>
    <w:bookmarkEnd w:id="21"/>
    <w:p>
      <w:pPr>
        <w:ind w:left="420"/>
        <w:spacing w:after="0"/>
        <w:rPr>
          <w:sz w:val="20"/>
          <w:szCs w:val="20"/>
          <w:color w:val="auto"/>
        </w:rPr>
      </w:pPr>
      <w:r>
        <w:rPr>
          <w:rFonts w:ascii="Arial" w:cs="Arial" w:eastAsia="Arial" w:hAnsi="Arial"/>
          <w:sz w:val="16"/>
          <w:szCs w:val="16"/>
          <w:u w:val="single" w:color="auto"/>
          <w:color w:val="auto"/>
        </w:rPr>
        <w:t>Asia/Pacific &amp; Europe</w:t>
      </w:r>
      <w:r>
        <w:rPr>
          <w:rFonts w:ascii="Arial" w:cs="Arial" w:eastAsia="Arial" w:hAnsi="Arial"/>
          <w:sz w:val="16"/>
          <w:szCs w:val="16"/>
          <w:color w:val="auto"/>
        </w:rPr>
        <w:t>. The following table sets forth revenue for the three and nine months ended March 31, 2020 and 2019 for the Asia/Pacific &amp;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Europe region and its principal markets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153"/>
              <w:spacing w:after="0"/>
              <w:rPr>
                <w:sz w:val="20"/>
                <w:szCs w:val="20"/>
                <w:color w:val="auto"/>
              </w:rPr>
            </w:pPr>
            <w:r>
              <w:rPr>
                <w:rFonts w:ascii="Arial" w:cs="Arial" w:eastAsia="Arial" w:hAnsi="Arial"/>
                <w:sz w:val="14"/>
                <w:szCs w:val="14"/>
                <w:b w:val="1"/>
                <w:bCs w:val="1"/>
                <w:color w:val="auto"/>
                <w:w w:val="97"/>
              </w:rPr>
              <w:t>Three Months Ended March 31,</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193"/>
              <w:spacing w:after="0"/>
              <w:rPr>
                <w:sz w:val="20"/>
                <w:szCs w:val="20"/>
                <w:color w:val="auto"/>
              </w:rPr>
            </w:pPr>
            <w:r>
              <w:rPr>
                <w:rFonts w:ascii="Arial" w:cs="Arial" w:eastAsia="Arial" w:hAnsi="Arial"/>
                <w:sz w:val="14"/>
                <w:szCs w:val="14"/>
                <w:b w:val="1"/>
                <w:bCs w:val="1"/>
                <w:color w:val="auto"/>
                <w:w w:val="99"/>
              </w:rPr>
              <w:t>Nine Months Ended March 31,</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50"/>
        </w:trPr>
        <w:tc>
          <w:tcPr>
            <w:tcW w:w="34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 Change</w:t>
            </w:r>
          </w:p>
        </w:tc>
        <w:tc>
          <w:tcPr>
            <w:tcW w:w="2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 Change</w:t>
            </w:r>
          </w:p>
        </w:tc>
        <w:tc>
          <w:tcPr>
            <w:tcW w:w="200" w:type="dxa"/>
            <w:vAlign w:val="bottom"/>
            <w:tcBorders>
              <w:bottom w:val="single" w:sz="8" w:color="auto"/>
            </w:tcBorders>
          </w:tcPr>
          <w:p>
            <w:pPr>
              <w:spacing w:after="0"/>
              <w:rPr>
                <w:sz w:val="21"/>
                <w:szCs w:val="21"/>
                <w:color w:val="auto"/>
              </w:rPr>
            </w:pPr>
          </w:p>
        </w:tc>
      </w:tr>
      <w:tr>
        <w:trPr>
          <w:trHeight w:val="250"/>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Japan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9,986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10,099</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31,541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30,184</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color w:val="auto"/>
              </w:rPr>
              <w:t>Australia &amp; New Zealand</w:t>
            </w:r>
          </w:p>
        </w:tc>
        <w:tc>
          <w:tcPr>
            <w:tcW w:w="180" w:type="dxa"/>
            <w:vAlign w:val="bottom"/>
          </w:tcPr>
          <w:p>
            <w:pPr>
              <w:spacing w:after="0"/>
              <w:rPr>
                <w:sz w:val="21"/>
                <w:szCs w:val="21"/>
                <w:color w:val="auto"/>
              </w:rPr>
            </w:pPr>
          </w:p>
        </w:tc>
        <w:tc>
          <w:tcPr>
            <w:tcW w:w="1000" w:type="dxa"/>
            <w:vAlign w:val="bottom"/>
          </w:tcPr>
          <w:p>
            <w:pPr>
              <w:jc w:val="right"/>
              <w:ind w:right="75"/>
              <w:spacing w:after="0"/>
              <w:rPr>
                <w:sz w:val="20"/>
                <w:szCs w:val="20"/>
                <w:color w:val="auto"/>
              </w:rPr>
            </w:pPr>
            <w:r>
              <w:rPr>
                <w:rFonts w:ascii="Arial" w:cs="Arial" w:eastAsia="Arial" w:hAnsi="Arial"/>
                <w:sz w:val="18"/>
                <w:szCs w:val="18"/>
                <w:color w:val="auto"/>
              </w:rPr>
              <w:t>2,154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1,499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43.7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75"/>
              <w:spacing w:after="0"/>
              <w:rPr>
                <w:sz w:val="20"/>
                <w:szCs w:val="20"/>
                <w:color w:val="auto"/>
              </w:rPr>
            </w:pPr>
            <w:r>
              <w:rPr>
                <w:rFonts w:ascii="Arial" w:cs="Arial" w:eastAsia="Arial" w:hAnsi="Arial"/>
                <w:sz w:val="18"/>
                <w:szCs w:val="18"/>
                <w:color w:val="auto"/>
              </w:rPr>
              <w:t>6,781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4,095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65.6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3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Greater China</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1,477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1,877</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4,225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5,702</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000" w:type="dxa"/>
            <w:vAlign w:val="bottom"/>
          </w:tcPr>
          <w:p>
            <w:pPr>
              <w:jc w:val="right"/>
              <w:ind w:right="75"/>
              <w:spacing w:after="0"/>
              <w:rPr>
                <w:sz w:val="20"/>
                <w:szCs w:val="20"/>
                <w:color w:val="auto"/>
              </w:rPr>
            </w:pPr>
            <w:r>
              <w:rPr>
                <w:rFonts w:ascii="Arial" w:cs="Arial" w:eastAsia="Arial" w:hAnsi="Arial"/>
                <w:sz w:val="18"/>
                <w:szCs w:val="18"/>
                <w:color w:val="auto"/>
              </w:rPr>
              <w:t>2,279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2,171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75"/>
              <w:spacing w:after="0"/>
              <w:rPr>
                <w:sz w:val="20"/>
                <w:szCs w:val="20"/>
                <w:color w:val="auto"/>
              </w:rPr>
            </w:pPr>
            <w:r>
              <w:rPr>
                <w:rFonts w:ascii="Arial" w:cs="Arial" w:eastAsia="Arial" w:hAnsi="Arial"/>
                <w:sz w:val="18"/>
                <w:szCs w:val="18"/>
                <w:color w:val="auto"/>
              </w:rPr>
              <w:t>6,354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5,922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3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88"/>
        </w:trPr>
        <w:tc>
          <w:tcPr>
            <w:tcW w:w="34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Asia/Pacific &amp; Europe 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15,896</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15,646</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48,901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45,903</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134" w:lineRule="exact"/>
        <w:rPr>
          <w:sz w:val="20"/>
          <w:szCs w:val="20"/>
          <w:color w:val="auto"/>
        </w:rPr>
      </w:pPr>
    </w:p>
    <w:p>
      <w:pPr>
        <w:ind w:right="40" w:firstLine="405"/>
        <w:spacing w:after="0" w:line="279" w:lineRule="auto"/>
        <w:rPr>
          <w:sz w:val="20"/>
          <w:szCs w:val="20"/>
          <w:color w:val="auto"/>
        </w:rPr>
      </w:pPr>
      <w:r>
        <w:rPr>
          <w:rFonts w:ascii="Arial" w:cs="Arial" w:eastAsia="Arial" w:hAnsi="Arial"/>
          <w:sz w:val="16"/>
          <w:szCs w:val="16"/>
          <w:color w:val="auto"/>
        </w:rPr>
        <w:t>Revenue in the Asia/Pacific &amp; Europe region increased $0.3 million or 1.6% and $3.0 million or 6.5% for the three and nine months ended March 31, 2020, respectively, as compared to the prior year periods. Active Accounts in the region remained consistent as compared to the prior year period. Beginning in January 2020, we implemented pricing changes and a free shipping program, localized to each market, that helped to drive an increase in average order size. We continue to see strong revenue increases in our Australia and New Zealand market following the full on the ground launch of New Zealand in November 2019. These increases were partially offset by continued weakening in our Greater China market in the current year period.</w:t>
      </w:r>
    </w:p>
    <w:p>
      <w:pPr>
        <w:spacing w:after="0" w:line="92" w:lineRule="exact"/>
        <w:rPr>
          <w:sz w:val="20"/>
          <w:szCs w:val="20"/>
          <w:color w:val="auto"/>
        </w:rPr>
      </w:pPr>
    </w:p>
    <w:p>
      <w:pPr>
        <w:ind w:right="80" w:firstLine="405"/>
        <w:spacing w:after="0"/>
        <w:rPr>
          <w:sz w:val="20"/>
          <w:szCs w:val="20"/>
          <w:color w:val="auto"/>
        </w:rPr>
      </w:pPr>
      <w:r>
        <w:rPr>
          <w:rFonts w:ascii="Arial" w:cs="Arial" w:eastAsia="Arial" w:hAnsi="Arial"/>
          <w:sz w:val="18"/>
          <w:szCs w:val="18"/>
          <w:color w:val="auto"/>
        </w:rPr>
        <w:t>Revenue in the Asia/Pacific &amp; Europe region was negatively impacted by approximately $47,000 or 0.3% and positively impacted by $0.5 million or 1.2% during the three and nine months ended March 31, 2020, respectively, as compared to the prior year periods, by foreign currency exchange rate fluctuations. Revenue in Japan was positively impacted approximately $0.1 million or 1.1% and $0.9 million or 3.0% during the three and nine months ended March 31, 2020, respectively, as compared to the prior year periods, by foreign currency exchange rate fluctuations. On a constant currency basis, revenue in Japan decreased 2.2% and increased 1.5% for the three and nine months ended March 31, 2020, respectively, as compared to the prior year periods.</w:t>
      </w:r>
    </w:p>
    <w:p>
      <w:pPr>
        <w:spacing w:after="0" w:line="108" w:lineRule="exact"/>
        <w:rPr>
          <w:sz w:val="20"/>
          <w:szCs w:val="20"/>
          <w:color w:val="auto"/>
        </w:rPr>
      </w:pPr>
    </w:p>
    <w:p>
      <w:pPr>
        <w:ind w:right="20" w:firstLine="405"/>
        <w:spacing w:after="0" w:line="243" w:lineRule="auto"/>
        <w:rPr>
          <w:sz w:val="20"/>
          <w:szCs w:val="20"/>
          <w:color w:val="auto"/>
        </w:rPr>
      </w:pPr>
      <w:r>
        <w:rPr>
          <w:rFonts w:ascii="Arial" w:cs="Arial" w:eastAsia="Arial" w:hAnsi="Arial"/>
          <w:sz w:val="17"/>
          <w:szCs w:val="17"/>
          <w:color w:val="auto"/>
        </w:rPr>
        <w:t>Globally, we continue to focus on strengthening our core business through our fiscal 2020 initiatives, which include the strengthening of our customer subscription programs, the launch of our Protandim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NAD Synergizer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product in October 2019, continued investment in our red carpet program, expanding our global footprint, including the roll out of our product lines to international markets, enhancements to our compensation programs, and the continued development and improvement of distributor training tools and technologies that will help our independent distributors grow their businesses and improve the customer experience. During the three months ended March 31, 2020, we held our first ever Destination Elite Academy in Cancun, Mexico and we rolled out pricing changes and free shipping initiatives in several of our markets targeted towards driving price alignment among product lines and markets as well as increasing average order sizes and providing incentives for monthly subscription orders.</w:t>
      </w:r>
    </w:p>
    <w:p>
      <w:pPr>
        <w:spacing w:after="0" w:line="122"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Our gross profit percentage for the three months ended March 31, 2020 and 2019 was 83.8% and 83.4%, respectively. Our gross profit</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for the nine months ended March 31, 2020 and 2019 was 83.6% and 83.4%, respectively. The increase in gross margin is primarily due to the initial impact of the pricing change beginning in January 2020 as well as decreased inventory obsolescence and handling costs and changes to our geographic and product sales mix.</w:t>
      </w:r>
    </w:p>
    <w:p>
      <w:pPr>
        <w:spacing w:after="0" w:line="119" w:lineRule="exact"/>
        <w:rPr>
          <w:sz w:val="20"/>
          <w:szCs w:val="20"/>
          <w:color w:val="auto"/>
        </w:rPr>
      </w:pPr>
    </w:p>
    <w:p>
      <w:pPr>
        <w:ind w:right="60" w:firstLine="445"/>
        <w:spacing w:after="0" w:line="293" w:lineRule="auto"/>
        <w:rPr>
          <w:sz w:val="20"/>
          <w:szCs w:val="20"/>
          <w:color w:val="auto"/>
        </w:rPr>
      </w:pPr>
      <w:r>
        <w:rPr>
          <w:rFonts w:ascii="Arial" w:cs="Arial" w:eastAsia="Arial" w:hAnsi="Arial"/>
          <w:sz w:val="16"/>
          <w:szCs w:val="16"/>
          <w:i w:val="1"/>
          <w:iCs w:val="1"/>
          <w:color w:val="auto"/>
        </w:rPr>
        <w:t xml:space="preserve">Commissions and Incentives. </w:t>
      </w:r>
      <w:r>
        <w:rPr>
          <w:rFonts w:ascii="Arial" w:cs="Arial" w:eastAsia="Arial" w:hAnsi="Arial"/>
          <w:sz w:val="16"/>
          <w:szCs w:val="16"/>
          <w:color w:val="auto"/>
        </w:rPr>
        <w:t>Commissions and incentives expenses during the three months ended March 31, 2020 were $26.7 million or 47.6% of</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as compared to commissions and incentives expenses of $27.2 million or 48.6% of revenue for the three months ended March 31, 2019. Commissions and incentives expenses during the nine months ended March 31, 2020 were $82.7 million or 47.6% of revenue as compared to commissions and incentives expenses of $83.2 million or 49.0% of revenue for the nine months ended March 31, 2019. The decrease in commissions and incentives expenses as a percentage of revenue is due mainly to the timing and magnitude of investments in our promotional and incentive programs and our red carpet program. Distributor commissions as a percentage of commissionable revenue generated remained consistent during the comparable periods.</w:t>
      </w:r>
    </w:p>
    <w:p>
      <w:pPr>
        <w:spacing w:after="0" w:line="83" w:lineRule="exact"/>
        <w:rPr>
          <w:sz w:val="20"/>
          <w:szCs w:val="20"/>
          <w:color w:val="auto"/>
        </w:rPr>
      </w:pPr>
    </w:p>
    <w:p>
      <w:pPr>
        <w:ind w:right="80" w:firstLine="445"/>
        <w:spacing w:after="0" w:line="263" w:lineRule="auto"/>
        <w:rPr>
          <w:sz w:val="20"/>
          <w:szCs w:val="20"/>
          <w:color w:val="auto"/>
        </w:rPr>
      </w:pPr>
      <w:r>
        <w:rPr>
          <w:rFonts w:ascii="Arial" w:cs="Arial" w:eastAsia="Arial" w:hAnsi="Arial"/>
          <w:sz w:val="18"/>
          <w:szCs w:val="18"/>
          <w:color w:val="auto"/>
        </w:rPr>
        <w:t>We expect commissions and incentives expenses for the remainder of fiscal 2020, as a percentage of revenue, to fluctuate slightly as we execute on our operating plan and continue to be opportunistic with investments in promotional and incentive programs and our red carpet program to drive continued revenue growth.</w:t>
      </w:r>
    </w:p>
    <w:p>
      <w:pPr>
        <w:spacing w:after="0" w:line="116" w:lineRule="exact"/>
        <w:rPr>
          <w:sz w:val="20"/>
          <w:szCs w:val="20"/>
          <w:color w:val="auto"/>
        </w:rPr>
      </w:pPr>
    </w:p>
    <w:p>
      <w:pPr>
        <w:ind w:right="60" w:firstLine="445"/>
        <w:spacing w:after="0" w:line="257"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Selling, general and administrative expenses during the three months ended March 31, 2020 were $17.3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or 30.8% of revenue as compared to selling, general and administrative expenses of $17.3 million or 30.9% of revenue for the three months ended March 31, 2019. Selling, general and administrative expenses during the nine months ended March 31, 2020 were $53.1 million or 30.6% of revenue as compared to selling, general and administrative expenses of $54.2 million or 31.9% of revenue for the nine months ended March 31, 2019. The decreases in selling, general and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2" w:name="page23"/>
    <w:bookmarkEnd w:id="22"/>
    <w:p>
      <w:pPr>
        <w:ind w:right="120"/>
        <w:spacing w:after="0" w:line="254" w:lineRule="auto"/>
        <w:rPr>
          <w:sz w:val="20"/>
          <w:szCs w:val="20"/>
          <w:color w:val="auto"/>
        </w:rPr>
      </w:pPr>
      <w:r>
        <w:rPr>
          <w:rFonts w:ascii="Arial" w:cs="Arial" w:eastAsia="Arial" w:hAnsi="Arial"/>
          <w:sz w:val="18"/>
          <w:szCs w:val="18"/>
          <w:color w:val="auto"/>
        </w:rPr>
        <w:t>administrative expenses during the three and nine months ended March 31, 2020 compared to the prior year periods primarily was due to decreases in employee compensation related expenses, partially offset by increased depreciation expenses associated with our investment in new technology assets that have been placed in service; increased depreciation in corporate office leasehold improvements due to the exercise of an early termination clause in our current corporate office lease; and increased expenses associated with third-party software and other professional service providers. Selling, general and administrative expenses during the nine months ended March 31, 2020 were also decreased over the prior year period due to decreased event expenses resulting from a change in our event structure and timing cadence, partially offset by increased payment processing fees associated with our increased revenue in current year to date period.</w:t>
      </w:r>
    </w:p>
    <w:p>
      <w:pPr>
        <w:spacing w:after="0" w:line="114" w:lineRule="exact"/>
        <w:rPr>
          <w:sz w:val="20"/>
          <w:szCs w:val="20"/>
          <w:color w:val="auto"/>
        </w:rPr>
      </w:pPr>
    </w:p>
    <w:p>
      <w:pPr>
        <w:ind w:right="120" w:firstLine="445"/>
        <w:spacing w:after="0" w:line="259" w:lineRule="auto"/>
        <w:rPr>
          <w:sz w:val="20"/>
          <w:szCs w:val="20"/>
          <w:color w:val="auto"/>
        </w:rPr>
      </w:pPr>
      <w:r>
        <w:rPr>
          <w:rFonts w:ascii="Arial" w:cs="Arial" w:eastAsia="Arial" w:hAnsi="Arial"/>
          <w:sz w:val="18"/>
          <w:szCs w:val="18"/>
          <w:color w:val="auto"/>
        </w:rPr>
        <w:t>We expect selling, general and administrative expenses, as a percent of revenue, to decrease for the remainder of the fiscal year as we leverage current spending and execute on our strategic investments and initiatives designed to increase revenue and improve operating margins and due to the anticipated decrease in event spending during our fourth fiscal quarter. We do, however, anticipate that there will be fluctuations from period to period due to the timing of product and market launches and other planned events.</w:t>
      </w:r>
    </w:p>
    <w:p>
      <w:pPr>
        <w:spacing w:after="0" w:line="119" w:lineRule="exact"/>
        <w:rPr>
          <w:sz w:val="20"/>
          <w:szCs w:val="20"/>
          <w:color w:val="auto"/>
        </w:rPr>
      </w:pPr>
    </w:p>
    <w:p>
      <w:pPr>
        <w:jc w:val="both"/>
        <w:ind w:right="200" w:firstLine="445"/>
        <w:spacing w:after="0" w:line="311" w:lineRule="auto"/>
        <w:rPr>
          <w:sz w:val="20"/>
          <w:szCs w:val="20"/>
          <w:color w:val="auto"/>
        </w:rPr>
      </w:pPr>
      <w:r>
        <w:rPr>
          <w:rFonts w:ascii="Arial" w:cs="Arial" w:eastAsia="Arial" w:hAnsi="Arial"/>
          <w:sz w:val="16"/>
          <w:szCs w:val="16"/>
          <w:i w:val="1"/>
          <w:iCs w:val="1"/>
          <w:color w:val="auto"/>
        </w:rPr>
        <w:t xml:space="preserve">Total Other Expense. </w:t>
      </w:r>
      <w:r>
        <w:rPr>
          <w:rFonts w:ascii="Arial" w:cs="Arial" w:eastAsia="Arial" w:hAnsi="Arial"/>
          <w:sz w:val="16"/>
          <w:szCs w:val="16"/>
          <w:color w:val="auto"/>
        </w:rPr>
        <w:t>During the three and nine months ended March 31, 2020, we recognized net other expenses of $0.4 million and $0.7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as compared to net other expenses of $0.1 million and $0.4 million, respectively, for the three and nine months ended March 31, 2019. Total other expense for the three and nine months ended March 31, 2020 consisted primarily of interest expense and foreign currency gains and losses.</w:t>
      </w:r>
    </w:p>
    <w:p>
      <w:pPr>
        <w:spacing w:after="0" w:line="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interest expense for the three and nine months ended March 31, 2020 and 2019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Nine Months Ended March 31,</w:t>
            </w:r>
          </w:p>
        </w:tc>
      </w:tr>
      <w:tr>
        <w:trPr>
          <w:trHeight w:val="250"/>
        </w:trPr>
        <w:tc>
          <w:tcPr>
            <w:tcW w:w="520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236"/>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Contractual interest expense:</w:t>
            </w:r>
          </w:p>
        </w:tc>
        <w:tc>
          <w:tcPr>
            <w:tcW w:w="9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5200" w:type="dxa"/>
            <w:vAlign w:val="bottom"/>
          </w:tcPr>
          <w:p>
            <w:pPr>
              <w:ind w:left="120"/>
              <w:spacing w:after="0"/>
              <w:rPr>
                <w:sz w:val="20"/>
                <w:szCs w:val="20"/>
                <w:color w:val="auto"/>
              </w:rPr>
            </w:pPr>
            <w:r>
              <w:rPr>
                <w:rFonts w:ascii="Arial" w:cs="Arial" w:eastAsia="Arial" w:hAnsi="Arial"/>
                <w:sz w:val="18"/>
                <w:szCs w:val="18"/>
                <w:color w:val="auto"/>
              </w:rPr>
              <w:t>2016 Term Loan</w:t>
            </w:r>
          </w:p>
        </w:tc>
        <w:tc>
          <w:tcPr>
            <w:tcW w:w="980" w:type="dxa"/>
            <w:vAlign w:val="bottom"/>
          </w:tcPr>
          <w:p>
            <w:pPr>
              <w:jc w:val="right"/>
              <w:ind w:right="799"/>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000" w:type="dxa"/>
            <w:vAlign w:val="bottom"/>
          </w:tcPr>
          <w:p>
            <w:pPr>
              <w:jc w:val="right"/>
              <w:ind w:right="816"/>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5"/>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199</w:t>
            </w:r>
          </w:p>
        </w:tc>
      </w:tr>
      <w:tr>
        <w:trPr>
          <w:trHeight w:val="27"/>
        </w:trPr>
        <w:tc>
          <w:tcPr>
            <w:tcW w:w="5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deferred financing fees:</w:t>
            </w: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200" w:type="dxa"/>
            <w:vAlign w:val="bottom"/>
          </w:tcPr>
          <w:p>
            <w:pPr>
              <w:ind w:left="120"/>
              <w:spacing w:after="0"/>
              <w:rPr>
                <w:sz w:val="20"/>
                <w:szCs w:val="20"/>
                <w:color w:val="auto"/>
              </w:rPr>
            </w:pPr>
            <w:r>
              <w:rPr>
                <w:rFonts w:ascii="Arial" w:cs="Arial" w:eastAsia="Arial" w:hAnsi="Arial"/>
                <w:sz w:val="18"/>
                <w:szCs w:val="18"/>
                <w:color w:val="auto"/>
              </w:rPr>
              <w:t>2016 Term Loan</w:t>
            </w:r>
          </w:p>
        </w:tc>
        <w:tc>
          <w:tcPr>
            <w:tcW w:w="980" w:type="dxa"/>
            <w:vAlign w:val="bottom"/>
          </w:tcPr>
          <w:p>
            <w:pPr>
              <w:spacing w:after="0"/>
              <w:rPr>
                <w:sz w:val="21"/>
                <w:szCs w:val="21"/>
                <w:color w:val="auto"/>
              </w:rPr>
            </w:pP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5"/>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4</w:t>
            </w:r>
          </w:p>
        </w:tc>
      </w:tr>
      <w:tr>
        <w:trPr>
          <w:trHeight w:val="27"/>
        </w:trPr>
        <w:tc>
          <w:tcPr>
            <w:tcW w:w="5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debt discount:</w:t>
            </w: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200" w:type="dxa"/>
            <w:vAlign w:val="bottom"/>
          </w:tcPr>
          <w:p>
            <w:pPr>
              <w:ind w:left="120"/>
              <w:spacing w:after="0"/>
              <w:rPr>
                <w:sz w:val="20"/>
                <w:szCs w:val="20"/>
                <w:color w:val="auto"/>
              </w:rPr>
            </w:pPr>
            <w:r>
              <w:rPr>
                <w:rFonts w:ascii="Arial" w:cs="Arial" w:eastAsia="Arial" w:hAnsi="Arial"/>
                <w:sz w:val="18"/>
                <w:szCs w:val="18"/>
                <w:color w:val="auto"/>
              </w:rPr>
              <w:t>2016 Term Loan</w:t>
            </w:r>
          </w:p>
        </w:tc>
        <w:tc>
          <w:tcPr>
            <w:tcW w:w="980" w:type="dxa"/>
            <w:vAlign w:val="bottom"/>
          </w:tcPr>
          <w:p>
            <w:pPr>
              <w:spacing w:after="0"/>
              <w:rPr>
                <w:sz w:val="21"/>
                <w:szCs w:val="21"/>
                <w:color w:val="auto"/>
              </w:rPr>
            </w:pP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5"/>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23</w:t>
            </w:r>
          </w:p>
        </w:tc>
      </w:tr>
      <w:tr>
        <w:trPr>
          <w:trHeight w:val="27"/>
        </w:trPr>
        <w:tc>
          <w:tcPr>
            <w:tcW w:w="5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56</w:t>
            </w:r>
          </w:p>
        </w:tc>
      </w:tr>
      <w:tr>
        <w:trPr>
          <w:trHeight w:val="263"/>
        </w:trPr>
        <w:tc>
          <w:tcPr>
            <w:tcW w:w="5200" w:type="dxa"/>
            <w:vAlign w:val="bottom"/>
          </w:tcPr>
          <w:p>
            <w:pPr>
              <w:ind w:left="20"/>
              <w:spacing w:after="0"/>
              <w:rPr>
                <w:sz w:val="20"/>
                <w:szCs w:val="20"/>
                <w:color w:val="auto"/>
              </w:rPr>
            </w:pPr>
            <w:r>
              <w:rPr>
                <w:rFonts w:ascii="Arial" w:cs="Arial" w:eastAsia="Arial" w:hAnsi="Arial"/>
                <w:sz w:val="18"/>
                <w:szCs w:val="18"/>
                <w:color w:val="auto"/>
              </w:rPr>
              <w:t>Total interest expense</w:t>
            </w:r>
          </w:p>
        </w:tc>
        <w:tc>
          <w:tcPr>
            <w:tcW w:w="98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282</w:t>
            </w:r>
          </w:p>
        </w:tc>
      </w:tr>
      <w:tr>
        <w:trPr>
          <w:trHeight w:val="21"/>
        </w:trPr>
        <w:tc>
          <w:tcPr>
            <w:tcW w:w="5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center"/>
        <w:ind w:right="260"/>
        <w:spacing w:after="0"/>
        <w:rPr>
          <w:sz w:val="20"/>
          <w:szCs w:val="20"/>
          <w:color w:val="auto"/>
        </w:rPr>
      </w:pPr>
      <w:r>
        <w:rPr>
          <w:rFonts w:ascii="Arial" w:cs="Arial" w:eastAsia="Arial" w:hAnsi="Arial"/>
          <w:sz w:val="17"/>
          <w:szCs w:val="17"/>
          <w:i w:val="1"/>
          <w:iCs w:val="1"/>
          <w:color w:val="auto"/>
        </w:rPr>
        <w:t>Income Tax Expense</w:t>
      </w:r>
      <w:r>
        <w:rPr>
          <w:rFonts w:ascii="Arial" w:cs="Arial" w:eastAsia="Arial" w:hAnsi="Arial"/>
          <w:sz w:val="17"/>
          <w:szCs w:val="17"/>
          <w:color w:val="auto"/>
        </w:rPr>
        <w:t>. We recognized income tax expense of $1.0 million and $0.8 million, respectively, for the three and nine months ended</w:t>
      </w:r>
    </w:p>
    <w:p>
      <w:pPr>
        <w:spacing w:after="0" w:line="35"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March 31, 2020, as compared to income tax expense of $0.4 million and $0.2 million, respectively, for the three and nine months ended March 31, 2019.</w:t>
      </w:r>
    </w:p>
    <w:p>
      <w:pPr>
        <w:spacing w:after="0" w:line="166" w:lineRule="exact"/>
        <w:rPr>
          <w:sz w:val="20"/>
          <w:szCs w:val="20"/>
          <w:color w:val="auto"/>
        </w:rPr>
      </w:pPr>
    </w:p>
    <w:p>
      <w:pPr>
        <w:ind w:right="260" w:firstLine="445"/>
        <w:spacing w:after="0" w:line="311" w:lineRule="auto"/>
        <w:rPr>
          <w:sz w:val="20"/>
          <w:szCs w:val="20"/>
          <w:color w:val="auto"/>
        </w:rPr>
      </w:pPr>
      <w:r>
        <w:rPr>
          <w:rFonts w:ascii="Arial" w:cs="Arial" w:eastAsia="Arial" w:hAnsi="Arial"/>
          <w:sz w:val="16"/>
          <w:szCs w:val="16"/>
          <w:color w:val="auto"/>
        </w:rPr>
        <w:t>The effective tax rate was 9.9% of pre-tax income during the nine months ended March 31, 2020, compared to 5.6% for the prior year period. The change in the tax rate for fiscal 2020 was mainly due to less favorable tax deductions, relative to pre-tax income, associated with stock awards vesting during the current year, as compared to the prior year period and limitations on deduction of other compensation related items during the current year.</w:t>
      </w:r>
    </w:p>
    <w:p>
      <w:pPr>
        <w:spacing w:after="0" w:line="68" w:lineRule="exact"/>
        <w:rPr>
          <w:sz w:val="20"/>
          <w:szCs w:val="20"/>
          <w:color w:val="auto"/>
        </w:rPr>
      </w:pPr>
    </w:p>
    <w:p>
      <w:pPr>
        <w:ind w:right="200" w:firstLine="445"/>
        <w:spacing w:after="0" w:line="263" w:lineRule="auto"/>
        <w:rPr>
          <w:sz w:val="20"/>
          <w:szCs w:val="20"/>
          <w:color w:val="auto"/>
        </w:rPr>
      </w:pPr>
      <w:r>
        <w:rPr>
          <w:rFonts w:ascii="Arial" w:cs="Arial" w:eastAsia="Arial" w:hAnsi="Arial"/>
          <w:sz w:val="18"/>
          <w:szCs w:val="18"/>
          <w:color w:val="auto"/>
        </w:rPr>
        <w:t>We expect that our effective tax rate will increase during the remainder of fiscal 2020 as the impact of favorable discrete items related to vesting of stock awards during the year is applied towards increased pretax income; however, our tax rate can be significantly impacted by various book to tax differences and fluctuations in our stock price that occur during the year which are difficult to forecast.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w:t>
      </w:r>
    </w:p>
    <w:p>
      <w:pPr>
        <w:spacing w:after="0" w:line="144"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Our primary liquidity and capital resource requirements are to service our debt, which includes any outstanding balances under the 2016 Credit Facility, and finance the cost of our planned operating expenses and working capital (principally inventory purchases), as well as capital expenditures. We have generally relied on cash flow from operations to fund operating activities and we have, at times, incurred long-term debt in order to fund stock repurchases and strategic transactions.</w:t>
      </w:r>
    </w:p>
    <w:p>
      <w:pPr>
        <w:spacing w:after="0" w:line="119" w:lineRule="exact"/>
        <w:rPr>
          <w:sz w:val="20"/>
          <w:szCs w:val="20"/>
          <w:color w:val="auto"/>
        </w:rPr>
      </w:pPr>
    </w:p>
    <w:p>
      <w:pPr>
        <w:ind w:right="180" w:firstLine="445"/>
        <w:spacing w:after="0" w:line="277" w:lineRule="auto"/>
        <w:rPr>
          <w:sz w:val="20"/>
          <w:szCs w:val="20"/>
          <w:color w:val="auto"/>
        </w:rPr>
      </w:pPr>
      <w:r>
        <w:rPr>
          <w:rFonts w:ascii="Arial" w:cs="Arial" w:eastAsia="Arial" w:hAnsi="Arial"/>
          <w:sz w:val="18"/>
          <w:szCs w:val="18"/>
          <w:color w:val="auto"/>
        </w:rPr>
        <w:t>As of March 31, 2020, our available liquidity was $13.5 million, which consisted of available cash and cash equivalents. This represents a decrease of $5.4 million from the $18.8 million in cash and cash equivalents as of June 30, 2019.</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3" w:name="page24"/>
    <w:bookmarkEnd w:id="23"/>
    <w:p>
      <w:pPr>
        <w:ind w:right="200" w:firstLine="445"/>
        <w:spacing w:after="0" w:line="277" w:lineRule="auto"/>
        <w:rPr>
          <w:sz w:val="20"/>
          <w:szCs w:val="20"/>
          <w:color w:val="auto"/>
        </w:rPr>
      </w:pPr>
      <w:r>
        <w:rPr>
          <w:rFonts w:ascii="Arial" w:cs="Arial" w:eastAsia="Arial" w:hAnsi="Arial"/>
          <w:sz w:val="18"/>
          <w:szCs w:val="18"/>
          <w:color w:val="auto"/>
        </w:rPr>
        <w:t>During the nine months ended March 31, 2020, our net cash provided by operating activities was $9.0 million as compared to net cash provided by operating activities of $10.8 million during the nine months ended March 31, 2019.</w:t>
      </w:r>
    </w:p>
    <w:p>
      <w:pPr>
        <w:spacing w:after="0" w:line="89" w:lineRule="exact"/>
        <w:rPr>
          <w:sz w:val="20"/>
          <w:szCs w:val="20"/>
          <w:color w:val="auto"/>
        </w:rPr>
      </w:pPr>
    </w:p>
    <w:p>
      <w:pPr>
        <w:jc w:val="both"/>
        <w:ind w:right="120" w:firstLine="445"/>
        <w:spacing w:after="0" w:line="263" w:lineRule="auto"/>
        <w:rPr>
          <w:sz w:val="20"/>
          <w:szCs w:val="20"/>
          <w:color w:val="auto"/>
        </w:rPr>
      </w:pPr>
      <w:r>
        <w:rPr>
          <w:rFonts w:ascii="Arial" w:cs="Arial" w:eastAsia="Arial" w:hAnsi="Arial"/>
          <w:sz w:val="18"/>
          <w:szCs w:val="18"/>
          <w:color w:val="auto"/>
        </w:rPr>
        <w:t>During the nine months ended March 31, 2020, our net cash used in investing activities was $2.1 million, as a result of the purchase of fixed assets. During the nine months ended March 31, 2019, our net cash used in investing activities was $3.7 million, as a result of the investment in convertible notes receivable and the purchase of fixed assets.</w:t>
      </w:r>
    </w:p>
    <w:p>
      <w:pPr>
        <w:spacing w:after="0" w:line="116" w:lineRule="exact"/>
        <w:rPr>
          <w:sz w:val="20"/>
          <w:szCs w:val="20"/>
          <w:color w:val="auto"/>
        </w:rPr>
      </w:pPr>
    </w:p>
    <w:p>
      <w:pPr>
        <w:ind w:right="100" w:firstLine="445"/>
        <w:spacing w:after="0" w:line="255" w:lineRule="auto"/>
        <w:rPr>
          <w:sz w:val="20"/>
          <w:szCs w:val="20"/>
          <w:color w:val="auto"/>
        </w:rPr>
      </w:pPr>
      <w:r>
        <w:rPr>
          <w:rFonts w:ascii="Arial" w:cs="Arial" w:eastAsia="Arial" w:hAnsi="Arial"/>
          <w:sz w:val="18"/>
          <w:szCs w:val="18"/>
          <w:color w:val="auto"/>
        </w:rPr>
        <w:t>Cash used in financing activities during the nine months ended March 31, 2020 was $12.3 million as a result of our repurchase of common stock, quarterly principal payments on our 2016 Term Loan, shares purchased as payment of tax withholding on vesting of equity awards and quarterly principal payments on our 2016 Term Loan, partially offset by proceeds from stock issued under our employee stock purchase plan and stock option exercises. Cash used in financing activities during the nine months ended March 31, 2019 was $7.8 million as a result of our repurchase of common stock, quarterly principal payments on the 2016 Term Loan and shares purchased as payment of tax withholding on vesting of equity awards, partially offset by proceeds from stock option exercises.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March 31, 2020 and June 30, 2019, the total amount of our foreign subsidiary cash was $7.0 million and $6.3 million, respectively. The December</w:t>
      </w:r>
    </w:p>
    <w:p>
      <w:pPr>
        <w:spacing w:after="0" w:line="46"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color w:val="auto"/>
        </w:rPr>
        <w:t>2017 tax reform enacted a 100% dividend deduction for &gt; 10% owned foreign corporations. Therefore, in the future, if needed, we expect to be able to repatriate cash from foreign subsidiaries without paying additional U.S. taxes.</w:t>
      </w:r>
    </w:p>
    <w:p>
      <w:pPr>
        <w:spacing w:after="0" w:line="104" w:lineRule="exact"/>
        <w:rPr>
          <w:sz w:val="20"/>
          <w:szCs w:val="20"/>
          <w:color w:val="auto"/>
        </w:rPr>
      </w:pPr>
    </w:p>
    <w:p>
      <w:pPr>
        <w:ind w:firstLine="445"/>
        <w:spacing w:after="0" w:line="290" w:lineRule="auto"/>
        <w:rPr>
          <w:sz w:val="20"/>
          <w:szCs w:val="20"/>
          <w:color w:val="auto"/>
        </w:rPr>
      </w:pPr>
      <w:r>
        <w:rPr>
          <w:rFonts w:ascii="Arial" w:cs="Arial" w:eastAsia="Arial" w:hAnsi="Arial"/>
          <w:sz w:val="16"/>
          <w:szCs w:val="16"/>
          <w:color w:val="auto"/>
        </w:rPr>
        <w:t>At March 31, 2020, we had working capital (current assets minus current liabilities) of $14.5 million, compared to working capital of $17.0 million at June 30, 2019. We believe that our cash and cash equivalents balances and our ongoing cash flow from operations will be sufficient to satisfy our cash requirements for at least the next 12 months. The majority of our historical expenses have been variable in nature and as such, a potential reduction in the level of revenue would reduce our cash flow needs. In the event that our current cash balances and future cash flow from operations are not sufficient to meet our obligations or strategic needs, we would consider raising additional funds, which may not be available on terms that are acceptable to us, or at all. Our credit facility, however, contains covenants that restrict our ability to raise additional funds in the debt markets and repurchase our equity securities without prior approval from the lender. Additionally, our credit facility provides for a revolving loan facility in an aggregate principal amount up to $5.0 million, as amended. We would also consider realigning our strategic plans including a reduction in capital spending and expenses.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Resources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Shelf Registration Statement</w:t>
      </w:r>
    </w:p>
    <w:p>
      <w:pPr>
        <w:spacing w:after="0" w:line="144"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On March 24, 2020, we filed a shelf registration statement (the "Shelf Registration") on Form S-3 with the SEC that was declared effective April 3, 2020, which permits us to offer up to $75 million of common stock, preferred stock, debt securities and warrants in one or more offerings and in any combination, including in units from time to time. Our Shelf Registration is intended to provide us with additional flexibility to access capital markets for general corporate purposes, which may include, among other purposes, working capital, capital expenditures, other corporate expenses and acquisitions of assets, licenses, products, technologies or businesses.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Credit Facility</w:t>
      </w:r>
    </w:p>
    <w:p>
      <w:pPr>
        <w:spacing w:after="0" w:line="158"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On March 30, 2016, we entered into a Loan Agreement (the “2016 Loan Agreement”) to refinance our outstanding debt. In connection with the 2016 Loan Agreement and on the same date, we entered into a security agreement (the “Security Agreement”). The 2016 Loan Agreement provides for a term loan in an aggregate principal amount of $10.0 million (the “2016 Term Loan") and a revolving loan facility in an aggregate principal amount not to exceed $2.0 million (the “2016 Revolving Loan,” and collectively with the 2016 Term Loan, the 2016 Loan Agreement and the Security Agreement, the “2016 Credit Facility”).</w:t>
      </w:r>
    </w:p>
    <w:p>
      <w:pPr>
        <w:spacing w:after="0" w:line="107"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color w:val="auto"/>
        </w:rPr>
        <w:t>The principal amount of the 2016 Term Loan is payable in consecutive quarterly installments in the amount of $0.5 million plus accrued interest beginning with the fiscal quarter ended June 30, 2016. If we borrow under the 2016 Revolving Loan, interest will be payable quarterly in arrears on the last day of each fiscal quarter.</w:t>
      </w:r>
    </w:p>
    <w:p>
      <w:pPr>
        <w:spacing w:after="0" w:line="116" w:lineRule="exact"/>
        <w:rPr>
          <w:sz w:val="20"/>
          <w:szCs w:val="20"/>
          <w:color w:val="auto"/>
        </w:rPr>
      </w:pPr>
    </w:p>
    <w:p>
      <w:pPr>
        <w:ind w:right="20" w:firstLine="445"/>
        <w:spacing w:after="0" w:line="296" w:lineRule="auto"/>
        <w:rPr>
          <w:sz w:val="20"/>
          <w:szCs w:val="20"/>
          <w:color w:val="auto"/>
        </w:rPr>
      </w:pPr>
      <w:r>
        <w:rPr>
          <w:rFonts w:ascii="Arial" w:cs="Arial" w:eastAsia="Arial" w:hAnsi="Arial"/>
          <w:sz w:val="16"/>
          <w:szCs w:val="16"/>
          <w:color w:val="auto"/>
        </w:rPr>
        <w:t>On May 4, 2018, we entered into a loan modification agreement, which amended the 2016 Credit Facility (“Amendment No. 1”). Amendment No. 1 revised the maturity date from March 30, 2019 to March 31, 2021 (the “Maturity Date”) and increased the fixed interest rate for the term loan from 4.93% to 5.68%. Amendment No. 1 also revised certain financial covenants. The minimum fixed charge coverage ratio (as defined in Amendment No. 1) was revised from a minimum of 1.50 to 1.00 to 1.25 to 1.00, measured on a trailing twelve-month basis, at the end of each fiscal quarter. The minimum working capital was increased from $5.0 million to $8.0 million. The funded debt to EBITDA ratio was replaced with the total liabilities to</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4" w:name="page25"/>
    <w:bookmarkEnd w:id="24"/>
    <w:p>
      <w:pPr>
        <w:ind w:right="460"/>
        <w:spacing w:after="0" w:line="277" w:lineRule="auto"/>
        <w:rPr>
          <w:sz w:val="20"/>
          <w:szCs w:val="20"/>
          <w:color w:val="auto"/>
        </w:rPr>
      </w:pPr>
      <w:r>
        <w:rPr>
          <w:rFonts w:ascii="Arial" w:cs="Arial" w:eastAsia="Arial" w:hAnsi="Arial"/>
          <w:sz w:val="18"/>
          <w:szCs w:val="18"/>
          <w:color w:val="auto"/>
        </w:rPr>
        <w:t>tangible net worth ratio (as defined in Amendment No. 1) of not greater than 3.00 to 1.00 at the end of each quarter. The minimum tangible net worth measure was removed from the financial covenants.</w:t>
      </w:r>
    </w:p>
    <w:p>
      <w:pPr>
        <w:spacing w:after="0" w:line="89"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On February 1, 2019, we entered into a loan modification agreement, which amended the 2016 Credit Facility ("Amendment No. 2"). Under Amendment No. 2, we made a principal payment of $2.0 million and increased the revolving loan facility from $2.0 million to $5.0 million. Amendment No. 2 also revised certain financial covenants. The minimum fixed charge coverage ratio (as defined in Amendment No. 2) was revised from a minimum of 1.25 to 1.00 to 1.10 to 1.00, measured on a trailing twelve-month basis, at the end of each fiscal quarter. The minimum working capital was decreased from $8.0 million to $6.0 million.</w:t>
      </w:r>
    </w:p>
    <w:p>
      <w:pPr>
        <w:spacing w:after="0" w:line="120" w:lineRule="exact"/>
        <w:rPr>
          <w:sz w:val="20"/>
          <w:szCs w:val="20"/>
          <w:color w:val="auto"/>
        </w:rPr>
      </w:pPr>
    </w:p>
    <w:p>
      <w:pPr>
        <w:ind w:right="100" w:firstLine="445"/>
        <w:spacing w:after="0" w:line="275" w:lineRule="auto"/>
        <w:rPr>
          <w:sz w:val="20"/>
          <w:szCs w:val="20"/>
          <w:color w:val="auto"/>
        </w:rPr>
      </w:pPr>
      <w:r>
        <w:rPr>
          <w:rFonts w:ascii="Arial" w:cs="Arial" w:eastAsia="Arial" w:hAnsi="Arial"/>
          <w:sz w:val="17"/>
          <w:szCs w:val="17"/>
          <w:color w:val="auto"/>
        </w:rPr>
        <w:t>The 2016 Credit Facility, as amended, contains customary covenants, including affirmative and negative covenants that, among other things, restrict our ability to create certain types of liens, incur additional indebtedness, declare or pay dividends on or redeem capital stock, make other payments to holders of our equity interests, make certain investments, purchase or otherwise acquire all or substantially all the assets or equity interests of other companies, sell assets or enter into consolidations, mergers or transfers of all or any substantial part of our assets. As of March 31, 2020, we were in compliance with all applicable non-financial and restrictive covenants under the 2016 Credit Facility, as amended.</w:t>
      </w:r>
    </w:p>
    <w:p>
      <w:pPr>
        <w:spacing w:after="0" w:line="109"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The 2016 Credit Facility, as amended, also contains various financial covenants that require us to maintain certain consolidated working capital amounts, total liabilities to tangible net worth ratios and fixed charge coverage ratios. Specifically, we must:</w:t>
      </w:r>
    </w:p>
    <w:p>
      <w:pPr>
        <w:spacing w:after="0" w:line="89" w:lineRule="exact"/>
        <w:rPr>
          <w:sz w:val="20"/>
          <w:szCs w:val="20"/>
          <w:color w:val="auto"/>
        </w:rPr>
      </w:pPr>
    </w:p>
    <w:p>
      <w:pPr>
        <w:ind w:left="660" w:right="140" w:hanging="247"/>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 a minimum fixed charge coverage ratio (as defined in the 2016 Loan Agreement, as amended) of at least 1.10 to 1.00 at the end of each fiscal quarter, measured on a trailing twelve month basis;</w:t>
      </w:r>
    </w:p>
    <w:p>
      <w:pPr>
        <w:spacing w:after="0" w:line="102" w:lineRule="exact"/>
        <w:rPr>
          <w:rFonts w:ascii="Arial" w:cs="Arial" w:eastAsia="Arial" w:hAnsi="Arial"/>
          <w:sz w:val="18"/>
          <w:szCs w:val="18"/>
          <w:color w:val="auto"/>
        </w:rPr>
      </w:pPr>
    </w:p>
    <w:p>
      <w:pPr>
        <w:ind w:left="660" w:right="60" w:hanging="247"/>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 minimum consolidated working capital (as defined in the 2016 Loan Agreement, as amended) at the end of each fiscal quarter of at least $6.0 million; and</w:t>
      </w:r>
    </w:p>
    <w:p>
      <w:pPr>
        <w:spacing w:after="0" w:line="102" w:lineRule="exact"/>
        <w:rPr>
          <w:rFonts w:ascii="Arial" w:cs="Arial" w:eastAsia="Arial" w:hAnsi="Arial"/>
          <w:sz w:val="18"/>
          <w:szCs w:val="18"/>
          <w:color w:val="auto"/>
        </w:rPr>
      </w:pPr>
    </w:p>
    <w:p>
      <w:pPr>
        <w:ind w:left="660" w:right="220" w:hanging="247"/>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 a ratio of total liabilities to tangible net worth (as defined in the 2016 Loan Agreement, as amended) of not greater than 3.00 to 1.00 at the end of each quarter, measured on a trailing twelve month basis.</w:t>
      </w:r>
    </w:p>
    <w:p>
      <w:pPr>
        <w:spacing w:after="0" w:line="89" w:lineRule="exact"/>
        <w:rPr>
          <w:sz w:val="20"/>
          <w:szCs w:val="20"/>
          <w:color w:val="auto"/>
        </w:rPr>
      </w:pPr>
    </w:p>
    <w:p>
      <w:pPr>
        <w:ind w:right="480" w:firstLine="405"/>
        <w:spacing w:after="0" w:line="342" w:lineRule="auto"/>
        <w:rPr>
          <w:sz w:val="20"/>
          <w:szCs w:val="20"/>
          <w:color w:val="auto"/>
        </w:rPr>
      </w:pPr>
      <w:r>
        <w:rPr>
          <w:rFonts w:ascii="Arial" w:cs="Arial" w:eastAsia="Arial" w:hAnsi="Arial"/>
          <w:sz w:val="16"/>
          <w:szCs w:val="16"/>
          <w:color w:val="auto"/>
        </w:rPr>
        <w:t>As of March 31, 2020, we were in compliance with all applicable financial covenants under the 2016 Credit Facility, as amended. Additionally, management anticipates that in the normal course of operations we will be in compliance with the financial covenants during the ensuing year.</w:t>
      </w:r>
    </w:p>
    <w:p>
      <w:pPr>
        <w:spacing w:after="0" w:line="56"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During the three months ended March 31, 2020, we repaid, in full, the remaining balance of the 2016 Term Loan in accordance with the terms of the 2016 Credit Facility, as amended.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Commitments and Obligations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contractual payment obligations and commitments as of March 31, 2020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Payments due by period</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Contractual Obligations</w:t>
            </w:r>
          </w:p>
        </w:tc>
        <w:tc>
          <w:tcPr>
            <w:tcW w:w="280" w:type="dxa"/>
            <w:vAlign w:val="bottom"/>
          </w:tcPr>
          <w:p>
            <w:pPr>
              <w:spacing w:after="0"/>
              <w:rPr>
                <w:sz w:val="13"/>
                <w:szCs w:val="13"/>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3"/>
                <w:szCs w:val="13"/>
                <w:color w:val="auto"/>
              </w:rPr>
            </w:pPr>
          </w:p>
        </w:tc>
        <w:tc>
          <w:tcPr>
            <w:tcW w:w="11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Less than</w:t>
            </w:r>
          </w:p>
        </w:tc>
        <w:tc>
          <w:tcPr>
            <w:tcW w:w="220" w:type="dxa"/>
            <w:vAlign w:val="bottom"/>
          </w:tcPr>
          <w:p>
            <w:pPr>
              <w:spacing w:after="0"/>
              <w:rPr>
                <w:sz w:val="13"/>
                <w:szCs w:val="13"/>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1-3 years</w:t>
            </w:r>
          </w:p>
        </w:tc>
        <w:tc>
          <w:tcPr>
            <w:tcW w:w="220" w:type="dxa"/>
            <w:vAlign w:val="bottom"/>
          </w:tcPr>
          <w:p>
            <w:pPr>
              <w:spacing w:after="0"/>
              <w:rPr>
                <w:sz w:val="13"/>
                <w:szCs w:val="13"/>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3-5 years</w:t>
            </w:r>
          </w:p>
        </w:tc>
        <w:tc>
          <w:tcPr>
            <w:tcW w:w="200" w:type="dxa"/>
            <w:vAlign w:val="bottom"/>
          </w:tcPr>
          <w:p>
            <w:pPr>
              <w:spacing w:after="0"/>
              <w:rPr>
                <w:sz w:val="13"/>
                <w:szCs w:val="13"/>
                <w:color w:val="auto"/>
              </w:rPr>
            </w:pPr>
          </w:p>
        </w:tc>
        <w:tc>
          <w:tcPr>
            <w:tcW w:w="100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92"/>
        </w:trPr>
        <w:tc>
          <w:tcPr>
            <w:tcW w:w="47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1 year</w:t>
            </w:r>
          </w:p>
        </w:tc>
        <w:tc>
          <w:tcPr>
            <w:tcW w:w="2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4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19,126</w:t>
            </w: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1,926</w:t>
            </w: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2,184</w:t>
            </w: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3,153</w:t>
            </w: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11,863</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 xml:space="preserve">Other operating obligations </w:t>
            </w:r>
            <w:r>
              <w:rPr>
                <w:rFonts w:ascii="Arial" w:cs="Arial" w:eastAsia="Arial" w:hAnsi="Arial"/>
                <w:sz w:val="23"/>
                <w:szCs w:val="23"/>
                <w:color w:val="auto"/>
                <w:vertAlign w:val="superscript"/>
              </w:rPr>
              <w:t>(2)</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18,939</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10,429</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6,225</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2,285</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9"/>
        </w:trPr>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38,065</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12,355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8,409</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5,438</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11,863</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lease obligations include current and future obligations associated with corporate office leases.</w:t>
      </w:r>
    </w:p>
    <w:p>
      <w:pPr>
        <w:spacing w:after="0" w:line="144" w:lineRule="exact"/>
        <w:rPr>
          <w:rFonts w:ascii="Arial" w:cs="Arial" w:eastAsia="Arial" w:hAnsi="Arial"/>
          <w:sz w:val="18"/>
          <w:szCs w:val="18"/>
          <w:color w:val="auto"/>
        </w:rPr>
      </w:pPr>
    </w:p>
    <w:p>
      <w:pPr>
        <w:ind w:left="660" w:right="560" w:hanging="328"/>
        <w:spacing w:after="0" w:line="277" w:lineRule="auto"/>
        <w:tabs>
          <w:tab w:leader="none" w:pos="591"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operating obligations represent contractual obligations primarily related to marketing and sponsorship commitments and purchases of inventory.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2020, we did not have any off-balance sheet arrangements.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62" w:lineRule="exact"/>
        <w:rPr>
          <w:sz w:val="20"/>
          <w:szCs w:val="20"/>
          <w:color w:val="auto"/>
        </w:rPr>
      </w:pPr>
    </w:p>
    <w:p>
      <w:pPr>
        <w:ind w:right="160" w:firstLine="445"/>
        <w:spacing w:after="0" w:line="259" w:lineRule="auto"/>
        <w:rPr>
          <w:sz w:val="20"/>
          <w:szCs w:val="20"/>
          <w:color w:val="auto"/>
        </w:rPr>
      </w:pPr>
      <w:r>
        <w:rPr>
          <w:rFonts w:ascii="Arial" w:cs="Arial" w:eastAsia="Arial" w:hAnsi="Arial"/>
          <w:sz w:val="18"/>
          <w:szCs w:val="18"/>
          <w:color w:val="auto"/>
        </w:rPr>
        <w:t>We prepare our financial statements in conformity with accounting principles generally accepted in the United States of America. As such, we are required to make certain estimates, judgments, and assumptions that we believe are reasonable based upon the information available. These estimates and assumptions affect the reported amounts of assets and liabilities at the date of the financial statements and the reported amounts of revenue and expenses during the periods presented. Actual results could</w:t>
      </w:r>
    </w:p>
    <w:p>
      <w:pPr>
        <w:sectPr>
          <w:pgSz w:w="11900" w:h="16838" w:orient="portrait"/>
          <w:cols w:equalWidth="0" w:num="1">
            <w:col w:w="11220"/>
          </w:cols>
          <w:pgMar w:left="320" w:top="104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type w:val="continuous"/>
        </w:sectPr>
      </w:pPr>
    </w:p>
    <w:bookmarkStart w:id="25" w:name="page26"/>
    <w:bookmarkEnd w:id="25"/>
    <w:p>
      <w:pPr>
        <w:ind w:right="280"/>
        <w:spacing w:after="0" w:line="296" w:lineRule="auto"/>
        <w:rPr>
          <w:sz w:val="20"/>
          <w:szCs w:val="20"/>
          <w:color w:val="auto"/>
        </w:rPr>
      </w:pPr>
      <w:r>
        <w:rPr>
          <w:rFonts w:ascii="Arial" w:cs="Arial" w:eastAsia="Arial" w:hAnsi="Arial"/>
          <w:sz w:val="16"/>
          <w:szCs w:val="16"/>
          <w:color w:val="auto"/>
        </w:rPr>
        <w:t>differ from these estimates. Our significant accounting policies are described in Note 2 to our unaudited condensed consolidated financial statements. Certain of these significant accounting policies require us to make difficult, subjective, or complex judgments or estimates. We consider an accounting estimate to be critical if (1) the accounting estimate requires us to make assumptions about matters that were highly uncertain at the time the accounting estimate was made, and (2) changes in the estimate that are reasonably likely to occur from period to period, or use of different estimates that we reasonably could have used in the current period, would have a material impact on our financial condition or results of operations.</w:t>
      </w:r>
    </w:p>
    <w:p>
      <w:pPr>
        <w:spacing w:after="0" w:line="80" w:lineRule="exact"/>
        <w:rPr>
          <w:sz w:val="20"/>
          <w:szCs w:val="20"/>
          <w:color w:val="auto"/>
        </w:rPr>
      </w:pPr>
    </w:p>
    <w:p>
      <w:pPr>
        <w:ind w:right="60" w:firstLine="445"/>
        <w:spacing w:after="0" w:line="286" w:lineRule="auto"/>
        <w:rPr>
          <w:sz w:val="20"/>
          <w:szCs w:val="20"/>
          <w:color w:val="auto"/>
        </w:rPr>
      </w:pPr>
      <w:r>
        <w:rPr>
          <w:rFonts w:ascii="Arial" w:cs="Arial" w:eastAsia="Arial" w:hAnsi="Arial"/>
          <w:sz w:val="17"/>
          <w:szCs w:val="17"/>
          <w:color w:val="auto"/>
        </w:rPr>
        <w:t>There are other items within our financial statements that require estimation, but are not deemed critical as defined above. Changes in estimates used in these and other items could have a material impact on our financial statements. Management has discussed the development and selection of these critical accounting estimates with our board of directors, and the audit committee has reviewed the disclosures noted below.</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Allowances for Product Returns</w:t>
      </w:r>
    </w:p>
    <w:p>
      <w:pPr>
        <w:spacing w:after="0" w:line="158" w:lineRule="exact"/>
        <w:rPr>
          <w:sz w:val="20"/>
          <w:szCs w:val="20"/>
          <w:color w:val="auto"/>
        </w:rPr>
      </w:pPr>
    </w:p>
    <w:p>
      <w:pPr>
        <w:ind w:firstLine="445"/>
        <w:spacing w:after="0" w:line="241" w:lineRule="auto"/>
        <w:rPr>
          <w:sz w:val="20"/>
          <w:szCs w:val="20"/>
          <w:color w:val="auto"/>
        </w:rPr>
      </w:pPr>
      <w:r>
        <w:rPr>
          <w:rFonts w:ascii="Arial" w:cs="Arial" w:eastAsia="Arial" w:hAnsi="Arial"/>
          <w:sz w:val="18"/>
          <w:szCs w:val="18"/>
          <w:color w:val="auto"/>
        </w:rPr>
        <w:t>We record allowances for product returns at the time we ship the product based on estimated return rates. Subject to some exceptions based on local regulations, the Company’s return policy is to provide a full refund for product returned within 30 days. After 30 days of purchase, only unopened product that is in a resalable and restockable condition may be returned within twelve months of purchase and shall receive a 100% refund, less a 10% handling and restocking fee and any shipping and handling costs. As of March 31, 2020, our shipments of products sold totaling approximately $19.4 million were subject to the return policy.</w:t>
      </w:r>
    </w:p>
    <w:p>
      <w:pPr>
        <w:spacing w:after="0" w:line="108" w:lineRule="exact"/>
        <w:rPr>
          <w:sz w:val="20"/>
          <w:szCs w:val="20"/>
          <w:color w:val="auto"/>
        </w:rPr>
      </w:pPr>
    </w:p>
    <w:p>
      <w:pPr>
        <w:ind w:right="140" w:firstLine="445"/>
        <w:spacing w:after="0" w:line="259" w:lineRule="auto"/>
        <w:rPr>
          <w:sz w:val="20"/>
          <w:szCs w:val="20"/>
          <w:color w:val="auto"/>
        </w:rPr>
      </w:pPr>
      <w:r>
        <w:rPr>
          <w:rFonts w:ascii="Arial" w:cs="Arial" w:eastAsia="Arial" w:hAnsi="Arial"/>
          <w:sz w:val="18"/>
          <w:szCs w:val="18"/>
          <w:color w:val="auto"/>
        </w:rPr>
        <w:t>We monitor our product returns estimate on an ongoing basis and revise the allowances to reflect our experience. Our allowance for product returns was $0.3 million at March 31, 2020, compared with $0.4 million at June 30, 2019. To date, product expiration dates have not played any role in product returns, and we do not expect that they will in the future as it is unlikely that we will ship product with an expiration date earlier than the latest allowable product return date.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 Valuation</w:t>
      </w:r>
    </w:p>
    <w:p>
      <w:pPr>
        <w:spacing w:after="0" w:line="158" w:lineRule="exact"/>
        <w:rPr>
          <w:sz w:val="20"/>
          <w:szCs w:val="20"/>
          <w:color w:val="auto"/>
        </w:rPr>
      </w:pPr>
    </w:p>
    <w:p>
      <w:pPr>
        <w:ind w:right="160" w:firstLine="445"/>
        <w:spacing w:after="0" w:line="287" w:lineRule="auto"/>
        <w:rPr>
          <w:sz w:val="20"/>
          <w:szCs w:val="20"/>
          <w:color w:val="auto"/>
        </w:rPr>
      </w:pPr>
      <w:r>
        <w:rPr>
          <w:rFonts w:ascii="Arial" w:cs="Arial" w:eastAsia="Arial" w:hAnsi="Arial"/>
          <w:sz w:val="16"/>
          <w:szCs w:val="16"/>
          <w:color w:val="auto"/>
        </w:rPr>
        <w:t>We value our inventory at the lower of cost or net realizable value on a first-in first-out basis. Accordingly, we reduce our inventories for the diminution of value resulting from product obsolescence, damage or other issues affecting marketability equal to the difference between the cost of the inventory and its net realizable value. Factors utilized in the determination of net realizable value include: (i) current sales data and historical return rates,</w:t>
      </w:r>
    </w:p>
    <w:p>
      <w:pPr>
        <w:spacing w:after="0" w:line="2" w:lineRule="exact"/>
        <w:rPr>
          <w:sz w:val="20"/>
          <w:szCs w:val="20"/>
          <w:color w:val="auto"/>
        </w:rPr>
      </w:pPr>
    </w:p>
    <w:p>
      <w:pPr>
        <w:ind w:right="60" w:firstLine="8"/>
        <w:spacing w:after="0" w:line="260" w:lineRule="auto"/>
        <w:tabs>
          <w:tab w:leader="none" w:pos="265"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estimates of future demand, (iii) competitive pricing pressures, (iv) new production introductions, (v) product expiration dates, and (vi) component and packaging obsolescence.</w:t>
      </w:r>
    </w:p>
    <w:p>
      <w:pPr>
        <w:spacing w:after="0" w:line="104" w:lineRule="exact"/>
        <w:rPr>
          <w:sz w:val="20"/>
          <w:szCs w:val="20"/>
          <w:color w:val="auto"/>
        </w:rPr>
      </w:pPr>
    </w:p>
    <w:p>
      <w:pPr>
        <w:ind w:right="100" w:firstLine="445"/>
        <w:spacing w:after="0" w:line="263" w:lineRule="auto"/>
        <w:rPr>
          <w:sz w:val="20"/>
          <w:szCs w:val="20"/>
          <w:color w:val="auto"/>
        </w:rPr>
      </w:pPr>
      <w:r>
        <w:rPr>
          <w:rFonts w:ascii="Arial" w:cs="Arial" w:eastAsia="Arial" w:hAnsi="Arial"/>
          <w:sz w:val="18"/>
          <w:szCs w:val="18"/>
          <w:color w:val="auto"/>
        </w:rPr>
        <w:t>During the three months ended March 31, 2020 and 2019, we recognized expenses of $0.1 million and $39,000, respectively, related to obsolete and slow-moving inventory. During the nine months ended March 31, 2020 and 2019, we recognized expenses of $0.4 million and $0.6 million, respectively, related to obsolete and slow-moving inventory.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158"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Revenue is recognized when control of the promised goods or services are transferred to the customer, in an amount that reflects the consideration we expect to be entitled to in exchange for those goods or services. Sales, value add, and other taxes that we collect concurrent with revenue-producing activities are excluded from revenue.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158"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We use the fair value approach to account for stock-based compensation in accordance with current accounting guidance. We recognize compensation costs for awards with performance conditions when we conclude it is probable that the performance conditions will be achieved. We reassess the probability of vesting at each balance sheet date and adjust compensation costs based on our probability assessment. For awards with market-based performance conditions, the cost of the awards is recognized as the requisite service is rendered by the employees, regardless of when, if ever, the market-based performance conditions are satisfied.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 Costs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expense all of our payments related to research and development activities as incurred.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 Accruals</w:t>
      </w:r>
    </w:p>
    <w:p>
      <w:pPr>
        <w:spacing w:after="0" w:line="158" w:lineRule="exact"/>
        <w:rPr>
          <w:sz w:val="20"/>
          <w:szCs w:val="20"/>
          <w:color w:val="auto"/>
        </w:rPr>
      </w:pPr>
    </w:p>
    <w:p>
      <w:pPr>
        <w:jc w:val="both"/>
        <w:ind w:right="160" w:firstLine="405"/>
        <w:spacing w:after="0" w:line="263" w:lineRule="auto"/>
        <w:rPr>
          <w:sz w:val="20"/>
          <w:szCs w:val="20"/>
          <w:color w:val="auto"/>
        </w:rPr>
      </w:pPr>
      <w:r>
        <w:rPr>
          <w:rFonts w:ascii="Arial" w:cs="Arial" w:eastAsia="Arial" w:hAnsi="Arial"/>
          <w:sz w:val="18"/>
          <w:szCs w:val="18"/>
          <w:color w:val="auto"/>
        </w:rPr>
        <w:t>We are occasionally involved in lawsuits and disputes arising in the normal course of business. Management regularly reviews all pending litigation matters in which we are involved and establishes accruals as we deem appropriate for these litigation matters when a probable loss estimate can be made. Estimated accruals require management judgment about future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26" w:name="page27"/>
    <w:bookmarkEnd w:id="26"/>
    <w:p>
      <w:pPr>
        <w:ind w:right="780"/>
        <w:spacing w:after="0" w:line="277" w:lineRule="auto"/>
        <w:rPr>
          <w:sz w:val="20"/>
          <w:szCs w:val="20"/>
          <w:color w:val="auto"/>
        </w:rPr>
      </w:pPr>
      <w:r>
        <w:rPr>
          <w:rFonts w:ascii="Arial" w:cs="Arial" w:eastAsia="Arial" w:hAnsi="Arial"/>
          <w:sz w:val="18"/>
          <w:szCs w:val="18"/>
          <w:color w:val="auto"/>
        </w:rPr>
        <w:t>events. The results of lawsuits are inherently unpredictable and unfavorable resolutions could occur. As such, the amount of loss may differ from management estimates.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2 to our unaudited condensed consolidated financial statements for a discussion of recently issued accounting standards.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48" w:lineRule="exact"/>
        <w:rPr>
          <w:sz w:val="20"/>
          <w:szCs w:val="20"/>
          <w:color w:val="auto"/>
        </w:rPr>
      </w:pPr>
    </w:p>
    <w:p>
      <w:pPr>
        <w:ind w:right="120" w:firstLine="405"/>
        <w:spacing w:after="0" w:line="275" w:lineRule="auto"/>
        <w:rPr>
          <w:sz w:val="20"/>
          <w:szCs w:val="20"/>
          <w:color w:val="auto"/>
        </w:rPr>
      </w:pPr>
      <w:r>
        <w:rPr>
          <w:rFonts w:ascii="Arial" w:cs="Arial" w:eastAsia="Arial" w:hAnsi="Arial"/>
          <w:sz w:val="17"/>
          <w:szCs w:val="17"/>
          <w:color w:val="auto"/>
        </w:rPr>
        <w:t>We conduct business in several countries and intend to continue to grow our international operations. Net revenue, operating income and net income are affected by fluctuations in currency exchange rates and other uncertainties in doing business and selling products in more than one currency. In addition, our operations are exposed to risks associated with changes in social, political and economic conditions inherent in international operations, including changes in the laws and policies that govern international investment in countries where we have operations, as well as, to a lesser extent, changes in U.S. laws and regulations relating to international trade and investment.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62"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During the nine months ended March 31, 2020, approximately 33% of our net revenue was realized outside of the United States. The local currency of each international subsidiary is generally the functional currency. All revenue and expenses are translated at weighted-average exchange rates for the periods reported. Therefore, our reported revenue and earnings will be positively impacted by a weakening of the U.S. dollar and will be negatively impacted by a strengthening of the U.S. dollar. Currency fluctuations, however, have the opposite effect on our expenses incurred outside the United States. Given the large portion of our business derived from Japan, any weakening of the Japanese yen will negatively impact our reported revenue and profits, whereas a strengthening of the Japanese yen will positively impact our reported revenue and profits. Because of the uncertainty of exchange rate fluctuations, it is difficult to predict the effect of these fluctuations on our future business, product pricing and results of operations or financial condition. Changes in various currency exchange rates affect the relative prices at which we sell our products. We regularly monitor our foreign currency risks and periodically take measures to reduce the risk of foreign exchange rate fluctuations on our operating results. Additionally, we may seek to reduce our exposure to fluctuations in foreign currency exchange rates through the use of foreign currency exchange contracts. We do not use derivative financial instruments for trading or speculative purposes. At March 31, 2020, we did not have any derivative instruments. A 10% strengthening of the U.S. dollar compared to all of the foreign currencies in which we transact business would have resulted in a 3.0% decrease of our nine months ended March 31, 2020 revenue, in the amount of $5.2 million.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62" w:lineRule="exact"/>
        <w:rPr>
          <w:sz w:val="20"/>
          <w:szCs w:val="20"/>
          <w:color w:val="auto"/>
        </w:rPr>
      </w:pPr>
    </w:p>
    <w:p>
      <w:pPr>
        <w:ind w:right="460" w:firstLine="324"/>
        <w:spacing w:after="0" w:line="291" w:lineRule="auto"/>
        <w:rPr>
          <w:sz w:val="20"/>
          <w:szCs w:val="20"/>
          <w:color w:val="auto"/>
        </w:rPr>
      </w:pPr>
      <w:r>
        <w:rPr>
          <w:rFonts w:ascii="Arial" w:cs="Arial" w:eastAsia="Arial" w:hAnsi="Arial"/>
          <w:sz w:val="16"/>
          <w:szCs w:val="16"/>
          <w:color w:val="auto"/>
        </w:rPr>
        <w:t>We maintain disclosure controls and procedures (as defined in Rules 13a-15(e) and 15d-15(e) of the Exchange Act of 1934, as amended) that are designed to ensure that the information required to be disclosed in the reports we file or submit under the Exchange Act of 1934, as amended, is</w:t>
      </w:r>
    </w:p>
    <w:p>
      <w:pPr>
        <w:ind w:firstLine="8"/>
        <w:spacing w:after="0" w:line="252" w:lineRule="auto"/>
        <w:tabs>
          <w:tab w:leader="none" w:pos="245"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recorded, processed, summarized and reported within the time periods specified in the rules and forms of the SEC and (b) accumulated and communicated to management, including our Chief Executive Officer and Chief Financial Officer, as appropriate, to allow timely decisions regarding required disclosure. As of the end of the period covered by this quarterly report on Form 10-Q, we carried out an evaluation, under the supervision and with the participation of our management, including our Chief Executive Officer and Chief Financial Officer, of the effectiveness and design and operation of such disclosure controls and procedures, as defined in Rules 13a-15(e) and 15d-15(e) under the Exchange Act of 1934, as amended. Based on that evaluation, our Chief Executive Officer and Chief Financial Officer concluded that our disclosure controls and procedures were designed and operating effectively as of March 31, 2020.</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62"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There were no changes in our internal controls over financial reporting during the quarter ended March 31, 2020 that have materially affected or are reasonably likely to materially affect our internal controls over financial reporting.</w:t>
      </w:r>
    </w:p>
    <w:p>
      <w:pPr>
        <w:spacing w:after="0" w:line="103"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An evaluation required by paragraph (d) of Rules 13a-15 and 15d-15 of the Exchange Act of 1934, as amended, was also performed under the supervision and with the participation of our management, including our Chief Executive Officer and Chief Financial Officer, of any change in our internal control over financial reporting that occurred during our last fiscal quarter. That evaluation did not identify any changes in our internal control over financial reporting during the three months ended March 31, 2020 that have materially affected, or are reasonably likely to materially affect, our internal control over financial reporting.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of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27" w:name="page28"/>
    <w:bookmarkEnd w:id="27"/>
    <w:p>
      <w:pPr>
        <w:ind w:right="40" w:firstLine="324"/>
        <w:spacing w:after="0" w:line="279"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62"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See Note 8 to our unaudited condensed consolidated financial statements contained within this quarterly report on Form 10-Q for a discussion of our legal proceedings.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2" w:lineRule="exact"/>
        <w:rPr>
          <w:sz w:val="20"/>
          <w:szCs w:val="20"/>
          <w:color w:val="auto"/>
        </w:rPr>
      </w:pPr>
    </w:p>
    <w:p>
      <w:pPr>
        <w:ind w:firstLine="405"/>
        <w:spacing w:after="0" w:line="275" w:lineRule="auto"/>
        <w:rPr>
          <w:sz w:val="20"/>
          <w:szCs w:val="20"/>
          <w:color w:val="auto"/>
        </w:rPr>
      </w:pPr>
      <w:r>
        <w:rPr>
          <w:rFonts w:ascii="Arial" w:cs="Arial" w:eastAsia="Arial" w:hAnsi="Arial"/>
          <w:sz w:val="17"/>
          <w:szCs w:val="17"/>
          <w:color w:val="auto"/>
        </w:rPr>
        <w:t>In addition to the other information set forth in this report, you should carefully consider the risk factors discussed in “Part I. Item 1A — Risk Factors” in our annual report on Form 10-K for the fiscal year ended June 30, 2019, filed on August 14, 2019. The risks and uncertainties described in such risk factors and elsewhere in this report have the potential to materially affect our business, financial condition, results of operations, cash flows, projected results and future prospects. Other than the risk factors set forth below, we do not believe that there have been any material changes to the risk factors previously disclosed in our recent SEC filings, including our most recently filed Form 10-K, as referenced above.</w:t>
      </w:r>
    </w:p>
    <w:p>
      <w:pPr>
        <w:spacing w:after="0" w:line="10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widespread outbreak of an illness or any other communicable disease, such as COVID-19, or any other public health crisis, could adversely affect our business, results of operations and financial condition.</w:t>
      </w:r>
    </w:p>
    <w:p>
      <w:pPr>
        <w:spacing w:after="0" w:line="89"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We could be negatively impacted by the widespread outbreak of an illness or any other communicable disease, or any other public health crisis that results in economic and trade disruptions, including the disruption of global supply chains. In December 2019, an outbreak of COVID-19 began in Wuhan, Hubei Province, China. In March 2020, the World Health Organization declared COVID-19 a pandemic. The COVID-19 pandemic has negatively impacted the global economy, disrupted global supply chains and created significant volatility and disruption of financial markets. While we have not seen any material impact to our revenue stream or operations due to the outbreak of COVID-19, the extent of the impact of the COVID-19 pandemic on our operational and financial performance, including our ability to execute our business strategies and initiatives in the expected time frame, will depend on future developments, including the duration and spread of the pandemic and related restrictions on travel and transports, all of which are uncertain and cannot be predicted. An extended period of global supply chain and economic disruption could materially affect our business, results of operations, access to sources of liquidity and financial condition.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62" w:lineRule="exact"/>
        <w:rPr>
          <w:sz w:val="20"/>
          <w:szCs w:val="20"/>
          <w:color w:val="auto"/>
        </w:rPr>
      </w:pPr>
    </w:p>
    <w:p>
      <w:pPr>
        <w:ind w:right="20" w:firstLine="445"/>
        <w:spacing w:after="0" w:line="270" w:lineRule="auto"/>
        <w:rPr>
          <w:sz w:val="20"/>
          <w:szCs w:val="20"/>
          <w:color w:val="auto"/>
        </w:rPr>
      </w:pPr>
      <w:r>
        <w:rPr>
          <w:rFonts w:ascii="Arial" w:cs="Arial" w:eastAsia="Arial" w:hAnsi="Arial"/>
          <w:sz w:val="17"/>
          <w:szCs w:val="17"/>
          <w:color w:val="auto"/>
        </w:rPr>
        <w:t>On November 27, 2017, our Board of Directors approved a stock repurchase plan, as amended on February 1, 2019. Under the plan, we are authorized to repurchase up to $15.0 million of our outstanding shares through November 27, 2020. The repurchase program permits us to purchase shares from time to time through a variety of methods, including in the open market, through privately negotiated transactions or other means as determined by our management, in accordance with applicable securities laws. As part of the repurchase program, we may enter into a pre-arranged stock repurchase plan which operates in accordance with guidelines specified under Rule 10b5-1 of the Securities Exchange Act of 1934, as amended. Accordingly, any transactions under such stock repurchase plan would be completed in accordance with the terms of the plan, including specified price, volume and timing conditions. The authorization may be suspended or discontinued at any time and expires on November 27, 2020. During the three months ended March 31, 2020, we repurchased 0.1 million shares of our common stock on the open market at an aggregate purchase price of $2.0 million under this repurchase program.</w:t>
      </w:r>
    </w:p>
    <w:p>
      <w:pPr>
        <w:spacing w:after="0" w:line="100" w:lineRule="exact"/>
        <w:rPr>
          <w:sz w:val="20"/>
          <w:szCs w:val="20"/>
          <w:color w:val="auto"/>
        </w:rPr>
      </w:pPr>
    </w:p>
    <w:p>
      <w:pPr>
        <w:ind w:right="280" w:firstLine="445"/>
        <w:spacing w:after="0" w:line="277" w:lineRule="auto"/>
        <w:rPr>
          <w:sz w:val="20"/>
          <w:szCs w:val="20"/>
          <w:color w:val="auto"/>
        </w:rPr>
      </w:pPr>
      <w:r>
        <w:rPr>
          <w:rFonts w:ascii="Arial" w:cs="Arial" w:eastAsia="Arial" w:hAnsi="Arial"/>
          <w:sz w:val="18"/>
          <w:szCs w:val="18"/>
          <w:color w:val="auto"/>
        </w:rPr>
        <w:t>The following table provides information with respect to all purchases made by the Company during the three months ended March 31, 2020. All purchases listed below were made in the open market at prevailing market prices.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43" w:right="379" w:bottom="1440" w:gutter="0" w:footer="0" w:header="0"/>
        </w:sectPr>
      </w:pPr>
    </w:p>
    <w:bookmarkStart w:id="28" w:name="page29"/>
    <w:bookmarkEnd w:id="28"/>
    <w:tbl>
      <w:tblPr>
        <w:tblLayout w:type="fixed"/>
        <w:tblInd w:w="60" w:type="dxa"/>
        <w:tblCellMar>
          <w:top w:w="0" w:type="dxa"/>
          <w:left w:w="0" w:type="dxa"/>
          <w:bottom w:w="0" w:type="dxa"/>
          <w:right w:w="0" w:type="dxa"/>
        </w:tblCellMar>
      </w:tblPr>
      <w:tr>
        <w:trPr>
          <w:trHeight w:val="216"/>
        </w:trPr>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0"/>
              </w:rPr>
              <w:t>Total Number of Shares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Maximum Dollar Value</w:t>
            </w:r>
          </w:p>
        </w:tc>
      </w:tr>
      <w:tr>
        <w:trPr>
          <w:trHeight w:val="216"/>
        </w:trPr>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88"/>
              </w:rPr>
              <w:t>Purchased as Part of</w:t>
            </w:r>
          </w:p>
        </w:tc>
        <w:tc>
          <w:tcPr>
            <w:tcW w:w="100" w:type="dxa"/>
            <w:vAlign w:val="bottom"/>
          </w:tcPr>
          <w:p>
            <w:pPr>
              <w:spacing w:after="0"/>
              <w:rPr>
                <w:sz w:val="18"/>
                <w:szCs w:val="18"/>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b w:val="1"/>
                <w:bCs w:val="1"/>
                <w:color w:val="auto"/>
                <w:w w:val="90"/>
              </w:rPr>
              <w:t>of Shares that May Yet Be</w:t>
            </w:r>
          </w:p>
        </w:tc>
      </w:tr>
      <w:tr>
        <w:trPr>
          <w:trHeight w:val="216"/>
        </w:trPr>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b w:val="1"/>
                <w:bCs w:val="1"/>
                <w:color w:val="auto"/>
                <w:w w:val="93"/>
              </w:rPr>
              <w:t>Total Number of Shares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Average Price Paid Per</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0"/>
              </w:rPr>
              <w:t>Publicly Announced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Purchased Under the</w:t>
            </w:r>
          </w:p>
        </w:tc>
      </w:tr>
      <w:tr>
        <w:trPr>
          <w:trHeight w:val="234"/>
        </w:trPr>
        <w:tc>
          <w:tcPr>
            <w:tcW w:w="2740" w:type="dxa"/>
            <w:vAlign w:val="bottom"/>
            <w:gridSpan w:val="2"/>
          </w:tcPr>
          <w:p>
            <w:pPr>
              <w:ind w:left="1060"/>
              <w:spacing w:after="0"/>
              <w:rPr>
                <w:sz w:val="20"/>
                <w:szCs w:val="20"/>
                <w:color w:val="auto"/>
              </w:rPr>
            </w:pPr>
            <w:r>
              <w:rPr>
                <w:rFonts w:ascii="Arial" w:cs="Arial" w:eastAsia="Arial" w:hAnsi="Arial"/>
                <w:sz w:val="18"/>
                <w:szCs w:val="18"/>
                <w:b w:val="1"/>
                <w:bCs w:val="1"/>
                <w:color w:val="auto"/>
              </w:rPr>
              <w:t>Period</w:t>
            </w:r>
          </w:p>
        </w:tc>
        <w:tc>
          <w:tcPr>
            <w:tcW w:w="2020" w:type="dxa"/>
            <w:vAlign w:val="bottom"/>
          </w:tcPr>
          <w:p>
            <w:pPr>
              <w:jc w:val="right"/>
              <w:ind w:right="530"/>
              <w:spacing w:after="0"/>
              <w:rPr>
                <w:sz w:val="20"/>
                <w:szCs w:val="20"/>
                <w:color w:val="auto"/>
              </w:rPr>
            </w:pPr>
            <w:r>
              <w:rPr>
                <w:rFonts w:ascii="Arial" w:cs="Arial" w:eastAsia="Arial" w:hAnsi="Arial"/>
                <w:sz w:val="18"/>
                <w:szCs w:val="18"/>
                <w:b w:val="1"/>
                <w:bCs w:val="1"/>
                <w:color w:val="auto"/>
              </w:rPr>
              <w:t>Purchased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Share</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89"/>
              </w:rPr>
              <w:t>Plans or Programs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Plans or Programs</w:t>
            </w:r>
          </w:p>
        </w:tc>
      </w:tr>
      <w:tr>
        <w:trPr>
          <w:trHeight w:val="27"/>
        </w:trPr>
        <w:tc>
          <w:tcPr>
            <w:tcW w:w="2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January 1 - January 31</w:t>
            </w:r>
          </w:p>
        </w:tc>
        <w:tc>
          <w:tcPr>
            <w:tcW w:w="2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51,888</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15.53</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51,888</w:t>
            </w:r>
          </w:p>
        </w:tc>
        <w:tc>
          <w:tcPr>
            <w:tcW w:w="2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1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4,634,780</w:t>
            </w:r>
          </w:p>
        </w:tc>
      </w:tr>
      <w:tr>
        <w:trPr>
          <w:trHeight w:val="243"/>
        </w:trPr>
        <w:tc>
          <w:tcPr>
            <w:tcW w:w="2740" w:type="dxa"/>
            <w:vAlign w:val="bottom"/>
            <w:gridSpan w:val="2"/>
          </w:tcPr>
          <w:p>
            <w:pPr>
              <w:ind w:left="20"/>
              <w:spacing w:after="0"/>
              <w:rPr>
                <w:sz w:val="20"/>
                <w:szCs w:val="20"/>
                <w:color w:val="auto"/>
              </w:rPr>
            </w:pPr>
            <w:r>
              <w:rPr>
                <w:rFonts w:ascii="Arial" w:cs="Arial" w:eastAsia="Arial" w:hAnsi="Arial"/>
                <w:sz w:val="18"/>
                <w:szCs w:val="18"/>
                <w:color w:val="auto"/>
              </w:rPr>
              <w:t>February 1 - February 29</w:t>
            </w:r>
          </w:p>
        </w:tc>
        <w:tc>
          <w:tcPr>
            <w:tcW w:w="2020" w:type="dxa"/>
            <w:vAlign w:val="bottom"/>
          </w:tcPr>
          <w:p>
            <w:pPr>
              <w:jc w:val="right"/>
              <w:ind w:right="70"/>
              <w:spacing w:after="0"/>
              <w:rPr>
                <w:sz w:val="20"/>
                <w:szCs w:val="20"/>
                <w:color w:val="auto"/>
              </w:rPr>
            </w:pPr>
            <w:r>
              <w:rPr>
                <w:rFonts w:ascii="Arial" w:cs="Arial" w:eastAsia="Arial" w:hAnsi="Arial"/>
                <w:sz w:val="18"/>
                <w:szCs w:val="18"/>
                <w:color w:val="auto"/>
              </w:rPr>
              <w:t>49,543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70"/>
              <w:spacing w:after="0"/>
              <w:rPr>
                <w:sz w:val="20"/>
                <w:szCs w:val="20"/>
                <w:color w:val="auto"/>
              </w:rPr>
            </w:pPr>
            <w:r>
              <w:rPr>
                <w:rFonts w:ascii="Arial" w:cs="Arial" w:eastAsia="Arial" w:hAnsi="Arial"/>
                <w:sz w:val="18"/>
                <w:szCs w:val="18"/>
                <w:color w:val="auto"/>
              </w:rPr>
              <w:t>15.44</w:t>
            </w:r>
          </w:p>
        </w:tc>
        <w:tc>
          <w:tcPr>
            <w:tcW w:w="100" w:type="dxa"/>
            <w:vAlign w:val="bottom"/>
          </w:tcPr>
          <w:p>
            <w:pPr>
              <w:spacing w:after="0"/>
              <w:rPr>
                <w:sz w:val="21"/>
                <w:szCs w:val="21"/>
                <w:color w:val="auto"/>
              </w:rPr>
            </w:pPr>
          </w:p>
        </w:tc>
        <w:tc>
          <w:tcPr>
            <w:tcW w:w="2040" w:type="dxa"/>
            <w:vAlign w:val="bottom"/>
          </w:tcPr>
          <w:p>
            <w:pPr>
              <w:jc w:val="right"/>
              <w:ind w:right="70"/>
              <w:spacing w:after="0"/>
              <w:rPr>
                <w:sz w:val="20"/>
                <w:szCs w:val="20"/>
                <w:color w:val="auto"/>
              </w:rPr>
            </w:pPr>
            <w:r>
              <w:rPr>
                <w:rFonts w:ascii="Arial" w:cs="Arial" w:eastAsia="Arial" w:hAnsi="Arial"/>
                <w:sz w:val="18"/>
                <w:szCs w:val="18"/>
                <w:color w:val="auto"/>
              </w:rPr>
              <w:t>49,543</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940" w:type="dxa"/>
            <w:vAlign w:val="bottom"/>
          </w:tcPr>
          <w:p>
            <w:pPr>
              <w:jc w:val="right"/>
              <w:ind w:right="70"/>
              <w:spacing w:after="0"/>
              <w:rPr>
                <w:sz w:val="20"/>
                <w:szCs w:val="20"/>
                <w:color w:val="auto"/>
              </w:rPr>
            </w:pPr>
            <w:r>
              <w:rPr>
                <w:rFonts w:ascii="Arial" w:cs="Arial" w:eastAsia="Arial" w:hAnsi="Arial"/>
                <w:sz w:val="18"/>
                <w:szCs w:val="18"/>
                <w:color w:val="auto"/>
              </w:rPr>
              <w:t>3,870,024</w:t>
            </w:r>
          </w:p>
        </w:tc>
      </w:tr>
      <w:tr>
        <w:trPr>
          <w:trHeight w:val="27"/>
        </w:trPr>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March 1 - March 31</w:t>
            </w:r>
          </w:p>
        </w:tc>
        <w:tc>
          <w:tcPr>
            <w:tcW w:w="2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34,468</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12.46</w:t>
            </w:r>
          </w:p>
        </w:tc>
        <w:tc>
          <w:tcPr>
            <w:tcW w:w="10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34,468</w:t>
            </w:r>
          </w:p>
        </w:tc>
        <w:tc>
          <w:tcPr>
            <w:tcW w:w="2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1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3,440,588</w:t>
            </w:r>
          </w:p>
        </w:tc>
      </w:tr>
      <w:tr>
        <w:trPr>
          <w:trHeight w:val="263"/>
        </w:trPr>
        <w:tc>
          <w:tcPr>
            <w:tcW w:w="27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20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135,899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135,899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40" w:type="dxa"/>
            <w:vAlign w:val="bottom"/>
          </w:tcPr>
          <w:p>
            <w:pPr>
              <w:spacing w:after="0"/>
              <w:rPr>
                <w:sz w:val="22"/>
                <w:szCs w:val="22"/>
                <w:color w:val="auto"/>
              </w:rPr>
            </w:pPr>
          </w:p>
        </w:tc>
      </w:tr>
      <w:tr>
        <w:trPr>
          <w:trHeight w:val="20"/>
        </w:trPr>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7" w:lineRule="exact"/>
        <w:rPr>
          <w:sz w:val="20"/>
          <w:szCs w:val="20"/>
          <w:color w:val="auto"/>
        </w:rPr>
      </w:pPr>
    </w:p>
    <w:p>
      <w:pPr>
        <w:ind w:left="440"/>
        <w:spacing w:after="0"/>
        <w:tabs>
          <w:tab w:leader="none" w:pos="3200" w:val="left"/>
          <w:tab w:leader="none" w:pos="720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Document Description</w:t>
      </w:r>
      <w:r>
        <w:rPr>
          <w:sz w:val="20"/>
          <w:szCs w:val="20"/>
          <w:color w:val="auto"/>
        </w:rPr>
        <w:tab/>
      </w:r>
      <w:r>
        <w:rPr>
          <w:rFonts w:ascii="Arial" w:cs="Arial" w:eastAsia="Arial" w:hAnsi="Arial"/>
          <w:sz w:val="13"/>
          <w:szCs w:val="13"/>
          <w:b w:val="1"/>
          <w:bCs w:val="1"/>
          <w:color w:val="auto"/>
        </w:rPr>
        <w:t>Filed Herewith or Incorporate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23495</wp:posOffset>
            </wp:positionV>
            <wp:extent cx="67722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p>
      <w:pPr>
        <w:spacing w:after="0" w:line="144" w:lineRule="exact"/>
        <w:rPr>
          <w:sz w:val="20"/>
          <w:szCs w:val="20"/>
          <w:color w:val="auto"/>
        </w:rPr>
      </w:pPr>
    </w:p>
    <w:p>
      <w:pPr>
        <w:ind w:left="1420" w:hanging="737"/>
        <w:spacing w:after="0" w:line="235"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color w:val="auto"/>
        </w:rPr>
        <w:t>3.1</w:t>
      </w:r>
      <w:r>
        <w:rPr>
          <w:sz w:val="20"/>
          <w:szCs w:val="20"/>
          <w:color w:val="auto"/>
        </w:rPr>
        <w:tab/>
      </w:r>
      <w:hyperlink r:id="rId48">
        <w:r>
          <w:rPr>
            <w:rFonts w:ascii="Arial" w:cs="Arial" w:eastAsia="Arial" w:hAnsi="Arial"/>
            <w:sz w:val="18"/>
            <w:szCs w:val="18"/>
            <w:u w:val="single" w:color="auto"/>
            <w:color w:val="0000FF"/>
          </w:rPr>
          <w:t>Certificate of Incorporation, as filed with the Delaware Secretary of</w:t>
        </w:r>
      </w:hyperlink>
      <w:r>
        <w:rPr>
          <w:rFonts w:ascii="Arial" w:cs="Arial" w:eastAsia="Arial" w:hAnsi="Arial"/>
          <w:sz w:val="18"/>
          <w:szCs w:val="18"/>
          <w:u w:val="single" w:color="auto"/>
          <w:color w:val="0000FF"/>
        </w:rPr>
        <w:t xml:space="preserve"> </w:t>
      </w:r>
      <w:hyperlink r:id="rId48">
        <w:r>
          <w:rPr>
            <w:rFonts w:ascii="Arial" w:cs="Arial" w:eastAsia="Arial" w:hAnsi="Arial"/>
            <w:sz w:val="18"/>
            <w:szCs w:val="18"/>
            <w:u w:val="single" w:color="auto"/>
            <w:color w:val="0000FF"/>
          </w:rPr>
          <w:t>State on March 9, 2018</w:t>
        </w:r>
      </w:hyperlink>
    </w:p>
    <w:p>
      <w:pPr>
        <w:spacing w:after="0" w:line="189" w:lineRule="exact"/>
        <w:rPr>
          <w:sz w:val="20"/>
          <w:szCs w:val="20"/>
          <w:color w:val="auto"/>
        </w:rPr>
      </w:pPr>
    </w:p>
    <w:p>
      <w:pPr>
        <w:ind w:left="680"/>
        <w:spacing w:after="0"/>
        <w:tabs>
          <w:tab w:leader="none" w:pos="1400" w:val="left"/>
        </w:tabs>
        <w:rPr>
          <w:rFonts w:ascii="Arial" w:cs="Arial" w:eastAsia="Arial" w:hAnsi="Arial"/>
          <w:sz w:val="16"/>
          <w:szCs w:val="16"/>
          <w:u w:val="single" w:color="auto"/>
          <w:color w:val="0000FF"/>
        </w:rPr>
      </w:pPr>
      <w:r>
        <w:rPr>
          <w:rFonts w:ascii="Arial" w:cs="Arial" w:eastAsia="Arial" w:hAnsi="Arial"/>
          <w:sz w:val="18"/>
          <w:szCs w:val="18"/>
          <w:color w:val="auto"/>
        </w:rPr>
        <w:t>3.2</w:t>
      </w:r>
      <w:r>
        <w:rPr>
          <w:sz w:val="20"/>
          <w:szCs w:val="20"/>
          <w:color w:val="auto"/>
        </w:rPr>
        <w:tab/>
      </w:r>
      <w:hyperlink r:id="rId49">
        <w:r>
          <w:rPr>
            <w:rFonts w:ascii="Arial" w:cs="Arial" w:eastAsia="Arial" w:hAnsi="Arial"/>
            <w:sz w:val="16"/>
            <w:szCs w:val="16"/>
            <w:u w:val="single" w:color="auto"/>
            <w:color w:val="0000FF"/>
          </w:rPr>
          <w:t>Amended and Restated Bylaws, August 9, 2019</w:t>
        </w:r>
      </w:hyperlink>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Exhibit 3.1 to the Current Report on Form 8-K filed on March 13, 2018.</w:t>
      </w:r>
    </w:p>
    <w:p>
      <w:pPr>
        <w:spacing w:after="0" w:line="11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Exhibit 3.1 to the Current Report on Form 8-K filed on August 15, 2019</w:t>
      </w:r>
    </w:p>
    <w:p>
      <w:pPr>
        <w:spacing w:after="0" w:line="103" w:lineRule="exact"/>
        <w:rPr>
          <w:sz w:val="20"/>
          <w:szCs w:val="20"/>
          <w:color w:val="auto"/>
        </w:rPr>
      </w:pPr>
    </w:p>
    <w:p>
      <w:pPr>
        <w:sectPr>
          <w:pgSz w:w="11900" w:h="16838" w:orient="portrait"/>
          <w:cols w:equalWidth="0" w:num="2">
            <w:col w:w="6300" w:space="260"/>
            <w:col w:w="4640"/>
          </w:cols>
          <w:pgMar w:left="320" w:top="1093" w:right="379" w:bottom="1440" w:gutter="0" w:footer="0" w:header="0"/>
          <w:type w:val="continuous"/>
        </w:sectPr>
      </w:pPr>
    </w:p>
    <w:p>
      <w:pPr>
        <w:spacing w:after="0" w:line="1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31.1</w:t>
      </w:r>
    </w:p>
    <w:p>
      <w:pPr>
        <w:spacing w:after="0" w:line="30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31.2</w:t>
      </w:r>
    </w:p>
    <w:p>
      <w:pPr>
        <w:spacing w:after="0" w:line="30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32.1*</w:t>
      </w:r>
    </w:p>
    <w:p>
      <w:pPr>
        <w:spacing w:after="0" w:line="200" w:lineRule="exact"/>
        <w:rPr>
          <w:sz w:val="20"/>
          <w:szCs w:val="20"/>
          <w:color w:val="auto"/>
        </w:rPr>
      </w:pPr>
    </w:p>
    <w:p>
      <w:pPr>
        <w:spacing w:after="0" w:line="293" w:lineRule="exact"/>
        <w:rPr>
          <w:sz w:val="20"/>
          <w:szCs w:val="20"/>
          <w:color w:val="auto"/>
        </w:rPr>
      </w:pPr>
    </w:p>
    <w:p>
      <w:pPr>
        <w:ind w:left="580"/>
        <w:spacing w:after="0"/>
        <w:rPr>
          <w:sz w:val="20"/>
          <w:szCs w:val="20"/>
          <w:color w:val="auto"/>
        </w:rPr>
      </w:pPr>
      <w:r>
        <w:rPr>
          <w:rFonts w:ascii="Arial" w:cs="Arial" w:eastAsia="Arial" w:hAnsi="Arial"/>
          <w:sz w:val="17"/>
          <w:szCs w:val="17"/>
          <w:color w:val="auto"/>
        </w:rPr>
        <w:t>32.2*</w:t>
      </w:r>
    </w:p>
    <w:p>
      <w:pPr>
        <w:spacing w:after="0" w:line="20" w:lineRule="exact"/>
        <w:rPr>
          <w:sz w:val="20"/>
          <w:szCs w:val="20"/>
          <w:color w:val="auto"/>
        </w:rPr>
      </w:pPr>
      <w:r>
        <w:rPr>
          <w:sz w:val="20"/>
          <w:szCs w:val="20"/>
          <w:color w:val="auto"/>
        </w:rPr>
        <w:br w:type="column"/>
      </w:r>
    </w:p>
    <w:p>
      <w:pPr>
        <w:ind w:right="280"/>
        <w:spacing w:after="0" w:line="235" w:lineRule="auto"/>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Certification of principal executive officer pursuant to Rule 13a-</w:t>
        </w:r>
      </w:hyperlink>
      <w:hyperlink w:anchor="page32">
        <w:r>
          <w:rPr>
            <w:rFonts w:ascii="Arial" w:cs="Arial" w:eastAsia="Arial" w:hAnsi="Arial"/>
            <w:sz w:val="18"/>
            <w:szCs w:val="18"/>
            <w:u w:val="single" w:color="auto"/>
            <w:color w:val="0000FF"/>
          </w:rPr>
          <w:t>14(a)/15d-14(a)</w:t>
        </w:r>
      </w:hyperlink>
    </w:p>
    <w:p>
      <w:pPr>
        <w:spacing w:after="0" w:line="108" w:lineRule="exact"/>
        <w:rPr>
          <w:sz w:val="20"/>
          <w:szCs w:val="20"/>
          <w:color w:val="auto"/>
        </w:rPr>
      </w:pPr>
    </w:p>
    <w:p>
      <w:pPr>
        <w:ind w:right="340"/>
        <w:spacing w:after="0" w:line="235" w:lineRule="auto"/>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Certification of principal financial officer pursuant to Rule 13a-</w:t>
        </w:r>
      </w:hyperlink>
      <w:hyperlink w:anchor="page33">
        <w:r>
          <w:rPr>
            <w:rFonts w:ascii="Arial" w:cs="Arial" w:eastAsia="Arial" w:hAnsi="Arial"/>
            <w:sz w:val="18"/>
            <w:szCs w:val="18"/>
            <w:u w:val="single" w:color="auto"/>
            <w:color w:val="0000FF"/>
          </w:rPr>
          <w:t>14(a)/15d-14(a)</w:t>
        </w:r>
      </w:hyperlink>
    </w:p>
    <w:p>
      <w:pPr>
        <w:spacing w:after="0" w:line="108" w:lineRule="exact"/>
        <w:rPr>
          <w:sz w:val="20"/>
          <w:szCs w:val="20"/>
          <w:color w:val="auto"/>
        </w:rPr>
      </w:pPr>
    </w:p>
    <w:p>
      <w:pPr>
        <w:spacing w:after="0" w:line="224" w:lineRule="auto"/>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Certification of principal executive officer pursuant to 18 U.S.C.</w:t>
        </w:r>
      </w:hyperlink>
      <w:r>
        <w:rPr>
          <w:rFonts w:ascii="Arial" w:cs="Arial" w:eastAsia="Arial" w:hAnsi="Arial"/>
          <w:sz w:val="18"/>
          <w:szCs w:val="18"/>
          <w:u w:val="single" w:color="auto"/>
          <w:color w:val="0000FF"/>
        </w:rPr>
        <w:t xml:space="preserve"> </w:t>
      </w:r>
      <w:hyperlink w:anchor="page34">
        <w:r>
          <w:rPr>
            <w:rFonts w:ascii="Arial" w:cs="Arial" w:eastAsia="Arial" w:hAnsi="Arial"/>
            <w:sz w:val="18"/>
            <w:szCs w:val="18"/>
            <w:u w:val="single" w:color="auto"/>
            <w:color w:val="0000FF"/>
          </w:rPr>
          <w:t>1350, as adopted pursuant to Section 906 of the Sarbanes-Oxley Act</w:t>
        </w:r>
      </w:hyperlink>
      <w:r>
        <w:rPr>
          <w:rFonts w:ascii="Arial" w:cs="Arial" w:eastAsia="Arial" w:hAnsi="Arial"/>
          <w:sz w:val="18"/>
          <w:szCs w:val="18"/>
          <w:u w:val="single" w:color="auto"/>
          <w:color w:val="0000FF"/>
        </w:rPr>
        <w:t xml:space="preserve"> </w:t>
      </w:r>
      <w:hyperlink w:anchor="page34">
        <w:r>
          <w:rPr>
            <w:rFonts w:ascii="Arial" w:cs="Arial" w:eastAsia="Arial" w:hAnsi="Arial"/>
            <w:sz w:val="18"/>
            <w:szCs w:val="18"/>
            <w:u w:val="single" w:color="auto"/>
            <w:color w:val="0000FF"/>
          </w:rPr>
          <w:t>of 2002</w:t>
        </w:r>
      </w:hyperlink>
    </w:p>
    <w:p>
      <w:pPr>
        <w:spacing w:after="0" w:line="109" w:lineRule="exact"/>
        <w:rPr>
          <w:rFonts w:ascii="Arial" w:cs="Arial" w:eastAsia="Arial" w:hAnsi="Arial"/>
          <w:sz w:val="18"/>
          <w:szCs w:val="18"/>
          <w:u w:val="single" w:color="auto"/>
          <w:color w:val="0000FF"/>
        </w:rPr>
      </w:pPr>
    </w:p>
    <w:p>
      <w:pPr>
        <w:spacing w:after="0" w:line="224" w:lineRule="auto"/>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Certification of principal financial officer pursuant to 18 U.S.C.</w:t>
        </w:r>
      </w:hyperlink>
      <w:r>
        <w:rPr>
          <w:rFonts w:ascii="Arial" w:cs="Arial" w:eastAsia="Arial" w:hAnsi="Arial"/>
          <w:sz w:val="18"/>
          <w:szCs w:val="18"/>
          <w:u w:val="single" w:color="auto"/>
          <w:color w:val="0000FF"/>
        </w:rPr>
        <w:t xml:space="preserve"> </w:t>
      </w:r>
      <w:hyperlink w:anchor="page35">
        <w:r>
          <w:rPr>
            <w:rFonts w:ascii="Arial" w:cs="Arial" w:eastAsia="Arial" w:hAnsi="Arial"/>
            <w:sz w:val="18"/>
            <w:szCs w:val="18"/>
            <w:u w:val="single" w:color="auto"/>
            <w:color w:val="0000FF"/>
          </w:rPr>
          <w:t>1350, as adopted pursuant to Section 906 of the Sarbanes-Oxley Act</w:t>
        </w:r>
      </w:hyperlink>
      <w:r>
        <w:rPr>
          <w:rFonts w:ascii="Arial" w:cs="Arial" w:eastAsia="Arial" w:hAnsi="Arial"/>
          <w:sz w:val="18"/>
          <w:szCs w:val="18"/>
          <w:u w:val="single" w:color="auto"/>
          <w:color w:val="0000FF"/>
        </w:rPr>
        <w:t xml:space="preserve"> </w:t>
      </w:r>
      <w:hyperlink w:anchor="page35">
        <w:r>
          <w:rPr>
            <w:rFonts w:ascii="Arial" w:cs="Arial" w:eastAsia="Arial" w:hAnsi="Arial"/>
            <w:sz w:val="18"/>
            <w:szCs w:val="18"/>
            <w:u w:val="single" w:color="auto"/>
            <w:color w:val="0000FF"/>
          </w:rPr>
          <w:t>of 2002</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rPr>
          <w:sz w:val="20"/>
          <w:szCs w:val="20"/>
          <w:color w:val="auto"/>
        </w:rPr>
      </w:pPr>
      <w:r>
        <w:rPr>
          <w:rFonts w:ascii="Arial" w:cs="Arial" w:eastAsia="Arial" w:hAnsi="Arial"/>
          <w:sz w:val="18"/>
          <w:szCs w:val="18"/>
          <w:color w:val="auto"/>
        </w:rPr>
        <w:t>Filed herewith</w:t>
      </w:r>
    </w:p>
    <w:p>
      <w:pPr>
        <w:spacing w:after="0" w:line="306"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Filed herewith</w:t>
      </w:r>
    </w:p>
    <w:p>
      <w:pPr>
        <w:spacing w:after="0" w:line="306"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6"/>
          <w:szCs w:val="16"/>
          <w:color w:val="auto"/>
        </w:rPr>
        <w:t>Furnished herewith</w:t>
      </w:r>
    </w:p>
    <w:p>
      <w:pPr>
        <w:spacing w:after="0" w:line="200" w:lineRule="exact"/>
        <w:rPr>
          <w:rFonts w:ascii="Arial" w:cs="Arial" w:eastAsia="Arial" w:hAnsi="Arial"/>
          <w:sz w:val="18"/>
          <w:szCs w:val="18"/>
          <w:u w:val="single" w:color="auto"/>
          <w:color w:val="0000FF"/>
        </w:rPr>
      </w:pPr>
    </w:p>
    <w:p>
      <w:pPr>
        <w:spacing w:after="0" w:line="305"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6"/>
          <w:szCs w:val="16"/>
          <w:color w:val="auto"/>
        </w:rPr>
        <w:t>Furnished herewith</w:t>
      </w:r>
    </w:p>
    <w:p>
      <w:pPr>
        <w:spacing w:after="0" w:line="504" w:lineRule="exact"/>
        <w:rPr>
          <w:rFonts w:ascii="Arial" w:cs="Arial" w:eastAsia="Arial" w:hAnsi="Arial"/>
          <w:sz w:val="18"/>
          <w:szCs w:val="18"/>
          <w:u w:val="single" w:color="auto"/>
          <w:color w:val="0000FF"/>
        </w:rPr>
      </w:pPr>
    </w:p>
    <w:p>
      <w:pPr>
        <w:sectPr>
          <w:pgSz w:w="11900" w:h="16838" w:orient="portrait"/>
          <w:cols w:equalWidth="0" w:num="3">
            <w:col w:w="1000" w:space="420"/>
            <w:col w:w="4920" w:space="220"/>
            <w:col w:w="4640"/>
          </w:cols>
          <w:pgMar w:left="320" w:top="1093" w:right="379" w:bottom="1440" w:gutter="0" w:footer="0" w:header="0"/>
          <w:type w:val="continuous"/>
        </w:sectPr>
      </w:pPr>
    </w:p>
    <w:p>
      <w:pPr>
        <w:ind w:left="1420" w:right="3600" w:hanging="759"/>
        <w:spacing w:after="0" w:line="274" w:lineRule="auto"/>
        <w:tabs>
          <w:tab w:leader="none" w:pos="140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7"/>
          <w:szCs w:val="17"/>
          <w:color w:val="auto"/>
        </w:rPr>
        <w:t>The following financial information from the Company’s quarterly Filed herewith report on Form 10-Q for the quarter ended March 31, 2020 formatted</w:t>
      </w:r>
    </w:p>
    <w:p>
      <w:pPr>
        <w:ind w:left="1420"/>
        <w:spacing w:after="0"/>
        <w:rPr>
          <w:sz w:val="20"/>
          <w:szCs w:val="20"/>
          <w:color w:val="auto"/>
        </w:rPr>
      </w:pPr>
      <w:r>
        <w:rPr>
          <w:rFonts w:ascii="Arial" w:cs="Arial" w:eastAsia="Arial" w:hAnsi="Arial"/>
          <w:sz w:val="18"/>
          <w:szCs w:val="18"/>
          <w:color w:val="auto"/>
        </w:rPr>
        <w:t>in XBRL (extensible Business Reporting Language): (i) Unaudited</w:t>
      </w:r>
    </w:p>
    <w:p>
      <w:pPr>
        <w:spacing w:after="0" w:line="9" w:lineRule="exact"/>
        <w:rPr>
          <w:rFonts w:ascii="Arial" w:cs="Arial" w:eastAsia="Arial" w:hAnsi="Arial"/>
          <w:sz w:val="18"/>
          <w:szCs w:val="18"/>
          <w:u w:val="single" w:color="auto"/>
          <w:color w:val="0000FF"/>
        </w:rPr>
      </w:pPr>
    </w:p>
    <w:p>
      <w:pPr>
        <w:ind w:left="1420"/>
        <w:spacing w:after="0"/>
        <w:rPr>
          <w:sz w:val="20"/>
          <w:szCs w:val="20"/>
          <w:color w:val="auto"/>
        </w:rPr>
      </w:pPr>
      <w:r>
        <w:rPr>
          <w:rFonts w:ascii="Arial" w:cs="Arial" w:eastAsia="Arial" w:hAnsi="Arial"/>
          <w:sz w:val="18"/>
          <w:szCs w:val="18"/>
          <w:color w:val="auto"/>
        </w:rPr>
        <w:t>Condensed Consolidated Balance Sheets at March 31, 2020 and</w:t>
      </w:r>
    </w:p>
    <w:p>
      <w:pPr>
        <w:spacing w:after="0" w:line="9" w:lineRule="exact"/>
        <w:rPr>
          <w:rFonts w:ascii="Arial" w:cs="Arial" w:eastAsia="Arial" w:hAnsi="Arial"/>
          <w:sz w:val="18"/>
          <w:szCs w:val="18"/>
          <w:u w:val="single" w:color="auto"/>
          <w:color w:val="0000FF"/>
        </w:rPr>
      </w:pPr>
    </w:p>
    <w:p>
      <w:pPr>
        <w:ind w:left="1420"/>
        <w:spacing w:after="0"/>
        <w:rPr>
          <w:sz w:val="20"/>
          <w:szCs w:val="20"/>
          <w:color w:val="auto"/>
        </w:rPr>
      </w:pPr>
      <w:r>
        <w:rPr>
          <w:rFonts w:ascii="Arial" w:cs="Arial" w:eastAsia="Arial" w:hAnsi="Arial"/>
          <w:sz w:val="18"/>
          <w:szCs w:val="18"/>
          <w:color w:val="auto"/>
        </w:rPr>
        <w:t>June 30, 2019; (ii) Unaudited Condensed Consolidated Statements of</w:t>
      </w:r>
    </w:p>
    <w:p>
      <w:pPr>
        <w:spacing w:after="0" w:line="9" w:lineRule="exact"/>
        <w:rPr>
          <w:rFonts w:ascii="Arial" w:cs="Arial" w:eastAsia="Arial" w:hAnsi="Arial"/>
          <w:sz w:val="18"/>
          <w:szCs w:val="18"/>
          <w:u w:val="single" w:color="auto"/>
          <w:color w:val="0000FF"/>
        </w:rPr>
      </w:pPr>
    </w:p>
    <w:p>
      <w:pPr>
        <w:ind w:left="1420"/>
        <w:spacing w:after="0"/>
        <w:rPr>
          <w:sz w:val="20"/>
          <w:szCs w:val="20"/>
          <w:color w:val="auto"/>
        </w:rPr>
      </w:pPr>
      <w:r>
        <w:rPr>
          <w:rFonts w:ascii="Arial" w:cs="Arial" w:eastAsia="Arial" w:hAnsi="Arial"/>
          <w:sz w:val="18"/>
          <w:szCs w:val="18"/>
          <w:color w:val="auto"/>
        </w:rPr>
        <w:t>Operations and Other Comprehensive Income for the three and nine</w:t>
      </w:r>
    </w:p>
    <w:p>
      <w:pPr>
        <w:spacing w:after="0" w:line="9" w:lineRule="exact"/>
        <w:rPr>
          <w:rFonts w:ascii="Arial" w:cs="Arial" w:eastAsia="Arial" w:hAnsi="Arial"/>
          <w:sz w:val="18"/>
          <w:szCs w:val="18"/>
          <w:u w:val="single" w:color="auto"/>
          <w:color w:val="0000FF"/>
        </w:rPr>
      </w:pPr>
    </w:p>
    <w:p>
      <w:pPr>
        <w:ind w:left="1420"/>
        <w:spacing w:after="0"/>
        <w:rPr>
          <w:sz w:val="20"/>
          <w:szCs w:val="20"/>
          <w:color w:val="auto"/>
        </w:rPr>
      </w:pPr>
      <w:r>
        <w:rPr>
          <w:rFonts w:ascii="Arial" w:cs="Arial" w:eastAsia="Arial" w:hAnsi="Arial"/>
          <w:sz w:val="18"/>
          <w:szCs w:val="18"/>
          <w:color w:val="auto"/>
        </w:rPr>
        <w:t>months ended March 31, 2020 and 2019; (iii) Unaudited Condensed</w:t>
      </w:r>
    </w:p>
    <w:p>
      <w:pPr>
        <w:spacing w:after="0" w:line="9" w:lineRule="exact"/>
        <w:rPr>
          <w:rFonts w:ascii="Arial" w:cs="Arial" w:eastAsia="Arial" w:hAnsi="Arial"/>
          <w:sz w:val="18"/>
          <w:szCs w:val="18"/>
          <w:u w:val="single" w:color="auto"/>
          <w:color w:val="0000FF"/>
        </w:rPr>
      </w:pPr>
    </w:p>
    <w:p>
      <w:pPr>
        <w:ind w:left="1420"/>
        <w:spacing w:after="0"/>
        <w:rPr>
          <w:sz w:val="20"/>
          <w:szCs w:val="20"/>
          <w:color w:val="auto"/>
        </w:rPr>
      </w:pPr>
      <w:r>
        <w:rPr>
          <w:rFonts w:ascii="Arial" w:cs="Arial" w:eastAsia="Arial" w:hAnsi="Arial"/>
          <w:sz w:val="18"/>
          <w:szCs w:val="18"/>
          <w:color w:val="auto"/>
        </w:rPr>
        <w:t>Consolidated Statement of Stockholders’ Equity for the three and</w:t>
      </w:r>
    </w:p>
    <w:p>
      <w:pPr>
        <w:spacing w:after="0" w:line="9" w:lineRule="exact"/>
        <w:rPr>
          <w:rFonts w:ascii="Arial" w:cs="Arial" w:eastAsia="Arial" w:hAnsi="Arial"/>
          <w:sz w:val="18"/>
          <w:szCs w:val="18"/>
          <w:u w:val="single" w:color="auto"/>
          <w:color w:val="0000FF"/>
        </w:rPr>
      </w:pPr>
    </w:p>
    <w:p>
      <w:pPr>
        <w:ind w:left="1420"/>
        <w:spacing w:after="0"/>
        <w:rPr>
          <w:sz w:val="20"/>
          <w:szCs w:val="20"/>
          <w:color w:val="auto"/>
        </w:rPr>
      </w:pPr>
      <w:r>
        <w:rPr>
          <w:rFonts w:ascii="Arial" w:cs="Arial" w:eastAsia="Arial" w:hAnsi="Arial"/>
          <w:sz w:val="18"/>
          <w:szCs w:val="18"/>
          <w:color w:val="auto"/>
        </w:rPr>
        <w:t>nine months ended March 31, 2020; (iv) Unaudited Condensed</w:t>
      </w:r>
    </w:p>
    <w:p>
      <w:pPr>
        <w:spacing w:after="0" w:line="9" w:lineRule="exact"/>
        <w:rPr>
          <w:rFonts w:ascii="Arial" w:cs="Arial" w:eastAsia="Arial" w:hAnsi="Arial"/>
          <w:sz w:val="18"/>
          <w:szCs w:val="18"/>
          <w:u w:val="single" w:color="auto"/>
          <w:color w:val="0000FF"/>
        </w:rPr>
      </w:pPr>
    </w:p>
    <w:p>
      <w:pPr>
        <w:ind w:left="1420"/>
        <w:spacing w:after="0"/>
        <w:rPr>
          <w:sz w:val="20"/>
          <w:szCs w:val="20"/>
          <w:color w:val="auto"/>
        </w:rPr>
      </w:pPr>
      <w:r>
        <w:rPr>
          <w:rFonts w:ascii="Arial" w:cs="Arial" w:eastAsia="Arial" w:hAnsi="Arial"/>
          <w:sz w:val="18"/>
          <w:szCs w:val="18"/>
          <w:color w:val="auto"/>
        </w:rPr>
        <w:t>Consolidated Statements of Cash Flows for the nine months ended</w:t>
      </w:r>
    </w:p>
    <w:p>
      <w:pPr>
        <w:spacing w:after="0" w:line="9" w:lineRule="exact"/>
        <w:rPr>
          <w:rFonts w:ascii="Arial" w:cs="Arial" w:eastAsia="Arial" w:hAnsi="Arial"/>
          <w:sz w:val="18"/>
          <w:szCs w:val="18"/>
          <w:u w:val="single" w:color="auto"/>
          <w:color w:val="0000FF"/>
        </w:rPr>
      </w:pPr>
    </w:p>
    <w:p>
      <w:pPr>
        <w:ind w:left="1420"/>
        <w:spacing w:after="0"/>
        <w:rPr>
          <w:sz w:val="20"/>
          <w:szCs w:val="20"/>
          <w:color w:val="auto"/>
        </w:rPr>
      </w:pPr>
      <w:r>
        <w:rPr>
          <w:rFonts w:ascii="Arial" w:cs="Arial" w:eastAsia="Arial" w:hAnsi="Arial"/>
          <w:sz w:val="18"/>
          <w:szCs w:val="18"/>
          <w:color w:val="auto"/>
        </w:rPr>
        <w:t>March 31, 2020 and 2019; and (v) Notes to Unaudited Condensed</w:t>
      </w:r>
    </w:p>
    <w:p>
      <w:pPr>
        <w:spacing w:after="0" w:line="9" w:lineRule="exact"/>
        <w:rPr>
          <w:rFonts w:ascii="Arial" w:cs="Arial" w:eastAsia="Arial" w:hAnsi="Arial"/>
          <w:sz w:val="18"/>
          <w:szCs w:val="18"/>
          <w:u w:val="single" w:color="auto"/>
          <w:color w:val="0000FF"/>
        </w:rPr>
      </w:pPr>
    </w:p>
    <w:p>
      <w:pPr>
        <w:ind w:left="1420"/>
        <w:spacing w:after="0"/>
        <w:rPr>
          <w:sz w:val="20"/>
          <w:szCs w:val="20"/>
          <w:color w:val="auto"/>
        </w:rPr>
      </w:pPr>
      <w:r>
        <w:rPr>
          <w:rFonts w:ascii="Arial" w:cs="Arial" w:eastAsia="Arial" w:hAnsi="Arial"/>
          <w:sz w:val="18"/>
          <w:szCs w:val="18"/>
          <w:color w:val="auto"/>
        </w:rPr>
        <w:t>Consolidated Financial Statements, tagged as blocks of text</w:t>
      </w:r>
    </w:p>
    <w:p>
      <w:pPr>
        <w:sectPr>
          <w:pgSz w:w="11900" w:h="16838" w:orient="portrait"/>
          <w:cols w:equalWidth="0" w:num="1">
            <w:col w:w="11200"/>
          </w:cols>
          <w:pgMar w:left="320" w:top="1093" w:right="379" w:bottom="1440" w:gutter="0" w:footer="0" w:header="0"/>
          <w:type w:val="continuous"/>
        </w:sect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83" w:lineRule="exact"/>
        <w:rPr>
          <w:rFonts w:ascii="Arial" w:cs="Arial" w:eastAsia="Arial" w:hAnsi="Arial"/>
          <w:sz w:val="18"/>
          <w:szCs w:val="18"/>
          <w:u w:val="single" w:color="auto"/>
          <w:color w:val="0000FF"/>
        </w:rPr>
      </w:pPr>
    </w:p>
    <w:p>
      <w:pPr>
        <w:jc w:val="center"/>
        <w:ind w:right="-59"/>
        <w:spacing w:after="0"/>
        <w:rPr>
          <w:sz w:val="20"/>
          <w:szCs w:val="20"/>
          <w:color w:val="auto"/>
        </w:rPr>
      </w:pPr>
      <w:r>
        <w:rPr>
          <w:rFonts w:ascii="Arial" w:cs="Arial" w:eastAsia="Arial" w:hAnsi="Arial"/>
          <w:sz w:val="16"/>
          <w:szCs w:val="16"/>
          <w:color w:val="auto"/>
        </w:rPr>
        <w:t>29</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type w:val="continuous"/>
        </w:sectPr>
      </w:pPr>
    </w:p>
    <w:bookmarkStart w:id="29" w:name="page30"/>
    <w:bookmarkEnd w:id="29"/>
    <w:p>
      <w:pPr>
        <w:ind w:left="660" w:hanging="657"/>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1350, and is not being filed for purposes of Section 18 of the Exchange Act and is not to be incorporated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20"/>
          </w:cols>
          <w:pgMar w:left="820" w:top="1340" w:right="659" w:bottom="1440" w:gutter="0" w:footer="0" w:header="0"/>
        </w:sectPr>
      </w:pPr>
    </w:p>
    <w:bookmarkStart w:id="30" w:name="page31"/>
    <w:bookmarkEnd w:id="30"/>
    <w:p>
      <w:pPr>
        <w:ind w:left="5040"/>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LIFEVANTAGE CORPORATION</w:t>
      </w:r>
    </w:p>
    <w:p>
      <w:pPr>
        <w:spacing w:after="0" w:line="333" w:lineRule="exact"/>
        <w:rPr>
          <w:sz w:val="20"/>
          <w:szCs w:val="20"/>
          <w:color w:val="auto"/>
        </w:rPr>
      </w:pPr>
    </w:p>
    <w:p>
      <w:pPr>
        <w:ind w:left="20"/>
        <w:spacing w:after="0"/>
        <w:tabs>
          <w:tab w:leader="none" w:pos="660" w:val="left"/>
          <w:tab w:leader="none" w:pos="5520" w:val="left"/>
        </w:tabs>
        <w:rPr>
          <w:sz w:val="20"/>
          <w:szCs w:val="20"/>
          <w:color w:val="auto"/>
        </w:rPr>
      </w:pPr>
      <w:r>
        <w:rPr>
          <w:rFonts w:ascii="Arial" w:cs="Arial" w:eastAsia="Arial" w:hAnsi="Arial"/>
          <w:sz w:val="18"/>
          <w:szCs w:val="18"/>
          <w:color w:val="auto"/>
        </w:rPr>
        <w:t>Date:</w:t>
        <w:tab/>
        <w:t>May 5, 2020</w:t>
      </w:r>
      <w:r>
        <w:rPr>
          <w:sz w:val="20"/>
          <w:szCs w:val="20"/>
          <w:color w:val="auto"/>
        </w:rPr>
        <w:tab/>
      </w:r>
      <w:r>
        <w:rPr>
          <w:rFonts w:ascii="Arial" w:cs="Arial" w:eastAsia="Arial" w:hAnsi="Arial"/>
          <w:sz w:val="15"/>
          <w:szCs w:val="15"/>
          <w:color w:val="auto"/>
        </w:rPr>
        <w:t>/s/ Darren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31750</wp:posOffset>
            </wp:positionV>
            <wp:extent cx="362585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Darren Jensen</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(Principal Executive Officer)</w:t>
      </w:r>
    </w:p>
    <w:p>
      <w:pPr>
        <w:spacing w:after="0" w:line="319" w:lineRule="exact"/>
        <w:rPr>
          <w:sz w:val="20"/>
          <w:szCs w:val="20"/>
          <w:color w:val="auto"/>
        </w:rPr>
      </w:pPr>
    </w:p>
    <w:p>
      <w:pPr>
        <w:ind w:left="20"/>
        <w:spacing w:after="0"/>
        <w:tabs>
          <w:tab w:leader="none" w:pos="660" w:val="left"/>
          <w:tab w:leader="none" w:pos="5520" w:val="left"/>
        </w:tabs>
        <w:rPr>
          <w:sz w:val="20"/>
          <w:szCs w:val="20"/>
          <w:color w:val="auto"/>
        </w:rPr>
      </w:pPr>
      <w:r>
        <w:rPr>
          <w:rFonts w:ascii="Arial" w:cs="Arial" w:eastAsia="Arial" w:hAnsi="Arial"/>
          <w:sz w:val="18"/>
          <w:szCs w:val="18"/>
          <w:color w:val="auto"/>
        </w:rPr>
        <w:t>Date:</w:t>
        <w:tab/>
        <w:t>May 5, 2020</w:t>
      </w:r>
      <w:r>
        <w:rPr>
          <w:sz w:val="20"/>
          <w:szCs w:val="20"/>
          <w:color w:val="auto"/>
        </w:rPr>
        <w:tab/>
      </w:r>
      <w:r>
        <w:rPr>
          <w:rFonts w:ascii="Arial" w:cs="Arial" w:eastAsia="Arial" w:hAnsi="Arial"/>
          <w:sz w:val="16"/>
          <w:szCs w:val="16"/>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31750</wp:posOffset>
            </wp:positionV>
            <wp:extent cx="362585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Steven R. Fife</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340"/>
          </w:cols>
          <w:pgMar w:left="320" w:top="1039" w:right="1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Darren Jensen, certify that:</w:t>
      </w:r>
    </w:p>
    <w:p>
      <w:pPr>
        <w:spacing w:after="0" w:line="158" w:lineRule="exact"/>
        <w:rPr>
          <w:sz w:val="20"/>
          <w:szCs w:val="20"/>
          <w:color w:val="auto"/>
        </w:rPr>
      </w:pPr>
    </w:p>
    <w:p>
      <w:pPr>
        <w:ind w:left="420" w:hanging="412"/>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LifeVantage Corporation;</w:t>
      </w:r>
    </w:p>
    <w:p>
      <w:pPr>
        <w:spacing w:after="0" w:line="157" w:lineRule="exact"/>
        <w:rPr>
          <w:rFonts w:ascii="Arial" w:cs="Arial" w:eastAsia="Arial" w:hAnsi="Arial"/>
          <w:sz w:val="18"/>
          <w:szCs w:val="18"/>
          <w:color w:val="auto"/>
        </w:rPr>
      </w:pPr>
    </w:p>
    <w:p>
      <w:pPr>
        <w:jc w:val="both"/>
        <w:ind w:left="420" w:right="360" w:hanging="412"/>
        <w:spacing w:after="0" w:line="263" w:lineRule="auto"/>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420" w:right="320" w:hanging="412"/>
        <w:spacing w:after="0" w:line="308" w:lineRule="auto"/>
        <w:tabs>
          <w:tab w:leader="none" w:pos="4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ind w:left="420" w:right="360" w:hanging="412"/>
        <w:spacing w:after="0" w:line="263" w:lineRule="auto"/>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820" w:right="220" w:hanging="407"/>
        <w:spacing w:after="0" w:line="263" w:lineRule="auto"/>
        <w:tabs>
          <w:tab w:leader="none" w:pos="81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2" w:lineRule="exact"/>
        <w:rPr>
          <w:rFonts w:ascii="Arial" w:cs="Arial" w:eastAsia="Arial" w:hAnsi="Arial"/>
          <w:sz w:val="18"/>
          <w:szCs w:val="18"/>
          <w:color w:val="auto"/>
        </w:rPr>
      </w:pPr>
    </w:p>
    <w:p>
      <w:pPr>
        <w:ind w:left="820" w:right="520" w:hanging="407"/>
        <w:spacing w:after="0" w:line="263" w:lineRule="auto"/>
        <w:tabs>
          <w:tab w:leader="none" w:pos="8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jc w:val="both"/>
        <w:ind w:left="820" w:right="700" w:hanging="407"/>
        <w:spacing w:after="0" w:line="342" w:lineRule="auto"/>
        <w:tabs>
          <w:tab w:leader="none" w:pos="81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820" w:right="200" w:hanging="407"/>
        <w:spacing w:after="0" w:line="263" w:lineRule="auto"/>
        <w:tabs>
          <w:tab w:leader="none" w:pos="8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2" w:lineRule="exact"/>
        <w:rPr>
          <w:rFonts w:ascii="Arial" w:cs="Arial" w:eastAsia="Arial" w:hAnsi="Arial"/>
          <w:sz w:val="18"/>
          <w:szCs w:val="18"/>
          <w:color w:val="auto"/>
        </w:rPr>
      </w:pPr>
    </w:p>
    <w:p>
      <w:pPr>
        <w:ind w:left="420" w:right="240" w:hanging="412"/>
        <w:spacing w:after="0" w:line="308" w:lineRule="auto"/>
        <w:tabs>
          <w:tab w:leader="none" w:pos="4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17"/>
          <w:szCs w:val="17"/>
          <w:color w:val="auto"/>
        </w:rPr>
      </w:pPr>
    </w:p>
    <w:p>
      <w:pPr>
        <w:ind w:left="820" w:right="120" w:hanging="407"/>
        <w:spacing w:after="0" w:line="277" w:lineRule="auto"/>
        <w:tabs>
          <w:tab w:leader="none" w:pos="81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Arial" w:cs="Arial" w:eastAsia="Arial" w:hAnsi="Arial"/>
          <w:sz w:val="18"/>
          <w:szCs w:val="18"/>
          <w:color w:val="auto"/>
        </w:rPr>
      </w:pPr>
    </w:p>
    <w:p>
      <w:pPr>
        <w:ind w:left="820" w:right="80" w:hanging="407"/>
        <w:spacing w:after="0" w:line="277" w:lineRule="auto"/>
        <w:tabs>
          <w:tab w:leader="none" w:pos="8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May 5, 2020</w:t>
      </w:r>
    </w:p>
    <w:p>
      <w:pPr>
        <w:spacing w:after="0" w:line="212"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 Darren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31750</wp:posOffset>
            </wp:positionV>
            <wp:extent cx="296608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5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Darren Jensen</w:t>
      </w:r>
    </w:p>
    <w:p>
      <w:pPr>
        <w:spacing w:after="0" w:line="6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Steven R. Fife, certify that:</w:t>
      </w:r>
    </w:p>
    <w:p>
      <w:pPr>
        <w:spacing w:after="0" w:line="158" w:lineRule="exact"/>
        <w:rPr>
          <w:sz w:val="20"/>
          <w:szCs w:val="20"/>
          <w:color w:val="auto"/>
        </w:rPr>
      </w:pPr>
    </w:p>
    <w:p>
      <w:pPr>
        <w:ind w:left="420" w:hanging="412"/>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LifeVantage Corporation;</w:t>
      </w:r>
    </w:p>
    <w:p>
      <w:pPr>
        <w:spacing w:after="0" w:line="157" w:lineRule="exact"/>
        <w:rPr>
          <w:rFonts w:ascii="Arial" w:cs="Arial" w:eastAsia="Arial" w:hAnsi="Arial"/>
          <w:sz w:val="18"/>
          <w:szCs w:val="18"/>
          <w:color w:val="auto"/>
        </w:rPr>
      </w:pPr>
    </w:p>
    <w:p>
      <w:pPr>
        <w:jc w:val="both"/>
        <w:ind w:left="420" w:right="360" w:hanging="412"/>
        <w:spacing w:after="0" w:line="263" w:lineRule="auto"/>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420" w:right="320" w:hanging="412"/>
        <w:spacing w:after="0" w:line="308" w:lineRule="auto"/>
        <w:tabs>
          <w:tab w:leader="none" w:pos="4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ind w:left="420" w:right="360" w:hanging="412"/>
        <w:spacing w:after="0" w:line="263" w:lineRule="auto"/>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820" w:right="220" w:hanging="407"/>
        <w:spacing w:after="0" w:line="263" w:lineRule="auto"/>
        <w:tabs>
          <w:tab w:leader="none" w:pos="81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2" w:lineRule="exact"/>
        <w:rPr>
          <w:rFonts w:ascii="Arial" w:cs="Arial" w:eastAsia="Arial" w:hAnsi="Arial"/>
          <w:sz w:val="18"/>
          <w:szCs w:val="18"/>
          <w:color w:val="auto"/>
        </w:rPr>
      </w:pPr>
    </w:p>
    <w:p>
      <w:pPr>
        <w:ind w:left="820" w:right="520" w:hanging="407"/>
        <w:spacing w:after="0" w:line="263" w:lineRule="auto"/>
        <w:tabs>
          <w:tab w:leader="none" w:pos="8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jc w:val="both"/>
        <w:ind w:left="820" w:right="700" w:hanging="407"/>
        <w:spacing w:after="0" w:line="342" w:lineRule="auto"/>
        <w:tabs>
          <w:tab w:leader="none" w:pos="81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820" w:right="200" w:hanging="407"/>
        <w:spacing w:after="0" w:line="263" w:lineRule="auto"/>
        <w:tabs>
          <w:tab w:leader="none" w:pos="8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2" w:lineRule="exact"/>
        <w:rPr>
          <w:rFonts w:ascii="Arial" w:cs="Arial" w:eastAsia="Arial" w:hAnsi="Arial"/>
          <w:sz w:val="18"/>
          <w:szCs w:val="18"/>
          <w:color w:val="auto"/>
        </w:rPr>
      </w:pPr>
    </w:p>
    <w:p>
      <w:pPr>
        <w:ind w:left="420" w:right="240" w:hanging="412"/>
        <w:spacing w:after="0" w:line="308" w:lineRule="auto"/>
        <w:tabs>
          <w:tab w:leader="none" w:pos="4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17"/>
          <w:szCs w:val="17"/>
          <w:color w:val="auto"/>
        </w:rPr>
      </w:pPr>
    </w:p>
    <w:p>
      <w:pPr>
        <w:ind w:left="820" w:right="120" w:hanging="407"/>
        <w:spacing w:after="0" w:line="277" w:lineRule="auto"/>
        <w:tabs>
          <w:tab w:leader="none" w:pos="81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Arial" w:cs="Arial" w:eastAsia="Arial" w:hAnsi="Arial"/>
          <w:sz w:val="18"/>
          <w:szCs w:val="18"/>
          <w:color w:val="auto"/>
        </w:rPr>
      </w:pPr>
    </w:p>
    <w:p>
      <w:pPr>
        <w:ind w:left="820" w:right="80" w:hanging="407"/>
        <w:spacing w:after="0" w:line="277" w:lineRule="auto"/>
        <w:tabs>
          <w:tab w:leader="none" w:pos="8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May 5, 2020</w:t>
      </w:r>
    </w:p>
    <w:p>
      <w:pPr>
        <w:spacing w:after="0" w:line="212"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31750</wp:posOffset>
            </wp:positionV>
            <wp:extent cx="296608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5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Steven R. Fife</w:t>
      </w:r>
    </w:p>
    <w:p>
      <w:pPr>
        <w:spacing w:after="0" w:line="6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91"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162"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CERTIFICATION PURSUANT TO 18 U.S.C. SECTION 1350, AS ADOPTED</w:t>
      </w:r>
    </w:p>
    <w:p>
      <w:pPr>
        <w:spacing w:after="0" w:line="2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PURSUANT TO SECTION 906 OF THE SARBANES-OXLEY ACT OF 2002</w:t>
      </w:r>
    </w:p>
    <w:p>
      <w:pPr>
        <w:spacing w:after="0" w:line="130" w:lineRule="exact"/>
        <w:rPr>
          <w:sz w:val="20"/>
          <w:szCs w:val="20"/>
          <w:color w:val="auto"/>
        </w:rPr>
      </w:pPr>
    </w:p>
    <w:p>
      <w:pPr>
        <w:ind w:right="380" w:firstLine="445"/>
        <w:spacing w:after="0" w:line="286" w:lineRule="auto"/>
        <w:rPr>
          <w:sz w:val="20"/>
          <w:szCs w:val="20"/>
          <w:color w:val="auto"/>
        </w:rPr>
      </w:pPr>
      <w:r>
        <w:rPr>
          <w:rFonts w:ascii="Arial" w:cs="Arial" w:eastAsia="Arial" w:hAnsi="Arial"/>
          <w:sz w:val="17"/>
          <w:szCs w:val="17"/>
          <w:color w:val="auto"/>
        </w:rPr>
        <w:t>In connection with the filing of this quarterly report on Form 10-Q of LifeVantage Corporation (the “Company”) for the period ended March 31, 2020, with the Securities and Exchange Commission on the date hereof (the “report”), I, Darren Jensen, Principal Executive Officer of the Company, certify, pursuant to 18 U.S.C. Section 1350, as adopted pursuant to Section 906 of the Sarbanes-Oxley Act of 2002, that:</w:t>
      </w:r>
    </w:p>
    <w:p>
      <w:pPr>
        <w:spacing w:after="0" w:line="98" w:lineRule="exact"/>
        <w:rPr>
          <w:sz w:val="20"/>
          <w:szCs w:val="20"/>
          <w:color w:val="auto"/>
        </w:rPr>
      </w:pPr>
    </w:p>
    <w:p>
      <w:pPr>
        <w:ind w:left="800" w:hanging="387"/>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800" w:hanging="387"/>
        <w:spacing w:after="0"/>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p>
      <w:pPr>
        <w:ind w:right="720" w:firstLine="445"/>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May 5, 2020</w:t>
      </w:r>
    </w:p>
    <w:p>
      <w:pPr>
        <w:spacing w:after="0" w:line="212"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 Darren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31750</wp:posOffset>
            </wp:positionV>
            <wp:extent cx="296608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5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Darren Jensen</w:t>
      </w:r>
    </w:p>
    <w:p>
      <w:pPr>
        <w:spacing w:after="0" w:line="6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(Principal Executive Officer)</w:t>
      </w:r>
    </w:p>
    <w:p>
      <w:pPr>
        <w:spacing w:after="0" w:line="14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91"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32.2</w:t>
      </w:r>
    </w:p>
    <w:p>
      <w:pPr>
        <w:spacing w:after="0" w:line="162"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CERTIFICATION PURSUANT TO 18 U.S.C. SECTION 1350, AS ADOPTED</w:t>
      </w:r>
    </w:p>
    <w:p>
      <w:pPr>
        <w:spacing w:after="0" w:line="2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PURSUANT TO SECTION 906 OF THE SARBANES-OXLEY ACT OF 2002</w:t>
      </w:r>
    </w:p>
    <w:p>
      <w:pPr>
        <w:spacing w:after="0" w:line="130" w:lineRule="exact"/>
        <w:rPr>
          <w:sz w:val="20"/>
          <w:szCs w:val="20"/>
          <w:color w:val="auto"/>
        </w:rPr>
      </w:pPr>
    </w:p>
    <w:p>
      <w:pPr>
        <w:ind w:right="380" w:firstLine="445"/>
        <w:spacing w:after="0" w:line="286" w:lineRule="auto"/>
        <w:rPr>
          <w:sz w:val="20"/>
          <w:szCs w:val="20"/>
          <w:color w:val="auto"/>
        </w:rPr>
      </w:pPr>
      <w:r>
        <w:rPr>
          <w:rFonts w:ascii="Arial" w:cs="Arial" w:eastAsia="Arial" w:hAnsi="Arial"/>
          <w:sz w:val="17"/>
          <w:szCs w:val="17"/>
          <w:color w:val="auto"/>
        </w:rPr>
        <w:t>In connection with the filing of this quarterly report on Form 10-Q of LifeVantage Corporation (the “Company”) for the period ended March 31, 2020, with the Securities and Exchange Commission on the date hereof (the “report”), I, Steven R. Fife, Principal Financial Officer of the Company, certify, pursuant to 18 U.S.C. Section 1350, as adopted pursuant to Section 906 of the Sarbanes-Oxley Act of 2002, that:</w:t>
      </w:r>
    </w:p>
    <w:p>
      <w:pPr>
        <w:spacing w:after="0" w:line="98" w:lineRule="exact"/>
        <w:rPr>
          <w:sz w:val="20"/>
          <w:szCs w:val="20"/>
          <w:color w:val="auto"/>
        </w:rPr>
      </w:pPr>
    </w:p>
    <w:p>
      <w:pPr>
        <w:ind w:left="800" w:hanging="387"/>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800" w:hanging="387"/>
        <w:spacing w:after="0"/>
        <w:tabs>
          <w:tab w:leader="none" w:pos="8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p>
      <w:pPr>
        <w:ind w:right="720" w:firstLine="445"/>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May 5, 2020</w:t>
      </w:r>
    </w:p>
    <w:p>
      <w:pPr>
        <w:spacing w:after="0" w:line="212"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31750</wp:posOffset>
            </wp:positionV>
            <wp:extent cx="296608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5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Steven R. Fife</w:t>
      </w:r>
    </w:p>
    <w:p>
      <w:pPr>
        <w:spacing w:after="0" w:line="6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(Principal Financial Officer)</w:t>
      </w:r>
    </w:p>
    <w:p>
      <w:pPr>
        <w:spacing w:after="0" w:line="14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lowerRoman"/>
      <w:start w:val="2"/>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48" Type="http://schemas.openxmlformats.org/officeDocument/2006/relationships/hyperlink" Target="http://www.sec.gov/Archives/edgar/data/849146/000084914618000046/ex31-certificateofincorpor.htm" TargetMode="External"/><Relationship Id="rId49" Type="http://schemas.openxmlformats.org/officeDocument/2006/relationships/hyperlink" Target="http://www.sec.gov/Archives/edgar/data/849146/000084914619000066/lifevantage-amendedandres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2020-05-05T15:10:16Z</dcterms:created>
  <dcterms:modified xsi:type="dcterms:W3CDTF">2020-05-05T15:10:16Z</dcterms:modified>
</cp:coreProperties>
</file>