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25"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8"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24" w:lineRule="exact"/>
        <w:rPr>
          <w:sz w:val="24"/>
          <w:szCs w:val="24"/>
          <w:color w:val="auto"/>
        </w:rPr>
      </w:pPr>
    </w:p>
    <w:p>
      <w:pPr>
        <w:ind w:left="29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3952875</wp:posOffset>
            </wp:positionH>
            <wp:positionV relativeFrom="paragraph">
              <wp:posOffset>-8890</wp:posOffset>
            </wp:positionV>
            <wp:extent cx="1334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001-35647</w:t>
      </w:r>
    </w:p>
    <w:p>
      <w:pPr>
        <w:spacing w:after="0" w:line="2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LIFEVANTAGE CORPORATION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280" w:type="dxa"/>
            <w:vAlign w:val="bottom"/>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90-0224471</w:t>
            </w:r>
          </w:p>
        </w:tc>
      </w:tr>
      <w:tr>
        <w:trPr>
          <w:trHeight w:val="184"/>
        </w:trPr>
        <w:tc>
          <w:tcPr>
            <w:tcW w:w="7520" w:type="dxa"/>
            <w:vAlign w:val="bottom"/>
            <w:gridSpan w:val="5"/>
          </w:tcPr>
          <w:p>
            <w:pPr>
              <w:ind w:left="10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51"/>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3300 Triumph Blvd, Suite 700, Lehi, UT 84043</w:t>
            </w:r>
          </w:p>
        </w:tc>
        <w:tc>
          <w:tcPr>
            <w:tcW w:w="3680" w:type="dxa"/>
            <w:vAlign w:val="bottom"/>
          </w:tcPr>
          <w:p>
            <w:pPr>
              <w:spacing w:after="0"/>
              <w:rPr>
                <w:sz w:val="24"/>
                <w:szCs w:val="24"/>
                <w:color w:val="auto"/>
              </w:rPr>
            </w:pPr>
          </w:p>
        </w:tc>
      </w:tr>
      <w:tr>
        <w:trPr>
          <w:trHeight w:val="184"/>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680" w:type="dxa"/>
            <w:vAlign w:val="bottom"/>
          </w:tcPr>
          <w:p>
            <w:pPr>
              <w:spacing w:after="0"/>
              <w:rPr>
                <w:sz w:val="15"/>
                <w:szCs w:val="15"/>
                <w:color w:val="auto"/>
              </w:rPr>
            </w:pPr>
          </w:p>
        </w:tc>
      </w:tr>
      <w:tr>
        <w:trPr>
          <w:trHeight w:val="358"/>
        </w:trPr>
        <w:tc>
          <w:tcPr>
            <w:tcW w:w="3280" w:type="dxa"/>
            <w:vAlign w:val="bottom"/>
          </w:tcPr>
          <w:p>
            <w:pPr>
              <w:spacing w:after="0"/>
              <w:rPr>
                <w:sz w:val="24"/>
                <w:szCs w:val="24"/>
                <w:color w:val="auto"/>
              </w:rPr>
            </w:pPr>
          </w:p>
        </w:tc>
        <w:tc>
          <w:tcPr>
            <w:tcW w:w="4140" w:type="dxa"/>
            <w:vAlign w:val="bottom"/>
            <w:gridSpan w:val="3"/>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4"/>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680" w:type="dxa"/>
            <w:vAlign w:val="bottom"/>
          </w:tcPr>
          <w:p>
            <w:pPr>
              <w:spacing w:after="0"/>
              <w:rPr>
                <w:sz w:val="15"/>
                <w:szCs w:val="15"/>
                <w:color w:val="auto"/>
              </w:rPr>
            </w:pPr>
          </w:p>
        </w:tc>
      </w:tr>
      <w:tr>
        <w:trPr>
          <w:trHeight w:val="459"/>
        </w:trPr>
        <w:tc>
          <w:tcPr>
            <w:tcW w:w="3280" w:type="dxa"/>
            <w:vAlign w:val="bottom"/>
          </w:tcPr>
          <w:p>
            <w:pPr>
              <w:spacing w:after="0"/>
              <w:rPr>
                <w:sz w:val="24"/>
                <w:szCs w:val="24"/>
                <w:color w:val="auto"/>
              </w:rPr>
            </w:pPr>
          </w:p>
        </w:tc>
        <w:tc>
          <w:tcPr>
            <w:tcW w:w="7920" w:type="dxa"/>
            <w:vAlign w:val="bottom"/>
            <w:gridSpan w:val="5"/>
          </w:tcPr>
          <w:p>
            <w:pPr>
              <w:jc w:val="center"/>
              <w:ind w:right="3201"/>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252"/>
        </w:trPr>
        <w:tc>
          <w:tcPr>
            <w:tcW w:w="3280" w:type="dxa"/>
            <w:vAlign w:val="bottom"/>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LFVN</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77"/>
        </w:trPr>
        <w:tc>
          <w:tcPr>
            <w:tcW w:w="328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bl>
    <w:p>
      <w:pPr>
        <w:spacing w:after="0" w:line="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45"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1"/>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8"/>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6"/>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92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30"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0" w:lineRule="exact"/>
        <w:rPr>
          <w:sz w:val="24"/>
          <w:szCs w:val="24"/>
          <w:color w:val="auto"/>
        </w:rPr>
      </w:pPr>
    </w:p>
    <w:p>
      <w:pPr>
        <w:ind w:right="2240"/>
        <w:spacing w:after="0" w:line="3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issuer’s common stock, par value $0.0001 per share, as of October 28, 2024 was 12,525,229.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9" w:lineRule="exact"/>
        <w:rPr>
          <w:sz w:val="20"/>
          <w:szCs w:val="20"/>
          <w:color w:val="auto"/>
        </w:rPr>
      </w:pPr>
    </w:p>
    <w:p>
      <w:pPr>
        <w:ind w:right="60" w:firstLine="397"/>
        <w:spacing w:after="0" w:line="264" w:lineRule="auto"/>
        <w:rPr>
          <w:sz w:val="20"/>
          <w:szCs w:val="20"/>
          <w:color w:val="auto"/>
        </w:rPr>
      </w:pPr>
      <w:r>
        <w:rPr>
          <w:rFonts w:ascii="Times New Roman" w:cs="Times New Roman" w:eastAsia="Times New Roman" w:hAnsi="Times New Roman"/>
          <w:sz w:val="17"/>
          <w:szCs w:val="17"/>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14"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37" w:lineRule="exact"/>
        <w:rPr>
          <w:sz w:val="20"/>
          <w:szCs w:val="20"/>
          <w:color w:val="auto"/>
        </w:rPr>
      </w:pPr>
    </w:p>
    <w:p>
      <w:pPr>
        <w:ind w:left="640" w:right="120" w:hanging="238"/>
        <w:spacing w:after="0" w:line="270"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manage, motivate and retain our independent consultants (which we previously referred to as “distributors ” in our prior filings) or to attract new customers and independent consultants on an ongoing basis;</w:t>
      </w:r>
    </w:p>
    <w:p>
      <w:pPr>
        <w:spacing w:after="0" w:line="10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consultants with applicable legal requirements or our policies and procedures;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independent consultant compensation plans;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pricing of high quality materials for our products;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being subject to a product recall;</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and personal care markets;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stockholders;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being held responsible for certain taxes or assessments and other obligations relating to the activity of our independent consultants;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Global Not For Resale program;</w:t>
      </w:r>
    </w:p>
    <w:p>
      <w:pPr>
        <w:spacing w:after="0" w:line="149" w:lineRule="exact"/>
        <w:rPr>
          <w:rFonts w:ascii="Times New Roman" w:cs="Times New Roman" w:eastAsia="Times New Roman" w:hAnsi="Times New Roman"/>
          <w:sz w:val="18"/>
          <w:szCs w:val="18"/>
          <w:color w:val="auto"/>
        </w:rPr>
      </w:pPr>
    </w:p>
    <w:p>
      <w:pPr>
        <w:ind w:left="640" w:right="340" w:hanging="317"/>
        <w:spacing w:after="0" w:line="270"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evolving laws, regulations, standards, policies, and contractual obligations related to data privacy and security, including cybersecurity;</w:t>
      </w:r>
    </w:p>
    <w:p>
      <w:pPr>
        <w:spacing w:after="0" w:line="10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and technological innovations to gain customer or independent consultant or market acceptance;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 w:name="page3"/>
    <w:bookmarkEnd w:id="2"/>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("IT") systems, including as a result of cybersecurity incidents;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comply with financial covenants imposed by our credit facility and the impact of debt service obligations and restrictive debt covenants;</w:t>
      </w:r>
    </w:p>
    <w:p>
      <w:pPr>
        <w:spacing w:after="0" w:line="148" w:lineRule="exact"/>
        <w:rPr>
          <w:rFonts w:ascii="Times New Roman" w:cs="Times New Roman" w:eastAsia="Times New Roman" w:hAnsi="Times New Roman"/>
          <w:sz w:val="17"/>
          <w:szCs w:val="17"/>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 fluctuations;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or complete desired acquisitions;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our direct selling program being found non-compliant with current or newly adopted laws or regulations in various markets;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prohibiting or severely restricting direct selling;</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regulatory and business risks, including failure to comply with anti-corruption laws;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our intellectual property rights;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intellectual property infringement claims;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substantial sales of shares negatively impacting the market price of our common stock;</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share repurchase program enhancing long-term stockholder value;</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additional shares issued diluting voting power of current outstanding common stock or causing decline in stock price;</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being a smaller reporting company;</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for disputes, mergers, tender offers, or proxy contests under Delaware law;</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time consuming legal proceedings;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internal controls over financial reporting;</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tax positions or transfer pricing policies or change in laws;</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 including consumer discretionary spending habits;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class action litigation; and</w:t>
      </w:r>
    </w:p>
    <w:p>
      <w:pPr>
        <w:spacing w:after="0" w:line="13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industry analysts ceasing coverage or publishing inaccurate or unfavorable research.</w:t>
      </w:r>
    </w:p>
    <w:p>
      <w:pPr>
        <w:spacing w:after="0" w:line="150" w:lineRule="exact"/>
        <w:rPr>
          <w:sz w:val="20"/>
          <w:szCs w:val="20"/>
          <w:color w:val="auto"/>
        </w:rPr>
      </w:pPr>
    </w:p>
    <w:p>
      <w:pPr>
        <w:ind w:firstLine="397"/>
        <w:spacing w:after="0" w:line="258"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440" w:type="dxa"/>
            <w:vAlign w:val="bottom"/>
            <w:gridSpan w:val="7"/>
            <w:vMerge w:val="restart"/>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7760" w:type="dxa"/>
            <w:vAlign w:val="bottom"/>
            <w:gridSpan w:val="13"/>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40" w:type="dxa"/>
            <w:vAlign w:val="bottom"/>
            <w:gridSpan w:val="7"/>
            <w:vMerge w:val="continue"/>
          </w:tcPr>
          <w:p>
            <w:pPr>
              <w:spacing w:after="0"/>
              <w:rPr>
                <w:sz w:val="14"/>
                <w:szCs w:val="14"/>
                <w:color w:val="auto"/>
              </w:rPr>
            </w:pPr>
          </w:p>
        </w:tc>
        <w:tc>
          <w:tcPr>
            <w:tcW w:w="7760" w:type="dxa"/>
            <w:vAlign w:val="bottom"/>
            <w:gridSpan w:val="13"/>
            <w:vMerge w:val="continue"/>
          </w:tcPr>
          <w:p>
            <w:pPr>
              <w:spacing w:after="0"/>
              <w:rPr>
                <w:sz w:val="14"/>
                <w:szCs w:val="14"/>
                <w:color w:val="auto"/>
              </w:rPr>
            </w:pPr>
          </w:p>
        </w:tc>
        <w:tc>
          <w:tcPr>
            <w:tcW w:w="1000" w:type="dxa"/>
            <w:vAlign w:val="bottom"/>
            <w:gridSpan w:val="4"/>
          </w:tcPr>
          <w:p>
            <w:pPr>
              <w:jc w:val="right"/>
              <w:ind w:right="20"/>
              <w:spacing w:after="0" w:line="152"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6"/>
        </w:trPr>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520" w:type="dxa"/>
            <w:vAlign w:val="bottom"/>
            <w:gridSpan w:val="11"/>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960" w:type="dxa"/>
            <w:vAlign w:val="bottom"/>
            <w:gridSpan w:val="3"/>
          </w:tcPr>
          <w:p>
            <w:pPr>
              <w:spacing w:after="0"/>
              <w:rPr>
                <w:sz w:val="17"/>
                <w:szCs w:val="17"/>
                <w:color w:val="auto"/>
              </w:rPr>
            </w:pPr>
          </w:p>
        </w:tc>
        <w:tc>
          <w:tcPr>
            <w:tcW w:w="10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0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7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102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774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Risk Factors</w:t>
            </w:r>
          </w:p>
        </w:tc>
        <w:tc>
          <w:tcPr>
            <w:tcW w:w="816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4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78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6780" w:type="dxa"/>
            <w:vAlign w:val="bottom"/>
            <w:tcBorders>
              <w:bottom w:val="single" w:sz="8" w:color="0000FF"/>
            </w:tcBorders>
            <w:gridSpan w:val="9"/>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776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4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4"/>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16,886</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receivable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15,055</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0" w:type="dxa"/>
            <w:vAlign w:val="bottom"/>
          </w:tcPr>
          <w:p>
            <w:pPr>
              <w:spacing w:after="0"/>
              <w:rPr>
                <w:sz w:val="1"/>
                <w:szCs w:val="1"/>
                <w:color w:val="auto"/>
              </w:rPr>
            </w:pPr>
          </w:p>
        </w:tc>
      </w:tr>
      <w:tr>
        <w:trPr>
          <w:trHeight w:val="214"/>
        </w:trPr>
        <w:tc>
          <w:tcPr>
            <w:tcW w:w="7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37,646</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Right-of-use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9,569</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income tax asset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w:t>
            </w: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long-term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60,299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5,853</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Commissions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21"/>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Lease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w:t>
            </w:r>
          </w:p>
        </w:tc>
        <w:tc>
          <w:tcPr>
            <w:tcW w:w="0" w:type="dxa"/>
            <w:vAlign w:val="bottom"/>
          </w:tcPr>
          <w:p>
            <w:pPr>
              <w:spacing w:after="0"/>
              <w:rPr>
                <w:sz w:val="1"/>
                <w:szCs w:val="1"/>
                <w:color w:val="auto"/>
              </w:rPr>
            </w:pPr>
          </w:p>
        </w:tc>
      </w:tr>
      <w:tr>
        <w:trPr>
          <w:trHeight w:val="214"/>
        </w:trPr>
        <w:tc>
          <w:tcPr>
            <w:tcW w:w="7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22,309</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873" w:right="35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Long-term lease liabilities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Total liabilities</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Commitments and contingencies -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Stockholders’ equity</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Preferred stock — par value $0.0001 per share, 5,000 shares authorized,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color w:val="auto"/>
        </w:rPr>
        <w:t>Common stock — par value $0.0001 per share, 40,000 shares authorized and 12,484 and 12,510 issued and</w:t>
      </w:r>
    </w:p>
    <w:p>
      <w:pPr>
        <w:ind w:left="360"/>
        <w:spacing w:after="0"/>
        <w:rPr>
          <w:sz w:val="20"/>
          <w:szCs w:val="20"/>
          <w:color w:val="auto"/>
        </w:rPr>
      </w:pPr>
      <w:r>
        <w:rPr>
          <w:rFonts w:ascii="Times New Roman" w:cs="Times New Roman" w:eastAsia="Times New Roman" w:hAnsi="Times New Roman"/>
          <w:sz w:val="17"/>
          <w:szCs w:val="17"/>
          <w:color w:val="auto"/>
        </w:rPr>
        <w:t>outstanding as of September 30, 2024 and June 30, 2024, respectively</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Accumulated deficit</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1835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118350" cy="167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0" cy="167640"/>
                    </a:xfrm>
                    <a:prstGeom prst="rect">
                      <a:avLst/>
                    </a:prstGeom>
                    <a:noFill/>
                  </pic:spPr>
                </pic:pic>
              </a:graphicData>
            </a:graphic>
          </wp:anchor>
        </w:drawing>
      </w:r>
    </w:p>
    <w:p>
      <w:pPr>
        <w:spacing w:after="0" w:line="36" w:lineRule="exact"/>
        <w:rPr>
          <w:sz w:val="20"/>
          <w:szCs w:val="20"/>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17"/>
          <w:szCs w:val="17"/>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11,466</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11,801</w:t>
            </w:r>
          </w:p>
        </w:tc>
      </w:tr>
      <w:tr>
        <w:trPr>
          <w:trHeight w:val="226"/>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225</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21"/>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33,763</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34,308</w:t>
            </w:r>
          </w:p>
        </w:tc>
      </w:tr>
      <w:tr>
        <w:trPr>
          <w:trHeight w:val="642"/>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4"/>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04"/>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137,347</w:t>
            </w: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136,644</w:t>
            </w:r>
          </w:p>
        </w:tc>
      </w:tr>
      <w:tr>
        <w:trPr>
          <w:trHeight w:val="225"/>
        </w:trPr>
        <w:tc>
          <w:tcPr>
            <w:tcW w:w="8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6"/>
              </w:rPr>
              <w:t>(108,526)</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(108,738)</w:t>
            </w:r>
          </w:p>
        </w:tc>
      </w:tr>
      <w:tr>
        <w:trPr>
          <w:trHeight w:val="234"/>
        </w:trPr>
        <w:tc>
          <w:tcPr>
            <w:tcW w:w="8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(1,125)</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(1,916)</w:t>
            </w:r>
          </w:p>
        </w:tc>
      </w:tr>
      <w:tr>
        <w:trPr>
          <w:trHeight w:val="218"/>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27,697</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25,991</w:t>
            </w:r>
          </w:p>
        </w:tc>
      </w:tr>
      <w:tr>
        <w:trPr>
          <w:trHeight w:val="221"/>
        </w:trPr>
        <w:tc>
          <w:tcPr>
            <w:tcW w:w="8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61,460</w:t>
            </w:r>
          </w:p>
        </w:tc>
        <w:tc>
          <w:tcPr>
            <w:tcW w:w="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60,299</w:t>
            </w:r>
          </w:p>
        </w:tc>
      </w:tr>
      <w:tr>
        <w:trPr>
          <w:trHeight w:val="23"/>
        </w:trPr>
        <w:tc>
          <w:tcPr>
            <w:tcW w:w="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-7620</wp:posOffset>
            </wp:positionV>
            <wp:extent cx="1116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-335280</wp:posOffset>
            </wp:positionV>
            <wp:extent cx="1116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-1585595</wp:posOffset>
            </wp:positionV>
            <wp:extent cx="1116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40"/>
          </w:cols>
          <w:pgMar w:left="320" w:top="873" w:right="359" w:bottom="1440" w:gutter="0" w:footer="0" w:header="0"/>
          <w:type w:val="continuous"/>
        </w:sectPr>
      </w:pP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type w:val="continuous"/>
        </w:sectPr>
      </w:pPr>
    </w:p>
    <w:bookmarkStart w:id="5" w:name="page6"/>
    <w:bookmarkEnd w:id="5"/>
    <w:p>
      <w:pPr>
        <w:jc w:val="center"/>
        <w:spacing w:after="0" w:line="264"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STATEMENTS OF OPERATIONS AND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0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51,364</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35,153</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0" w:type="dxa"/>
            <w:vAlign w:val="bottom"/>
          </w:tcPr>
          <w:p>
            <w:pPr>
              <w:spacing w:after="0"/>
              <w:rPr>
                <w:sz w:val="1"/>
                <w:szCs w:val="1"/>
                <w:color w:val="auto"/>
              </w:rPr>
            </w:pP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71" w:right="359" w:bottom="1440" w:gutter="0" w:footer="0" w:header="0"/>
        </w:sectPr>
      </w:pPr>
    </w:p>
    <w:bookmarkStart w:id="6" w:name="page7"/>
    <w:bookmarkEnd w:id="6"/>
    <w:p>
      <w:pPr>
        <w:jc w:val="center"/>
        <w:ind w:right="20"/>
        <w:spacing w:after="0" w:line="264"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2160" w:type="dxa"/>
            <w:vAlign w:val="bottom"/>
            <w:gridSpan w:val="3"/>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9"/>
                <w:szCs w:val="9"/>
                <w:color w:val="auto"/>
              </w:rPr>
            </w:pPr>
          </w:p>
        </w:tc>
        <w:tc>
          <w:tcPr>
            <w:tcW w:w="114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25,991</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employee stock</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27,697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75" w:right="359" w:bottom="1440" w:gutter="0" w:footer="0" w:header="0"/>
        </w:sectPr>
      </w:pPr>
    </w:p>
    <w:bookmarkStart w:id="7" w:name="page8"/>
    <w:bookmarkEnd w:id="7"/>
    <w:p>
      <w:pPr>
        <w:jc w:val="center"/>
        <w:ind w:right="20"/>
        <w:spacing w:after="0" w:line="264"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(CONTINUED)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160" w:type="dxa"/>
            <w:vAlign w:val="bottom"/>
            <w:gridSpan w:val="3"/>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9"/>
                <w:szCs w:val="9"/>
                <w:color w:val="auto"/>
              </w:rPr>
            </w:pPr>
          </w:p>
        </w:tc>
        <w:tc>
          <w:tcPr>
            <w:tcW w:w="11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9"/>
                <w:szCs w:val="9"/>
                <w:color w:val="auto"/>
              </w:rPr>
            </w:pPr>
          </w:p>
        </w:tc>
        <w:tc>
          <w:tcPr>
            <w:tcW w:w="1260" w:type="dxa"/>
            <w:vAlign w:val="bottom"/>
            <w:gridSpan w:val="2"/>
            <w:vMerge w:val="restart"/>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34,649</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 issued under employee stock</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33"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ind w:right="91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19"/>
                <w:szCs w:val="19"/>
                <w:color w:val="auto"/>
              </w:rPr>
            </w:pP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receivable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 net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long-term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payable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accrued expenses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5"/>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8"/>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1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canceled or surrendered as payment of tax withholding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purchase plan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(6,668)</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(3,200)</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20" w:type="dxa"/>
            <w:vAlign w:val="bottom"/>
            <w:tcBorders>
              <w:bottom w:val="single" w:sz="8" w:color="auto"/>
            </w:tcBorders>
            <w:shd w:val="clear" w:color="auto" w:fill="CCEEFF"/>
          </w:tcPr>
          <w:p>
            <w:pPr>
              <w:jc w:val="right"/>
              <w:ind w:right="918"/>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14,596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5"/>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18,405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20" w:type="dxa"/>
            <w:vAlign w:val="bottom"/>
          </w:tcPr>
          <w:p>
            <w:pPr>
              <w:jc w:val="right"/>
              <w:ind w:right="91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19"/>
                <w:szCs w:val="19"/>
                <w:color w:val="auto"/>
              </w:rPr>
            </w:pP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2" w:lineRule="exact"/>
        <w:rPr>
          <w:sz w:val="20"/>
          <w:szCs w:val="20"/>
          <w:color w:val="auto"/>
        </w:rPr>
      </w:pPr>
    </w:p>
    <w:p>
      <w:pPr>
        <w:jc w:val="both"/>
        <w:ind w:right="100" w:firstLine="397"/>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should be read in conjunction with the audited financial statements and notes of LifeVantage Corporation (“LifeVantage" or the “Company”) as of and for the year ended June 30, 2024 included in the annual report on Form 10-K filed with the Securities and Exchange Commission (“SEC”) on August 28,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52"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LifeVantage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w:t>
      </w:r>
    </w:p>
    <w:p>
      <w:pPr>
        <w:spacing w:after="0" w:line="121" w:lineRule="exact"/>
        <w:rPr>
          <w:sz w:val="20"/>
          <w:szCs w:val="20"/>
          <w:color w:val="auto"/>
        </w:rPr>
      </w:pPr>
    </w:p>
    <w:p>
      <w:pPr>
        <w:ind w:right="200" w:firstLine="317"/>
        <w:spacing w:after="0" w:line="247" w:lineRule="auto"/>
        <w:rPr>
          <w:sz w:val="20"/>
          <w:szCs w:val="20"/>
          <w:color w:val="auto"/>
        </w:rPr>
      </w:pPr>
      <w:r>
        <w:rPr>
          <w:rFonts w:ascii="Times New Roman" w:cs="Times New Roman" w:eastAsia="Times New Roman" w:hAnsi="Times New Roman"/>
          <w:sz w:val="17"/>
          <w:szCs w:val="17"/>
          <w:color w:val="auto"/>
        </w:rPr>
        <w:t>The Company engages in the identification, research, development, formulation and sale of advanced nutrigenomic activators, dietary supplements, nootropics, pre- and pro-biotics, weight management, and skin and hair care products. The Company's line of scientifically validated dietary supplements includes its flagship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family of products, LifeVantage® Omega+, ProBio, IC Bright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Rise AM, Reset PM, D3+, Daily Wellness, and PhysIQ Fat Burn and Prebiotic dietary supplements.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the Company's line of skin and hair care products and Liquid Collagen. The Company also markets and sells Petandim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its companion pet supplement formulated to combat oxidative stress in dogs; and AXIO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its nootropic energy drink mixes.</w:t>
      </w:r>
    </w:p>
    <w:p>
      <w:pPr>
        <w:spacing w:after="0" w:line="42"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2024, and the results of operations for the three months ended September 30, 2024 and 2023, and the cash flows for the three months ended September 30, 2024 and 2023. Interim results are not necessarily indicative of results for a full year or for any future period.</w:t>
      </w:r>
    </w:p>
    <w:p>
      <w:pPr>
        <w:spacing w:after="0" w:line="121" w:lineRule="exact"/>
        <w:rPr>
          <w:sz w:val="20"/>
          <w:szCs w:val="20"/>
          <w:color w:val="auto"/>
        </w:rPr>
      </w:pPr>
    </w:p>
    <w:p>
      <w:pPr>
        <w:ind w:right="120" w:firstLine="397"/>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2024, pursuant to the rules and regulations of the SEC. For further information, refer to the financial statements and notes thereto as of and for the year ended June 30, 2024, and included in the annual report on Form 10-K on file with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52" w:lineRule="exact"/>
        <w:rPr>
          <w:sz w:val="20"/>
          <w:szCs w:val="20"/>
          <w:color w:val="auto"/>
        </w:rPr>
      </w:pPr>
    </w:p>
    <w:p>
      <w:pPr>
        <w:ind w:right="180" w:firstLine="397"/>
        <w:spacing w:after="0" w:line="27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9" w:lineRule="exact"/>
        <w:rPr>
          <w:sz w:val="20"/>
          <w:szCs w:val="20"/>
          <w:color w:val="auto"/>
        </w:rPr>
      </w:pPr>
    </w:p>
    <w:p>
      <w:pPr>
        <w:ind w:right="180" w:firstLine="397"/>
        <w:spacing w:after="0" w:line="267" w:lineRule="auto"/>
        <w:rPr>
          <w:sz w:val="20"/>
          <w:szCs w:val="20"/>
          <w:color w:val="auto"/>
        </w:rPr>
      </w:pPr>
      <w:r>
        <w:rPr>
          <w:rFonts w:ascii="Times New Roman" w:cs="Times New Roman" w:eastAsia="Times New Roman" w:hAnsi="Times New Roman"/>
          <w:sz w:val="17"/>
          <w:szCs w:val="17"/>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52" w:lineRule="exact"/>
        <w:rPr>
          <w:sz w:val="20"/>
          <w:szCs w:val="20"/>
          <w:color w:val="auto"/>
        </w:rPr>
      </w:pPr>
    </w:p>
    <w:p>
      <w:pPr>
        <w:ind w:right="140" w:firstLine="397"/>
        <w:spacing w:after="0" w:line="273" w:lineRule="auto"/>
        <w:rPr>
          <w:sz w:val="20"/>
          <w:szCs w:val="20"/>
          <w:color w:val="auto"/>
        </w:rPr>
      </w:pPr>
      <w:r>
        <w:rPr>
          <w:rFonts w:ascii="Times New Roman" w:cs="Times New Roman" w:eastAsia="Times New Roman" w:hAnsi="Times New Roman"/>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 w:name="page11"/>
    <w:bookmarkEnd w:id="10"/>
    <w:p>
      <w:pPr>
        <w:ind w:right="340"/>
        <w:spacing w:after="0" w:line="258" w:lineRule="auto"/>
        <w:rPr>
          <w:sz w:val="20"/>
          <w:szCs w:val="20"/>
          <w:color w:val="auto"/>
        </w:rPr>
      </w:pPr>
      <w:r>
        <w:rPr>
          <w:rFonts w:ascii="Times New Roman" w:cs="Times New Roman" w:eastAsia="Times New Roman" w:hAnsi="Times New Roman"/>
          <w:sz w:val="18"/>
          <w:szCs w:val="18"/>
          <w:color w:val="auto"/>
        </w:rPr>
        <w:t>comprehensive income. Transaction gains and losses are included in other expense, net in the condensed consolidated statements of operations and comprehensive income. For the three months ended September 30, 2024 and 2023, net foreign currency losses of approximately $40,000 and $0.1 million, respectively, are recorded in other expense, net.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as cash and cash equivalents.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39" w:lineRule="exact"/>
        <w:rPr>
          <w:sz w:val="20"/>
          <w:szCs w:val="20"/>
          <w:color w:val="auto"/>
        </w:rPr>
      </w:pPr>
    </w:p>
    <w:p>
      <w:pPr>
        <w:ind w:right="160" w:firstLine="397"/>
        <w:spacing w:after="0" w:line="251"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September 30, 2024, the Company had $10.6 million in cash accounts at one financial institution and $4.0 million in accounts at other financial institutions. At June 30, 2024, the Company had $12.6 million in cash accounts at one financial institution and $4.3 million in accounts at other financial institutions. As of September 30, 2024 and June 30, 2024, and during the periods then ended, the Company’s cash balances exceeded federally insured limits.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52" w:lineRule="exact"/>
        <w:rPr>
          <w:sz w:val="20"/>
          <w:szCs w:val="20"/>
          <w:color w:val="auto"/>
        </w:rPr>
      </w:pPr>
    </w:p>
    <w:p>
      <w:pPr>
        <w:ind w:right="100" w:firstLine="397"/>
        <w:spacing w:after="0" w:line="253" w:lineRule="auto"/>
        <w:rPr>
          <w:sz w:val="20"/>
          <w:szCs w:val="20"/>
          <w:color w:val="auto"/>
        </w:rPr>
      </w:pPr>
      <w:r>
        <w:rPr>
          <w:rFonts w:ascii="Times New Roman" w:cs="Times New Roman" w:eastAsia="Times New Roman" w:hAnsi="Times New Roman"/>
          <w:sz w:val="18"/>
          <w:szCs w:val="18"/>
          <w:color w:val="auto"/>
        </w:rPr>
        <w:t>The Company’s accounts receivable as of September 30, 2024 and June 30, 2024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2024 and June 30, 2024 is not necessary. No bad debt expense was recorded during the three months ended September 30, 2024 and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2024 and June 30, 2024, inventory consisted of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gridSpan w:val="3"/>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2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3"/>
                <w:szCs w:val="13"/>
                <w:color w:val="auto"/>
              </w:rPr>
            </w:pPr>
          </w:p>
        </w:tc>
      </w:tr>
      <w:tr>
        <w:trPr>
          <w:trHeight w:val="191"/>
        </w:trPr>
        <w:tc>
          <w:tcPr>
            <w:tcW w:w="34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r>
      <w:tr>
        <w:trPr>
          <w:trHeight w:val="225"/>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43"/>
        </w:trPr>
        <w:tc>
          <w:tcPr>
            <w:tcW w:w="3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inventory</w:t>
            </w: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0" w:firstLine="397"/>
        <w:spacing w:after="0" w:line="270"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using the first-in, first-out method, which includes a reduction in inventory values of $1.0 million and $1.3 million at September 30, 2024 and June 30, 2024, respectively, related to obsolete and slow-moving inventory.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52" w:lineRule="exact"/>
        <w:rPr>
          <w:sz w:val="20"/>
          <w:szCs w:val="20"/>
          <w:color w:val="auto"/>
        </w:rPr>
      </w:pPr>
    </w:p>
    <w:p>
      <w:pPr>
        <w:ind w:firstLine="397"/>
        <w:spacing w:after="0" w:line="253" w:lineRule="auto"/>
        <w:rPr>
          <w:sz w:val="20"/>
          <w:szCs w:val="20"/>
          <w:color w:val="auto"/>
        </w:rPr>
      </w:pPr>
      <w:r>
        <w:rPr>
          <w:rFonts w:ascii="Times New Roman" w:cs="Times New Roman" w:eastAsia="Times New Roman" w:hAnsi="Times New Roman"/>
          <w:sz w:val="18"/>
          <w:szCs w:val="18"/>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105" w:lineRule="exact"/>
        <w:rPr>
          <w:sz w:val="20"/>
          <w:szCs w:val="20"/>
          <w:color w:val="auto"/>
        </w:rPr>
      </w:pPr>
    </w:p>
    <w:p>
      <w:pPr>
        <w:ind w:left="640" w:hanging="2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49" w:lineRule="exact"/>
        <w:rPr>
          <w:rFonts w:ascii="Times New Roman" w:cs="Times New Roman" w:eastAsia="Times New Roman" w:hAnsi="Times New Roman"/>
          <w:sz w:val="18"/>
          <w:szCs w:val="18"/>
          <w:color w:val="auto"/>
        </w:rPr>
      </w:pPr>
    </w:p>
    <w:p>
      <w:pPr>
        <w:ind w:left="640" w:right="60" w:hanging="238"/>
        <w:spacing w:after="0" w:line="270"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02" w:lineRule="exact"/>
        <w:rPr>
          <w:rFonts w:ascii="Times New Roman" w:cs="Times New Roman" w:eastAsia="Times New Roman" w:hAnsi="Times New Roman"/>
          <w:sz w:val="18"/>
          <w:szCs w:val="18"/>
          <w:color w:val="auto"/>
        </w:rPr>
      </w:pPr>
    </w:p>
    <w:p>
      <w:pPr>
        <w:ind w:left="640" w:hanging="23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37" w:lineRule="exact"/>
        <w:rPr>
          <w:sz w:val="20"/>
          <w:szCs w:val="20"/>
          <w:color w:val="auto"/>
        </w:rPr>
      </w:pPr>
    </w:p>
    <w:p>
      <w:pPr>
        <w:ind w:right="260" w:firstLine="397"/>
        <w:spacing w:after="0" w:line="270" w:lineRule="auto"/>
        <w:rPr>
          <w:sz w:val="20"/>
          <w:szCs w:val="20"/>
          <w:color w:val="auto"/>
        </w:rPr>
      </w:pPr>
      <w:r>
        <w:rPr>
          <w:rFonts w:ascii="Times New Roman" w:cs="Times New Roman" w:eastAsia="Times New Roman" w:hAnsi="Times New Roman"/>
          <w:sz w:val="18"/>
          <w:szCs w:val="18"/>
          <w:color w:val="auto"/>
        </w:rPr>
        <w:t>Our financial instruments, consisting primarily of cash and cash equivalents, accounts receivable, and accounts payable, approximate fair value due to their short-term nature.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9" w:lineRule="exact"/>
        <w:rPr>
          <w:sz w:val="20"/>
          <w:szCs w:val="20"/>
          <w:color w:val="auto"/>
        </w:rPr>
      </w:pPr>
    </w:p>
    <w:p>
      <w:pPr>
        <w:ind w:right="60" w:firstLine="397"/>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1" w:name="page12"/>
    <w:bookmarkEnd w:id="11"/>
    <w:p>
      <w:pPr>
        <w:ind w:firstLine="397"/>
        <w:spacing w:after="0" w:line="229" w:lineRule="auto"/>
        <w:rPr>
          <w:sz w:val="20"/>
          <w:szCs w:val="20"/>
          <w:color w:val="auto"/>
        </w:rPr>
      </w:pPr>
      <w:r>
        <w:rPr>
          <w:rFonts w:ascii="Times New Roman" w:cs="Times New Roman" w:eastAsia="Times New Roman" w:hAnsi="Times New Roman"/>
          <w:sz w:val="18"/>
          <w:szCs w:val="18"/>
          <w:color w:val="auto"/>
        </w:rPr>
        <w:t>The Company generates the majority of its revenue through product sales to customers. These products include the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line of dietary supplements,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Omega+, ProBio,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Rise AM, Reset PM, D3+, Daily Wellness, and PhysIQ Fat Burn and Prebiotic dietary supplements,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skin and hair care products and Liquid Collagen, 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nootropic energy drink mixes.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16" w:lineRule="exact"/>
        <w:rPr>
          <w:sz w:val="20"/>
          <w:szCs w:val="20"/>
          <w:color w:val="auto"/>
        </w:rPr>
      </w:pPr>
    </w:p>
    <w:p>
      <w:pPr>
        <w:ind w:firstLine="317"/>
        <w:spacing w:after="0" w:line="251" w:lineRule="auto"/>
        <w:rPr>
          <w:sz w:val="20"/>
          <w:szCs w:val="20"/>
          <w:color w:val="auto"/>
        </w:rPr>
      </w:pPr>
      <w:r>
        <w:rPr>
          <w:rFonts w:ascii="Times New Roman" w:cs="Times New Roman" w:eastAsia="Times New Roman" w:hAnsi="Times New Roman"/>
          <w:sz w:val="18"/>
          <w:szCs w:val="18"/>
          <w:color w:val="auto"/>
        </w:rPr>
        <w:t>Contract liabilities, recorded as deferred revenue, include loyalty program credit deferrals with certain customers which are accounted for as a reduction in the transaction price and are generally recognized as credits which are redeemed for additional products at a later date. The Company also records deferred revenue when cash payments are received or due in advance of performance, including amounts which are refundable. In addition,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121" w:lineRule="exact"/>
        <w:rPr>
          <w:sz w:val="20"/>
          <w:szCs w:val="20"/>
          <w:color w:val="auto"/>
        </w:rPr>
      </w:pPr>
    </w:p>
    <w:p>
      <w:pPr>
        <w:ind w:right="140" w:firstLine="317"/>
        <w:spacing w:after="0" w:line="258" w:lineRule="auto"/>
        <w:rPr>
          <w:sz w:val="20"/>
          <w:szCs w:val="20"/>
          <w:color w:val="auto"/>
        </w:rPr>
      </w:pPr>
      <w:r>
        <w:rPr>
          <w:rFonts w:ascii="Times New Roman" w:cs="Times New Roman" w:eastAsia="Times New Roman" w:hAnsi="Times New Roman"/>
          <w:sz w:val="18"/>
          <w:szCs w:val="18"/>
          <w:color w:val="auto"/>
        </w:rPr>
        <w:t>Deferred revenue is included in accrued expenses in the consolidated balance sheets. The balance of deferred revenue related to contract liabilities was $1.1 million and $0.9 million as of September 30, 2024 and June 30, 2024, respectively. The contract liabilities impact to revenue for the three months ended September 30, 2024 and 2023 was a decrease of $0.2 million and $0.2 million, respectively.</w:t>
      </w:r>
    </w:p>
    <w:p>
      <w:pPr>
        <w:spacing w:after="0" w:line="112" w:lineRule="exact"/>
        <w:rPr>
          <w:sz w:val="20"/>
          <w:szCs w:val="20"/>
          <w:color w:val="auto"/>
        </w:rPr>
      </w:pPr>
    </w:p>
    <w:p>
      <w:pPr>
        <w:ind w:right="80" w:firstLine="397"/>
        <w:spacing w:after="0" w:line="250" w:lineRule="auto"/>
        <w:rPr>
          <w:sz w:val="20"/>
          <w:szCs w:val="20"/>
          <w:color w:val="auto"/>
        </w:rPr>
      </w:pPr>
      <w:r>
        <w:rPr>
          <w:rFonts w:ascii="Times New Roman" w:cs="Times New Roman" w:eastAsia="Times New Roman" w:hAnsi="Times New Roman"/>
          <w:sz w:val="18"/>
          <w:szCs w:val="18"/>
          <w:color w:val="auto"/>
        </w:rPr>
        <w:t>Estimated returns are recorded when a product is shipped. Subject to some exceptions based on local regulations, the Company’s return policy is to provide a full refund for a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September 30, 2024 and June 30, 2024, the returns liability reserve, net was $0.1 million and $0.1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and independent consultants are included in cost of sales.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fees charged to customers and independent consultants are included in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39" w:lineRule="exact"/>
        <w:rPr>
          <w:sz w:val="20"/>
          <w:szCs w:val="20"/>
          <w:color w:val="auto"/>
        </w:rPr>
      </w:pPr>
    </w:p>
    <w:p>
      <w:pPr>
        <w:ind w:right="240" w:firstLine="397"/>
        <w:spacing w:after="0" w:line="270"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three months ended September 30, 2024 and 2023 were $0.3 million and $0.2 million,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52" w:lineRule="exact"/>
        <w:rPr>
          <w:sz w:val="20"/>
          <w:szCs w:val="20"/>
          <w:color w:val="auto"/>
        </w:rPr>
      </w:pPr>
    </w:p>
    <w:p>
      <w:pPr>
        <w:ind w:right="340" w:firstLine="397"/>
        <w:spacing w:after="0" w:line="258" w:lineRule="auto"/>
        <w:rPr>
          <w:sz w:val="20"/>
          <w:szCs w:val="20"/>
          <w:color w:val="auto"/>
        </w:rPr>
      </w:pPr>
      <w:r>
        <w:rPr>
          <w:rFonts w:ascii="Times New Roman" w:cs="Times New Roman" w:eastAsia="Times New Roman" w:hAnsi="Times New Roman"/>
          <w:sz w:val="18"/>
          <w:szCs w:val="18"/>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99" w:lineRule="exact"/>
        <w:rPr>
          <w:sz w:val="20"/>
          <w:szCs w:val="20"/>
          <w:color w:val="auto"/>
        </w:rPr>
      </w:pPr>
    </w:p>
    <w:p>
      <w:pPr>
        <w:ind w:right="60" w:firstLine="397"/>
        <w:spacing w:after="0" w:line="248"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52" w:lineRule="exact"/>
        <w:rPr>
          <w:sz w:val="20"/>
          <w:szCs w:val="20"/>
          <w:color w:val="auto"/>
        </w:rPr>
      </w:pPr>
    </w:p>
    <w:p>
      <w:pPr>
        <w:ind w:right="340" w:firstLine="317"/>
        <w:spacing w:after="0" w:line="253"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12" w:name="page13"/>
    <w:bookmarkEnd w:id="12"/>
    <w:p>
      <w:pPr>
        <w:ind w:firstLine="317"/>
        <w:spacing w:after="0" w:line="251"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07" w:lineRule="exact"/>
        <w:rPr>
          <w:sz w:val="20"/>
          <w:szCs w:val="20"/>
          <w:color w:val="auto"/>
        </w:rPr>
      </w:pPr>
    </w:p>
    <w:p>
      <w:pPr>
        <w:ind w:right="160" w:firstLine="317"/>
        <w:spacing w:after="0" w:line="253" w:lineRule="auto"/>
        <w:rPr>
          <w:sz w:val="20"/>
          <w:szCs w:val="20"/>
          <w:color w:val="auto"/>
        </w:rPr>
      </w:pPr>
      <w:r>
        <w:rPr>
          <w:rFonts w:ascii="Times New Roman" w:cs="Times New Roman" w:eastAsia="Times New Roman" w:hAnsi="Times New Roman"/>
          <w:sz w:val="18"/>
          <w:szCs w:val="18"/>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52" w:lineRule="exact"/>
        <w:rPr>
          <w:sz w:val="20"/>
          <w:szCs w:val="20"/>
          <w:color w:val="auto"/>
        </w:rPr>
      </w:pPr>
    </w:p>
    <w:p>
      <w:pPr>
        <w:ind w:right="120" w:firstLine="397"/>
        <w:spacing w:after="0" w:line="24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3" w:lineRule="exact"/>
        <w:rPr>
          <w:sz w:val="20"/>
          <w:szCs w:val="20"/>
          <w:color w:val="auto"/>
        </w:rPr>
      </w:pPr>
    </w:p>
    <w:p>
      <w:pPr>
        <w:jc w:val="both"/>
        <w:ind w:right="140" w:firstLine="397"/>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recognized income tax expense of $0.8 million and $0.2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52" w:lineRule="exact"/>
        <w:rPr>
          <w:sz w:val="20"/>
          <w:szCs w:val="20"/>
          <w:color w:val="auto"/>
        </w:rPr>
      </w:pPr>
    </w:p>
    <w:p>
      <w:pPr>
        <w:ind w:right="80" w:firstLine="397"/>
        <w:spacing w:after="0" w:line="258"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99" w:lineRule="exact"/>
        <w:rPr>
          <w:sz w:val="20"/>
          <w:szCs w:val="20"/>
          <w:color w:val="auto"/>
        </w:rPr>
      </w:pPr>
    </w:p>
    <w:p>
      <w:pPr>
        <w:ind w:right="20" w:firstLine="397"/>
        <w:spacing w:after="0" w:line="270" w:lineRule="auto"/>
        <w:rPr>
          <w:sz w:val="20"/>
          <w:szCs w:val="20"/>
          <w:color w:val="auto"/>
        </w:rPr>
      </w:pPr>
      <w:r>
        <w:rPr>
          <w:rFonts w:ascii="Times New Roman" w:cs="Times New Roman" w:eastAsia="Times New Roman" w:hAnsi="Times New Roman"/>
          <w:sz w:val="18"/>
          <w:szCs w:val="18"/>
          <w:color w:val="auto"/>
        </w:rPr>
        <w:t>For the three months ended September 30, 2024 and 2023, the effects of approximately 0.3 million and 0.3 million common shares, respectively, issuable upon exercise of options and non-vested shares of restricted stock are not included in computations as their effect was anti-dilutive.</w:t>
      </w:r>
    </w:p>
    <w:p>
      <w:pPr>
        <w:spacing w:after="0" w:line="103" w:lineRule="exact"/>
        <w:rPr>
          <w:sz w:val="20"/>
          <w:szCs w:val="20"/>
          <w:color w:val="auto"/>
        </w:rPr>
      </w:pPr>
    </w:p>
    <w:p>
      <w:pPr>
        <w:ind w:right="360" w:firstLine="397"/>
        <w:spacing w:after="0" w:line="264"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awards and options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60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919"/>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36"/>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Disaggregated Revenue</w:t>
      </w:r>
    </w:p>
    <w:p>
      <w:pPr>
        <w:spacing w:after="0" w:line="152" w:lineRule="exact"/>
        <w:rPr>
          <w:sz w:val="20"/>
          <w:szCs w:val="20"/>
          <w:color w:val="auto"/>
        </w:rPr>
      </w:pPr>
    </w:p>
    <w:p>
      <w:pPr>
        <w:ind w:right="440" w:firstLine="397"/>
        <w:spacing w:after="0" w:line="270"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directly to customers and through an international network of independent consultants that operates in an integrated manner from market to market. Commissions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3" w:name="page14"/>
    <w:bookmarkEnd w:id="13"/>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these two geographic regions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5"/>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38,514</w:t>
            </w:r>
          </w:p>
        </w:tc>
      </w:tr>
      <w:tr>
        <w:trPr>
          <w:trHeight w:val="225"/>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 &amp; Europe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r>
      <w:tr>
        <w:trPr>
          <w:trHeight w:val="243"/>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information as to the Company’s revenue from operations in the most significant geographical areas is set forth below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4"/>
        </w:trPr>
        <w:tc>
          <w:tcPr>
            <w:tcW w:w="7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5"/>
        </w:trPr>
        <w:tc>
          <w:tcPr>
            <w:tcW w:w="76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r>
    </w:tbl>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for its most significant geographic markets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14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1"/>
        </w:trPr>
        <w:tc>
          <w:tcPr>
            <w:tcW w:w="7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19,216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1,925</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52" w:lineRule="exact"/>
        <w:rPr>
          <w:sz w:val="20"/>
          <w:szCs w:val="20"/>
          <w:color w:val="auto"/>
        </w:rPr>
      </w:pPr>
    </w:p>
    <w:p>
      <w:pPr>
        <w:ind w:right="360" w:firstLine="317"/>
        <w:spacing w:after="0" w:line="267"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2023-07, Segment Reporting (Topic 280): Improvements to Reportable Segment Disclosures (ASU 2023-07),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ASU 2023-07 is effective for the Company’s annual periods beginning July 1, 2024, and for interim periods beginning July 1, 2025, with early adoption permitted. The Company is currently evaluating the potential effect that the updated standard will have on its financial statement disclosures.</w:t>
      </w:r>
    </w:p>
    <w:p>
      <w:pPr>
        <w:spacing w:after="0" w:line="110" w:lineRule="exact"/>
        <w:rPr>
          <w:sz w:val="20"/>
          <w:szCs w:val="20"/>
          <w:color w:val="auto"/>
        </w:rPr>
      </w:pPr>
    </w:p>
    <w:p>
      <w:pPr>
        <w:ind w:firstLine="317"/>
        <w:spacing w:after="0" w:line="273"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w:t>
      </w:r>
    </w:p>
    <w:p>
      <w:pPr>
        <w:spacing w:after="0" w:line="89" w:lineRule="exact"/>
        <w:rPr>
          <w:sz w:val="20"/>
          <w:szCs w:val="20"/>
          <w:color w:val="auto"/>
        </w:rPr>
      </w:pPr>
    </w:p>
    <w:p>
      <w:pPr>
        <w:ind w:right="440" w:firstLine="317"/>
        <w:spacing w:after="0" w:line="270" w:lineRule="auto"/>
        <w:rPr>
          <w:sz w:val="20"/>
          <w:szCs w:val="20"/>
          <w:color w:val="auto"/>
        </w:rPr>
      </w:pPr>
      <w:r>
        <w:rPr>
          <w:rFonts w:ascii="Times New Roman" w:cs="Times New Roman" w:eastAsia="Times New Roman" w:hAnsi="Times New Roman"/>
          <w:sz w:val="18"/>
          <w:szCs w:val="18"/>
          <w:color w:val="auto"/>
        </w:rPr>
        <w:t>Other recently issued accounting pronouncements did not or are not believed by management to have a material impact on the Company's present or future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152" w:lineRule="exact"/>
        <w:rPr>
          <w:sz w:val="20"/>
          <w:szCs w:val="20"/>
          <w:color w:val="auto"/>
        </w:rPr>
      </w:pPr>
    </w:p>
    <w:p>
      <w:pPr>
        <w:ind w:firstLine="397"/>
        <w:spacing w:after="0" w:line="270" w:lineRule="auto"/>
        <w:rPr>
          <w:sz w:val="20"/>
          <w:szCs w:val="20"/>
          <w:color w:val="auto"/>
        </w:rPr>
      </w:pPr>
      <w:r>
        <w:rPr>
          <w:rFonts w:ascii="Times New Roman" w:cs="Times New Roman" w:eastAsia="Times New Roman" w:hAnsi="Times New Roman"/>
          <w:sz w:val="17"/>
          <w:szCs w:val="17"/>
          <w:color w:val="auto"/>
        </w:rPr>
        <w:t>The Company has operating leases for current corporate offices and certain equipment. These leases have remaining terms of approximately one to seven years. As of September 30, 2024, the weighted average remaining lease term and weighted average discount rate for operating leases was 6.62 years and</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3.46%, respectively. As of June 30, 2024, the weighted average remaining lease term and weighted average discount rate for operating leases was 6.90 years and 3.46%, respectively.</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three months ended September 30, 2024 and 2023, operating lease expense was $0.5 million and $0.6 million, respectively.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September 30,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30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6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cost</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160" w:type="dxa"/>
            <w:vAlign w:val="bottom"/>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Variable lease cost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Short-term lease costs</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600" w:type="dxa"/>
            <w:vAlign w:val="bottom"/>
          </w:tcPr>
          <w:p>
            <w:pPr>
              <w:spacing w:after="0"/>
              <w:rPr>
                <w:sz w:val="17"/>
                <w:szCs w:val="17"/>
                <w:color w:val="auto"/>
              </w:rPr>
            </w:pPr>
          </w:p>
        </w:tc>
        <w:tc>
          <w:tcPr>
            <w:tcW w:w="30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6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431"/>
        </w:trPr>
        <w:tc>
          <w:tcPr>
            <w:tcW w:w="7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Maturity of lease liabilities at September 30, 2024 are as follows (in thousands):</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 ending June 30, 2025)</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25"/>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0" w:type="dxa"/>
            <w:vAlign w:val="bottom"/>
          </w:tcPr>
          <w:p>
            <w:pPr>
              <w:spacing w:after="0"/>
              <w:rPr>
                <w:sz w:val="1"/>
                <w:szCs w:val="1"/>
                <w:color w:val="auto"/>
              </w:rPr>
            </w:pPr>
          </w:p>
        </w:tc>
      </w:tr>
      <w:tr>
        <w:trPr>
          <w:trHeight w:val="225"/>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139" w:lineRule="exact"/>
        <w:rPr>
          <w:sz w:val="20"/>
          <w:szCs w:val="20"/>
          <w:color w:val="auto"/>
        </w:rPr>
      </w:pPr>
    </w:p>
    <w:p>
      <w:pPr>
        <w:ind w:right="20" w:firstLine="397"/>
        <w:spacing w:after="0" w:line="250" w:lineRule="auto"/>
        <w:rPr>
          <w:sz w:val="20"/>
          <w:szCs w:val="20"/>
          <w:color w:val="auto"/>
        </w:rPr>
      </w:pPr>
      <w:r>
        <w:rPr>
          <w:rFonts w:ascii="Times New Roman" w:cs="Times New Roman" w:eastAsia="Times New Roman" w:hAnsi="Times New Roman"/>
          <w:sz w:val="18"/>
          <w:szCs w:val="18"/>
          <w:color w:val="auto"/>
        </w:rPr>
        <w:t>On April 12, 2024, the Company entered into a Loan Agreement (the “Loan Agreement”)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Continuing and Unconditional Guaranty and the Security and Pledge Agreement the “2024 Credit Facility”).</w:t>
      </w:r>
    </w:p>
    <w:p>
      <w:pPr>
        <w:spacing w:after="0" w:line="121" w:lineRule="exact"/>
        <w:rPr>
          <w:sz w:val="20"/>
          <w:szCs w:val="20"/>
          <w:color w:val="auto"/>
        </w:rPr>
      </w:pPr>
    </w:p>
    <w:p>
      <w:pPr>
        <w:ind w:right="20" w:firstLine="317"/>
        <w:spacing w:after="0" w:line="251" w:lineRule="auto"/>
        <w:rPr>
          <w:sz w:val="20"/>
          <w:szCs w:val="20"/>
          <w:color w:val="auto"/>
        </w:rPr>
      </w:pPr>
      <w:r>
        <w:rPr>
          <w:rFonts w:ascii="Times New Roman" w:cs="Times New Roman" w:eastAsia="Times New Roman" w:hAnsi="Times New Roman"/>
          <w:sz w:val="18"/>
          <w:szCs w:val="18"/>
          <w:color w:val="auto"/>
        </w:rPr>
        <w:t>In the event the Company borrows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As of September 30, 2024, the effective interest rate is 6.96%.</w:t>
      </w:r>
    </w:p>
    <w:p>
      <w:pPr>
        <w:spacing w:after="0" w:line="121" w:lineRule="exact"/>
        <w:rPr>
          <w:sz w:val="20"/>
          <w:szCs w:val="20"/>
          <w:color w:val="auto"/>
        </w:rPr>
      </w:pPr>
    </w:p>
    <w:p>
      <w:pPr>
        <w:ind w:right="60" w:firstLine="317"/>
        <w:spacing w:after="0" w:line="253" w:lineRule="auto"/>
        <w:rPr>
          <w:sz w:val="20"/>
          <w:szCs w:val="20"/>
          <w:color w:val="auto"/>
        </w:rPr>
      </w:pPr>
      <w:r>
        <w:rPr>
          <w:rFonts w:ascii="Times New Roman" w:cs="Times New Roman" w:eastAsia="Times New Roman" w:hAnsi="Times New Roman"/>
          <w:sz w:val="18"/>
          <w:szCs w:val="18"/>
          <w:color w:val="auto"/>
        </w:rPr>
        <w:t>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w:t>
      </w:r>
    </w:p>
    <w:p>
      <w:pPr>
        <w:spacing w:after="0" w:line="105" w:lineRule="exact"/>
        <w:rPr>
          <w:sz w:val="20"/>
          <w:szCs w:val="20"/>
          <w:color w:val="auto"/>
        </w:rPr>
      </w:pPr>
    </w:p>
    <w:p>
      <w:pPr>
        <w:ind w:right="40" w:firstLine="317"/>
        <w:spacing w:after="0" w:line="253" w:lineRule="auto"/>
        <w:rPr>
          <w:sz w:val="20"/>
          <w:szCs w:val="20"/>
          <w:color w:val="auto"/>
        </w:rPr>
      </w:pPr>
      <w:r>
        <w:rPr>
          <w:rFonts w:ascii="Times New Roman" w:cs="Times New Roman" w:eastAsia="Times New Roman" w:hAnsi="Times New Roman"/>
          <w:sz w:val="18"/>
          <w:szCs w:val="18"/>
          <w:color w:val="auto"/>
        </w:rPr>
        <w:t>The Loan Agreement contains customary covenants, both affirmative and negative, that, among other things, restrict the Company’s ability to deal with the Company's assets outside of the ordinary course, incur additional indebtedness, grant liens 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5" w:name="page16"/>
    <w:bookmarkEnd w:id="15"/>
    <w:p>
      <w:pPr>
        <w:ind w:right="140" w:firstLine="317"/>
        <w:spacing w:after="0" w:line="265" w:lineRule="auto"/>
        <w:rPr>
          <w:sz w:val="20"/>
          <w:szCs w:val="20"/>
          <w:color w:val="auto"/>
        </w:rPr>
      </w:pPr>
      <w:r>
        <w:rPr>
          <w:rFonts w:ascii="Times New Roman" w:cs="Times New Roman" w:eastAsia="Times New Roman" w:hAnsi="Times New Roman"/>
          <w:sz w:val="17"/>
          <w:szCs w:val="17"/>
          <w:color w:val="auto"/>
        </w:rPr>
        <w:t>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98" w:lineRule="exact"/>
        <w:rPr>
          <w:sz w:val="20"/>
          <w:szCs w:val="20"/>
          <w:color w:val="auto"/>
        </w:rPr>
      </w:pPr>
    </w:p>
    <w:p>
      <w:pPr>
        <w:ind w:right="180" w:firstLine="317"/>
        <w:spacing w:after="0" w:line="270"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its financial covenants under the 2024 Credit Facility. As of September 30, 2024, there was no balance outstanding on the 2024 Credit Facility.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152" w:lineRule="exact"/>
        <w:rPr>
          <w:sz w:val="20"/>
          <w:szCs w:val="20"/>
          <w:color w:val="auto"/>
        </w:rPr>
      </w:pPr>
    </w:p>
    <w:p>
      <w:pPr>
        <w:ind w:right="140" w:firstLine="397"/>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issued 0.1 million and 0.3 million shares of common stock, respectively, under equity award plans. During the three months ended September 30, 2024 and 2023, the Company issued zero shares of common stock upon the exercise of stock options. During the three months ended September 30, 2024 and 2023, 48,000 and 0.1 million shares of restricted stock, respectively, were canceled or surrendered as payment of tax withholding upon vesting.</w:t>
      </w:r>
    </w:p>
    <w:p>
      <w:pPr>
        <w:spacing w:after="0" w:line="105" w:lineRule="exact"/>
        <w:rPr>
          <w:sz w:val="20"/>
          <w:szCs w:val="20"/>
          <w:color w:val="auto"/>
        </w:rPr>
      </w:pPr>
    </w:p>
    <w:p>
      <w:pPr>
        <w:ind w:right="60" w:firstLine="397"/>
        <w:spacing w:after="0" w:line="250" w:lineRule="auto"/>
        <w:rPr>
          <w:sz w:val="20"/>
          <w:szCs w:val="20"/>
          <w:color w:val="auto"/>
        </w:rPr>
      </w:pPr>
      <w:r>
        <w:rPr>
          <w:rFonts w:ascii="Times New Roman" w:cs="Times New Roman" w:eastAsia="Times New Roman" w:hAnsi="Times New Roman"/>
          <w:sz w:val="18"/>
          <w:szCs w:val="18"/>
          <w:color w:val="auto"/>
        </w:rPr>
        <w:t>On February 17, 2022, the Company's board of directors (the "Board of Directors") approved an amendment to its then-existing share repurchase program to increase the authorized share repurchase amount from $35.0 million to $60.0 million. On June 12, 2023, the Board of Directors approved an amendment to extend the duration of the repurchase program period to December 31, 2026. During the three months ended September 30, 2024, the Company purchased 0.1 million shares of common stock at an aggregate price of $1.1 million under this repurchase program. During the three months ended September 30, 2023, the Company purchased 0.1 million shares of common stock at an aggregate price of $0.8 million under this repurchase program. At September 30, 2024, there is $19.3 million remaining under this repurchase program.</w:t>
      </w:r>
    </w:p>
    <w:p>
      <w:pPr>
        <w:spacing w:after="0" w:line="121" w:lineRule="exact"/>
        <w:rPr>
          <w:sz w:val="20"/>
          <w:szCs w:val="20"/>
          <w:color w:val="auto"/>
        </w:rPr>
      </w:pPr>
    </w:p>
    <w:p>
      <w:pPr>
        <w:ind w:right="240" w:firstLine="397"/>
        <w:spacing w:after="0" w:line="253" w:lineRule="auto"/>
        <w:rPr>
          <w:sz w:val="20"/>
          <w:szCs w:val="20"/>
          <w:color w:val="auto"/>
        </w:rPr>
      </w:pPr>
      <w:r>
        <w:rPr>
          <w:rFonts w:ascii="Times New Roman" w:cs="Times New Roman" w:eastAsia="Times New Roman" w:hAnsi="Times New Roman"/>
          <w:sz w:val="18"/>
          <w:szCs w:val="18"/>
          <w:color w:val="auto"/>
        </w:rPr>
        <w:t>On August 30, 2023, the Board of Directors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spacing w:after="0" w:line="119" w:lineRule="exact"/>
        <w:rPr>
          <w:sz w:val="20"/>
          <w:szCs w:val="20"/>
          <w:color w:val="auto"/>
        </w:rPr>
      </w:pPr>
    </w:p>
    <w:p>
      <w:pPr>
        <w:ind w:right="160" w:firstLine="397"/>
        <w:spacing w:after="0" w:line="250" w:lineRule="auto"/>
        <w:rPr>
          <w:sz w:val="20"/>
          <w:szCs w:val="20"/>
          <w:color w:val="auto"/>
        </w:rPr>
      </w:pPr>
      <w:r>
        <w:rPr>
          <w:rFonts w:ascii="Times New Roman" w:cs="Times New Roman" w:eastAsia="Times New Roman" w:hAnsi="Times New Roman"/>
          <w:sz w:val="18"/>
          <w:szCs w:val="18"/>
          <w:color w:val="auto"/>
        </w:rPr>
        <w:t>In general, the rights would have become exercisable following a public announcement that a person acquires 12% (or, in the case of passive investors, 20%) or more of the outstanding shares of the Company’s common stock. If a person became an acquiring person, each holder of rights (except the acquiring person) would have had the right to purchase, for the purchase price, a number of shares of the Company’s common stock at a 50% discount to the then-current trading price. Rather than allowing the rights to be exercised in those circumstances, the Board of Directors could exchange each right, other than the rights owned by the acquiring person, for a share of the Company’s common stock. The agreement provided for exceptions and additional terms for other certain situations and circumstances.</w:t>
      </w:r>
    </w:p>
    <w:p>
      <w:pPr>
        <w:spacing w:after="0" w:line="108" w:lineRule="exact"/>
        <w:rPr>
          <w:sz w:val="20"/>
          <w:szCs w:val="20"/>
          <w:color w:val="auto"/>
        </w:rPr>
      </w:pPr>
    </w:p>
    <w:p>
      <w:pPr>
        <w:jc w:val="both"/>
        <w:ind w:right="40" w:firstLine="397"/>
        <w:spacing w:after="0" w:line="258" w:lineRule="auto"/>
        <w:rPr>
          <w:sz w:val="20"/>
          <w:szCs w:val="20"/>
          <w:color w:val="auto"/>
        </w:rPr>
      </w:pPr>
      <w:r>
        <w:rPr>
          <w:rFonts w:ascii="Times New Roman" w:cs="Times New Roman" w:eastAsia="Times New Roman" w:hAnsi="Times New Roman"/>
          <w:sz w:val="18"/>
          <w:szCs w:val="18"/>
          <w:color w:val="auto"/>
        </w:rPr>
        <w:t>The Rights Plan was intended to protect the interests of LifeVantage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spacing w:after="0" w:line="112" w:lineRule="exact"/>
        <w:rPr>
          <w:sz w:val="20"/>
          <w:szCs w:val="20"/>
          <w:color w:val="auto"/>
        </w:rPr>
      </w:pPr>
    </w:p>
    <w:p>
      <w:pPr>
        <w:ind w:right="200" w:firstLine="397"/>
        <w:spacing w:after="0" w:line="270"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preferred stock. However, as of September 30, 2024, none have been issued nor have any rights or preferences been assigned to the preferred stock by the Company’s Board of Directors.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39" w:lineRule="exact"/>
        <w:rPr>
          <w:sz w:val="20"/>
          <w:szCs w:val="20"/>
          <w:color w:val="auto"/>
        </w:rPr>
      </w:pPr>
    </w:p>
    <w:p>
      <w:pPr>
        <w:ind w:firstLine="397"/>
        <w:spacing w:after="0" w:line="258" w:lineRule="auto"/>
        <w:rPr>
          <w:sz w:val="20"/>
          <w:szCs w:val="20"/>
          <w:color w:val="auto"/>
        </w:rPr>
      </w:pPr>
      <w:r>
        <w:rPr>
          <w:rFonts w:ascii="Times New Roman" w:cs="Times New Roman" w:eastAsia="Times New Roman" w:hAnsi="Times New Roman"/>
          <w:sz w:val="18"/>
          <w:szCs w:val="18"/>
          <w:color w:val="auto"/>
        </w:rPr>
        <w:t>In August 2024, the Board of Directors declared a quarterly cash dividend of $0.04 per share of common stock to be paid on September 17, 2024 to stockholders of record on September 9, 2024. Cash dividends for the three months ended September 30, 2024 totaled $0.5 million. Cash dividends for the three months ended September 30, 2023 totaled $5.5 million, or $0.435 per share.</w:t>
      </w:r>
    </w:p>
    <w:p>
      <w:pPr>
        <w:spacing w:after="0" w:line="112" w:lineRule="exact"/>
        <w:rPr>
          <w:sz w:val="20"/>
          <w:szCs w:val="20"/>
          <w:color w:val="auto"/>
        </w:rPr>
      </w:pPr>
    </w:p>
    <w:p>
      <w:pPr>
        <w:ind w:right="100" w:firstLine="397"/>
        <w:spacing w:after="0" w:line="258" w:lineRule="auto"/>
        <w:rPr>
          <w:sz w:val="20"/>
          <w:szCs w:val="20"/>
          <w:color w:val="auto"/>
        </w:rPr>
      </w:pPr>
      <w:r>
        <w:rPr>
          <w:rFonts w:ascii="Times New Roman" w:cs="Times New Roman" w:eastAsia="Times New Roman" w:hAnsi="Times New Roman"/>
          <w:sz w:val="18"/>
          <w:szCs w:val="18"/>
          <w:color w:val="auto"/>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Equity-Settled Plans</w:t>
      </w:r>
    </w:p>
    <w:p>
      <w:pPr>
        <w:spacing w:after="0" w:line="152" w:lineRule="exact"/>
        <w:rPr>
          <w:sz w:val="20"/>
          <w:szCs w:val="20"/>
          <w:color w:val="auto"/>
        </w:rPr>
      </w:pPr>
    </w:p>
    <w:p>
      <w:pPr>
        <w:ind w:right="20" w:firstLine="397"/>
        <w:spacing w:after="0" w:line="248" w:lineRule="auto"/>
        <w:rPr>
          <w:sz w:val="20"/>
          <w:szCs w:val="20"/>
          <w:color w:val="auto"/>
        </w:rPr>
      </w:pPr>
      <w:r>
        <w:rPr>
          <w:rFonts w:ascii="Times New Roman" w:cs="Times New Roman" w:eastAsia="Times New Roman" w:hAnsi="Times New Roman"/>
          <w:sz w:val="18"/>
          <w:szCs w:val="18"/>
          <w:color w:val="auto"/>
        </w:rPr>
        <w:t>The Company adopted, and the stockholders approved, the 2017 Long-Term Incentive Plan (the “2017 Plan”), effective February 16, 2017, to provide incentives to eligible employees, directors and consultants. The initial share pool approved was 650,000 shares. On November 9, 2023, the stockholders approved amendments to the 2017 Plan to increase the number of shares of the Company's common stock that are available for issuance under the 2017 Plan by 1,138,000 shares. As of September 30, 2024, a maximum of 5.1 million shares of the Company's common stock can be issued under the 2017 Plan in connection with the grant of awards which is calculated as the sum of (i) 4,630,000 shares and (ii) up to 475,000 shares previously reserved for issuance under the Company's 2010 Long Term Incentive Plan, including shares returned upon cancellation, termination or forfeiture of awards that were previously granted under that plan. Outstanding stock options awarded under the 2017 Plan have exercise prices of $4.44 per share, and vest over a three-year vesting period. Awards expire in accordance with the terms of each award and, upon expiration of the award, the shares subject to the award are added back to the 2017 Plan. The contractual term of stock options granted is generally ten years. As of September 30, 2024, under the 2017 Plan, there were stock option awards outstanding, net of awards expired, for an aggregate of 0.1 million shares of the Company's common stock.</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50" w:lineRule="exact"/>
        <w:rPr>
          <w:sz w:val="20"/>
          <w:szCs w:val="20"/>
          <w:color w:val="auto"/>
        </w:rPr>
      </w:pPr>
    </w:p>
    <w:p>
      <w:pPr>
        <w:ind w:right="160"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2019 Employee Stock Purchase Plan ("ESPP") was adopted by the Board of Directors in September 2018 and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approved it in November 2018. The ESPP is intended to qualify under Section 423 of the Internal Revenue Code.</w:t>
      </w:r>
    </w:p>
    <w:p>
      <w:pPr>
        <w:spacing w:after="0" w:line="98" w:lineRule="exact"/>
        <w:rPr>
          <w:sz w:val="20"/>
          <w:szCs w:val="20"/>
          <w:color w:val="auto"/>
        </w:rPr>
      </w:pPr>
    </w:p>
    <w:p>
      <w:pPr>
        <w:ind w:right="4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Company has reserved 0.4 million shares of its common stock for issuance under the ESPP. As of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47,000 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97" w:lineRule="exact"/>
        <w:rPr>
          <w:sz w:val="20"/>
          <w:szCs w:val="20"/>
          <w:color w:val="auto"/>
        </w:rPr>
      </w:pPr>
    </w:p>
    <w:p>
      <w:pPr>
        <w:ind w:firstLine="39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Employees may purchase each share of common stock under the ESPP at a price equal to 85% of the lower of the fair market values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116" w:lineRule="exact"/>
        <w:rPr>
          <w:sz w:val="20"/>
          <w:szCs w:val="20"/>
          <w:color w:val="auto"/>
        </w:rPr>
      </w:pPr>
    </w:p>
    <w:p>
      <w:pPr>
        <w:ind w:right="360" w:firstLine="397"/>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Unless otherwise determined by the compensation committee, the ESPP will be operated through a series of successive six-month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which will begin each year on March 1 and September 1.</w:t>
      </w:r>
    </w:p>
    <w:p>
      <w:pPr>
        <w:spacing w:after="0" w:line="100" w:lineRule="exact"/>
        <w:rPr>
          <w:sz w:val="20"/>
          <w:szCs w:val="20"/>
          <w:color w:val="auto"/>
        </w:rPr>
      </w:pPr>
    </w:p>
    <w:p>
      <w:pPr>
        <w:ind w:right="200" w:firstLine="397"/>
        <w:spacing w:after="0" w:line="270" w:lineRule="auto"/>
        <w:rPr>
          <w:sz w:val="20"/>
          <w:szCs w:val="20"/>
          <w:color w:val="auto"/>
        </w:rPr>
      </w:pPr>
      <w:r>
        <w:rPr>
          <w:rFonts w:ascii="Times New Roman" w:cs="Times New Roman" w:eastAsia="Times New Roman" w:hAnsi="Times New Roman"/>
          <w:sz w:val="18"/>
          <w:szCs w:val="18"/>
          <w:color w:val="auto"/>
        </w:rPr>
        <w:t>During the three months ended September 30, 2024 and 2023, approximately 22,000 and 39,000 shares of common stock were issued under the ESPP, respectively.</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50" w:lineRule="exact"/>
        <w:rPr>
          <w:sz w:val="20"/>
          <w:szCs w:val="20"/>
          <w:color w:val="auto"/>
        </w:rPr>
      </w:pPr>
    </w:p>
    <w:p>
      <w:pPr>
        <w:ind w:right="200" w:firstLine="397"/>
        <w:spacing w:after="0" w:line="270" w:lineRule="auto"/>
        <w:rPr>
          <w:sz w:val="20"/>
          <w:szCs w:val="20"/>
          <w:color w:val="auto"/>
        </w:rPr>
      </w:pPr>
      <w:r>
        <w:rPr>
          <w:rFonts w:ascii="Times New Roman" w:cs="Times New Roman" w:eastAsia="Times New Roman" w:hAnsi="Times New Roman"/>
          <w:sz w:val="18"/>
          <w:szCs w:val="18"/>
          <w:color w:val="auto"/>
        </w:rPr>
        <w:t>For the three months ended September 30, 2024 and 2023, compensation of $0.9 million and $1.0 million, respectively, was reflected as an increase to additional paid-in capital, all of which was employee related.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52" w:lineRule="exact"/>
        <w:rPr>
          <w:sz w:val="20"/>
          <w:szCs w:val="20"/>
          <w:color w:val="auto"/>
        </w:rPr>
      </w:pPr>
    </w:p>
    <w:p>
      <w:pPr>
        <w:ind w:right="20" w:firstLine="397"/>
        <w:spacing w:after="0" w:line="248" w:lineRule="auto"/>
        <w:rPr>
          <w:sz w:val="20"/>
          <w:szCs w:val="20"/>
          <w:color w:val="auto"/>
        </w:rPr>
      </w:pPr>
      <w:r>
        <w:rPr>
          <w:rFonts w:ascii="Times New Roman" w:cs="Times New Roman" w:eastAsia="Times New Roman" w:hAnsi="Times New Roman"/>
          <w:sz w:val="18"/>
          <w:szCs w:val="18"/>
          <w:color w:val="auto"/>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2024, and based on the assessment, there are no probable loss contingencies requiring accrual or disclosures within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39" w:lineRule="exact"/>
        <w:rPr>
          <w:sz w:val="20"/>
          <w:szCs w:val="20"/>
          <w:color w:val="auto"/>
        </w:rPr>
      </w:pPr>
    </w:p>
    <w:p>
      <w:pPr>
        <w:ind w:firstLine="397"/>
        <w:spacing w:after="0" w:line="246"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133" w:lineRule="exact"/>
        <w:rPr>
          <w:sz w:val="20"/>
          <w:szCs w:val="20"/>
          <w:color w:val="auto"/>
        </w:rPr>
      </w:pPr>
    </w:p>
    <w:p>
      <w:pPr>
        <w:ind w:right="80" w:firstLine="3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 addition to the matters described above, the Company also may become involved in other litigation and regulatory matters incidental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115" w:lineRule="exact"/>
        <w:rPr>
          <w:sz w:val="20"/>
          <w:szCs w:val="20"/>
          <w:color w:val="auto"/>
        </w:rPr>
      </w:pPr>
    </w:p>
    <w:p>
      <w:pPr>
        <w:ind w:right="3960"/>
        <w:spacing w:after="0" w:line="39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40" w:firstLine="397"/>
        <w:spacing w:after="0" w:line="235" w:lineRule="auto"/>
        <w:rPr>
          <w:sz w:val="20"/>
          <w:szCs w:val="20"/>
          <w:color w:val="auto"/>
        </w:rPr>
      </w:pPr>
      <w:r>
        <w:rPr>
          <w:rFonts w:ascii="Times New Roman" w:cs="Times New Roman" w:eastAsia="Times New Roman" w:hAnsi="Times New Roman"/>
          <w:sz w:val="18"/>
          <w:szCs w:val="18"/>
          <w:color w:val="auto"/>
        </w:rPr>
        <w:t>LifeVantage Corporation (the “Company,” “we,” “us,” or “our”) is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and skin and hair care products. We currently sell our products to customers and independent consultants in two geographic regions that we have classified as the Americas region and the Asia/Pacific &amp; Europe region.</w:t>
      </w:r>
    </w:p>
    <w:p>
      <w:pPr>
        <w:spacing w:after="0" w:line="119" w:lineRule="exact"/>
        <w:rPr>
          <w:sz w:val="20"/>
          <w:szCs w:val="20"/>
          <w:color w:val="auto"/>
        </w:rPr>
      </w:pPr>
    </w:p>
    <w:p>
      <w:pPr>
        <w:jc w:val="both"/>
        <w:ind w:right="140" w:firstLine="317"/>
        <w:spacing w:after="0" w:line="258" w:lineRule="auto"/>
        <w:rPr>
          <w:sz w:val="20"/>
          <w:szCs w:val="20"/>
          <w:color w:val="auto"/>
        </w:rPr>
      </w:pPr>
      <w:r>
        <w:rPr>
          <w:rFonts w:ascii="Times New Roman" w:cs="Times New Roman" w:eastAsia="Times New Roman" w:hAnsi="Times New Roman"/>
          <w:sz w:val="18"/>
          <w:szCs w:val="18"/>
          <w:color w:val="auto"/>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spacing w:after="0" w:line="109" w:lineRule="exact"/>
        <w:rPr>
          <w:sz w:val="20"/>
          <w:szCs w:val="20"/>
          <w:color w:val="auto"/>
        </w:rPr>
      </w:pPr>
    </w:p>
    <w:p>
      <w:pPr>
        <w:ind w:left="640" w:right="160" w:hanging="317"/>
        <w:spacing w:after="0" w:line="215"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including our flagship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family of scientifically validated dietary supplements,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Omega+, ProBio, IC Bright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Rise AM, Reset PM, Daily Wellness, D3+, and PhysIQ Fat Burn and Prebiotic dietary supplements, our line of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skin and hair care products and Liquid Collagen, Petandim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companion pet supplement formulated to combat oxidative stress in dogs, and AXIO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nootropic energy drink mixes;</w:t>
      </w:r>
    </w:p>
    <w:p>
      <w:pPr>
        <w:spacing w:after="0" w:line="11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compensation plan and other sales initiatives and incentives; and</w:t>
      </w:r>
    </w:p>
    <w:p>
      <w:pPr>
        <w:spacing w:after="0" w:line="14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150" w:lineRule="exact"/>
        <w:rPr>
          <w:sz w:val="20"/>
          <w:szCs w:val="20"/>
          <w:color w:val="auto"/>
        </w:rPr>
      </w:pPr>
    </w:p>
    <w:p>
      <w:pPr>
        <w:ind w:firstLine="317"/>
        <w:spacing w:after="0" w:line="250"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39" w:lineRule="exact"/>
        <w:rPr>
          <w:sz w:val="20"/>
          <w:szCs w:val="20"/>
          <w:color w:val="auto"/>
        </w:rPr>
      </w:pPr>
    </w:p>
    <w:p>
      <w:pPr>
        <w:ind w:right="80" w:firstLine="317"/>
        <w:spacing w:after="0" w:line="220" w:lineRule="auto"/>
        <w:rPr>
          <w:sz w:val="20"/>
          <w:szCs w:val="20"/>
          <w:color w:val="auto"/>
        </w:rPr>
      </w:pPr>
      <w:r>
        <w:rPr>
          <w:rFonts w:ascii="Times New Roman" w:cs="Times New Roman" w:eastAsia="Times New Roman" w:hAnsi="Times New Roman"/>
          <w:sz w:val="17"/>
          <w:szCs w:val="17"/>
          <w:color w:val="auto"/>
        </w:rPr>
        <w:t>Our products are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line of scientifically validated dietary supplements, LifeVantage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Omega+, ProBio, IC Bright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Rise AM, Reset PM, D3+, Daily Wellness, and PhysIQ Fat Burn and Prebiotic dietary supplements,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our line of skin and hair care products and Liquid Collagen, Petandim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our companion pet supplement formulated to combat oxidative stress in dogs, and AXIO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our nootropic energy drink mixes.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product line includes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NRF1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Nrf2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NAD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NRF1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Nrf2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NAD 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products together, marketed as the Protandim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Tri-Synergizer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has been shown to produce synergistic benefits greater than using the single products on their own. LifeVantage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Omega+ is a dietary supplement that combines DHA and EPA Omega-3 fatty acids, omega-7 fatty acids, and vitamin D3 to support cognitive health, cardiovascular health, skin health, and the immune system. LifeVantage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ProBio is a dietary supplement designed to support optimal digestion and immune system function. LifeVantage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Daily Wellness is a dietary supplement designed to support immune health. IC Bright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a dietary supplement to help support eye and brain health, reduce eye fatigue and strain, support cognitive functions, and may help support normal sleep patterns. PhysIQ Fat Burn is a dietary supplement designed to support weight management, and PhysIQ Prebiotic is a dietary supplement designed to support a healthy digestive tract. Our Nrf2 enhanced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line of anti-aging skin and hair care products includes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TrueClean Refining Cleanser,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TrueRenew Daily Firming Complex,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TrueLift Illuminating Eye Cream,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TrueHydrate Brightening Moisturizer,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TrueTone Perfecting Lotion,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TrueProtect Daily Mineral Sunstick SPF 30,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Perfecting Lotion,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Hand Cream,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Invigorating Shampoo,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Nourishing Conditioner,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Scalp Serum, and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Liquid Collagen.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Liquid Collagen activates, replenishes, and maintains collagen to support firmness and elasticity from within. Petandim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a supplement specially formulated to combat oxidative stress in dogs through Nrf2 activation. AXIO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is our line of our nootropic energy drink mixes formulated to promote alertness and support mental performance. We believe our significant number of customers who regularly and repeatedly purchase our products is a strong indicator of the health benefits of our products.</w:t>
      </w:r>
    </w:p>
    <w:p>
      <w:pPr>
        <w:spacing w:after="0" w:line="130" w:lineRule="exact"/>
        <w:rPr>
          <w:sz w:val="20"/>
          <w:szCs w:val="20"/>
          <w:color w:val="auto"/>
        </w:rPr>
      </w:pPr>
    </w:p>
    <w:p>
      <w:pPr>
        <w:ind w:firstLine="317"/>
        <w:spacing w:after="0" w:line="225" w:lineRule="auto"/>
        <w:rPr>
          <w:sz w:val="20"/>
          <w:szCs w:val="20"/>
          <w:color w:val="auto"/>
        </w:rPr>
      </w:pPr>
      <w:r>
        <w:rPr>
          <w:rFonts w:ascii="Times New Roman" w:cs="Times New Roman" w:eastAsia="Times New Roman" w:hAnsi="Times New Roman"/>
          <w:sz w:val="18"/>
          <w:szCs w:val="18"/>
          <w:color w:val="auto"/>
        </w:rPr>
        <w:t>We sell our products both individually and in stacks. A stack consists of multiple products bundled together that are designed to achieve a specific result. In fiscal year 2024, our stack strategy evolved with a focus on the brand message of Activation with three stacks that tell the unique LifeVantage Activation story from an inside-out approach. This builds upon the synergistic benefits that were demonstrated in fiscal year 2023 with our Healthy Glow Essentials stack. The Inside-Out Activation Duo features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TrueRenew Daily Firming Complex. This duo activates antioxidants for good health on the inside and a cleaner, kinder retinol alternative for skin that looks and feels healthy and youthful on the outside. The LifeVantage Activation Essentials Stack contains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Liquid Collagen, and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TrueRenew Daily Firming Complex. Finally our Healthy Glow + Activated Skin Care Collection contains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Liquid Collagen, and the full Activated Skin Care Collection. We continue to offer other popular packs such as the Vitality Stack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NRF1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Omega+ and LifeVantage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ProBio), the Ultimate Stack (Vitality Stack +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PhysIQ Prebiotic), and the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Tri-Synergizer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NRF1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Protandim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ind w:right="80" w:firstLine="397"/>
        <w:spacing w:after="0" w:line="270" w:lineRule="auto"/>
        <w:rPr>
          <w:sz w:val="20"/>
          <w:szCs w:val="20"/>
          <w:color w:val="auto"/>
        </w:rPr>
      </w:pPr>
      <w:r>
        <w:rPr>
          <w:rFonts w:ascii="Times New Roman" w:cs="Times New Roman" w:eastAsia="Times New Roman" w:hAnsi="Times New Roman"/>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consultants and customers.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Plan for our Independent Consultants</w:t>
      </w:r>
    </w:p>
    <w:p>
      <w:pPr>
        <w:spacing w:after="0" w:line="152" w:lineRule="exact"/>
        <w:rPr>
          <w:sz w:val="20"/>
          <w:szCs w:val="20"/>
          <w:color w:val="auto"/>
        </w:rPr>
      </w:pPr>
    </w:p>
    <w:p>
      <w:pPr>
        <w:jc w:val="both"/>
        <w:ind w:right="440" w:firstLine="397"/>
        <w:spacing w:after="0" w:line="258" w:lineRule="auto"/>
        <w:rPr>
          <w:sz w:val="20"/>
          <w:szCs w:val="20"/>
          <w:color w:val="auto"/>
        </w:rPr>
      </w:pPr>
      <w:r>
        <w:rPr>
          <w:rFonts w:ascii="Times New Roman" w:cs="Times New Roman" w:eastAsia="Times New Roman" w:hAnsi="Times New Roman"/>
          <w:sz w:val="18"/>
          <w:szCs w:val="18"/>
          <w:color w:val="auto"/>
        </w:rPr>
        <w:t>On March 1, 2023, we launched a new compensation plan for our Independent Consultants in the United States, Japan, Australia, and New Zealand markets. We refer to this compensation plan as our Evolve Compensation Plan. On February 1, 2024, we launched the Evolve Compensation Plan in the Canada, Mexico, and Europe markets.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139" w:lineRule="exact"/>
        <w:rPr>
          <w:sz w:val="20"/>
          <w:szCs w:val="20"/>
          <w:color w:val="auto"/>
        </w:rPr>
      </w:pPr>
    </w:p>
    <w:p>
      <w:pPr>
        <w:jc w:val="both"/>
        <w:ind w:right="140" w:firstLine="397"/>
        <w:spacing w:after="0" w:line="258" w:lineRule="auto"/>
        <w:rPr>
          <w:sz w:val="20"/>
          <w:szCs w:val="20"/>
          <w:color w:val="auto"/>
        </w:rPr>
      </w:pPr>
      <w:r>
        <w:rPr>
          <w:rFonts w:ascii="Times New Roman" w:cs="Times New Roman" w:eastAsia="Times New Roman" w:hAnsi="Times New Roman"/>
          <w:sz w:val="18"/>
          <w:szCs w:val="18"/>
          <w:color w:val="auto"/>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9" w:name="page20"/>
    <w:bookmarkEnd w:id="19"/>
    <w:p>
      <w:pPr>
        <w:ind w:right="80"/>
        <w:spacing w:after="0" w:line="270" w:lineRule="auto"/>
        <w:rPr>
          <w:sz w:val="20"/>
          <w:szCs w:val="20"/>
          <w:color w:val="auto"/>
        </w:rPr>
      </w:pPr>
      <w:r>
        <w:rPr>
          <w:rFonts w:ascii="Times New Roman" w:cs="Times New Roman" w:eastAsia="Times New Roman" w:hAnsi="Times New Roman"/>
          <w:sz w:val="18"/>
          <w:szCs w:val="18"/>
          <w:color w:val="auto"/>
        </w:rPr>
        <w:t>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spacing w:after="0" w:line="103"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95"/>
              <w:spacing w:after="0" w:line="157"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3280" w:type="dxa"/>
            <w:vAlign w:val="bottom"/>
          </w:tcPr>
          <w:p>
            <w:pPr>
              <w:spacing w:after="0"/>
              <w:rPr>
                <w:sz w:val="9"/>
                <w:szCs w:val="9"/>
                <w:color w:val="auto"/>
              </w:rPr>
            </w:pPr>
          </w:p>
        </w:tc>
        <w:tc>
          <w:tcPr>
            <w:tcW w:w="16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Independent Consultants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Active Independent Consultants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Accounts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8"/>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Active Accounts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and 2023</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generated net revenue of $47.2 million and $51.4 million during the three months ended September 30, 2024 and 2023,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fluctuations negatively impacted our revenue by $0.2 million, or 0.4%, during the three months ended September 30, 2024.</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three months ended September 30, 2024 and 2023 for the Americas region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660" w:type="dxa"/>
            <w:vAlign w:val="bottom"/>
          </w:tcPr>
          <w:p>
            <w:pPr>
              <w:spacing w:after="0"/>
              <w:rPr>
                <w:sz w:val="15"/>
                <w:szCs w:val="15"/>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Americas Total</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38,514</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397"/>
        <w:spacing w:after="0" w:line="254" w:lineRule="auto"/>
        <w:rPr>
          <w:sz w:val="20"/>
          <w:szCs w:val="20"/>
          <w:color w:val="auto"/>
        </w:rPr>
      </w:pPr>
      <w:r>
        <w:rPr>
          <w:rFonts w:ascii="Times New Roman" w:cs="Times New Roman" w:eastAsia="Times New Roman" w:hAnsi="Times New Roman"/>
          <w:sz w:val="17"/>
          <w:szCs w:val="17"/>
          <w:color w:val="auto"/>
        </w:rPr>
        <w:t>Revenue in the Americas region for the three months ended September 30, 2024 decreased $1.6 million, or 4.2%, from the prior year period. Total Active Accounts decreased 6.1% in the region compared to the prior year period. The average revenue per account increased due to changes in our product sales mix and increased shipping charges. Revenue related to our TrueScience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Liquid Collagen product, including the product when sold as part of a bundle, declined slightly to approximately $9.7 million for the three months ended September 30, 2024 compared to approximately $10.0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 w:name="page21"/>
    <w:bookmarkEnd w:id="20"/>
    <w:p>
      <w:pPr>
        <w:ind w:right="240" w:firstLine="397"/>
        <w:spacing w:after="0" w:line="270" w:lineRule="auto"/>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three months ended September 30, 2024 and 2023 for the Asia/Pacific &amp; Europe region and its principal markets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5660" w:type="dxa"/>
            <w:vAlign w:val="bottom"/>
          </w:tcPr>
          <w:p>
            <w:pPr>
              <w:spacing w:after="0"/>
              <w:rPr>
                <w:sz w:val="15"/>
                <w:szCs w:val="15"/>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 &amp; New Zealand</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397"/>
        <w:spacing w:after="0" w:line="280" w:lineRule="auto"/>
        <w:rPr>
          <w:sz w:val="20"/>
          <w:szCs w:val="20"/>
          <w:color w:val="auto"/>
        </w:rPr>
      </w:pPr>
      <w:r>
        <w:rPr>
          <w:rFonts w:ascii="Times New Roman" w:cs="Times New Roman" w:eastAsia="Times New Roman" w:hAnsi="Times New Roman"/>
          <w:sz w:val="17"/>
          <w:szCs w:val="17"/>
          <w:color w:val="auto"/>
        </w:rPr>
        <w:t>Revenue in the Asia/Pacific &amp; Europe region decreased $2.5 million, or 19.7%, for the three months ended September 30, 2024, as compared to the prior year period. Total Active Accounts in the region decreased 20.5% compared to the prior year period. Decreases in total Active Accounts, along with negative impacts from foreign currency exchange rate fluctuations, have contributed to the overall decrease in revenue within the Asia/Pacific &amp; Europe region.</w:t>
      </w:r>
    </w:p>
    <w:p>
      <w:pPr>
        <w:spacing w:after="0" w:line="96" w:lineRule="exact"/>
        <w:rPr>
          <w:sz w:val="20"/>
          <w:szCs w:val="20"/>
          <w:color w:val="auto"/>
        </w:rPr>
      </w:pPr>
    </w:p>
    <w:p>
      <w:pPr>
        <w:ind w:right="20" w:firstLine="397"/>
        <w:spacing w:after="0" w:line="241" w:lineRule="auto"/>
        <w:rPr>
          <w:sz w:val="20"/>
          <w:szCs w:val="20"/>
          <w:color w:val="auto"/>
        </w:rPr>
      </w:pPr>
      <w:r>
        <w:rPr>
          <w:rFonts w:ascii="Times New Roman" w:cs="Times New Roman" w:eastAsia="Times New Roman" w:hAnsi="Times New Roman"/>
          <w:sz w:val="18"/>
          <w:szCs w:val="18"/>
          <w:color w:val="auto"/>
        </w:rPr>
        <w:t>Overall, revenue in the Asia/Pacific &amp; Europe region was negatively impacted by foreign currency exchange rate fluctuations in the amount of approximately $0.1 million, or 1.0%, during the three months ended September 30, 2024, as compared to the prior year period, mainly due to currency fluctuations in Japan. Revenue in Japan was negatively impacted by foreign exchange rate fluctuations in the amount of approximately $0.2 million, or 2.3%, during the three months ended September 30, 2024, as compared to the prior year period. Negative foreign exchange rate fluctuations in Japan were partially offset by gains in other markets. On a constant currency basis, revenue in Japan decreased 18.2% for the three months ended September 30, 2024, as compared to the prior year period. The decrease in revenue on a constant currency basis in Japan during three months ended September 30, 2024 was due to a 13.8% decrease in our Active Accounts in that region. The decrease was coupled with a decrease in the average revenue per account, primarily from a decrease in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Liquid Collagen related revenue. Revenue related to TrueScience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Liquid Collagen was approximately $0.6 million for the three months ended September 30, 2024 compared to $1.1 million in the prior year period.</w:t>
      </w:r>
    </w:p>
    <w:p>
      <w:pPr>
        <w:spacing w:after="0" w:line="119" w:lineRule="exact"/>
        <w:rPr>
          <w:sz w:val="20"/>
          <w:szCs w:val="20"/>
          <w:color w:val="auto"/>
        </w:rPr>
      </w:pPr>
    </w:p>
    <w:p>
      <w:pPr>
        <w:ind w:right="40" w:firstLine="397"/>
        <w:spacing w:after="0" w:line="242" w:lineRule="auto"/>
        <w:rPr>
          <w:sz w:val="20"/>
          <w:szCs w:val="20"/>
          <w:color w:val="auto"/>
        </w:rPr>
      </w:pPr>
      <w:r>
        <w:rPr>
          <w:rFonts w:ascii="Times New Roman" w:cs="Times New Roman" w:eastAsia="Times New Roman" w:hAnsi="Times New Roman"/>
          <w:sz w:val="18"/>
          <w:szCs w:val="18"/>
          <w:color w:val="auto"/>
        </w:rPr>
        <w:t>Globally, our sales and marketing efforts continue to be directed toward strengthening our core business through our fiscal year initiatives and building our worldwide sales. In October 2023, we relaunched our TrueScience® Skin Care line with entirely new branding premium packaging, and improved formulas. Rebranded as the TrueScience® Activated Skin Care Collection, this line includes TrueClean Refining Cleanser, TrueRenew Daily Firming Complex, TrueLift Illuminating Eye Cream, and TrueHydrate Brightening Moisturizer. This was a global launch in all markets. In the United States, we also launched TrueScience® TrueProtect Daily Mineral Sunstick, a broad-spectrum, 30 SPF mineral sunscreen that addresses the appearance of sun-induced hyperpigmentation and wrinkles as it protects against future damage. In October 2024, we launched our MindBody GLP-1 System</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in the United States. This is a dual-product solution designed to balance hunger hormones, build healthier habits, and help individuals reach and maintain their ideal weight. We will continue the refinement and expansion of our product offerings internationally during fiscal year 2025 and beyond. We expect this expansion will continue to drive revenue growth globally through increased average order size and increased ability to attract and retain new independent consultants and customers with a compelling product lineup.</w:t>
      </w:r>
    </w:p>
    <w:p>
      <w:pPr>
        <w:spacing w:after="0" w:line="125" w:lineRule="exact"/>
        <w:rPr>
          <w:sz w:val="20"/>
          <w:szCs w:val="20"/>
          <w:color w:val="auto"/>
        </w:rPr>
      </w:pPr>
    </w:p>
    <w:p>
      <w:pPr>
        <w:ind w:right="2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were $9.5 million and $10.2 million for the three months ended September 30, 2024 and 2023, respectively, resulting in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percentages of 79.9% and 80.2%, respectively. The increase in cost of sales as a percentage of revenue is primarily due to a shift in product mix, changes in raw material and manufacturing related costs, shipping to customer expenses, and warehouse fulfillment expenses during the three months ended September 30, 2024.</w:t>
      </w:r>
    </w:p>
    <w:p>
      <w:pPr>
        <w:spacing w:after="0" w:line="115" w:lineRule="exact"/>
        <w:rPr>
          <w:sz w:val="20"/>
          <w:szCs w:val="20"/>
          <w:color w:val="auto"/>
        </w:rPr>
      </w:pPr>
    </w:p>
    <w:p>
      <w:pPr>
        <w:ind w:right="6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during the three months ended September 30, 2024 were $20.3 million, or 43.0%,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 compared to $22.5 million, or 43.8%, of revenue for the three months ended September 30, 2023. The decrease in commissions and incentives expenses as a percentage of revenue compared to the prior year period is due to changes in sales mix and the timing and magnitude of our various promotional and incentive programs.</w:t>
      </w:r>
    </w:p>
    <w:p>
      <w:pPr>
        <w:spacing w:after="0" w:line="104" w:lineRule="exact"/>
        <w:rPr>
          <w:sz w:val="20"/>
          <w:szCs w:val="20"/>
          <w:color w:val="auto"/>
        </w:rPr>
      </w:pPr>
    </w:p>
    <w:p>
      <w:pPr>
        <w:ind w:right="100" w:firstLine="397"/>
        <w:spacing w:after="0" w:line="270" w:lineRule="auto"/>
        <w:rPr>
          <w:sz w:val="20"/>
          <w:szCs w:val="20"/>
          <w:color w:val="auto"/>
        </w:rPr>
      </w:pPr>
      <w:r>
        <w:rPr>
          <w:rFonts w:ascii="Times New Roman" w:cs="Times New Roman" w:eastAsia="Times New Roman" w:hAnsi="Times New Roman"/>
          <w:sz w:val="18"/>
          <w:szCs w:val="18"/>
          <w:color w:val="auto"/>
        </w:rPr>
        <w:t>Commissions and incentives expenses, as a percentage of revenue, may fluctuate in future periods based on our ability to hold incentive trips and events and the timing and magnitude of compensation, incentive and promotional programs.</w:t>
      </w:r>
    </w:p>
    <w:p>
      <w:pPr>
        <w:spacing w:after="0" w:line="101" w:lineRule="exact"/>
        <w:rPr>
          <w:sz w:val="20"/>
          <w:szCs w:val="20"/>
          <w:color w:val="auto"/>
        </w:rPr>
      </w:pPr>
    </w:p>
    <w:p>
      <w:pPr>
        <w:ind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during the three months ended September 30, 2024 were $14.8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31.4%, of revenue as compared to $18.0 million, or 35.0%, of revenue for the three months ended September 30, 2023. The decrease in selling, general and administrative expenses as a percentage of revenue during the three months ended September 30, 2024 compared to the prior year period is primarily due to decreased proxy contest related expenses and the termination of our endorsement agreement with Real Salt Lake in December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1" w:name="page22"/>
    <w:bookmarkEnd w:id="21"/>
    <w:p>
      <w:pPr>
        <w:ind w:right="8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Total Other Income. </w:t>
      </w:r>
      <w:r>
        <w:rPr>
          <w:rFonts w:ascii="Times New Roman" w:cs="Times New Roman" w:eastAsia="Times New Roman" w:hAnsi="Times New Roman"/>
          <w:sz w:val="18"/>
          <w:szCs w:val="18"/>
          <w:color w:val="auto"/>
        </w:rPr>
        <w:t>During the three months ended September 30, 2024 we recognized total net other income of $8,000 as compared to $0.1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Total net other income for the three months ended September 30, 2024 and 2023 consisted primarily of interest income, offset by foreign currency gains and losses.</w:t>
      </w:r>
    </w:p>
    <w:p>
      <w:pPr>
        <w:spacing w:after="0" w:line="9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recognized income tax expense of $0.8 million for the three months ended September 30, 2024, as compared to $0.2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The effective tax rate for the three months ended September 30, 2024 was 29.2% compared to 24.1% for the three months ended September 30, 2023.</w:t>
      </w:r>
    </w:p>
    <w:p>
      <w:pPr>
        <w:spacing w:after="0" w:line="99" w:lineRule="exact"/>
        <w:rPr>
          <w:sz w:val="20"/>
          <w:szCs w:val="20"/>
          <w:color w:val="auto"/>
        </w:rPr>
      </w:pPr>
    </w:p>
    <w:p>
      <w:pPr>
        <w:ind w:right="240" w:firstLine="397"/>
        <w:spacing w:after="0" w:line="255" w:lineRule="auto"/>
        <w:rPr>
          <w:sz w:val="20"/>
          <w:szCs w:val="20"/>
          <w:color w:val="auto"/>
        </w:rPr>
      </w:pPr>
      <w:r>
        <w:rPr>
          <w:rFonts w:ascii="Times New Roman" w:cs="Times New Roman" w:eastAsia="Times New Roman" w:hAnsi="Times New Roman"/>
          <w:sz w:val="18"/>
          <w:szCs w:val="18"/>
          <w:color w:val="auto"/>
        </w:rPr>
        <w:t>The change in the effective tax rate for the three months ended September 30, 2024 compared to the prior year period was primarily due to changes in taxable income and the impact of discrete items.</w:t>
      </w:r>
    </w:p>
    <w:p>
      <w:pPr>
        <w:spacing w:after="0" w:line="102" w:lineRule="exact"/>
        <w:rPr>
          <w:sz w:val="20"/>
          <w:szCs w:val="20"/>
          <w:color w:val="auto"/>
        </w:rPr>
      </w:pPr>
    </w:p>
    <w:p>
      <w:pPr>
        <w:ind w:right="280" w:firstLine="397"/>
        <w:spacing w:after="0" w:line="258" w:lineRule="auto"/>
        <w:rPr>
          <w:sz w:val="20"/>
          <w:szCs w:val="20"/>
          <w:color w:val="auto"/>
        </w:rPr>
      </w:pPr>
      <w:r>
        <w:rPr>
          <w:rFonts w:ascii="Times New Roman" w:cs="Times New Roman" w:eastAsia="Times New Roman" w:hAnsi="Times New Roman"/>
          <w:sz w:val="18"/>
          <w:szCs w:val="18"/>
          <w:color w:val="auto"/>
        </w:rPr>
        <w:t>We expect that our effective tax rate will fluctuate slightly during the remainder of fiscal 2025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37" w:lineRule="exact"/>
        <w:rPr>
          <w:sz w:val="20"/>
          <w:szCs w:val="20"/>
          <w:color w:val="auto"/>
        </w:rPr>
      </w:pPr>
    </w:p>
    <w:p>
      <w:pPr>
        <w:ind w:right="60" w:firstLine="397"/>
        <w:spacing w:after="0" w:line="253"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our credit facility. We have generally relied on cash flow from operations to fund operating activities and we have, at times, incurred long-term debt in order to fund stock repurchases and strategic transactions.</w:t>
      </w:r>
    </w:p>
    <w:p>
      <w:pPr>
        <w:spacing w:after="0" w:line="119" w:lineRule="exact"/>
        <w:rPr>
          <w:sz w:val="20"/>
          <w:szCs w:val="20"/>
          <w:color w:val="auto"/>
        </w:rPr>
      </w:pPr>
    </w:p>
    <w:p>
      <w:pPr>
        <w:ind w:right="140" w:firstLine="397"/>
        <w:spacing w:after="0" w:line="270" w:lineRule="auto"/>
        <w:rPr>
          <w:sz w:val="20"/>
          <w:szCs w:val="20"/>
          <w:color w:val="auto"/>
        </w:rPr>
      </w:pPr>
      <w:r>
        <w:rPr>
          <w:rFonts w:ascii="Times New Roman" w:cs="Times New Roman" w:eastAsia="Times New Roman" w:hAnsi="Times New Roman"/>
          <w:sz w:val="18"/>
          <w:szCs w:val="18"/>
          <w:color w:val="auto"/>
        </w:rPr>
        <w:t>As of September 30, 2024, our available liquidity was $14.6 million, which consisted of available cash and cash equivalents. This represents a decrease of $2.3 million from the $16.9 million in cash and cash equivalents as of June 30, 2024.</w:t>
      </w:r>
    </w:p>
    <w:p>
      <w:pPr>
        <w:spacing w:after="0" w:line="103" w:lineRule="exact"/>
        <w:rPr>
          <w:sz w:val="20"/>
          <w:szCs w:val="20"/>
          <w:color w:val="auto"/>
        </w:rPr>
      </w:pPr>
    </w:p>
    <w:p>
      <w:pPr>
        <w:ind w:right="420" w:firstLine="397"/>
        <w:spacing w:after="0" w:line="270" w:lineRule="auto"/>
        <w:rPr>
          <w:sz w:val="20"/>
          <w:szCs w:val="20"/>
          <w:color w:val="auto"/>
        </w:rPr>
      </w:pPr>
      <w:r>
        <w:rPr>
          <w:rFonts w:ascii="Times New Roman" w:cs="Times New Roman" w:eastAsia="Times New Roman" w:hAnsi="Times New Roman"/>
          <w:sz w:val="18"/>
          <w:szCs w:val="18"/>
          <w:color w:val="auto"/>
        </w:rPr>
        <w:t>During the three months ended September 30, 2024, our net cash used by operating activities was $0.6 million as compared to net cash provided by operating activities of $4.8 million during the three months ended September 30, 2023.</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months ended September 30, 2024, our net cash used in investing activities was $0.3 million, as a result of the purchase of fixed assets.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2023, our net cash used in investing activities was $1.1 million, as a result of the purchase of fixed assets.</w:t>
      </w:r>
    </w:p>
    <w:p>
      <w:pPr>
        <w:spacing w:after="0" w:line="132" w:lineRule="exact"/>
        <w:rPr>
          <w:sz w:val="20"/>
          <w:szCs w:val="20"/>
          <w:color w:val="auto"/>
        </w:rPr>
      </w:pPr>
    </w:p>
    <w:p>
      <w:pPr>
        <w:ind w:right="40" w:firstLine="397"/>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September 30, 2024 was $1.8 million as a result of our payment of cash dividends, repurchases of common stock, and shares purchased as payment of tax withholding upon vesting of equity awards, partially offset by proceeds from stock issued under our employee stock purchase plan. Cash used in financing activities during the three months ended September 30, 2023 was $6.7 million as a result of our payment of cash dividends, which consisted of a special one-time dividend, the repurchase of common stock, and shares purchased as payment of tax withholding upon vesting of equity awards, partially offset by proceeds from stock issued under our employee stock purchase plan and stock option exercises.</w:t>
      </w:r>
    </w:p>
    <w:p>
      <w:pPr>
        <w:spacing w:after="0" w:line="121" w:lineRule="exact"/>
        <w:rPr>
          <w:sz w:val="20"/>
          <w:szCs w:val="20"/>
          <w:color w:val="auto"/>
        </w:rPr>
      </w:pPr>
    </w:p>
    <w:p>
      <w:pPr>
        <w:jc w:val="both"/>
        <w:ind w:right="180" w:firstLine="397"/>
        <w:spacing w:after="0" w:line="258" w:lineRule="auto"/>
        <w:rPr>
          <w:sz w:val="20"/>
          <w:szCs w:val="20"/>
          <w:color w:val="auto"/>
        </w:rPr>
      </w:pPr>
      <w:r>
        <w:rPr>
          <w:rFonts w:ascii="Times New Roman" w:cs="Times New Roman" w:eastAsia="Times New Roman" w:hAnsi="Times New Roman"/>
          <w:sz w:val="18"/>
          <w:szCs w:val="18"/>
          <w:color w:val="auto"/>
        </w:rPr>
        <w:t>At September 30, 2024 and June 30, 2024, the total amount of our foreign subsidiary cash was $7.2 million and $7.3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spacing w:after="0" w:line="99" w:lineRule="exact"/>
        <w:rPr>
          <w:sz w:val="20"/>
          <w:szCs w:val="20"/>
          <w:color w:val="auto"/>
        </w:rPr>
      </w:pPr>
    </w:p>
    <w:p>
      <w:pPr>
        <w:ind w:right="20" w:firstLine="397"/>
        <w:spacing w:after="0" w:line="249" w:lineRule="auto"/>
        <w:rPr>
          <w:sz w:val="20"/>
          <w:szCs w:val="20"/>
          <w:color w:val="auto"/>
        </w:rPr>
      </w:pPr>
      <w:r>
        <w:rPr>
          <w:rFonts w:ascii="Times New Roman" w:cs="Times New Roman" w:eastAsia="Times New Roman" w:hAnsi="Times New Roman"/>
          <w:sz w:val="18"/>
          <w:szCs w:val="18"/>
          <w:color w:val="auto"/>
        </w:rPr>
        <w:t>At September 30, 2024, we had working capital (current assets minus current liabilities) of $16.7 million, compared to working capital of $15.3 million at June 30, 2024.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(as defined below), provides for a revolving line of credit in an aggregate principal amount not to exceed $5.0 million. We would also consider realigning our strategic plans including a reduction in capital spending and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39" w:lineRule="exact"/>
        <w:rPr>
          <w:sz w:val="20"/>
          <w:szCs w:val="20"/>
          <w:color w:val="auto"/>
        </w:rPr>
      </w:pPr>
    </w:p>
    <w:p>
      <w:pPr>
        <w:ind w:right="180" w:firstLine="397"/>
        <w:spacing w:after="0" w:line="258" w:lineRule="auto"/>
        <w:rPr>
          <w:sz w:val="20"/>
          <w:szCs w:val="20"/>
          <w:color w:val="auto"/>
        </w:rPr>
      </w:pPr>
      <w:r>
        <w:rPr>
          <w:rFonts w:ascii="Times New Roman" w:cs="Times New Roman" w:eastAsia="Times New Roman" w:hAnsi="Times New Roman"/>
          <w:sz w:val="18"/>
          <w:szCs w:val="18"/>
          <w:color w:val="auto"/>
        </w:rPr>
        <w:t>On March 31, 2023, we filed a shelf registration statement on Form S-3 (the “2023 Shelf Registration”) with the Securities and Exchange Commission (“SEC”) that was declared effective on April 6, 2023, which permits us to offer up to $75 million of common stock, preferred stock, debt securities and warrants in one or more offerings and in any combination,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2" w:name="page23"/>
    <w:bookmarkEnd w:id="22"/>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Facility</w:t>
      </w:r>
    </w:p>
    <w:p>
      <w:pPr>
        <w:spacing w:after="0" w:line="139" w:lineRule="exact"/>
        <w:rPr>
          <w:sz w:val="20"/>
          <w:szCs w:val="20"/>
          <w:color w:val="auto"/>
        </w:rPr>
      </w:pPr>
    </w:p>
    <w:p>
      <w:pPr>
        <w:ind w:right="160" w:firstLine="397"/>
        <w:spacing w:after="0" w:line="269" w:lineRule="auto"/>
        <w:rPr>
          <w:sz w:val="20"/>
          <w:szCs w:val="20"/>
          <w:color w:val="auto"/>
        </w:rPr>
      </w:pPr>
      <w:r>
        <w:rPr>
          <w:rFonts w:ascii="Times New Roman" w:cs="Times New Roman" w:eastAsia="Times New Roman" w:hAnsi="Times New Roman"/>
          <w:sz w:val="17"/>
          <w:szCs w:val="17"/>
          <w:color w:val="auto"/>
        </w:rPr>
        <w:t>On April 12, 2024, we entered into a Loan Agreement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w:t>
      </w:r>
    </w:p>
    <w:p>
      <w:pPr>
        <w:spacing w:after="0" w:line="107" w:lineRule="exact"/>
        <w:rPr>
          <w:sz w:val="20"/>
          <w:szCs w:val="20"/>
          <w:color w:val="auto"/>
        </w:rPr>
      </w:pPr>
    </w:p>
    <w:p>
      <w:pPr>
        <w:ind w:right="80" w:firstLine="397"/>
        <w:spacing w:after="0" w:line="251" w:lineRule="auto"/>
        <w:rPr>
          <w:sz w:val="20"/>
          <w:szCs w:val="20"/>
          <w:color w:val="auto"/>
        </w:rPr>
      </w:pPr>
      <w:r>
        <w:rPr>
          <w:rFonts w:ascii="Times New Roman" w:cs="Times New Roman" w:eastAsia="Times New Roman" w:hAnsi="Times New Roman"/>
          <w:sz w:val="18"/>
          <w:szCs w:val="18"/>
          <w:color w:val="auto"/>
        </w:rPr>
        <w:t>In the event we borrow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w:t>
      </w:r>
    </w:p>
    <w:p>
      <w:pPr>
        <w:spacing w:after="0" w:line="121"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w:t>
      </w:r>
    </w:p>
    <w:p>
      <w:pPr>
        <w:spacing w:after="0" w:line="99" w:lineRule="exact"/>
        <w:rPr>
          <w:sz w:val="20"/>
          <w:szCs w:val="20"/>
          <w:color w:val="auto"/>
        </w:rPr>
      </w:pPr>
    </w:p>
    <w:p>
      <w:pPr>
        <w:ind w:firstLine="397"/>
        <w:spacing w:after="0" w:line="253" w:lineRule="auto"/>
        <w:rPr>
          <w:sz w:val="20"/>
          <w:szCs w:val="20"/>
          <w:color w:val="auto"/>
        </w:rPr>
      </w:pPr>
      <w:r>
        <w:rPr>
          <w:rFonts w:ascii="Times New Roman" w:cs="Times New Roman" w:eastAsia="Times New Roman" w:hAnsi="Times New Roman"/>
          <w:sz w:val="18"/>
          <w:szCs w:val="18"/>
          <w:color w:val="auto"/>
        </w:rPr>
        <w:t>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w:t>
      </w:r>
    </w:p>
    <w:p>
      <w:pPr>
        <w:spacing w:after="0" w:line="119" w:lineRule="exact"/>
        <w:rPr>
          <w:sz w:val="20"/>
          <w:szCs w:val="20"/>
          <w:color w:val="auto"/>
        </w:rPr>
      </w:pPr>
    </w:p>
    <w:p>
      <w:pPr>
        <w:ind w:right="20" w:firstLine="397"/>
        <w:spacing w:after="0" w:line="248" w:lineRule="auto"/>
        <w:rPr>
          <w:sz w:val="20"/>
          <w:szCs w:val="20"/>
          <w:color w:val="auto"/>
        </w:rPr>
      </w:pPr>
      <w:r>
        <w:rPr>
          <w:rFonts w:ascii="Times New Roman" w:cs="Times New Roman" w:eastAsia="Times New Roman" w:hAnsi="Times New Roman"/>
          <w:sz w:val="18"/>
          <w:szCs w:val="18"/>
          <w:color w:val="auto"/>
        </w:rPr>
        <w:t>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the date of this report, we have not borrowed under the 2024 Credit Facility</w:t>
      </w:r>
      <w:r>
        <w:rPr>
          <w:rFonts w:ascii="Times New Roman" w:cs="Times New Roman" w:eastAsia="Times New Roman" w:hAnsi="Times New Roman"/>
          <w:sz w:val="18"/>
          <w:szCs w:val="18"/>
          <w:i w:val="1"/>
          <w:iCs w:val="1"/>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Please refer to Note 7 to the condensed consolidated financial statements contained in this report for information regarding our contingent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9" w:lineRule="exact"/>
        <w:rPr>
          <w:sz w:val="20"/>
          <w:szCs w:val="20"/>
          <w:color w:val="auto"/>
        </w:rPr>
      </w:pPr>
    </w:p>
    <w:p>
      <w:pPr>
        <w:ind w:right="100" w:firstLine="397"/>
        <w:spacing w:after="0" w:line="265" w:lineRule="auto"/>
        <w:rPr>
          <w:sz w:val="20"/>
          <w:szCs w:val="20"/>
          <w:color w:val="auto"/>
        </w:rPr>
      </w:pPr>
      <w:r>
        <w:rPr>
          <w:rFonts w:ascii="Times New Roman" w:cs="Times New Roman" w:eastAsia="Times New Roman" w:hAnsi="Times New Roman"/>
          <w:sz w:val="17"/>
          <w:szCs w:val="17"/>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20" w:right="399" w:bottom="1440" w:gutter="0" w:footer="0" w:header="0"/>
        </w:sectPr>
      </w:pPr>
    </w:p>
    <w:bookmarkStart w:id="23" w:name="page24"/>
    <w:bookmarkEnd w:id="23"/>
    <w:p>
      <w:pPr>
        <w:ind w:right="220" w:firstLine="397"/>
        <w:spacing w:after="0" w:line="258"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Valuation</w:t>
      </w:r>
    </w:p>
    <w:p>
      <w:pPr>
        <w:spacing w:after="0" w:line="150" w:lineRule="exact"/>
        <w:rPr>
          <w:sz w:val="20"/>
          <w:szCs w:val="20"/>
          <w:color w:val="auto"/>
        </w:rPr>
      </w:pPr>
    </w:p>
    <w:p>
      <w:pPr>
        <w:ind w:right="40" w:firstLine="397"/>
        <w:spacing w:after="0" w:line="273" w:lineRule="auto"/>
        <w:rPr>
          <w:sz w:val="20"/>
          <w:szCs w:val="20"/>
          <w:color w:val="auto"/>
        </w:rPr>
      </w:pPr>
      <w:r>
        <w:rPr>
          <w:rFonts w:ascii="Times New Roman" w:cs="Times New Roman" w:eastAsia="Times New Roman" w:hAnsi="Times New Roman"/>
          <w:sz w:val="17"/>
          <w:szCs w:val="17"/>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37" w:lineRule="exact"/>
        <w:rPr>
          <w:sz w:val="20"/>
          <w:szCs w:val="20"/>
          <w:color w:val="auto"/>
        </w:rPr>
      </w:pPr>
    </w:p>
    <w:p>
      <w:pPr>
        <w:ind w:right="20" w:firstLine="397"/>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w:t>
      </w:r>
    </w:p>
    <w:p>
      <w:pPr>
        <w:spacing w:after="0" w:line="112" w:lineRule="exact"/>
        <w:rPr>
          <w:sz w:val="20"/>
          <w:szCs w:val="20"/>
          <w:color w:val="auto"/>
        </w:rPr>
      </w:pPr>
    </w:p>
    <w:p>
      <w:pPr>
        <w:ind w:right="40" w:firstLine="397"/>
        <w:spacing w:after="0" w:line="251" w:lineRule="auto"/>
        <w:rPr>
          <w:sz w:val="20"/>
          <w:szCs w:val="20"/>
          <w:color w:val="auto"/>
        </w:rPr>
      </w:pPr>
      <w:r>
        <w:rPr>
          <w:rFonts w:ascii="Times New Roman" w:cs="Times New Roman" w:eastAsia="Times New Roman" w:hAnsi="Times New Roman"/>
          <w:sz w:val="18"/>
          <w:szCs w:val="18"/>
          <w:color w:val="auto"/>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37" w:lineRule="exact"/>
        <w:rPr>
          <w:sz w:val="20"/>
          <w:szCs w:val="20"/>
          <w:color w:val="auto"/>
        </w:rPr>
      </w:pPr>
    </w:p>
    <w:p>
      <w:pPr>
        <w:ind w:right="420" w:firstLine="397"/>
        <w:spacing w:after="0" w:line="270" w:lineRule="auto"/>
        <w:rPr>
          <w:sz w:val="20"/>
          <w:szCs w:val="20"/>
          <w:color w:val="auto"/>
        </w:rPr>
      </w:pPr>
      <w:r>
        <w:rPr>
          <w:rFonts w:ascii="Times New Roman" w:cs="Times New Roman" w:eastAsia="Times New Roman" w:hAnsi="Times New Roman"/>
          <w:sz w:val="18"/>
          <w:szCs w:val="18"/>
          <w:color w:val="auto"/>
        </w:rPr>
        <w:t>The provision for income taxes includes income from U.S. and foreign subsidiaries taxed at statutory rates, the accrual or release of amounts for tax uncertainties, and U.S. tax impacts of foreign income in the U.S.</w:t>
      </w:r>
    </w:p>
    <w:p>
      <w:pPr>
        <w:spacing w:after="0" w:line="103" w:lineRule="exact"/>
        <w:rPr>
          <w:sz w:val="20"/>
          <w:szCs w:val="20"/>
          <w:color w:val="auto"/>
        </w:rPr>
      </w:pPr>
    </w:p>
    <w:p>
      <w:pPr>
        <w:ind w:right="20" w:firstLine="397"/>
        <w:spacing w:after="0" w:line="24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spacing w:after="0" w:line="124" w:lineRule="exact"/>
        <w:rPr>
          <w:sz w:val="20"/>
          <w:szCs w:val="20"/>
          <w:color w:val="auto"/>
        </w:rPr>
      </w:pPr>
    </w:p>
    <w:p>
      <w:pPr>
        <w:ind w:firstLine="397"/>
        <w:spacing w:after="0" w:line="248" w:lineRule="auto"/>
        <w:rPr>
          <w:sz w:val="20"/>
          <w:szCs w:val="20"/>
          <w:color w:val="auto"/>
        </w:rPr>
      </w:pPr>
      <w:r>
        <w:rPr>
          <w:rFonts w:ascii="Times New Roman" w:cs="Times New Roman" w:eastAsia="Times New Roman" w:hAnsi="Times New Roman"/>
          <w:sz w:val="18"/>
          <w:szCs w:val="18"/>
          <w:color w:val="auto"/>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spacing w:after="0" w:line="113" w:lineRule="exact"/>
        <w:rPr>
          <w:sz w:val="20"/>
          <w:szCs w:val="20"/>
          <w:color w:val="auto"/>
        </w:rPr>
      </w:pPr>
    </w:p>
    <w:p>
      <w:pPr>
        <w:ind w:right="220" w:firstLine="397"/>
        <w:spacing w:after="0" w:line="258" w:lineRule="auto"/>
        <w:rPr>
          <w:sz w:val="20"/>
          <w:szCs w:val="20"/>
          <w:color w:val="auto"/>
        </w:rPr>
      </w:pPr>
      <w:r>
        <w:rPr>
          <w:rFonts w:ascii="Times New Roman" w:cs="Times New Roman" w:eastAsia="Times New Roman" w:hAnsi="Times New Roman"/>
          <w:sz w:val="18"/>
          <w:szCs w:val="18"/>
          <w:color w:val="auto"/>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This item is 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52" w:lineRule="exact"/>
        <w:rPr>
          <w:sz w:val="20"/>
          <w:szCs w:val="20"/>
          <w:color w:val="auto"/>
        </w:rPr>
      </w:pPr>
    </w:p>
    <w:p>
      <w:pPr>
        <w:ind w:right="60" w:firstLine="397"/>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September 30,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9" w:lineRule="exact"/>
        <w:rPr>
          <w:sz w:val="20"/>
          <w:szCs w:val="20"/>
          <w:color w:val="auto"/>
        </w:rPr>
      </w:pPr>
    </w:p>
    <w:p>
      <w:pPr>
        <w:ind w:right="180" w:firstLine="397"/>
        <w:spacing w:after="0" w:line="251" w:lineRule="auto"/>
        <w:rPr>
          <w:sz w:val="20"/>
          <w:szCs w:val="20"/>
          <w:color w:val="auto"/>
        </w:rPr>
      </w:pPr>
      <w:r>
        <w:rPr>
          <w:rFonts w:ascii="Times New Roman" w:cs="Times New Roman" w:eastAsia="Times New Roman" w:hAnsi="Times New Roman"/>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2024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52" w:lineRule="exact"/>
        <w:rPr>
          <w:sz w:val="20"/>
          <w:szCs w:val="20"/>
          <w:color w:val="auto"/>
        </w:rPr>
      </w:pPr>
    </w:p>
    <w:p>
      <w:pPr>
        <w:ind w:right="20" w:firstLine="397"/>
        <w:spacing w:after="0" w:line="253"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2" w:lineRule="exact"/>
        <w:rPr>
          <w:sz w:val="20"/>
          <w:szCs w:val="20"/>
          <w:color w:val="auto"/>
        </w:rPr>
      </w:pPr>
    </w:p>
    <w:p>
      <w:pPr>
        <w:ind w:right="340" w:firstLine="397"/>
        <w:spacing w:after="0" w:line="270" w:lineRule="auto"/>
        <w:rPr>
          <w:sz w:val="20"/>
          <w:szCs w:val="20"/>
          <w:color w:val="auto"/>
        </w:rPr>
      </w:pPr>
      <w:r>
        <w:rPr>
          <w:rFonts w:ascii="Times New Roman" w:cs="Times New Roman" w:eastAsia="Times New Roman" w:hAnsi="Times New Roman"/>
          <w:sz w:val="18"/>
          <w:szCs w:val="18"/>
          <w:color w:val="auto"/>
        </w:rPr>
        <w:t>See Note 7 to our unaudited condensed consolidated financial statements contained within this quarterly report on Form 10-Q for a discussion of our legal proceedings.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2" w:lineRule="exact"/>
        <w:rPr>
          <w:sz w:val="20"/>
          <w:szCs w:val="20"/>
          <w:color w:val="auto"/>
        </w:rPr>
      </w:pPr>
    </w:p>
    <w:p>
      <w:pPr>
        <w:ind w:firstLine="397"/>
        <w:spacing w:after="0" w:line="25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 Risk Factors” in our annual report on Form 10-K for the fiscal year ended June 30, 2024, filed on August 28, 2024.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9" w:lineRule="exact"/>
        <w:rPr>
          <w:sz w:val="20"/>
          <w:szCs w:val="20"/>
          <w:color w:val="auto"/>
        </w:rPr>
      </w:pPr>
    </w:p>
    <w:p>
      <w:pPr>
        <w:ind w:right="360" w:firstLine="397"/>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with respect to all purchases of our common stock made by or on behalf of the Company or any “affiliated purchaser,” as defined in Rule 10b-18 under the Exchange Act, during the three months ended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September 30, 2024. All purchases listed below were made in the open market at prevailing market prices.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 Number of Shares</w:t>
            </w:r>
          </w:p>
        </w:tc>
        <w:tc>
          <w:tcPr>
            <w:tcW w:w="100" w:type="dxa"/>
            <w:vAlign w:val="bottom"/>
          </w:tcPr>
          <w:p>
            <w:pPr>
              <w:spacing w:after="0"/>
              <w:rPr>
                <w:sz w:val="17"/>
                <w:szCs w:val="17"/>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Maximum Dollar Value of</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 Price Paid Per</w:t>
            </w:r>
          </w:p>
        </w:tc>
        <w:tc>
          <w:tcPr>
            <w:tcW w:w="20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6"/>
              </w:rPr>
              <w:t>Shares that May Yet Be</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Publicly Announced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238"/>
        </w:trPr>
        <w:tc>
          <w:tcPr>
            <w:tcW w:w="27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2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2"/>
                <w:szCs w:val="22"/>
                <w:b w:val="1"/>
                <w:bCs w:val="1"/>
                <w:color w:val="auto"/>
                <w:w w:val="95"/>
                <w:vertAlign w:val="superscript"/>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ind w:right="32"/>
              <w:spacing w:after="0" w:line="238" w:lineRule="exact"/>
              <w:rPr>
                <w:sz w:val="20"/>
                <w:szCs w:val="20"/>
                <w:color w:val="auto"/>
              </w:rPr>
            </w:pPr>
            <w:r>
              <w:rPr>
                <w:rFonts w:ascii="Times New Roman" w:cs="Times New Roman" w:eastAsia="Times New Roman" w:hAnsi="Times New Roman"/>
                <w:sz w:val="18"/>
                <w:szCs w:val="18"/>
                <w:b w:val="1"/>
                <w:bCs w:val="1"/>
                <w:color w:val="auto"/>
                <w:w w:val="95"/>
              </w:rPr>
              <w:t>Plans or Programs</w:t>
            </w:r>
            <w:r>
              <w:rPr>
                <w:rFonts w:ascii="Times New Roman" w:cs="Times New Roman" w:eastAsia="Times New Roman" w:hAnsi="Times New Roman"/>
                <w:sz w:val="22"/>
                <w:szCs w:val="22"/>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20,158,126</w:t>
            </w:r>
          </w:p>
        </w:tc>
        <w:tc>
          <w:tcPr>
            <w:tcW w:w="0" w:type="dxa"/>
            <w:vAlign w:val="bottom"/>
          </w:tcPr>
          <w:p>
            <w:pPr>
              <w:spacing w:after="0"/>
              <w:rPr>
                <w:sz w:val="1"/>
                <w:szCs w:val="1"/>
                <w:color w:val="auto"/>
              </w:rPr>
            </w:pP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19,715,233</w:t>
            </w:r>
          </w:p>
        </w:tc>
        <w:tc>
          <w:tcPr>
            <w:tcW w:w="0" w:type="dxa"/>
            <w:vAlign w:val="bottom"/>
          </w:tcPr>
          <w:p>
            <w:pPr>
              <w:spacing w:after="0"/>
              <w:rPr>
                <w:sz w:val="1"/>
                <w:szCs w:val="1"/>
                <w:color w:val="auto"/>
              </w:rPr>
            </w:pPr>
          </w:p>
        </w:tc>
      </w:tr>
      <w:tr>
        <w:trPr>
          <w:trHeight w:val="22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19,307,478</w:t>
            </w:r>
          </w:p>
        </w:tc>
        <w:tc>
          <w:tcPr>
            <w:tcW w:w="0" w:type="dxa"/>
            <w:vAlign w:val="bottom"/>
          </w:tcPr>
          <w:p>
            <w:pPr>
              <w:spacing w:after="0"/>
              <w:rPr>
                <w:sz w:val="1"/>
                <w:szCs w:val="1"/>
                <w:color w:val="auto"/>
              </w:rPr>
            </w:pPr>
          </w:p>
        </w:tc>
      </w:tr>
      <w:tr>
        <w:trPr>
          <w:trHeight w:val="21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40" w:hanging="317"/>
        <w:spacing w:after="0" w:line="248"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2017, our Board of Directors approved a stock repurchase program, as amended on February 1, 2019, August 27, 2020, February 17, 2022, and June 12, 2023. Under the program,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2" w:lineRule="exact"/>
        <w:rPr>
          <w:sz w:val="20"/>
          <w:szCs w:val="20"/>
          <w:color w:val="auto"/>
        </w:rPr>
      </w:pPr>
    </w:p>
    <w:p>
      <w:pPr>
        <w:ind w:right="40" w:firstLine="397"/>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Company’s directors or officers (as defined in Rule 16a-1(f) of the Exchange Act) informed the Company of adoption, modification or termination of a “Rule 10b5-1 trading arrangement” or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8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44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Filed Herewith or Incorporate by Reference From</w:t>
            </w: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7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40" w:type="dxa"/>
            <w:vAlign w:val="bottom"/>
            <w:gridSpan w:val="13"/>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Certificate of Incorporation, as filed with the Delaware Secretary of</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with the</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State on March 9, 2018</w:t>
              </w:r>
            </w:hyperlink>
          </w:p>
        </w:tc>
        <w:tc>
          <w:tcPr>
            <w:tcW w:w="31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SEC on March 13, 2018.</w:t>
            </w: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Bylaws, dates as of August 9, 2019</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with the</w:t>
            </w:r>
          </w:p>
        </w:tc>
      </w:tr>
      <w:tr>
        <w:trPr>
          <w:trHeight w:val="209"/>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5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on August 15, 2019.</w:t>
            </w:r>
          </w:p>
        </w:tc>
      </w:tr>
      <w:tr>
        <w:trPr>
          <w:trHeight w:val="28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Designation of Series A Junior Participating Preferred</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with the</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Stock of Registrant</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SEC on August 31, 2023.</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7"/>
                <w:szCs w:val="17"/>
                <w:color w:val="0000FF"/>
              </w:rPr>
              <w:t>14(a)/15d-14(a)</w:t>
            </w:r>
          </w:p>
        </w:tc>
        <w:tc>
          <w:tcPr>
            <w:tcW w:w="3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14(a)/15d-14(a)</w:t>
            </w:r>
          </w:p>
        </w:tc>
        <w:tc>
          <w:tcPr>
            <w:tcW w:w="4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906 of the Sarbanes-Oxley Act of 2002</w:t>
            </w:r>
          </w:p>
        </w:tc>
        <w:tc>
          <w:tcPr>
            <w:tcW w:w="2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32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906 of the Sarbanes-Oxley Act of 2002</w:t>
            </w:r>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440" w:type="dxa"/>
            <w:vAlign w:val="bottom"/>
          </w:tcPr>
          <w:p>
            <w:pPr>
              <w:spacing w:after="0"/>
              <w:rPr>
                <w:sz w:val="13"/>
                <w:szCs w:val="13"/>
                <w:color w:val="auto"/>
              </w:rPr>
            </w:pPr>
          </w:p>
        </w:tc>
      </w:tr>
      <w:tr>
        <w:trPr>
          <w:trHeight w:val="3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3"/>
          </w:tcPr>
          <w:p>
            <w:pPr>
              <w:spacing w:after="0" w:line="172" w:lineRule="exact"/>
              <w:rPr>
                <w:sz w:val="20"/>
                <w:szCs w:val="20"/>
                <w:color w:val="auto"/>
              </w:rPr>
            </w:pPr>
            <w:r>
              <w:rPr>
                <w:rFonts w:ascii="Times New Roman" w:cs="Times New Roman" w:eastAsia="Times New Roman" w:hAnsi="Times New Roman"/>
                <w:sz w:val="18"/>
                <w:szCs w:val="18"/>
                <w:color w:val="auto"/>
              </w:rPr>
              <w:t>report on Form 10-Q for the quarter ended September 30, 2024</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80"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w:t>
            </w:r>
          </w:p>
        </w:tc>
        <w:tc>
          <w:tcPr>
            <w:tcW w:w="4440" w:type="dxa"/>
            <w:vAlign w:val="bottom"/>
          </w:tcPr>
          <w:p>
            <w:pPr>
              <w:spacing w:after="0"/>
              <w:rPr>
                <w:sz w:val="15"/>
                <w:szCs w:val="15"/>
                <w:color w:val="auto"/>
              </w:rPr>
            </w:pPr>
          </w:p>
        </w:tc>
      </w:tr>
      <w:tr>
        <w:trPr>
          <w:trHeight w:val="177"/>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77" w:lineRule="exact"/>
              <w:rPr>
                <w:sz w:val="20"/>
                <w:szCs w:val="20"/>
                <w:color w:val="auto"/>
              </w:rPr>
            </w:pPr>
            <w:r>
              <w:rPr>
                <w:rFonts w:ascii="Times New Roman" w:cs="Times New Roman" w:eastAsia="Times New Roman" w:hAnsi="Times New Roman"/>
                <w:sz w:val="18"/>
                <w:szCs w:val="18"/>
                <w:color w:val="auto"/>
              </w:rPr>
              <w:t>(i) Unaudited Condensed Consolidated Balance Sheets at September</w:t>
            </w:r>
          </w:p>
        </w:tc>
        <w:tc>
          <w:tcPr>
            <w:tcW w:w="4440" w:type="dxa"/>
            <w:vAlign w:val="bottom"/>
          </w:tcPr>
          <w:p>
            <w:pPr>
              <w:spacing w:after="0"/>
              <w:rPr>
                <w:sz w:val="15"/>
                <w:szCs w:val="15"/>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3"/>
          </w:tcPr>
          <w:p>
            <w:pPr>
              <w:spacing w:after="0" w:line="172" w:lineRule="exact"/>
              <w:rPr>
                <w:sz w:val="20"/>
                <w:szCs w:val="20"/>
                <w:color w:val="auto"/>
              </w:rPr>
            </w:pPr>
            <w:r>
              <w:rPr>
                <w:rFonts w:ascii="Times New Roman" w:cs="Times New Roman" w:eastAsia="Times New Roman" w:hAnsi="Times New Roman"/>
                <w:sz w:val="18"/>
                <w:szCs w:val="18"/>
                <w:color w:val="auto"/>
              </w:rPr>
              <w:t>30, 2024 and June 30, 2024; (ii) Unaudited Condensed Consolidated</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80" w:lineRule="exact"/>
              <w:rPr>
                <w:sz w:val="20"/>
                <w:szCs w:val="20"/>
                <w:color w:val="auto"/>
              </w:rPr>
            </w:pPr>
            <w:r>
              <w:rPr>
                <w:rFonts w:ascii="Times New Roman" w:cs="Times New Roman" w:eastAsia="Times New Roman" w:hAnsi="Times New Roman"/>
                <w:sz w:val="18"/>
                <w:szCs w:val="18"/>
                <w:color w:val="auto"/>
              </w:rPr>
              <w:t>Statements of Operations and Other Comprehensive Income for the</w:t>
            </w:r>
          </w:p>
        </w:tc>
        <w:tc>
          <w:tcPr>
            <w:tcW w:w="4440" w:type="dxa"/>
            <w:vAlign w:val="bottom"/>
          </w:tcPr>
          <w:p>
            <w:pPr>
              <w:spacing w:after="0"/>
              <w:rPr>
                <w:sz w:val="15"/>
                <w:szCs w:val="15"/>
                <w:color w:val="auto"/>
              </w:rPr>
            </w:pPr>
          </w:p>
        </w:tc>
      </w:tr>
      <w:tr>
        <w:trPr>
          <w:trHeight w:val="177"/>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77" w:lineRule="exact"/>
              <w:rPr>
                <w:sz w:val="20"/>
                <w:szCs w:val="20"/>
                <w:color w:val="auto"/>
              </w:rPr>
            </w:pPr>
            <w:r>
              <w:rPr>
                <w:rFonts w:ascii="Times New Roman" w:cs="Times New Roman" w:eastAsia="Times New Roman" w:hAnsi="Times New Roman"/>
                <w:sz w:val="18"/>
                <w:szCs w:val="18"/>
                <w:color w:val="auto"/>
              </w:rPr>
              <w:t>three months ended September 30, 2024 and 2023; (iii) Unaudited</w:t>
            </w:r>
          </w:p>
        </w:tc>
        <w:tc>
          <w:tcPr>
            <w:tcW w:w="4440" w:type="dxa"/>
            <w:vAlign w:val="bottom"/>
          </w:tcPr>
          <w:p>
            <w:pPr>
              <w:spacing w:after="0"/>
              <w:rPr>
                <w:sz w:val="15"/>
                <w:szCs w:val="15"/>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3"/>
          </w:tcPr>
          <w:p>
            <w:pPr>
              <w:spacing w:after="0" w:line="172" w:lineRule="exact"/>
              <w:rPr>
                <w:sz w:val="20"/>
                <w:szCs w:val="20"/>
                <w:color w:val="auto"/>
              </w:rPr>
            </w:pPr>
            <w:r>
              <w:rPr>
                <w:rFonts w:ascii="Times New Roman" w:cs="Times New Roman" w:eastAsia="Times New Roman" w:hAnsi="Times New Roman"/>
                <w:sz w:val="18"/>
                <w:szCs w:val="18"/>
                <w:color w:val="auto"/>
              </w:rPr>
              <w:t>Condensed Consolidated Statement of Stockholders’ Equity for the</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80" w:lineRule="exact"/>
              <w:rPr>
                <w:sz w:val="20"/>
                <w:szCs w:val="20"/>
                <w:color w:val="auto"/>
              </w:rPr>
            </w:pPr>
            <w:r>
              <w:rPr>
                <w:rFonts w:ascii="Times New Roman" w:cs="Times New Roman" w:eastAsia="Times New Roman" w:hAnsi="Times New Roman"/>
                <w:sz w:val="18"/>
                <w:szCs w:val="18"/>
                <w:color w:val="auto"/>
              </w:rPr>
              <w:t>three months ended September 30, 2024 and 2023; (iv) Unaudited</w:t>
            </w:r>
          </w:p>
        </w:tc>
        <w:tc>
          <w:tcPr>
            <w:tcW w:w="4440" w:type="dxa"/>
            <w:vAlign w:val="bottom"/>
          </w:tcPr>
          <w:p>
            <w:pPr>
              <w:spacing w:after="0"/>
              <w:rPr>
                <w:sz w:val="15"/>
                <w:szCs w:val="15"/>
                <w:color w:val="auto"/>
              </w:rPr>
            </w:pPr>
          </w:p>
        </w:tc>
      </w:tr>
      <w:tr>
        <w:trPr>
          <w:trHeight w:val="177"/>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77"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w:t>
            </w:r>
          </w:p>
        </w:tc>
        <w:tc>
          <w:tcPr>
            <w:tcW w:w="4440" w:type="dxa"/>
            <w:vAlign w:val="bottom"/>
          </w:tcPr>
          <w:p>
            <w:pPr>
              <w:spacing w:after="0"/>
              <w:rPr>
                <w:sz w:val="15"/>
                <w:szCs w:val="15"/>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3"/>
          </w:tcPr>
          <w:p>
            <w:pPr>
              <w:spacing w:after="0" w:line="172" w:lineRule="exact"/>
              <w:rPr>
                <w:sz w:val="20"/>
                <w:szCs w:val="20"/>
                <w:color w:val="auto"/>
              </w:rPr>
            </w:pPr>
            <w:r>
              <w:rPr>
                <w:rFonts w:ascii="Times New Roman" w:cs="Times New Roman" w:eastAsia="Times New Roman" w:hAnsi="Times New Roman"/>
                <w:sz w:val="18"/>
                <w:szCs w:val="18"/>
                <w:color w:val="auto"/>
              </w:rPr>
              <w:t>months ended September 30, 2024 and 2023; and (v) Notes to</w:t>
            </w:r>
          </w:p>
        </w:tc>
        <w:tc>
          <w:tcPr>
            <w:tcW w:w="444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80" w:lineRule="exact"/>
              <w:rPr>
                <w:sz w:val="20"/>
                <w:szCs w:val="20"/>
                <w:color w:val="auto"/>
              </w:rPr>
            </w:pPr>
            <w:r>
              <w:rPr>
                <w:rFonts w:ascii="Times New Roman" w:cs="Times New Roman" w:eastAsia="Times New Roman" w:hAnsi="Times New Roman"/>
                <w:sz w:val="18"/>
                <w:szCs w:val="18"/>
                <w:color w:val="auto"/>
              </w:rPr>
              <w:t>Unaudited Condensed Consolidated Financial Statements, tagged as</w:t>
            </w:r>
          </w:p>
        </w:tc>
        <w:tc>
          <w:tcPr>
            <w:tcW w:w="4440" w:type="dxa"/>
            <w:vAlign w:val="bottom"/>
          </w:tcPr>
          <w:p>
            <w:pPr>
              <w:spacing w:after="0"/>
              <w:rPr>
                <w:sz w:val="15"/>
                <w:szCs w:val="15"/>
                <w:color w:val="auto"/>
              </w:rPr>
            </w:pPr>
          </w:p>
        </w:tc>
      </w:tr>
      <w:tr>
        <w:trPr>
          <w:trHeight w:val="225"/>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blocks of text.</w:t>
            </w:r>
          </w:p>
        </w:tc>
        <w:tc>
          <w:tcPr>
            <w:tcW w:w="4440" w:type="dxa"/>
            <w:vAlign w:val="bottom"/>
          </w:tcPr>
          <w:p>
            <w:pPr>
              <w:spacing w:after="0"/>
              <w:rPr>
                <w:sz w:val="19"/>
                <w:szCs w:val="19"/>
                <w:color w:val="auto"/>
              </w:rPr>
            </w:pPr>
          </w:p>
        </w:tc>
      </w:tr>
      <w:tr>
        <w:trPr>
          <w:trHeight w:val="177"/>
        </w:trPr>
        <w:tc>
          <w:tcPr>
            <w:tcW w:w="9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3"/>
          </w:tcPr>
          <w:p>
            <w:pPr>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4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440" w:type="dxa"/>
            <w:vAlign w:val="bottom"/>
          </w:tcPr>
          <w:p>
            <w:pPr>
              <w:spacing w:after="0"/>
              <w:rPr>
                <w:sz w:val="19"/>
                <w:szCs w:val="19"/>
                <w:color w:val="auto"/>
              </w:rPr>
            </w:pPr>
          </w:p>
        </w:tc>
      </w:tr>
    </w:tbl>
    <w:p>
      <w:pPr>
        <w:spacing w:after="0" w:line="255" w:lineRule="exact"/>
        <w:rPr>
          <w:sz w:val="20"/>
          <w:szCs w:val="20"/>
          <w:color w:val="auto"/>
        </w:rPr>
      </w:pPr>
    </w:p>
    <w:p>
      <w:pPr>
        <w:ind w:left="1560" w:hanging="666"/>
        <w:spacing w:after="0" w:line="226" w:lineRule="auto"/>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18" w:right="239" w:bottom="1440" w:gutter="0" w:footer="0" w:header="0"/>
        </w:sectPr>
      </w:pPr>
    </w:p>
    <w:bookmarkStart w:id="27" w:name="page28"/>
    <w:bookmarkEnd w:id="2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52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282" w:lineRule="exact"/>
        <w:rPr>
          <w:sz w:val="20"/>
          <w:szCs w:val="20"/>
          <w:color w:val="auto"/>
        </w:rPr>
      </w:pPr>
    </w:p>
    <w:p>
      <w:pPr>
        <w:ind w:left="20"/>
        <w:spacing w:after="0"/>
        <w:tabs>
          <w:tab w:leader="none" w:pos="640" w:val="left"/>
          <w:tab w:leader="none" w:pos="5500" w:val="left"/>
        </w:tabs>
        <w:rPr>
          <w:sz w:val="20"/>
          <w:szCs w:val="20"/>
          <w:color w:val="auto"/>
        </w:rPr>
      </w:pPr>
      <w:r>
        <w:rPr>
          <w:rFonts w:ascii="Times New Roman" w:cs="Times New Roman" w:eastAsia="Times New Roman" w:hAnsi="Times New Roman"/>
          <w:sz w:val="18"/>
          <w:szCs w:val="18"/>
          <w:color w:val="auto"/>
        </w:rPr>
        <w:t>Date:</w:t>
        <w:tab/>
        <w:t>October 29, 2024</w:t>
      </w:r>
      <w:r>
        <w:rPr>
          <w:sz w:val="20"/>
          <w:szCs w:val="20"/>
          <w:color w:val="auto"/>
        </w:rPr>
        <w:tab/>
      </w:r>
      <w:r>
        <w:rPr>
          <w:rFonts w:ascii="Times New Roman" w:cs="Times New Roman" w:eastAsia="Times New Roman" w:hAnsi="Times New Roman"/>
          <w:sz w:val="17"/>
          <w:szCs w:val="17"/>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6429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Steven R. Fife</w:t>
      </w:r>
    </w:p>
    <w:p>
      <w:pPr>
        <w:ind w:left="5520"/>
        <w:spacing w:after="0" w:line="19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2" w:lineRule="exact"/>
        <w:rPr>
          <w:sz w:val="20"/>
          <w:szCs w:val="20"/>
          <w:color w:val="auto"/>
        </w:rPr>
      </w:pPr>
    </w:p>
    <w:p>
      <w:pPr>
        <w:ind w:left="20"/>
        <w:spacing w:after="0"/>
        <w:tabs>
          <w:tab w:leader="none" w:pos="640" w:val="left"/>
          <w:tab w:leader="none" w:pos="5500" w:val="left"/>
        </w:tabs>
        <w:rPr>
          <w:sz w:val="20"/>
          <w:szCs w:val="20"/>
          <w:color w:val="auto"/>
        </w:rPr>
      </w:pPr>
      <w:r>
        <w:rPr>
          <w:rFonts w:ascii="Times New Roman" w:cs="Times New Roman" w:eastAsia="Times New Roman" w:hAnsi="Times New Roman"/>
          <w:sz w:val="18"/>
          <w:szCs w:val="18"/>
          <w:color w:val="auto"/>
        </w:rPr>
        <w:t>Date:</w:t>
        <w:tab/>
        <w:t>October 29, 2024</w:t>
      </w:r>
      <w:r>
        <w:rPr>
          <w:sz w:val="20"/>
          <w:szCs w:val="20"/>
          <w:color w:val="auto"/>
        </w:rPr>
        <w:tab/>
      </w:r>
      <w:r>
        <w:rPr>
          <w:rFonts w:ascii="Times New Roman" w:cs="Times New Roman" w:eastAsia="Times New Roman" w:hAnsi="Times New Roman"/>
          <w:sz w:val="17"/>
          <w:szCs w:val="17"/>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36429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Carl A. Aure</w:t>
      </w:r>
    </w:p>
    <w:p>
      <w:pPr>
        <w:ind w:left="5520"/>
        <w:spacing w:after="0" w:line="199" w:lineRule="auto"/>
        <w:rPr>
          <w:sz w:val="20"/>
          <w:szCs w:val="20"/>
          <w:color w:val="auto"/>
        </w:rPr>
      </w:pPr>
      <w:r>
        <w:rPr>
          <w:rFonts w:ascii="Times New Roman" w:cs="Times New Roman" w:eastAsia="Times New Roman" w:hAnsi="Times New Roman"/>
          <w:sz w:val="18"/>
          <w:szCs w:val="18"/>
          <w:color w:val="auto"/>
        </w:rPr>
        <w:t>Chief Financial Officer</w:t>
      </w:r>
    </w:p>
    <w:p>
      <w:pPr>
        <w:ind w:left="55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1018" w:right="5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50" w:lineRule="exact"/>
        <w:rPr>
          <w:sz w:val="20"/>
          <w:szCs w:val="20"/>
          <w:color w:val="auto"/>
        </w:rPr>
      </w:pPr>
    </w:p>
    <w:p>
      <w:pPr>
        <w:ind w:left="400" w:hanging="394"/>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9" w:lineRule="exact"/>
        <w:rPr>
          <w:rFonts w:ascii="Times New Roman" w:cs="Times New Roman" w:eastAsia="Times New Roman" w:hAnsi="Times New Roman"/>
          <w:sz w:val="18"/>
          <w:szCs w:val="18"/>
          <w:color w:val="auto"/>
        </w:rPr>
      </w:pPr>
    </w:p>
    <w:p>
      <w:pPr>
        <w:ind w:left="400" w:right="100" w:hanging="394"/>
        <w:spacing w:after="0" w:line="300" w:lineRule="auto"/>
        <w:tabs>
          <w:tab w:leader="none" w:pos="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7"/>
          <w:szCs w:val="17"/>
          <w:color w:val="auto"/>
        </w:rPr>
      </w:pPr>
    </w:p>
    <w:p>
      <w:pPr>
        <w:ind w:left="400" w:right="560" w:hanging="394"/>
        <w:spacing w:after="0" w:line="270"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400" w:right="40" w:hanging="394"/>
        <w:spacing w:after="0" w:line="258"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800" w:right="460" w:hanging="398"/>
        <w:spacing w:after="0" w:line="258" w:lineRule="auto"/>
        <w:tabs>
          <w:tab w:leader="none" w:pos="7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Times New Roman" w:cs="Times New Roman" w:eastAsia="Times New Roman" w:hAnsi="Times New Roman"/>
          <w:sz w:val="18"/>
          <w:szCs w:val="18"/>
          <w:color w:val="auto"/>
        </w:rPr>
      </w:pPr>
    </w:p>
    <w:p>
      <w:pPr>
        <w:ind w:left="800" w:right="140" w:hanging="398"/>
        <w:spacing w:after="0" w:line="258"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800" w:right="920" w:hanging="398"/>
        <w:spacing w:after="0" w:line="300" w:lineRule="auto"/>
        <w:tabs>
          <w:tab w:leader="none" w:pos="79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7"/>
          <w:szCs w:val="17"/>
          <w:color w:val="auto"/>
        </w:rPr>
      </w:pPr>
    </w:p>
    <w:p>
      <w:pPr>
        <w:ind w:left="800" w:right="20" w:hanging="398"/>
        <w:spacing w:after="0" w:line="258"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Times New Roman" w:cs="Times New Roman" w:eastAsia="Times New Roman" w:hAnsi="Times New Roman"/>
          <w:sz w:val="18"/>
          <w:szCs w:val="18"/>
          <w:color w:val="auto"/>
        </w:rPr>
      </w:pPr>
    </w:p>
    <w:p>
      <w:pPr>
        <w:ind w:left="400" w:right="480" w:hanging="394"/>
        <w:spacing w:after="0" w:line="270"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800" w:right="360" w:hanging="398"/>
        <w:spacing w:after="0" w:line="270" w:lineRule="auto"/>
        <w:tabs>
          <w:tab w:leader="none" w:pos="7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800" w:right="300" w:hanging="398"/>
        <w:spacing w:after="0" w:line="270"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14605</wp:posOffset>
            </wp:positionV>
            <wp:extent cx="29718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Steven R. Fife</w:t>
      </w:r>
    </w:p>
    <w:p>
      <w:pPr>
        <w:spacing w:after="0" w:line="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October 29, 2024</w:t>
      </w: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Carl A. Aure, certify that:</w:t>
      </w:r>
    </w:p>
    <w:p>
      <w:pPr>
        <w:spacing w:after="0" w:line="150" w:lineRule="exact"/>
        <w:rPr>
          <w:sz w:val="20"/>
          <w:szCs w:val="20"/>
          <w:color w:val="auto"/>
        </w:rPr>
      </w:pPr>
    </w:p>
    <w:p>
      <w:pPr>
        <w:ind w:left="400" w:hanging="394"/>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9" w:lineRule="exact"/>
        <w:rPr>
          <w:rFonts w:ascii="Times New Roman" w:cs="Times New Roman" w:eastAsia="Times New Roman" w:hAnsi="Times New Roman"/>
          <w:sz w:val="18"/>
          <w:szCs w:val="18"/>
          <w:color w:val="auto"/>
        </w:rPr>
      </w:pPr>
    </w:p>
    <w:p>
      <w:pPr>
        <w:ind w:left="400" w:right="100" w:hanging="394"/>
        <w:spacing w:after="0" w:line="300" w:lineRule="auto"/>
        <w:tabs>
          <w:tab w:leader="none" w:pos="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17"/>
          <w:szCs w:val="17"/>
          <w:color w:val="auto"/>
        </w:rPr>
      </w:pPr>
    </w:p>
    <w:p>
      <w:pPr>
        <w:ind w:left="400" w:right="560" w:hanging="394"/>
        <w:spacing w:after="0" w:line="270"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400" w:right="40" w:hanging="394"/>
        <w:spacing w:after="0" w:line="258"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8"/>
          <w:szCs w:val="18"/>
          <w:color w:val="auto"/>
        </w:rPr>
      </w:pPr>
    </w:p>
    <w:p>
      <w:pPr>
        <w:ind w:left="800" w:right="460" w:hanging="398"/>
        <w:spacing w:after="0" w:line="258" w:lineRule="auto"/>
        <w:tabs>
          <w:tab w:leader="none" w:pos="7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Times New Roman" w:cs="Times New Roman" w:eastAsia="Times New Roman" w:hAnsi="Times New Roman"/>
          <w:sz w:val="18"/>
          <w:szCs w:val="18"/>
          <w:color w:val="auto"/>
        </w:rPr>
      </w:pPr>
    </w:p>
    <w:p>
      <w:pPr>
        <w:ind w:left="800" w:right="140" w:hanging="398"/>
        <w:spacing w:after="0" w:line="258" w:lineRule="auto"/>
        <w:tabs>
          <w:tab w:leader="none" w:pos="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800" w:right="920" w:hanging="398"/>
        <w:spacing w:after="0" w:line="300" w:lineRule="auto"/>
        <w:tabs>
          <w:tab w:leader="none" w:pos="79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7"/>
          <w:szCs w:val="17"/>
          <w:color w:val="auto"/>
        </w:rPr>
      </w:pPr>
    </w:p>
    <w:p>
      <w:pPr>
        <w:ind w:left="800" w:right="20" w:hanging="398"/>
        <w:spacing w:after="0" w:line="258" w:lineRule="auto"/>
        <w:tabs>
          <w:tab w:leader="none" w:pos="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Times New Roman" w:cs="Times New Roman" w:eastAsia="Times New Roman" w:hAnsi="Times New Roman"/>
          <w:sz w:val="18"/>
          <w:szCs w:val="18"/>
          <w:color w:val="auto"/>
        </w:rPr>
      </w:pPr>
    </w:p>
    <w:p>
      <w:pPr>
        <w:ind w:left="400" w:right="480" w:hanging="394"/>
        <w:spacing w:after="0" w:line="270"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800" w:right="360" w:hanging="398"/>
        <w:spacing w:after="0" w:line="270" w:lineRule="auto"/>
        <w:tabs>
          <w:tab w:leader="none" w:pos="7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800" w:right="300" w:hanging="398"/>
        <w:spacing w:after="0" w:line="270" w:lineRule="auto"/>
        <w:tabs>
          <w:tab w:leader="none" w:pos="8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14605</wp:posOffset>
            </wp:positionV>
            <wp:extent cx="2971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Carl A. Aure</w:t>
      </w:r>
    </w:p>
    <w:p>
      <w:pPr>
        <w:spacing w:after="0" w:line="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October 29, 2024</w:t>
      </w: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19" w:lineRule="exact"/>
        <w:rPr>
          <w:sz w:val="20"/>
          <w:szCs w:val="20"/>
          <w:color w:val="auto"/>
        </w:rPr>
      </w:pPr>
    </w:p>
    <w:p>
      <w:pPr>
        <w:ind w:right="18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September 30, 2024,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12" w:lineRule="exact"/>
        <w:rPr>
          <w:sz w:val="20"/>
          <w:szCs w:val="20"/>
          <w:color w:val="auto"/>
        </w:rPr>
      </w:pPr>
    </w:p>
    <w:p>
      <w:pPr>
        <w:ind w:left="780" w:hanging="37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right="200" w:firstLine="436"/>
        <w:spacing w:after="0" w:line="27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4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14605</wp:posOffset>
            </wp:positionV>
            <wp:extent cx="29718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Steven R. Fife</w:t>
      </w:r>
    </w:p>
    <w:p>
      <w:pPr>
        <w:spacing w:after="0" w:line="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October 29, 2024</w:t>
      </w:r>
      <w:r>
        <w:rPr>
          <w:rFonts w:ascii="Times New Roman" w:cs="Times New Roman" w:eastAsia="Times New Roman" w:hAnsi="Times New Roman"/>
          <w:sz w:val="18"/>
          <w:szCs w:val="18"/>
          <w:color w:val="auto"/>
        </w:rPr>
        <w:t>(Principal Executive Officer)</w:t>
      </w:r>
    </w:p>
    <w:p>
      <w:pPr>
        <w:spacing w:after="0" w:line="11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19" w:lineRule="exact"/>
        <w:rPr>
          <w:sz w:val="20"/>
          <w:szCs w:val="20"/>
          <w:color w:val="auto"/>
        </w:rPr>
      </w:pPr>
    </w:p>
    <w:p>
      <w:pPr>
        <w:jc w:val="both"/>
        <w:ind w:right="32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September 30, 2024, with the Securities and Exchange Commission on the date hereof (the “report”), I, Carl A. Aure, Principal Financial Officer of the Company, certify, pursuant to 18 U.S.C. Section 1350, as adopted pursuant to Section 906 of the Sarbanes-Oxley Act of 2002, that:</w:t>
      </w:r>
    </w:p>
    <w:p>
      <w:pPr>
        <w:spacing w:after="0" w:line="112" w:lineRule="exact"/>
        <w:rPr>
          <w:sz w:val="20"/>
          <w:szCs w:val="20"/>
          <w:color w:val="auto"/>
        </w:rPr>
      </w:pPr>
    </w:p>
    <w:p>
      <w:pPr>
        <w:ind w:left="780" w:hanging="37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right="200" w:firstLine="436"/>
        <w:spacing w:after="0" w:line="27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4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14605</wp:posOffset>
            </wp:positionV>
            <wp:extent cx="2971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Carl A. Aure</w:t>
      </w:r>
    </w:p>
    <w:p>
      <w:pPr>
        <w:spacing w:after="0" w:line="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auto"/>
        <w:rPr>
          <w:sz w:val="20"/>
          <w:szCs w:val="20"/>
          <w:color w:val="auto"/>
        </w:rPr>
      </w:pPr>
      <w:r>
        <w:rPr>
          <w:rFonts w:ascii="Times New Roman" w:cs="Times New Roman" w:eastAsia="Times New Roman" w:hAnsi="Times New Roman"/>
          <w:sz w:val="35"/>
          <w:szCs w:val="35"/>
          <w:color w:val="auto"/>
          <w:vertAlign w:val="subscript"/>
        </w:rPr>
        <w:t>Date: October 29, 2024</w:t>
      </w:r>
      <w:r>
        <w:rPr>
          <w:rFonts w:ascii="Times New Roman" w:cs="Times New Roman" w:eastAsia="Times New Roman" w:hAnsi="Times New Roman"/>
          <w:sz w:val="18"/>
          <w:szCs w:val="18"/>
          <w:color w:val="auto"/>
        </w:rPr>
        <w:t>(Principal Financial Officer)</w:t>
      </w:r>
    </w:p>
    <w:p>
      <w:pPr>
        <w:spacing w:after="0" w:line="11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4" Type="http://schemas.openxmlformats.org/officeDocument/2006/relationships/hyperlink" Target="https://www.sec.gov/Archives/edgar/data/849146/000084914618000046/ex31-certificateofincorpor.htm" TargetMode="External"/><Relationship Id="rId45" Type="http://schemas.openxmlformats.org/officeDocument/2006/relationships/hyperlink" Target="https://www.sec.gov/Archives/edgar/data/849146/000084914619000066/lifevantage-amendedandrest.htm" TargetMode="External"/><Relationship Id="rId46" Type="http://schemas.openxmlformats.org/officeDocument/2006/relationships/hyperlink" Target="https://www.sec.gov/Archives/edgar/data/849146/000084914623000114/lfvn-certificateofdesig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2024-10-29T15:16:08Z</dcterms:created>
  <dcterms:modified xsi:type="dcterms:W3CDTF">2024-10-29T15:16:08Z</dcterms:modified>
</cp:coreProperties>
</file>