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7" w:lineRule="exact"/>
        <w:rPr>
          <w:sz w:val="24"/>
          <w:szCs w:val="24"/>
          <w:color w:val="auto"/>
        </w:rPr>
      </w:pPr>
    </w:p>
    <w:p>
      <w:pPr>
        <w:ind w:left="500" w:right="3680" w:hanging="481"/>
        <w:spacing w:after="0" w:line="357" w:lineRule="auto"/>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June 30, 2025</w:t>
      </w:r>
    </w:p>
    <w:p>
      <w:pPr>
        <w:spacing w:after="0" w:line="30"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74"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tc>
        <w:tc>
          <w:tcPr>
            <w:tcW w:w="2960" w:type="dxa"/>
            <w:vAlign w:val="bottom"/>
          </w:tcPr>
          <w:p>
            <w:pPr>
              <w:spacing w:after="0"/>
              <w:rPr>
                <w:sz w:val="16"/>
                <w:szCs w:val="16"/>
                <w:color w:val="auto"/>
              </w:rPr>
            </w:pPr>
          </w:p>
        </w:tc>
      </w:tr>
      <w:tr>
        <w:trPr>
          <w:trHeight w:val="254"/>
        </w:trPr>
        <w:tc>
          <w:tcPr>
            <w:tcW w:w="3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Commission file number 001-35647</w:t>
            </w:r>
          </w:p>
        </w:tc>
        <w:tc>
          <w:tcPr>
            <w:tcW w:w="2960" w:type="dxa"/>
            <w:vAlign w:val="bottom"/>
          </w:tcPr>
          <w:p>
            <w:pPr>
              <w:spacing w:after="0"/>
              <w:rPr>
                <w:sz w:val="22"/>
                <w:szCs w:val="22"/>
                <w:color w:val="auto"/>
              </w:rPr>
            </w:pPr>
          </w:p>
        </w:tc>
      </w:tr>
      <w:tr>
        <w:trPr>
          <w:trHeight w:val="110"/>
        </w:trPr>
        <w:tc>
          <w:tcPr>
            <w:tcW w:w="3060" w:type="dxa"/>
            <w:vAlign w:val="bottom"/>
          </w:tcPr>
          <w:p>
            <w:pPr>
              <w:spacing w:after="0"/>
              <w:rPr>
                <w:sz w:val="9"/>
                <w:szCs w:val="9"/>
                <w:color w:val="auto"/>
              </w:rPr>
            </w:pPr>
          </w:p>
        </w:tc>
        <w:tc>
          <w:tcPr>
            <w:tcW w:w="4400" w:type="dxa"/>
            <w:vAlign w:val="bottom"/>
            <w:gridSpan w:val="3"/>
          </w:tcPr>
          <w:p>
            <w:pPr>
              <w:jc w:val="center"/>
              <w:ind w:left="639"/>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585"/>
        </w:trPr>
        <w:tc>
          <w:tcPr>
            <w:tcW w:w="3060" w:type="dxa"/>
            <w:vAlign w:val="bottom"/>
          </w:tcPr>
          <w:p>
            <w:pPr>
              <w:spacing w:after="0"/>
              <w:rPr>
                <w:sz w:val="24"/>
                <w:szCs w:val="24"/>
                <w:color w:val="auto"/>
              </w:rPr>
            </w:pPr>
          </w:p>
        </w:tc>
        <w:tc>
          <w:tcPr>
            <w:tcW w:w="5220" w:type="dxa"/>
            <w:vAlign w:val="bottom"/>
            <w:gridSpan w:val="5"/>
          </w:tcPr>
          <w:p>
            <w:pPr>
              <w:jc w:val="center"/>
              <w:ind w:right="80"/>
              <w:spacing w:after="0"/>
              <w:rPr>
                <w:sz w:val="20"/>
                <w:szCs w:val="20"/>
                <w:color w:val="auto"/>
              </w:rPr>
            </w:pPr>
            <w:r>
              <w:rPr>
                <w:rFonts w:ascii="Times New Roman" w:cs="Times New Roman" w:eastAsia="Times New Roman" w:hAnsi="Times New Roman"/>
                <w:sz w:val="34"/>
                <w:szCs w:val="34"/>
                <w:b w:val="1"/>
                <w:bCs w:val="1"/>
                <w:color w:val="auto"/>
                <w:w w:val="97"/>
              </w:rPr>
              <w:t>LIFEVANTAGE CORPORATION</w:t>
            </w:r>
          </w:p>
        </w:tc>
        <w:tc>
          <w:tcPr>
            <w:tcW w:w="296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960" w:type="dxa"/>
            <w:vAlign w:val="bottom"/>
          </w:tcPr>
          <w:p>
            <w:pPr>
              <w:spacing w:after="0"/>
              <w:rPr>
                <w:sz w:val="16"/>
                <w:szCs w:val="16"/>
                <w:color w:val="auto"/>
              </w:rPr>
            </w:pPr>
          </w:p>
        </w:tc>
      </w:tr>
      <w:tr>
        <w:trPr>
          <w:trHeight w:val="270"/>
        </w:trPr>
        <w:tc>
          <w:tcPr>
            <w:tcW w:w="3060" w:type="dxa"/>
            <w:vAlign w:val="bottom"/>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96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90-0224471</w:t>
            </w:r>
          </w:p>
        </w:tc>
      </w:tr>
      <w:tr>
        <w:trPr>
          <w:trHeight w:val="117"/>
        </w:trPr>
        <w:tc>
          <w:tcPr>
            <w:tcW w:w="3060" w:type="dxa"/>
            <w:vAlign w:val="bottom"/>
          </w:tcPr>
          <w:p>
            <w:pPr>
              <w:jc w:val="center"/>
              <w:ind w:left="1136"/>
              <w:spacing w:after="0" w:line="117"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60" w:type="dxa"/>
            <w:vAlign w:val="bottom"/>
          </w:tcPr>
          <w:p>
            <w:pPr>
              <w:jc w:val="center"/>
              <w:ind w:right="1277"/>
              <w:spacing w:after="0" w:line="117"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3060" w:type="dxa"/>
            <w:vAlign w:val="bottom"/>
          </w:tcPr>
          <w:p>
            <w:pPr>
              <w:jc w:val="center"/>
              <w:ind w:left="1136"/>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60" w:type="dxa"/>
            <w:vAlign w:val="bottom"/>
          </w:tcPr>
          <w:p>
            <w:pPr>
              <w:jc w:val="center"/>
              <w:ind w:right="1297"/>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384"/>
        </w:trPr>
        <w:tc>
          <w:tcPr>
            <w:tcW w:w="8280" w:type="dxa"/>
            <w:vAlign w:val="bottom"/>
            <w:gridSpan w:val="6"/>
          </w:tcPr>
          <w:p>
            <w:pPr>
              <w:jc w:val="center"/>
              <w:ind w:right="4020"/>
              <w:spacing w:after="0"/>
              <w:rPr>
                <w:sz w:val="20"/>
                <w:szCs w:val="20"/>
                <w:color w:val="auto"/>
              </w:rPr>
            </w:pPr>
            <w:r>
              <w:rPr>
                <w:rFonts w:ascii="Times New Roman" w:cs="Times New Roman" w:eastAsia="Times New Roman" w:hAnsi="Times New Roman"/>
                <w:sz w:val="14"/>
                <w:szCs w:val="14"/>
                <w:b w:val="1"/>
                <w:bCs w:val="1"/>
                <w:color w:val="auto"/>
              </w:rPr>
              <w:t>3300 N. Triumph Blvd, Suite 700</w:t>
            </w:r>
          </w:p>
        </w:tc>
        <w:tc>
          <w:tcPr>
            <w:tcW w:w="2960" w:type="dxa"/>
            <w:vAlign w:val="bottom"/>
          </w:tcPr>
          <w:p>
            <w:pPr>
              <w:jc w:val="center"/>
              <w:ind w:right="1257"/>
              <w:spacing w:after="0"/>
              <w:rPr>
                <w:sz w:val="20"/>
                <w:szCs w:val="20"/>
                <w:color w:val="auto"/>
              </w:rPr>
            </w:pPr>
            <w:r>
              <w:rPr>
                <w:rFonts w:ascii="Times New Roman" w:cs="Times New Roman" w:eastAsia="Times New Roman" w:hAnsi="Times New Roman"/>
                <w:sz w:val="14"/>
                <w:szCs w:val="14"/>
                <w:b w:val="1"/>
                <w:bCs w:val="1"/>
                <w:color w:val="auto"/>
              </w:rPr>
              <w:t>84043</w:t>
            </w:r>
          </w:p>
        </w:tc>
      </w:tr>
      <w:tr>
        <w:trPr>
          <w:trHeight w:val="180"/>
        </w:trPr>
        <w:tc>
          <w:tcPr>
            <w:tcW w:w="306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rPr>
              <w:t>Lehi, Utah</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47"/>
        </w:trPr>
        <w:tc>
          <w:tcPr>
            <w:tcW w:w="3060" w:type="dxa"/>
            <w:vAlign w:val="bottom"/>
          </w:tcPr>
          <w:p>
            <w:pPr>
              <w:jc w:val="center"/>
              <w:ind w:left="1156"/>
              <w:spacing w:after="0"/>
              <w:rPr>
                <w:sz w:val="20"/>
                <w:szCs w:val="20"/>
                <w:color w:val="auto"/>
              </w:rPr>
            </w:pPr>
            <w:r>
              <w:rPr>
                <w:rFonts w:ascii="Times New Roman" w:cs="Times New Roman" w:eastAsia="Times New Roman" w:hAnsi="Times New Roman"/>
                <w:sz w:val="11"/>
                <w:szCs w:val="11"/>
                <w:color w:val="auto"/>
              </w:rPr>
              <w:t>(Address of Principal Executive Office)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60" w:type="dxa"/>
            <w:vAlign w:val="bottom"/>
          </w:tcPr>
          <w:p>
            <w:pPr>
              <w:jc w:val="center"/>
              <w:ind w:right="1277"/>
              <w:spacing w:after="0"/>
              <w:rPr>
                <w:sz w:val="20"/>
                <w:szCs w:val="20"/>
                <w:color w:val="auto"/>
              </w:rPr>
            </w:pPr>
            <w:r>
              <w:rPr>
                <w:rFonts w:ascii="Times New Roman" w:cs="Times New Roman" w:eastAsia="Times New Roman" w:hAnsi="Times New Roman"/>
                <w:sz w:val="11"/>
                <w:szCs w:val="11"/>
                <w:color w:val="auto"/>
              </w:rPr>
              <w:t>(Zip Code.)</w:t>
            </w:r>
          </w:p>
        </w:tc>
      </w:tr>
      <w:tr>
        <w:trPr>
          <w:trHeight w:val="352"/>
        </w:trPr>
        <w:tc>
          <w:tcPr>
            <w:tcW w:w="3060" w:type="dxa"/>
            <w:vAlign w:val="bottom"/>
          </w:tcPr>
          <w:p>
            <w:pPr>
              <w:spacing w:after="0"/>
              <w:rPr>
                <w:sz w:val="24"/>
                <w:szCs w:val="24"/>
                <w:color w:val="auto"/>
              </w:rPr>
            </w:pPr>
          </w:p>
        </w:tc>
        <w:tc>
          <w:tcPr>
            <w:tcW w:w="4400" w:type="dxa"/>
            <w:vAlign w:val="bottom"/>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(801) 432-9000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47"/>
        </w:trPr>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2960" w:type="dxa"/>
            <w:vAlign w:val="bottom"/>
          </w:tcPr>
          <w:p>
            <w:pPr>
              <w:spacing w:after="0"/>
              <w:rPr>
                <w:sz w:val="12"/>
                <w:szCs w:val="12"/>
                <w:color w:val="auto"/>
              </w:rPr>
            </w:pPr>
          </w:p>
        </w:tc>
      </w:tr>
      <w:tr>
        <w:trPr>
          <w:trHeight w:val="294"/>
        </w:trPr>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60" w:type="dxa"/>
            <w:vAlign w:val="bottom"/>
          </w:tcPr>
          <w:p>
            <w:pPr>
              <w:spacing w:after="0"/>
              <w:rPr>
                <w:sz w:val="24"/>
                <w:szCs w:val="24"/>
                <w:color w:val="auto"/>
              </w:rPr>
            </w:pPr>
          </w:p>
        </w:tc>
      </w:tr>
      <w:tr>
        <w:trPr>
          <w:trHeight w:val="276"/>
        </w:trPr>
        <w:tc>
          <w:tcPr>
            <w:tcW w:w="3060" w:type="dxa"/>
            <w:vAlign w:val="bottom"/>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LFVN</w:t>
            </w:r>
          </w:p>
        </w:tc>
        <w:tc>
          <w:tcPr>
            <w:tcW w:w="2960" w:type="dxa"/>
            <w:vAlign w:val="bottom"/>
          </w:tcPr>
          <w:p>
            <w:pPr>
              <w:jc w:val="center"/>
              <w:ind w:right="657"/>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38"/>
        </w:trPr>
        <w:tc>
          <w:tcPr>
            <w:tcW w:w="3060" w:type="dxa"/>
            <w:vAlign w:val="bottom"/>
            <w:tcBorders>
              <w:top w:val="single" w:sz="8" w:color="auto"/>
            </w:tcBorders>
          </w:tcPr>
          <w:p>
            <w:pPr>
              <w:jc w:val="center"/>
              <w:ind w:left="556"/>
              <w:spacing w:after="0"/>
              <w:rPr>
                <w:sz w:val="20"/>
                <w:szCs w:val="20"/>
                <w:color w:val="auto"/>
              </w:rPr>
            </w:pPr>
            <w:r>
              <w:rPr>
                <w:rFonts w:ascii="Times New Roman" w:cs="Times New Roman" w:eastAsia="Times New Roman" w:hAnsi="Times New Roman"/>
                <w:sz w:val="11"/>
                <w:szCs w:val="11"/>
                <w:color w:val="auto"/>
              </w:rPr>
              <w:t>Title of each class</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Trading Symbol(s)</w:t>
            </w: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jc w:val="center"/>
              <w:ind w:right="657"/>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351"/>
        </w:trPr>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2960" w:type="dxa"/>
            <w:vAlign w:val="bottom"/>
          </w:tcPr>
          <w:p>
            <w:pPr>
              <w:spacing w:after="0"/>
              <w:rPr>
                <w:sz w:val="24"/>
                <w:szCs w:val="24"/>
                <w:color w:val="auto"/>
              </w:rPr>
            </w:pPr>
          </w:p>
        </w:tc>
      </w:tr>
      <w:tr>
        <w:trPr>
          <w:trHeight w:val="110"/>
        </w:trPr>
        <w:tc>
          <w:tcPr>
            <w:tcW w:w="3060" w:type="dxa"/>
            <w:vAlign w:val="bottom"/>
          </w:tcPr>
          <w:p>
            <w:pPr>
              <w:spacing w:after="0"/>
              <w:rPr>
                <w:sz w:val="9"/>
                <w:szCs w:val="9"/>
                <w:color w:val="auto"/>
              </w:rPr>
            </w:pPr>
          </w:p>
        </w:tc>
        <w:tc>
          <w:tcPr>
            <w:tcW w:w="4400" w:type="dxa"/>
            <w:vAlign w:val="bottom"/>
            <w:gridSpan w:val="3"/>
          </w:tcPr>
          <w:p>
            <w:pPr>
              <w:jc w:val="center"/>
              <w:ind w:left="639"/>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bl>
    <w:p>
      <w:pPr>
        <w:spacing w:after="0" w:line="200" w:lineRule="exact"/>
        <w:rPr>
          <w:sz w:val="24"/>
          <w:szCs w:val="24"/>
          <w:color w:val="auto"/>
        </w:rPr>
      </w:pPr>
    </w:p>
    <w:p>
      <w:pPr>
        <w:sectPr>
          <w:pgSz w:w="11900" w:h="16838" w:orient="portrait"/>
          <w:cols w:equalWidth="0" w:num="1">
            <w:col w:w="11260"/>
          </w:cols>
          <w:pgMar w:left="300" w:top="834" w:right="339" w:bottom="1440" w:gutter="0" w:footer="0" w:header="0"/>
        </w:sectPr>
      </w:pP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ectPr>
          <w:pgSz w:w="11900" w:h="16838" w:orient="portrait"/>
          <w:cols w:equalWidth="0" w:num="4">
            <w:col w:w="6880" w:space="80"/>
            <w:col w:w="120" w:space="140"/>
            <w:col w:w="180" w:space="60"/>
            <w:col w:w="3800"/>
          </w:cols>
          <w:pgMar w:left="300" w:top="834" w:right="3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7" w:lineRule="exact"/>
        <w:rPr>
          <w:sz w:val="24"/>
          <w:szCs w:val="24"/>
          <w:color w:val="auto"/>
        </w:rPr>
      </w:pPr>
    </w:p>
    <w:p>
      <w:pPr>
        <w:sectPr>
          <w:pgSz w:w="11900" w:h="16838" w:orient="portrait"/>
          <w:cols w:equalWidth="0" w:num="4">
            <w:col w:w="7020" w:space="60"/>
            <w:col w:w="120" w:space="160"/>
            <w:col w:w="160" w:space="80"/>
            <w:col w:w="3660"/>
          </w:cols>
          <w:pgMar w:left="300" w:top="834" w:right="339" w:bottom="1440" w:gutter="0" w:footer="0" w:header="0"/>
          <w:type w:val="continuous"/>
        </w:sectPr>
      </w:pPr>
    </w:p>
    <w:p>
      <w:pPr>
        <w:ind w:right="1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144" w:lineRule="exact"/>
        <w:rPr>
          <w:sz w:val="24"/>
          <w:szCs w:val="24"/>
          <w:color w:val="auto"/>
        </w:rPr>
      </w:pPr>
    </w:p>
    <w:p>
      <w:pPr>
        <w:ind w:right="2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1" w:lineRule="exact"/>
        <w:rPr>
          <w:sz w:val="24"/>
          <w:szCs w:val="24"/>
          <w:color w:val="auto"/>
        </w:rPr>
      </w:pPr>
    </w:p>
    <w:p>
      <w:pPr>
        <w:ind w:right="2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0" w:lineRule="exact"/>
        <w:rPr>
          <w:sz w:val="24"/>
          <w:szCs w:val="24"/>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1" w:lineRule="exact"/>
        <w:rPr>
          <w:sz w:val="24"/>
          <w:szCs w:val="24"/>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161" w:lineRule="exact"/>
        <w:tabs>
          <w:tab w:leader="none" w:pos="5960" w:val="left"/>
          <w:tab w:leader="none" w:pos="65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as of December 31, 2024, the last business day of the registrant’s most recently completed second fiscal quarter, was approximately $220.0 million, based on a closing market price of $17.49 per share.</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(par value $0.0001) outstanding as of September 3, 2025 was 12,691,009 shares.</w:t>
      </w:r>
    </w:p>
    <w:p>
      <w:pPr>
        <w:spacing w:after="0" w:line="12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7" w:lineRule="exact"/>
        <w:rPr>
          <w:sz w:val="24"/>
          <w:szCs w:val="24"/>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subsequent to the date hereof with the Securities and Exchange Commission pursuant to Regulation 14A in connection with the registrant’s fiscal year 2026 annual meeting of stockholders are incorporated by reference into Part III of this report. Such definitive proxy statement will be filed with the Commission not later than 120 days after the end of the registrant’s fiscal year ended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507365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1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 “Exchange Act”)).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(“SEC”) and common law.</w:t>
      </w:r>
    </w:p>
    <w:p>
      <w:pPr>
        <w:spacing w:after="0" w:line="94"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factors are among those that may cause actual results to differ materially from our forward-looking statements:</w:t>
      </w:r>
    </w:p>
    <w:p>
      <w:pPr>
        <w:spacing w:after="0" w:line="115" w:lineRule="exact"/>
        <w:rPr>
          <w:sz w:val="20"/>
          <w:szCs w:val="20"/>
          <w:color w:val="auto"/>
        </w:rPr>
      </w:pPr>
    </w:p>
    <w:p>
      <w:pPr>
        <w:ind w:left="520" w:right="60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properly manage, motivate and retain our independent consultants (which we previously referred to as “distributors” in our prior filings) or to attract new customers and independent consultants on an ongoing basis;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by our independent consultants with applicable legal requirements or our policies and procedures;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independent consultant compensation plans;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upon a few products for revenue;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 parties to manufacture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and pricing of high quality materials for our products;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transportation channels used to distribute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being subject to a product recall;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claims against us;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dietary supplement and personal care markets;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on our business or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activist stockholders;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inability to attract key personnel;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being held responsible for certain taxes or assessments and other obligations relating to the activity of our independent consultants;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related to Global Not For Resale program;</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comply with evolving laws, regulations, standards, policies, and contractual obligations related to data privacy and security, including cybersecurity;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manage existing markets, open new international markets or expand our operations;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new products and technological innovations to gain customer or independent consultant or market acceptance;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execute our product launch process due to increased pressure on our supply chain, information systems and management;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 w:name="page3"/>
    <w:bookmarkEnd w:id="2"/>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appropriately manage our inventory;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information technology (“IT”) systems, including as a result of cybersecurity incidents;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comply with financial covenants imposed by our credit facility and the impact of debt service obligations and restrictive debt covenants;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or foreign exchange restrictions, increased tariffs, and foreign currency exchange fluctuations;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raise additional capital or complete desired acquisitions;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Strict government regulations on our business;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governing the production or marketing of our products;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investigatory and enforcement action;</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our direct selling program being found non-compliant with current or newly adopted laws or regulations in various markets;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prohibiting or severely restricting direct selling;</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regulatory and business risks, including failure to comply with anti-corruption laws;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protect our intellectual property rights;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party intellectual property infringement claims;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of the market price of our common stock;</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substantial sales of shares negatively impacting the market price of our common stock;</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share repurchase program enhancing long-term stockholder value;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of additional shares issued diluting voting power of current outstanding common stock or causing decline in stock price;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delisting of our common stock due to non-compliance with Nasdaq’s continued listing requirements;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being a smaller reporting company;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for disputes, mergers, tender offers, or proxy contests under Delaware law;</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Expensive and time consuming legal proceedings;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internal controls over financial reporting;</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to tax positions or transfer pricing policies or change in laws;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foreign exchange and other risks associated with international operations, including consumer discretionary spending habits;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global economic conditions;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class action litigation;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or industry analysts ceasing coverage or publishing inaccurate or unfavorable research.</w:t>
      </w:r>
    </w:p>
    <w:p>
      <w:pPr>
        <w:spacing w:after="0" w:line="11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SUMMARY OF RISKS ASSOCIATED WITH OUR BUSINESS</w:t>
      </w:r>
    </w:p>
    <w:p>
      <w:pPr>
        <w:spacing w:after="0" w:line="127"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We face risks and uncertainties associated with our business, many of which are beyond our control. Some of the more significant risks associated with our business that may cause actual results to differ materially from our forward-looking statements include the following:</w:t>
      </w:r>
    </w:p>
    <w:p>
      <w:pPr>
        <w:spacing w:after="0" w:line="61"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properly motivate and incentivize sales from our independent consultants could harm our business.</w:t>
      </w:r>
    </w:p>
    <w:p>
      <w:pPr>
        <w:spacing w:after="0" w:line="200" w:lineRule="exact"/>
        <w:rPr>
          <w:rFonts w:ascii="Times New Roman" w:cs="Times New Roman" w:eastAsia="Times New Roman" w:hAnsi="Times New Roman"/>
          <w:sz w:val="14"/>
          <w:szCs w:val="14"/>
          <w:color w:val="auto"/>
        </w:rPr>
      </w:pPr>
    </w:p>
    <w:p>
      <w:pPr>
        <w:spacing w:after="0" w:line="360"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 w:name="page4"/>
    <w:bookmarkEnd w:id="3"/>
    <w:p>
      <w:pPr>
        <w:ind w:left="260" w:right="3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retain our existing customers and independent consultants or attract additional customers and independent consultants, our revenue will not increase and may decline further.</w:t>
      </w:r>
    </w:p>
    <w:p>
      <w:pPr>
        <w:spacing w:after="0" w:line="6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independent consultants could fail to comply with applicable legal requirements or our policies and procedures, which could result in claims against us that could harm our business.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primarily depend on a few products for our revenue.</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third parties to manufacture our products.</w:t>
      </w:r>
    </w:p>
    <w:p>
      <w:pPr>
        <w:spacing w:after="0" w:line="114" w:lineRule="exact"/>
        <w:rPr>
          <w:rFonts w:ascii="Times New Roman" w:cs="Times New Roman" w:eastAsia="Times New Roman" w:hAnsi="Times New Roman"/>
          <w:sz w:val="14"/>
          <w:szCs w:val="14"/>
          <w:color w:val="auto"/>
        </w:rPr>
      </w:pPr>
    </w:p>
    <w:p>
      <w:pPr>
        <w:ind w:left="260" w:right="100" w:hanging="260"/>
        <w:spacing w:after="0" w:line="270"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evolving laws, policies, and contractual obligations related to data privacy and security, including cybersecurity, and our actual or perceived failure to comply with such obligations or the actual or perceived failure to maintain the integrity of our data could expose us to data loss or litigation, harm our reputation, subject us to significant fines and liability, or otherwise adversely affect our business, prospects, financial condition, and operating results.</w:t>
      </w:r>
    </w:p>
    <w:p>
      <w:pPr>
        <w:spacing w:after="0" w:line="82"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product recalls.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susceptible to product liability claims.</w:t>
      </w:r>
    </w:p>
    <w:p>
      <w:pPr>
        <w:spacing w:after="0" w:line="114" w:lineRule="exact"/>
        <w:rPr>
          <w:rFonts w:ascii="Times New Roman" w:cs="Times New Roman" w:eastAsia="Times New Roman" w:hAnsi="Times New Roman"/>
          <w:sz w:val="14"/>
          <w:szCs w:val="14"/>
          <w:color w:val="auto"/>
        </w:rPr>
      </w:pPr>
    </w:p>
    <w:p>
      <w:pPr>
        <w:ind w:left="260" w:right="3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of the markets in which we compete for business, including the dietary supplement and personal care markets, are highly competitive. We may not be able to compete effectively, which may have a material adverse effect on our results of operations and financial condition.</w:t>
      </w:r>
    </w:p>
    <w:p>
      <w:pPr>
        <w:spacing w:after="0" w:line="71"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of activist stockholders have, and could continue to, impact the pursuit of our business strategies, cause us to incur substantial costs, divert our management’s attention and resources, and adversely affect our business, results of operations, financial condition, and the trading price of our common stock.</w:t>
      </w:r>
    </w:p>
    <w:p>
      <w:pPr>
        <w:spacing w:after="0" w:line="7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a Global Not For Resale Program.</w:t>
      </w:r>
    </w:p>
    <w:p>
      <w:pPr>
        <w:spacing w:after="0" w:line="114"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able to expand our operations, we may experience difficulties in managing our future growth, which could adversely affect our business.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new products and technological innovations to gain market acceptance by customers and/or independent consultants could harm our business.</w:t>
      </w:r>
    </w:p>
    <w:p>
      <w:pPr>
        <w:spacing w:after="0" w:line="12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negatively impacted if we fail to execute our product launch process due to increased pressure on our supply chain, information systems and management.</w:t>
      </w:r>
    </w:p>
    <w:p>
      <w:pPr>
        <w:spacing w:after="0" w:line="114" w:lineRule="exact"/>
        <w:rPr>
          <w:rFonts w:ascii="Times New Roman" w:cs="Times New Roman" w:eastAsia="Times New Roman" w:hAnsi="Times New Roman"/>
          <w:sz w:val="14"/>
          <w:szCs w:val="14"/>
          <w:color w:val="auto"/>
        </w:rPr>
      </w:pPr>
    </w:p>
    <w:p>
      <w:pPr>
        <w:ind w:left="260" w:right="5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IT systems to manage numerous aspects of our business, and a disruption in these systems, including as a result of cybersecurity incidents, could adversely affect our business.</w:t>
      </w:r>
    </w:p>
    <w:p>
      <w:pPr>
        <w:spacing w:after="0" w:line="71" w:lineRule="exact"/>
        <w:rPr>
          <w:rFonts w:ascii="Times New Roman" w:cs="Times New Roman" w:eastAsia="Times New Roman" w:hAnsi="Times New Roman"/>
          <w:sz w:val="14"/>
          <w:szCs w:val="14"/>
          <w:color w:val="auto"/>
        </w:rPr>
      </w:pPr>
    </w:p>
    <w:p>
      <w:pPr>
        <w:ind w:left="260" w:right="46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7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strict government regulations.</w:t>
      </w:r>
    </w:p>
    <w:p>
      <w:pPr>
        <w:spacing w:after="0" w:line="114" w:lineRule="exact"/>
        <w:rPr>
          <w:rFonts w:ascii="Times New Roman" w:cs="Times New Roman" w:eastAsia="Times New Roman" w:hAnsi="Times New Roman"/>
          <w:sz w:val="14"/>
          <w:szCs w:val="14"/>
          <w:color w:val="auto"/>
        </w:rPr>
      </w:pPr>
    </w:p>
    <w:p>
      <w:pPr>
        <w:ind w:left="260" w:right="240" w:hanging="260"/>
        <w:spacing w:after="0" w:line="287"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4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940" w:type="dxa"/>
            <w:vAlign w:val="bottom"/>
            <w:gridSpan w:val="10"/>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54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5"/>
              </w:rPr>
              <w:t>PART I</w:t>
            </w:r>
          </w:p>
        </w:tc>
        <w:tc>
          <w:tcPr>
            <w:tcW w:w="2900" w:type="dxa"/>
            <w:vAlign w:val="bottom"/>
            <w:gridSpan w:val="5"/>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Item 1. Business</w:t>
            </w:r>
          </w:p>
        </w:tc>
        <w:tc>
          <w:tcPr>
            <w:tcW w:w="7780" w:type="dxa"/>
            <w:vAlign w:val="bottom"/>
            <w:gridSpan w:val="24"/>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26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1B. Unresolved Staff Comments</w:t>
            </w:r>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2. Properties</w:t>
            </w:r>
          </w:p>
        </w:tc>
        <w:tc>
          <w:tcPr>
            <w:tcW w:w="7400" w:type="dxa"/>
            <w:vAlign w:val="bottom"/>
            <w:gridSpan w:val="21"/>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44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44</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w w:val="98"/>
              </w:rPr>
              <w:t>PART II</w:t>
            </w:r>
          </w:p>
        </w:tc>
        <w:tc>
          <w:tcPr>
            <w:tcW w:w="2880" w:type="dxa"/>
            <w:vAlign w:val="bottom"/>
            <w:gridSpan w:val="4"/>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6. Reserved</w:t>
            </w:r>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46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46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3220" w:type="dxa"/>
            <w:vAlign w:val="bottom"/>
            <w:gridSpan w:val="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Item 8. Financial Statements and Supplementary Data</w:t>
            </w:r>
          </w:p>
        </w:tc>
        <w:tc>
          <w:tcPr>
            <w:tcW w:w="900" w:type="dxa"/>
            <w:vAlign w:val="bottom"/>
            <w:gridSpan w:val="2"/>
          </w:tcPr>
          <w:p>
            <w:pPr>
              <w:spacing w:after="0"/>
              <w:rPr>
                <w:sz w:val="13"/>
                <w:szCs w:val="13"/>
                <w:color w:val="auto"/>
              </w:rPr>
            </w:pPr>
          </w:p>
        </w:tc>
        <w:tc>
          <w:tcPr>
            <w:tcW w:w="4760" w:type="dxa"/>
            <w:vAlign w:val="bottom"/>
            <w:gridSpan w:val="1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8"/>
              </w:rPr>
              <w:t>Item 9A. Controls and Procedures</w:t>
            </w:r>
          </w:p>
        </w:tc>
        <w:tc>
          <w:tcPr>
            <w:tcW w:w="3580" w:type="dxa"/>
            <w:vAlign w:val="bottom"/>
            <w:gridSpan w:val="11"/>
          </w:tcPr>
          <w:p>
            <w:pPr>
              <w:spacing w:after="0"/>
              <w:rPr>
                <w:sz w:val="13"/>
                <w:szCs w:val="13"/>
                <w:color w:val="auto"/>
              </w:rPr>
            </w:pPr>
          </w:p>
        </w:tc>
        <w:tc>
          <w:tcPr>
            <w:tcW w:w="3220" w:type="dxa"/>
            <w:vAlign w:val="bottom"/>
            <w:gridSpan w:val="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6800" w:type="dxa"/>
            <w:vAlign w:val="bottom"/>
            <w:gridSpan w:val="17"/>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56</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9"/>
          </w:tcPr>
          <w:p>
            <w:pPr>
              <w:jc w:val="center"/>
              <w:ind w:right="2860"/>
              <w:spacing w:after="0"/>
              <w:rPr>
                <w:sz w:val="20"/>
                <w:szCs w:val="20"/>
                <w:color w:val="auto"/>
              </w:rPr>
            </w:pPr>
            <w:r>
              <w:rPr>
                <w:rFonts w:ascii="Times New Roman" w:cs="Times New Roman" w:eastAsia="Times New Roman" w:hAnsi="Times New Roman"/>
                <w:sz w:val="14"/>
                <w:szCs w:val="14"/>
                <w:color w:val="0000FF"/>
                <w:w w:val="97"/>
              </w:rPr>
              <w:t>PART III</w:t>
            </w: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520" w:type="dxa"/>
            <w:vAlign w:val="bottom"/>
            <w:tcBorders>
              <w:top w:val="single" w:sz="8" w:color="0000FF"/>
            </w:tcBorders>
            <w:gridSpan w:val="6"/>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8"/>
              </w:rPr>
              <w:t>Item 11. Executive Compensation</w:t>
            </w:r>
          </w:p>
        </w:tc>
        <w:tc>
          <w:tcPr>
            <w:tcW w:w="1800" w:type="dxa"/>
            <w:vAlign w:val="bottom"/>
            <w:gridSpan w:val="4"/>
          </w:tcPr>
          <w:p>
            <w:pPr>
              <w:spacing w:after="0"/>
              <w:rPr>
                <w:sz w:val="13"/>
                <w:szCs w:val="13"/>
                <w:color w:val="auto"/>
              </w:rPr>
            </w:pPr>
          </w:p>
        </w:tc>
        <w:tc>
          <w:tcPr>
            <w:tcW w:w="5000" w:type="dxa"/>
            <w:vAlign w:val="bottom"/>
            <w:gridSpan w:val="13"/>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10"/>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3940" w:type="dxa"/>
            <w:vAlign w:val="bottom"/>
            <w:gridSpan w:val="10"/>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9"/>
          </w:tcPr>
          <w:p>
            <w:pPr>
              <w:jc w:val="center"/>
              <w:ind w:right="2860"/>
              <w:spacing w:after="0"/>
              <w:rPr>
                <w:sz w:val="20"/>
                <w:szCs w:val="20"/>
                <w:color w:val="auto"/>
              </w:rPr>
            </w:pPr>
            <w:r>
              <w:rPr>
                <w:rFonts w:ascii="Times New Roman" w:cs="Times New Roman" w:eastAsia="Times New Roman" w:hAnsi="Times New Roman"/>
                <w:sz w:val="14"/>
                <w:szCs w:val="14"/>
                <w:color w:val="0000FF"/>
                <w:w w:val="96"/>
              </w:rPr>
              <w:t>PART IV</w:t>
            </w: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15. Exhibits, Financial Statement Schedules</w:t>
            </w:r>
          </w:p>
        </w:tc>
        <w:tc>
          <w:tcPr>
            <w:tcW w:w="520" w:type="dxa"/>
            <w:vAlign w:val="bottom"/>
            <w:tcBorders>
              <w:top w:val="single" w:sz="8" w:color="0000FF"/>
            </w:tcBorders>
            <w:gridSpan w:val="6"/>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0000FF"/>
              </w:rPr>
              <w:t>57</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2180" w:type="dxa"/>
            <w:vAlign w:val="bottom"/>
            <w:gridSpan w:val="10"/>
          </w:tcPr>
          <w:p>
            <w:pPr>
              <w:spacing w:after="0"/>
              <w:rPr>
                <w:sz w:val="13"/>
                <w:szCs w:val="13"/>
                <w:color w:val="auto"/>
              </w:rPr>
            </w:pPr>
          </w:p>
        </w:tc>
        <w:tc>
          <w:tcPr>
            <w:tcW w:w="5940" w:type="dxa"/>
            <w:vAlign w:val="bottom"/>
            <w:gridSpan w:val="15"/>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0000FF"/>
                <w:w w:val="85"/>
              </w:rPr>
              <w:t>60</w:t>
            </w:r>
          </w:p>
        </w:tc>
      </w:tr>
      <w:tr>
        <w:trPr>
          <w:trHeight w:val="690"/>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220" w:type="dxa"/>
            <w:vAlign w:val="bottom"/>
            <w:gridSpan w:val="20"/>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LifeVantage Corporation (the “Company,” “LifeVantage,” “we,” “us,” or “our”) is a company focused on nutrigenomics, the study of how nutrition and naturally occurring compounds affect human genes to support good health. LifeVantage is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sell our products in the United States, Mexico, Japan, Australia, Hong Kong, Canada, Thailand, the United Kingdom, the Netherlands, Germany, Taiwan, Austria, Spain, Ireland, Belgium, New Zealand, and Singapore. We also sell our products in a number of countries to customers for personal consumption only.</w:t>
      </w:r>
    </w:p>
    <w:p>
      <w:pPr>
        <w:spacing w:after="0" w:line="80" w:lineRule="exact"/>
        <w:rPr>
          <w:sz w:val="20"/>
          <w:szCs w:val="20"/>
          <w:color w:val="auto"/>
        </w:rPr>
      </w:pPr>
    </w:p>
    <w:p>
      <w:pPr>
        <w:ind w:right="140" w:firstLine="255"/>
        <w:spacing w:after="0" w:line="219" w:lineRule="auto"/>
        <w:rPr>
          <w:sz w:val="20"/>
          <w:szCs w:val="20"/>
          <w:color w:val="auto"/>
        </w:rPr>
      </w:pPr>
      <w:r>
        <w:rPr>
          <w:rFonts w:ascii="Times New Roman" w:cs="Times New Roman" w:eastAsia="Times New Roman" w:hAnsi="Times New Roman"/>
          <w:sz w:val="14"/>
          <w:szCs w:val="14"/>
          <w:color w:val="auto"/>
        </w:rPr>
        <w:t>We engage in the identification, research, development, formulation and sale of advanced nutrigenomic activators, dietary supplements, weight management products, pre- and pro-biotics, skin and hair care products, and nootropics. Our product lines include: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flagship line of scientifically validated dietary supplements;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line of dietary supplements that include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4"/>
          <w:szCs w:val="14"/>
          <w:color w:val="auto"/>
        </w:rPr>
        <w:t xml:space="preserve">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D3+, and Daily Wellness;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line of skin and hair care products and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w:t>
      </w:r>
    </w:p>
    <w:p>
      <w:pPr>
        <w:spacing w:after="0" w:line="105" w:lineRule="exact"/>
        <w:rPr>
          <w:sz w:val="20"/>
          <w:szCs w:val="20"/>
          <w:color w:val="auto"/>
        </w:rPr>
      </w:pPr>
    </w:p>
    <w:p>
      <w:pPr>
        <w:ind w:right="20" w:firstLine="255"/>
        <w:spacing w:after="0" w:line="234" w:lineRule="auto"/>
        <w:rPr>
          <w:sz w:val="20"/>
          <w:szCs w:val="20"/>
          <w:color w:val="auto"/>
        </w:rPr>
      </w:pPr>
      <w:r>
        <w:rPr>
          <w:rFonts w:ascii="Times New Roman" w:cs="Times New Roman" w:eastAsia="Times New Roman" w:hAnsi="Times New Roman"/>
          <w:sz w:val="14"/>
          <w:szCs w:val="14"/>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through traditional retail stores. In October 2008, we announced that we were transitioning our business model from a traditional retail model to a direct sales model in which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would be sold primarily through a network of independent consultants. Since entering direct sales, we have increased our geographic reach by entering new international markets and increased our product offering by introducing additional scientifically validated products.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2018, we reincorporated from the State of Colorado to the State of Delaware.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2025 Highlights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Product Offerings</w:t>
      </w:r>
    </w:p>
    <w:p>
      <w:pPr>
        <w:spacing w:after="0" w:line="125" w:lineRule="exact"/>
        <w:rPr>
          <w:sz w:val="20"/>
          <w:szCs w:val="20"/>
          <w:color w:val="auto"/>
        </w:rPr>
      </w:pPr>
    </w:p>
    <w:p>
      <w:pPr>
        <w:jc w:val="both"/>
        <w:ind w:right="40" w:firstLine="255"/>
        <w:spacing w:after="0" w:line="216" w:lineRule="auto"/>
        <w:rPr>
          <w:sz w:val="20"/>
          <w:szCs w:val="20"/>
          <w:color w:val="auto"/>
        </w:rPr>
      </w:pPr>
      <w:r>
        <w:rPr>
          <w:rFonts w:ascii="Times New Roman" w:cs="Times New Roman" w:eastAsia="Times New Roman" w:hAnsi="Times New Roman"/>
          <w:sz w:val="14"/>
          <w:szCs w:val="14"/>
          <w:color w:val="auto"/>
        </w:rPr>
        <w:t>In fiscal year 2025, we launched the next evolution in activation, the patent-pending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consisting of MB 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MB Enhance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With ingredients backed by science and formulas designed to support the body’s natural production of the GLP-1 hormone,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helps balance signals along the gut-brain axis to turn down food noise, reduce hunger, and quiet cravings over time. The system is designed to help reshape relationships with food for a sustainable way to make the changes necessary to support wellness and weight loss goals.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launched a new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limited-edition Tiger’s Blood flavor.</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various product introductions by market in fiscal year 2025 is as follows:</w:t>
      </w:r>
    </w:p>
    <w:p>
      <w:pPr>
        <w:spacing w:after="0" w:line="123" w:lineRule="exact"/>
        <w:rPr>
          <w:sz w:val="20"/>
          <w:szCs w:val="20"/>
          <w:color w:val="auto"/>
        </w:rPr>
      </w:pPr>
    </w:p>
    <w:p>
      <w:pPr>
        <w:ind w:left="520" w:hanging="260"/>
        <w:spacing w:after="0" w:line="21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United States, we introduced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an event-exclusive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limited-edition Tiger’s Blood flavor at our Global Convention in Salt Lake City, Utah. The United States also reintroduced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Decaf Peach Nectarine as a permanent flavor,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TruePout Hydrating Lip Oil as a limited-edition holiday item and Mother’s Day gift with purchase,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with an event-exclusive label for Global Convention,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Hand Cream in Coastal Breeze and Mango Blossom, available exclusively through the Rewards Circle loyalty program.</w:t>
      </w:r>
    </w:p>
    <w:p>
      <w:pPr>
        <w:spacing w:after="0" w:line="101" w:lineRule="exact"/>
        <w:rPr>
          <w:rFonts w:ascii="Times New Roman" w:cs="Times New Roman" w:eastAsia="Times New Roman" w:hAnsi="Times New Roman"/>
          <w:sz w:val="14"/>
          <w:szCs w:val="14"/>
          <w:color w:val="auto"/>
        </w:rPr>
      </w:pPr>
    </w:p>
    <w:p>
      <w:pPr>
        <w:ind w:left="520" w:right="160" w:hanging="260"/>
        <w:spacing w:after="0" w:line="232"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Japan, we introduced the MB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 international formulation of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 and reintroduced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as a limited-edition item during the summer months.</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Australia and New Zealand, we introduced the MB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Hand Cream in Mango Blossom, available exclusively through the Rewards Circle loyalty program.</w:t>
      </w:r>
    </w:p>
    <w:p>
      <w:pPr>
        <w:spacing w:after="0" w:line="7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Canada, we introduced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 clean, caffeinated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Dragon Fruit flavor.</w:t>
      </w:r>
    </w:p>
    <w:p>
      <w:pPr>
        <w:spacing w:after="0" w:line="7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Mexico, Europe, and Taiwan, we introduced the MB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6" w:name="page7"/>
    <w:bookmarkEnd w:id="6"/>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Thailand, we launched the MB Set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 Thai name for the MB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Innovation</w:t>
      </w:r>
    </w:p>
    <w:p>
      <w:pPr>
        <w:spacing w:after="0" w:line="127"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continued to develop, enhance and improve the LifeVantage experience using technology. We pioneered new ways to interact with our independent consultants that give us and our independent consultant leaders valuable insight into the activities of the broader independent consultant base. We provided independent consultants with tools and communications that help simplify business activities, by providing step-by-step instruction for starting their business, and ways to improve the prospecting of potential consultants and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Nutrigenomic Culture &amp; Activating Wellness</w:t>
      </w:r>
    </w:p>
    <w:p>
      <w:pPr>
        <w:spacing w:after="0" w:line="117" w:lineRule="exact"/>
        <w:rPr>
          <w:sz w:val="20"/>
          <w:szCs w:val="20"/>
          <w:color w:val="auto"/>
        </w:rPr>
      </w:pPr>
    </w:p>
    <w:p>
      <w:pPr>
        <w:ind w:right="40" w:firstLine="255"/>
        <w:spacing w:after="0" w:line="241" w:lineRule="auto"/>
        <w:rPr>
          <w:sz w:val="20"/>
          <w:szCs w:val="20"/>
          <w:color w:val="auto"/>
        </w:rPr>
      </w:pPr>
      <w:r>
        <w:rPr>
          <w:rFonts w:ascii="Times New Roman" w:cs="Times New Roman" w:eastAsia="Times New Roman" w:hAnsi="Times New Roman"/>
          <w:sz w:val="14"/>
          <w:szCs w:val="14"/>
          <w:color w:val="auto"/>
        </w:rPr>
        <w:t>We continue to own our message of activation by developing products that empower the body to work as designed with nutrients that activate internal processes to support vibrant health at any age. Nutrigenomics and cellular activation are cutting-edge trends in our industry that support our unique position in the market and leverage our core competencies and existing products. Activation is the guiding principle of our culture and is the key underlying message for our independent consultants and customers. We continue capitalizing on this message by highlighting how LifeVantage has used the concept of activation and expanded it to every aspect of our business, with our brand message of “activating wellness.” By focusing on wellness, we are able to apply activation not only to our products, which support physical, mental, and emotional health, but also our business opportunity, which supports financial, social, and spiritual health. The “activating wellness” message is featured across our communications with our independent consultants and in our brand and marketing materials. In fiscal year 2025, the brand message of activation and “activating wellness” was strengthened by introducing the innovative, patent-pending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consisting of MB 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MB Enhance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Research from a cell culture study on the active ingredient blends in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revealed that the two products work together to directly activate the GLP-1 pathway and encourage L-cells to produce more GLP-1 hormone naturally. MB Enhance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also fuels GLP-1 production indirectly by creating an optimal environment in the gut microbiome. Additionally, when both products are used together, they have been shown to reduce the enzyme that breaks down GLP-1 and help promote an increase in GLP-1 cell receptors.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 Carpet Program</w:t>
      </w:r>
    </w:p>
    <w:p>
      <w:pPr>
        <w:spacing w:after="0" w:line="12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fiscal year 2025, we continued to grow through our red-carpet program, which is designed to attract and incentivize experienced direct selling sales leaders to join LifeVantage. Red carpet leaders are identified by our independent consultants who facilitate the relationship between the potential red carpet leader and LifeVantage. Our corporate team does not actively engage in recruiting leaders for the red carpet program. We remain optimistic that this program will help drive long term revenue growth for our business. We have increased red carpet leadership enrollments and hope to see improved retention and active independent consultant and customer counts as a result of this program.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Rewards Circle Loyalty Program</w:t>
      </w:r>
    </w:p>
    <w:p>
      <w:pPr>
        <w:spacing w:after="0" w:line="12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In March 2023, we launched our Rewards Circle customer loyalty program to drive retention in the United States, Australia, New Zealand, and Japan. In February 2024, Rewards Circle was expanded to Canada, Europe, and Mexico. Rewards Circle rewards customers who demonstrate loyalty through subscription purchases with discount credits to redeem on future purchases. In August 2024, Rewards Circle was expanded to also reward independent consultant subscription purchases in the United States, Australia, and New Zealand markets.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Advantages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we have a competitive advantage in several key areas:</w:t>
      </w:r>
    </w:p>
    <w:p>
      <w:pPr>
        <w:spacing w:after="0" w:line="125" w:lineRule="exact"/>
        <w:rPr>
          <w:sz w:val="20"/>
          <w:szCs w:val="20"/>
          <w:color w:val="auto"/>
        </w:rPr>
      </w:pPr>
    </w:p>
    <w:p>
      <w:pPr>
        <w:ind w:left="520" w:hanging="260"/>
        <w:spacing w:after="0" w:line="25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Sales Compensation</w:t>
      </w:r>
      <w:r>
        <w:rPr>
          <w:rFonts w:ascii="Times New Roman" w:cs="Times New Roman" w:eastAsia="Times New Roman" w:hAnsi="Times New Roman"/>
          <w:sz w:val="14"/>
          <w:szCs w:val="14"/>
          <w:color w:val="auto"/>
        </w:rPr>
        <w:t>: We believe our sales compensation plan engineered for our independent consultants is one of the more financially rewarding plans in the direct selling industry and in line with direct selling industry standards. Our sales compensation plan also enables independent consultants to earn compensation early and often as they sell our products. Some elements of our sales compensation plan are calculated and paid daily to eligible independent consultants and others are calculated and paid weekly or monthly, allowing new independent consultants to receive their sales commissions more quickly. We believe the ease of more frequent sales commission payments helps us attract and then retain new independent consultants by allowing them to receive their commission payments as soon as possible after making qualified product sales. We also offer a variety of incentives to our independent consultants for achieving specified product sales goals. We believe our sales compensation plan provides motivation for our independent consultants to sell our products to customers and share the business opportunity with other entrepreneurs seeking to begin their own sales business. In 2023, we implemented a new compensation plan for our independent consultants in the United States, Australia, New Zealand and Japan markets. This compensation plan is known as our “Evolve Compensation Plan.” In February 2024, we launched the Evolve Compensation Plan for our independent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7" w:name="page8"/>
    <w:bookmarkEnd w:id="7"/>
    <w:p>
      <w:pPr>
        <w:ind w:left="260" w:right="220"/>
        <w:spacing w:after="0" w:line="270" w:lineRule="auto"/>
        <w:rPr>
          <w:sz w:val="20"/>
          <w:szCs w:val="20"/>
          <w:color w:val="auto"/>
        </w:rPr>
      </w:pPr>
      <w:r>
        <w:rPr>
          <w:rFonts w:ascii="Times New Roman" w:cs="Times New Roman" w:eastAsia="Times New Roman" w:hAnsi="Times New Roman"/>
          <w:sz w:val="14"/>
          <w:szCs w:val="14"/>
          <w:color w:val="auto"/>
        </w:rPr>
        <w:t>consultants in the Canada, Mexico, and Europe markets. In November 2024, we launched an optimized version of the Evolve Compensation Plan for our independent consultants in the United States, Japan, Australia, New Zealand, Canada, Mexico, and Europe markets. In March 2025, we launched the Evolve Compensation Plan for our independent consultants in other markets, including Taiwan, Hong Kong, and Singapore. We plan to roll out the Evolve Compensation Plan in Thailand once we receive the appropriate government approvals.</w:t>
      </w:r>
    </w:p>
    <w:p>
      <w:pPr>
        <w:spacing w:after="0" w:line="72" w:lineRule="exact"/>
        <w:rPr>
          <w:sz w:val="20"/>
          <w:szCs w:val="20"/>
          <w:color w:val="auto"/>
        </w:rPr>
      </w:pPr>
    </w:p>
    <w:p>
      <w:pPr>
        <w:ind w:left="260" w:right="20" w:hanging="260"/>
        <w:spacing w:after="0" w:line="224"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Products</w:t>
      </w:r>
      <w:r>
        <w:rPr>
          <w:rFonts w:ascii="Times New Roman" w:cs="Times New Roman" w:eastAsia="Times New Roman" w:hAnsi="Times New Roman"/>
          <w:sz w:val="14"/>
          <w:szCs w:val="14"/>
          <w:color w:val="auto"/>
        </w:rPr>
        <w:t>: Our focus is on a differentiated approach to health activation through nutrigenomics and the study of how properly formulated and applied nutrition and naturally occurring compounds affect human genes to support good health. We have developed proprietary and exclusive scientifically validated activation products focused on helping individuals look, feel, and perform better. Our products are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scientifically validated dietary supplements; the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dietary supplements that include the new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D3+ and Daily Wellness;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Fat Burn and Prebiotic dietary supplements; the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skin and hair care products and Liquid Collagen; the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pet supplement formulated to combat oxidative stress in dogs; and the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nootropic energy drink mixes. We believe the significant number of customers who regularly and repeatedly purchase our products is a strong indicator of the health benefits of our products.</w:t>
      </w:r>
    </w:p>
    <w:p>
      <w:pPr>
        <w:spacing w:after="0" w:line="102" w:lineRule="exact"/>
        <w:rPr>
          <w:rFonts w:ascii="Times New Roman" w:cs="Times New Roman" w:eastAsia="Times New Roman" w:hAnsi="Times New Roman"/>
          <w:sz w:val="14"/>
          <w:szCs w:val="14"/>
          <w:color w:val="auto"/>
        </w:rPr>
      </w:pPr>
    </w:p>
    <w:p>
      <w:pPr>
        <w:ind w:left="500" w:right="20" w:hanging="246"/>
        <w:spacing w:after="0" w:line="215" w:lineRule="auto"/>
        <w:tabs>
          <w:tab w:leader="none" w:pos="49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includes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together (marketed as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has been shown to produce “activation synergies” greater than using the individual products on their own.</w:t>
      </w:r>
    </w:p>
    <w:p>
      <w:pPr>
        <w:spacing w:after="0" w:line="48" w:lineRule="exact"/>
        <w:rPr>
          <w:rFonts w:ascii="Times New Roman" w:cs="Times New Roman" w:eastAsia="Times New Roman" w:hAnsi="Times New Roman"/>
          <w:sz w:val="14"/>
          <w:szCs w:val="14"/>
          <w:color w:val="auto"/>
        </w:rPr>
      </w:pPr>
    </w:p>
    <w:p>
      <w:pPr>
        <w:ind w:left="500" w:hanging="246"/>
        <w:spacing w:after="0" w:line="220" w:lineRule="auto"/>
        <w:tabs>
          <w:tab w:leader="none" w:pos="49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includes: the new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dietary supplement that combines two products, MB 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MB Enhance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are designed to support weight management and wellness by activating GLP-1 naturally and balancing signals along the gut-brain axis; Omega+, a dietary supplement that combines DHA and EPA omega-3 fatty acids, omega-7 fatty acids, and vitamin D3 to support cognitive health, cardiovascular health, skin health, and the immune system; ProBio, a dietary supplement designed to support optimal digestion and immune system function; Daily Wellness, a dietary supplement designed to support immune health;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dietary supplement to help support eye and brain health, reduce eye fatigue and strain, support cognitive functions, and may help support normal sleep patterns;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dietary supplement that uses Timewise Nutrient Delivery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provide the body with the right nutrients in the right amounts at the right time; and D3+, a dietary supplement that provides vitamin D3, vitamin K2, magnesium, calcium, and other trace minerals to support a balanced immune system, strong bones, and cardiovascular health.</w:t>
      </w:r>
    </w:p>
    <w:p>
      <w:pPr>
        <w:spacing w:after="0" w:line="9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Fat Burn is a dietary supplement designed to support weight-management.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Prebiotic is a dietary supplement designed to support a healthy digestive tract.</w:t>
      </w:r>
    </w:p>
    <w:p>
      <w:pPr>
        <w:spacing w:after="0" w:line="76" w:lineRule="exact"/>
        <w:rPr>
          <w:rFonts w:ascii="Times New Roman" w:cs="Times New Roman" w:eastAsia="Times New Roman" w:hAnsi="Times New Roman"/>
          <w:sz w:val="14"/>
          <w:szCs w:val="14"/>
          <w:color w:val="auto"/>
        </w:rPr>
      </w:pPr>
    </w:p>
    <w:p>
      <w:pPr>
        <w:ind w:left="500" w:right="80" w:hanging="246"/>
        <w:spacing w:after="0" w:line="213" w:lineRule="auto"/>
        <w:tabs>
          <w:tab w:leader="none" w:pos="49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skin and hair care products includes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TrueClean Refining Cleanser,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TrueLift Illuminating Eye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TrueHydrate Brightening Moisturizer,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TrueTone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Daily Mineral Sunstick SPF 30,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Hand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Invigorating Shampoo,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Nourishing Conditioner,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Scalp Serum,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activates, replenishes, and maintains collagen to support firmness and elasticity from within. It has been shown to have a synergistic effect with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helping to break the cellular stress that prevents cells throughout the body from performing optimally.</w:t>
      </w:r>
    </w:p>
    <w:p>
      <w:pPr>
        <w:spacing w:after="0" w:line="47"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specially formulated to combat oxidative stress in dogs through Nrf2 activation.</w:t>
      </w:r>
    </w:p>
    <w:p>
      <w:pPr>
        <w:spacing w:after="0" w:line="71"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nootropic energy drink mixes formulated to promote alertness and support mental performance.</w:t>
      </w:r>
    </w:p>
    <w:p>
      <w:pPr>
        <w:spacing w:after="0" w:line="79" w:lineRule="exact"/>
        <w:rPr>
          <w:rFonts w:ascii="Times New Roman" w:cs="Times New Roman" w:eastAsia="Times New Roman" w:hAnsi="Times New Roman"/>
          <w:sz w:val="14"/>
          <w:szCs w:val="14"/>
          <w:color w:val="auto"/>
        </w:rPr>
      </w:pPr>
    </w:p>
    <w:p>
      <w:pPr>
        <w:ind w:left="260" w:right="100" w:hanging="260"/>
        <w:spacing w:after="0" w:line="287"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Technology-Enabled Consultant Training and Resources</w:t>
      </w:r>
      <w:r>
        <w:rPr>
          <w:rFonts w:ascii="Times New Roman" w:cs="Times New Roman" w:eastAsia="Times New Roman" w:hAnsi="Times New Roman"/>
          <w:sz w:val="14"/>
          <w:szCs w:val="14"/>
          <w:color w:val="auto"/>
        </w:rPr>
        <w:t>: We are committed to providing our independent consultants with resources and training designed to promote productivity and their opportunity for successful sales and resulting</w:t>
      </w:r>
    </w:p>
    <w:p>
      <w:pPr>
        <w:spacing w:after="0" w:line="200" w:lineRule="exact"/>
        <w:rPr>
          <w:sz w:val="20"/>
          <w:szCs w:val="20"/>
          <w:color w:val="auto"/>
        </w:rPr>
      </w:pPr>
    </w:p>
    <w:p>
      <w:pPr>
        <w:spacing w:after="0" w:line="3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46" w:right="319" w:bottom="1440" w:gutter="0" w:footer="0" w:header="0"/>
        </w:sectPr>
      </w:pPr>
    </w:p>
    <w:bookmarkStart w:id="8" w:name="page9"/>
    <w:bookmarkEnd w:id="8"/>
    <w:p>
      <w:pPr>
        <w:ind w:left="520"/>
        <w:spacing w:after="0" w:line="261" w:lineRule="auto"/>
        <w:rPr>
          <w:sz w:val="20"/>
          <w:szCs w:val="20"/>
          <w:color w:val="auto"/>
        </w:rPr>
      </w:pPr>
      <w:r>
        <w:rPr>
          <w:rFonts w:ascii="Times New Roman" w:cs="Times New Roman" w:eastAsia="Times New Roman" w:hAnsi="Times New Roman"/>
          <w:sz w:val="14"/>
          <w:szCs w:val="14"/>
          <w:color w:val="auto"/>
        </w:rPr>
        <w:t>commissions. We are dedicated to using technology to facilitate a streamlined approach for independent consultants to manage their businesses and sell our products. The LifeVantage app, which is available for download on the Apple app store and Google Play store, is a custom-developed platform that provides new ways for us to interact with our independent consultants and gives us and our consultant leadership valuable insight into the sales activities of our consultant base. Ultimately, through artificial intelligence and machine learning, we expect that the app will be able to guide independent consultants on what to share, when to share it, and with whom to sell LifeVantage products. In addition, we provide other business and product training materials, and we encourage our independent consultants to participate in company-sponsored events, including conventions and sales promotions and incentives.</w:t>
      </w:r>
    </w:p>
    <w:p>
      <w:pPr>
        <w:spacing w:after="0" w:line="80" w:lineRule="exact"/>
        <w:rPr>
          <w:sz w:val="20"/>
          <w:szCs w:val="20"/>
          <w:color w:val="auto"/>
        </w:rPr>
      </w:pPr>
    </w:p>
    <w:p>
      <w:pPr>
        <w:ind w:left="520" w:right="80" w:hanging="260"/>
        <w:spacing w:after="0" w:line="26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Culture</w:t>
      </w:r>
      <w:r>
        <w:rPr>
          <w:rFonts w:ascii="Times New Roman" w:cs="Times New Roman" w:eastAsia="Times New Roman" w:hAnsi="Times New Roman"/>
          <w:sz w:val="14"/>
          <w:szCs w:val="14"/>
          <w:color w:val="auto"/>
        </w:rPr>
        <w:t>: We are committed to creating a culture for our independent consultants, their customers and our employees that focuses on ethical, legal, and transparent business practices. At enrollment, our independent consultants agree to abide by their contract with us, which includes our policies and procedures. These policies and procedures, when followed, are designed to ensure that our independent consultants comply with applicable laws and regulations. Our consultant compliance department monitors the activities of our independent consultants as part of our efforts to enforce our policies and procedures. Similarly, our code of business conduct and ethics sets forth guidelines and expectations for our employees. We believe our ethical, legal, and transparent culture attracts highly qualified employees and independent consultants who share our commitment to these principles.</w:t>
      </w:r>
    </w:p>
    <w:p>
      <w:pPr>
        <w:spacing w:after="0" w:line="90" w:lineRule="exact"/>
        <w:rPr>
          <w:rFonts w:ascii="Times New Roman" w:cs="Times New Roman" w:eastAsia="Times New Roman" w:hAnsi="Times New Roman"/>
          <w:sz w:val="14"/>
          <w:szCs w:val="14"/>
          <w:color w:val="auto"/>
        </w:rPr>
      </w:pPr>
    </w:p>
    <w:p>
      <w:pPr>
        <w:ind w:left="520" w:right="40" w:hanging="260"/>
        <w:spacing w:after="0" w:line="25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Global Customer Acquisition</w:t>
      </w:r>
      <w:r>
        <w:rPr>
          <w:rFonts w:ascii="Times New Roman" w:cs="Times New Roman" w:eastAsia="Times New Roman" w:hAnsi="Times New Roman"/>
          <w:sz w:val="14"/>
          <w:szCs w:val="14"/>
          <w:color w:val="auto"/>
        </w:rPr>
        <w:t>: Our global customer acquisition program expands the number of countries where customers can purchase and use our products for personal consumption only. This program allows us to enter additional markets at low incremental cost and enables independent consultants to leverage customer sales through their international relationships outside of their home countries. The program initially launched in eight markets, many of which subsequently became fully open for business on-the-ground through a growing network of resident independent consultants. We have also entered into key strategic agreements with third parties based in the United States that helps customers ship LifeVantage products purchased in the U.S. throughout the world via their customer personal purchase and importation programs. We also expanded our Auto-Assigned Customer Program, which allows new customers to order directly through www.lifevantage.com without being required to go through an independent consultant on their initial order. At the initial order, new customers have an opportunity to be assigned to independent consultants, who may then benefit from the initial sale commission and are then incentivized to provide future product support and sales to the assigned customer. This program provides customers easier access to our innovative products while providing the opportunity of referrals to our independent consultant force.</w:t>
      </w:r>
    </w:p>
    <w:p>
      <w:pPr>
        <w:spacing w:after="0" w:line="95" w:lineRule="exact"/>
        <w:rPr>
          <w:rFonts w:ascii="Times New Roman" w:cs="Times New Roman" w:eastAsia="Times New Roman" w:hAnsi="Times New Roman"/>
          <w:sz w:val="14"/>
          <w:szCs w:val="14"/>
          <w:color w:val="auto"/>
        </w:rPr>
      </w:pPr>
    </w:p>
    <w:p>
      <w:pPr>
        <w:ind w:left="520" w:right="100" w:hanging="260"/>
        <w:spacing w:after="0" w:line="26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Our Employees</w:t>
      </w:r>
      <w:r>
        <w:rPr>
          <w:rFonts w:ascii="Times New Roman" w:cs="Times New Roman" w:eastAsia="Times New Roman" w:hAnsi="Times New Roman"/>
          <w:sz w:val="14"/>
          <w:szCs w:val="14"/>
          <w:color w:val="auto"/>
        </w:rPr>
        <w:t>: We believe that our employees are an essential asset. We have a dedicated team of professionals that support our independent consultants, work to generate long-term value for our stockholders and contribute to the broader society through charitable programs, including the 501(c)(3) LifeVantage Legacy – an independent charitable organization focused on bettering the lives of children throughout the world. In turn, we offer competitive compensation and direct employee focus toward the short and long-term goals of our stockholders and independent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Scientific Background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Normal Aging Process</w:t>
      </w:r>
    </w:p>
    <w:p>
      <w:pPr>
        <w:spacing w:after="0" w:line="127" w:lineRule="exact"/>
        <w:rPr>
          <w:sz w:val="20"/>
          <w:szCs w:val="20"/>
          <w:color w:val="auto"/>
        </w:rPr>
      </w:pPr>
    </w:p>
    <w:p>
      <w:pPr>
        <w:jc w:val="both"/>
        <w:ind w:right="340" w:firstLine="255"/>
        <w:spacing w:after="0" w:line="270" w:lineRule="auto"/>
        <w:rPr>
          <w:sz w:val="20"/>
          <w:szCs w:val="20"/>
          <w:color w:val="auto"/>
        </w:rPr>
      </w:pPr>
      <w:r>
        <w:rPr>
          <w:rFonts w:ascii="Times New Roman" w:cs="Times New Roman" w:eastAsia="Times New Roman" w:hAnsi="Times New Roman"/>
          <w:sz w:val="14"/>
          <w:szCs w:val="14"/>
          <w:color w:val="auto"/>
        </w:rPr>
        <w:t>Aging in humans is a complex process driven by diverse changes in genetic, molecular, biochemical, and cellular events. This multifactorial process is ultimately characterized by a gradual decline in physiological functions and in the effectiveness of the intricate network of internal cellular communication referred to as cellular signaling. Theories as to why humans age include the oxidative stress theory, the mitochondrial theory, and the sirtuin theory.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Oxidative Stress Theory of Aging and the Nrf2 Pathway</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oxidative stress theory of aging states that as humans age, we accumulate free radicals and other oxidants. If left unchecked, this oxidative stress can lead to serious consequences to the cell.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Oxidative stress can ultimately lead to oxidative damage from attacks and damage to essential biological structures of the cell, which results in compromised cellular function.</w:t>
      </w:r>
    </w:p>
    <w:p>
      <w:pPr>
        <w:spacing w:after="0" w:line="111"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Antioxidants are the cell’s primary defense against free radicals and other oxidants. There are two major classes of antioxidants: (1) dietary antioxidants obtained through food and nutritional supplements; and (2) endogenous antioxidants produced by the body. A 2013 review of the scientific literature led by the United States National Institutes of Health’s National Center for Complementary and Integrative Health concluded that “rigorous trials of antioxidant supplements in large numbers of people have not found that high doses of antioxidant supplements prevent disease.” Thus, much attention has shifted to the body’s endogenous antioxidant and detoxification systems. Endogenous antioxidants are antioxidants made by the body and are the primary line of defense against oxidative stress. In general, endogenous antioxidants either prevent oxidants from being formed, or remove them from the body. Endogenous antioxidants form a complex network of antioxidant metabolites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enzymes. These networks work together, throughout the cell, to neutralize oxidants and protect important biological structures from oxidative damage.</w:t>
      </w:r>
    </w:p>
    <w:p>
      <w:pPr>
        <w:spacing w:after="0" w:line="115"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Endogenous antioxidants can also be upregulated in times of increasing oxidative stress. The Nrf2 cellular signaling pathway is the primary pathway for upregulating endogenous antioxidant and other detoxification pathways. With age, the activity of this Nrf2 cellular signaling pathway has been shown to decrease – both in its ability to sense oxidative threats and ultimately upregulate its target genes.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Mitochondrial Theory of Aging and the NRF1 Pathway</w:t>
      </w:r>
    </w:p>
    <w:p>
      <w:pPr>
        <w:spacing w:after="0" w:line="12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222222"/>
        </w:rPr>
        <w:t xml:space="preserve">Mitochondria are membrane-bound cellular organelles that generate most of the chemical energy needed to power the cell's biochemical reactions. </w:t>
      </w:r>
      <w:r>
        <w:rPr>
          <w:rFonts w:ascii="Times New Roman" w:cs="Times New Roman" w:eastAsia="Times New Roman" w:hAnsi="Times New Roman"/>
          <w:sz w:val="14"/>
          <w:szCs w:val="14"/>
          <w:color w:val="000000"/>
        </w:rPr>
        <w:t>The mitochondria produce energy by breaking</w:t>
      </w:r>
      <w:r>
        <w:rPr>
          <w:rFonts w:ascii="Times New Roman" w:cs="Times New Roman" w:eastAsia="Times New Roman" w:hAnsi="Times New Roman"/>
          <w:sz w:val="14"/>
          <w:szCs w:val="14"/>
          <w:color w:val="222222"/>
        </w:rPr>
        <w:t xml:space="preserve"> </w:t>
      </w:r>
      <w:r>
        <w:rPr>
          <w:rFonts w:ascii="Times New Roman" w:cs="Times New Roman" w:eastAsia="Times New Roman" w:hAnsi="Times New Roman"/>
          <w:sz w:val="14"/>
          <w:szCs w:val="14"/>
          <w:color w:val="000000"/>
        </w:rPr>
        <w:t>down food that has been ingested and capturing high-energy electrons in the process. When mitochondria are functioning properly, they harness the energy of these electrons to produce energy for the cell. At the end of this process, the mitochondria attach these electrons to molecular oxygen that ultimately get detoxified to water. However, this process is not perfectly efficient and, even in young, healthy mitochondria, electrons can escape, potentially forming free radicals and other oxidants.</w:t>
      </w:r>
    </w:p>
    <w:p>
      <w:pPr>
        <w:spacing w:after="0" w:line="77"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The mitochondrial theory of aging states that as humans age, mitochondria function less efficiently, producing less energy and more free radicals and other oxidants. The reduction in energy production compromises cellular function. The increase in free radicals and other oxidants in turn damage structures of the cell, including the mitochondria. This mitochondrial damage goes on to further compromise mitochondrial function leading to a downward spiral of decreased mitochondrial efficiency and increased production of free radicals and other oxidants. This process ultimately contributes to an increase in the overall cellular burden of oxidative stress and otherwise compromises cellular function through decreased energy production.</w:t>
      </w:r>
    </w:p>
    <w:p>
      <w:pPr>
        <w:spacing w:after="0" w:line="87"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A major cellular signaling pathway believed to be involved in mitochondrial health is NRF1 (Nuclear Respiratory Factor-1). The NRF1 cellular signaling pathway directly or indirectly regulates a number of genes involved in mitochondrial health, turnover, and biogenesis. NRF1 is a protein believed to activate the expression of key genes involved in metabolism, cellular growth, energy production, and mitochondrial DNA transcription and replication. Together with Nrf2, Nrf1 also provides the essential function of coordinating gene expression between nuclear and mitochondrial genomes. An additional protein shown to support mitochondrial health is PGC1-alpha (peroxisome proliferator activated receptor gamma coactivator-1-alpha). PGC1-alpha has been shown to regulate energy metabolism and is the master regulator of mitochondrial biogenesis and turnover.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Sirtuin Theory of Aging and the NAD Pathway</w:t>
      </w:r>
    </w:p>
    <w:p>
      <w:pPr>
        <w:spacing w:after="0" w:line="11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sirtuin theory of aging developed from studies examining the health benefits of caloric restriction. Caloric restriction is the process whereby caloric intake is restricted by as much as 40 to 60 percent. In numerous experimental models, animals put on calorically restricted diets experienced significant increases in maximum lifespan. Numerous studies have concluded that a family of proteins called the “sirtuins” are required for the increase in lifespan brought on by caloric restriction.</w:t>
      </w:r>
    </w:p>
    <w:p>
      <w:pPr>
        <w:spacing w:after="0" w:line="83" w:lineRule="exact"/>
        <w:rPr>
          <w:sz w:val="20"/>
          <w:szCs w:val="20"/>
          <w:color w:val="auto"/>
        </w:rPr>
      </w:pPr>
    </w:p>
    <w:p>
      <w:pPr>
        <w:jc w:val="both"/>
        <w:ind w:right="220" w:firstLine="255"/>
        <w:spacing w:after="0" w:line="237" w:lineRule="auto"/>
        <w:rPr>
          <w:sz w:val="20"/>
          <w:szCs w:val="20"/>
          <w:color w:val="auto"/>
        </w:rPr>
      </w:pPr>
      <w:r>
        <w:rPr>
          <w:rFonts w:ascii="Times New Roman" w:cs="Times New Roman" w:eastAsia="Times New Roman" w:hAnsi="Times New Roman"/>
          <w:sz w:val="14"/>
          <w:szCs w:val="14"/>
          <w:color w:val="auto"/>
        </w:rPr>
        <w:t>When the physiology of humans undergoing caloric restriction was examined, a number of health benefits were discovered. As researchers began to understand the molecular biology of these sirtuins, they found that the enzymatic activity for most of them required the molecule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(nicotinamide adenine dinucleotide).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an essential molecule for many biochemical reactions, most notably metabolism of food for energy in the mitochondria.</w:t>
      </w:r>
    </w:p>
    <w:p>
      <w:pPr>
        <w:spacing w:after="0" w:line="101" w:lineRule="exact"/>
        <w:rPr>
          <w:sz w:val="20"/>
          <w:szCs w:val="20"/>
          <w:color w:val="auto"/>
        </w:rPr>
      </w:pPr>
    </w:p>
    <w:p>
      <w:pPr>
        <w:jc w:val="both"/>
        <w:ind w:firstLine="255"/>
        <w:spacing w:after="0" w:line="219" w:lineRule="auto"/>
        <w:rPr>
          <w:sz w:val="20"/>
          <w:szCs w:val="20"/>
          <w:color w:val="auto"/>
        </w:rPr>
      </w:pPr>
      <w:r>
        <w:rPr>
          <w:rFonts w:ascii="Times New Roman" w:cs="Times New Roman" w:eastAsia="Times New Roman" w:hAnsi="Times New Roman"/>
          <w:sz w:val="14"/>
          <w:szCs w:val="14"/>
          <w:color w:val="auto"/>
        </w:rPr>
        <w:t>Taken together, these findings are intriguing because they establish a direct link between metabolism and healthy longevity. When energy intake is normal, the primary role of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for energy production. However, when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levels increase, either due to restricting calories or increasing the cellular production of NAD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 becomes a signaling molecule to activate sirtuins and other health promoting mechanisms within the cell.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Impacts of Aging - Collagen Depletion</w:t>
      </w:r>
    </w:p>
    <w:p>
      <w:pPr>
        <w:spacing w:after="0" w:line="127"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Collagen is a protein that serves as a key structural component in various connective tissues throughout the body. There are 28 types of collagens, but Type I represents 80%-90% of all skin collagen in healthy adults. Type I collagen is produced by a type of cell called fibroblasts. From early adulthood, fibroblast cells become less active and collagen production declines by about 1.0-1.5% a year. Studies show that collagen reaches peak levels in an individual’s late 20’s to early 30’s, followed by a gradual decline that continues with age.</w:t>
      </w:r>
    </w:p>
    <w:p>
      <w:pPr>
        <w:spacing w:after="0" w:line="83"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This decline occurs as collagen fibers accumulate damage over time, decreasing their ability to function correctly. The density of the dermis is reduced as well, so it contains less collagen and elastin. The fibers that remain can become disorganized and abnormal in shape in aged skin compared to young and healthy skin. As a result, there is an upregulation of enzymes that break down and recycle collagen, contributing to declining levels. As collagen fibers become damaged and levels start to decline, collagen becomes more fragile and brittle, leading to a weakening of the skin’s structural support. The skin loses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0" w:name="page11"/>
    <w:bookmarkEnd w:id="10"/>
    <w:p>
      <w:pPr>
        <w:ind w:right="20"/>
        <w:spacing w:after="0" w:line="287" w:lineRule="auto"/>
        <w:rPr>
          <w:sz w:val="20"/>
          <w:szCs w:val="20"/>
          <w:color w:val="auto"/>
        </w:rPr>
      </w:pPr>
      <w:r>
        <w:rPr>
          <w:rFonts w:ascii="Times New Roman" w:cs="Times New Roman" w:eastAsia="Times New Roman" w:hAnsi="Times New Roman"/>
          <w:sz w:val="14"/>
          <w:szCs w:val="14"/>
          <w:color w:val="auto"/>
        </w:rPr>
        <w:t>volume and firmness, and it starts to thin and wrinkle. Hydration, elasticity, and suppleness of the skin also begin to decline. These changes are characteristic hallmarks associated with the appearance of aging.</w:t>
      </w:r>
    </w:p>
    <w:p>
      <w:pPr>
        <w:spacing w:after="0" w:line="61"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In order to holistically address the decline of collagen that impacts structural integrity of both the skin and connective tissue throughout the body, there are three approaches that need to be taken. First, production of new collagen fibers must be activated within the extracellular matrix. Second, the collagen that has been lost must be replenished through supplementation. Third, collagen fibers already present must be maintained through slowing their breakdown or degradation.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Factors of Skin Aging</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declines in collagen, other factors impact the appearance of skin as it ages. Such factors, include skin dullness, hyperpigmentation, and under-eye puffiness and dark circles.</w:t>
      </w:r>
    </w:p>
    <w:p>
      <w:pPr>
        <w:spacing w:after="0" w:line="115"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Skin dullness can be caused by a buildup of dead skin and impurities caused by the slowdown of skin cell turnover with age, typically beginning in the 30’s and early 40’s.</w:t>
      </w:r>
    </w:p>
    <w:p>
      <w:pPr>
        <w:spacing w:after="0" w:line="125"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Hyperpigmentation is caused by excess melanin that can be triggered by factors like sun, pollution, stress, and hormones. Increased tyrosinase and signaling molecules like IL-6 and IL-8 from these factors ultimately lead to an increase of melanin and the appearance of age spots or uneven skin tone.</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Under-eye dark circles are caused by excess blood vessels under the eye that are more easily visible due to collagen decline and resulting skin thinning under the eye, as well as an increase in vasculature under the eye (angiogenesis triggered by binding of VEGF (vascular endothelial growth factor) on its receptor at the surface of blood vessels).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Under-eye puffiness and bags are caused by fat accumulation from weakening tissues around the eye.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these factors lead to an aging appearance.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GLP-1</w:t>
      </w:r>
    </w:p>
    <w:p>
      <w:pPr>
        <w:spacing w:after="0" w:line="117"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Glucagon-like peptide-1 (GLP-1) is a naturally occurring hormone primarily secreted by cells in the colon in response to food intake. It plays a key role in regulating blood glucose levels and metabolic health. It also influences multiple physiological systems, including the pancreas, liver, brain, cardiovascular system, and gastrointestinal tract.</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GLP-1 activity contributes to appetite regulation and satiety by acting on specific regions of the brain, including reward centers, resulting in reduced food intake and prolonged gastric emptying.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mechanisms make GLP-1 a critical target for metabolic health and weight management.</w:t>
      </w:r>
    </w:p>
    <w:p>
      <w:pPr>
        <w:spacing w:after="0" w:line="111"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GLP-1 works by binding to GLP-1 receptors, which are expressed in various tissues. Activation of these receptors initiates signaling pathways that influence insulin release, appetite suppression, cardiovascular tone, and neuroendocrine function. The hormone’s activity is rapidly weakened by the enzyme dipeptidyl peptidase-4 (DPP-4), which breaks down GLP-1 and significantly shortens its half-life. Thus, regulating DPP-4 activity is helpful for maintaining more active GLP-1 in the body for sustained benefits.</w:t>
      </w:r>
    </w:p>
    <w:p>
      <w:pPr>
        <w:spacing w:after="0" w:line="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gastrointestinal system, GLP-1 slows motility and plays a role in the gut-brain axis, potentially impacting mood, reward-related behavior, and cognitive performance. GLP-1 also has cardio and neuroprotective effects.</w:t>
      </w:r>
    </w:p>
    <w:p>
      <w:pPr>
        <w:spacing w:after="0" w:line="71"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A holistic approach is necessary to enhance the benefits of GLP-1 to support appetite control, metabolic health, and overall well-being: (1) directly activating GLP-1 production in L-cells; (2) indirect activation by optimizing the gut microbiome to generate short-chain fatty acids that fuel GLP-1 production; (3) creating more GLP-1 receptors on cells throughout the body; (4) reducing expression of DPP4 enzymes to extend the life of GLP-1; and (5) restoring clear and balanced hunger signals along the gut-brain axis through increased neuropeptide activity.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17" w:lineRule="exact"/>
        <w:rPr>
          <w:sz w:val="20"/>
          <w:szCs w:val="20"/>
          <w:color w:val="auto"/>
        </w:rPr>
      </w:pPr>
    </w:p>
    <w:p>
      <w:pPr>
        <w:ind w:firstLine="255"/>
        <w:spacing w:after="0" w:line="234" w:lineRule="auto"/>
        <w:rPr>
          <w:sz w:val="20"/>
          <w:szCs w:val="20"/>
          <w:color w:val="auto"/>
        </w:rPr>
      </w:pPr>
      <w:r>
        <w:rPr>
          <w:rFonts w:ascii="Times New Roman" w:cs="Times New Roman" w:eastAsia="Times New Roman" w:hAnsi="Times New Roman"/>
          <w:sz w:val="14"/>
          <w:szCs w:val="14"/>
          <w:color w:val="auto"/>
        </w:rPr>
        <w:t>Historically, we have focused our research and development efforts on creating and supporting scientifically validated products under the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PhysIQ</w:t>
      </w:r>
      <w:r>
        <w:rPr>
          <w:rFonts w:ascii="Times New Roman" w:cs="Times New Roman" w:eastAsia="Times New Roman" w:hAnsi="Times New Roman"/>
          <w:sz w:val="18"/>
          <w:szCs w:val="18"/>
          <w:color w:val="008080"/>
          <w:vertAlign w:val="superscript"/>
        </w:rPr>
        <w:t>™</w:t>
      </w:r>
      <w:r>
        <w:rPr>
          <w:rFonts w:ascii="Times New Roman" w:cs="Times New Roman" w:eastAsia="Times New Roman" w:hAnsi="Times New Roman"/>
          <w:sz w:val="14"/>
          <w:szCs w:val="14"/>
          <w:color w:val="auto"/>
        </w:rPr>
        <w:t xml:space="preserve"> federation of brands. We anticipate that our future research and development efforts will be focused on creating, developing, and evaluating new products that are consistent with our commitment to provide quality, scientifically validated products that activate and empower the body’s ability to work better. Through our lens of activation and nutrigenomics, we will explore what categories of products and benefits to target and research new ingredients and combinations thereof to develop new products. As we expand, we intend to build on our foundation of activation and nutrigenomics with products that either activate or support the activation of gene or cell pathways targeting specific benefit areas, provide real results, and are an essential and enjoyable part of everyday life. We also intend to continue exploring the synergies of our products to determine what, if any, enhanced or new benefits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 w:name="page12"/>
    <w:bookmarkEnd w:id="11"/>
    <w:p>
      <w:pPr>
        <w:ind w:right="520"/>
        <w:spacing w:after="0" w:line="287" w:lineRule="auto"/>
        <w:rPr>
          <w:sz w:val="20"/>
          <w:szCs w:val="20"/>
          <w:color w:val="auto"/>
        </w:rPr>
      </w:pPr>
      <w:r>
        <w:rPr>
          <w:rFonts w:ascii="Times New Roman" w:cs="Times New Roman" w:eastAsia="Times New Roman" w:hAnsi="Times New Roman"/>
          <w:sz w:val="14"/>
          <w:szCs w:val="14"/>
          <w:color w:val="auto"/>
        </w:rPr>
        <w:t>appear when multiple products are combined as well as ways to expand our product delivery systems. We remain committed to helping people look and feel healthy and vibrant at any age by combating sources of premature aging or declining health.</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Overview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Protandim</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Nrf2 Synergizer</w:t>
      </w:r>
      <w:r>
        <w:rPr>
          <w:rFonts w:ascii="Times New Roman" w:cs="Times New Roman" w:eastAsia="Times New Roman" w:hAnsi="Times New Roman"/>
          <w:sz w:val="18"/>
          <w:szCs w:val="18"/>
          <w:b w:val="1"/>
          <w:bCs w:val="1"/>
          <w:i w:val="1"/>
          <w:iCs w:val="1"/>
          <w:color w:val="auto"/>
          <w:vertAlign w:val="superscript"/>
        </w:rPr>
        <w:t>®</w:t>
      </w:r>
    </w:p>
    <w:p>
      <w:pPr>
        <w:spacing w:after="0" w:line="79" w:lineRule="exact"/>
        <w:rPr>
          <w:sz w:val="20"/>
          <w:szCs w:val="20"/>
          <w:color w:val="auto"/>
        </w:rPr>
      </w:pPr>
    </w:p>
    <w:p>
      <w:pPr>
        <w:ind w:right="38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Nrf2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dietary supplement that has been shown in clinical trials to reduce the age-dependent increase in markers of oxidative stress and has also been shown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 substantial benefits to combat the variety of negative health effects linked to oxidative stress.</w:t>
      </w:r>
    </w:p>
    <w:p>
      <w:pPr>
        <w:spacing w:after="0" w:line="93" w:lineRule="exact"/>
        <w:rPr>
          <w:sz w:val="20"/>
          <w:szCs w:val="20"/>
          <w:color w:val="auto"/>
        </w:rPr>
      </w:pPr>
    </w:p>
    <w:p>
      <w:pPr>
        <w:ind w:firstLine="255"/>
        <w:spacing w:after="0" w:line="226" w:lineRule="auto"/>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combats oxidative stress by increasing the body’s natural antioxidant protection at the gene level. The unique blend of phytonutrients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and vitamin E. Unlike externally derived sources of antioxidants, these enzymes are “catalytic,” which means these enzymes are not used up upon neutralizing free radicals.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held multiple U.S. patents related to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until their expiration in March 2025. We sell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three formulas around the world.</w:t>
      </w:r>
    </w:p>
    <w:p>
      <w:pPr>
        <w:spacing w:after="0" w:line="79" w:lineRule="exact"/>
        <w:rPr>
          <w:sz w:val="20"/>
          <w:szCs w:val="20"/>
          <w:color w:val="auto"/>
        </w:rPr>
      </w:pPr>
    </w:p>
    <w:p>
      <w:pPr>
        <w:ind w:right="260" w:firstLine="255"/>
        <w:spacing w:after="0" w:line="245" w:lineRule="auto"/>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has been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Times New Roman" w:cs="Times New Roman" w:eastAsia="Times New Roman" w:hAnsi="Times New Roman"/>
          <w:sz w:val="14"/>
          <w:szCs w:val="14"/>
          <w:i w:val="1"/>
          <w:iCs w:val="1"/>
          <w:color w:val="auto"/>
        </w:rPr>
        <w:t>Free Radical Biology &amp; Medicine, Enzyme Research, Circulation-the scientific journal of the American Heart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Association, American Journal of Physiology-Lung Cellular and Molecular Physiology, PLoS One, Journal of Dietary Supplements, Molecular Aspects of Medicine, Oxidative Medicine and Cell Longevity, Exercise &amp; Sports Science Reviews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Clinical Pharmacology, the FASEB Journal, and the Journal of Applied Physiology.</w:t>
      </w:r>
    </w:p>
    <w:p>
      <w:pPr>
        <w:spacing w:after="0" w:line="89" w:lineRule="exact"/>
        <w:rPr>
          <w:sz w:val="20"/>
          <w:szCs w:val="20"/>
          <w:color w:val="auto"/>
        </w:rPr>
      </w:pPr>
    </w:p>
    <w:p>
      <w:pPr>
        <w:ind w:right="60" w:firstLine="255"/>
        <w:spacing w:after="0" w:line="220" w:lineRule="auto"/>
        <w:rPr>
          <w:sz w:val="20"/>
          <w:szCs w:val="20"/>
          <w:color w:val="auto"/>
        </w:rPr>
      </w:pPr>
      <w:r>
        <w:rPr>
          <w:rFonts w:ascii="Times New Roman" w:cs="Times New Roman" w:eastAsia="Times New Roman" w:hAnsi="Times New Roman"/>
          <w:sz w:val="14"/>
          <w:szCs w:val="14"/>
          <w:color w:val="auto"/>
        </w:rPr>
        <w:t>We also continue to perform our own research into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the synergy with other products in our portfolio. In fiscal year 2023, we received a patent for the combination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(marketed as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continuing to show how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is differentiated and unique in the marketplace. We also filed a U.S. Patent application in fiscal year 2023 which, if granted, will protect the combined effects and synergistic benefits of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products when used together.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i w:val="1"/>
          <w:iCs w:val="1"/>
          <w:color w:val="auto"/>
        </w:rPr>
        <w:t xml:space="preserve"> NRF1 Synergizer</w:t>
      </w:r>
      <w:r>
        <w:rPr>
          <w:rFonts w:ascii="Times New Roman" w:cs="Times New Roman" w:eastAsia="Times New Roman" w:hAnsi="Times New Roman"/>
          <w:sz w:val="18"/>
          <w:szCs w:val="18"/>
          <w:b w:val="1"/>
          <w:bCs w:val="1"/>
          <w:color w:val="auto"/>
          <w:vertAlign w:val="superscript"/>
        </w:rPr>
        <w:t>®</w:t>
      </w:r>
    </w:p>
    <w:p>
      <w:pPr>
        <w:spacing w:after="0" w:line="79" w:lineRule="exact"/>
        <w:rPr>
          <w:sz w:val="20"/>
          <w:szCs w:val="20"/>
          <w:color w:val="auto"/>
        </w:rPr>
      </w:pPr>
    </w:p>
    <w:p>
      <w:pPr>
        <w:ind w:firstLine="255"/>
        <w:spacing w:after="0" w:line="218" w:lineRule="auto"/>
        <w:rPr>
          <w:sz w:val="20"/>
          <w:szCs w:val="20"/>
          <w:color w:val="auto"/>
        </w:rPr>
      </w:pPr>
      <w:r>
        <w:rPr>
          <w:rFonts w:ascii="Times New Roman" w:cs="Times New Roman" w:eastAsia="Times New Roman" w:hAnsi="Times New Roman"/>
          <w:sz w:val="14"/>
          <w:szCs w:val="14"/>
          <w:b w:val="1"/>
          <w:b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NRF1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dietary supplement which was formulated to strengthen the mitochondria, the powerhouse of all cells, for better cellular health. It is designed to work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tandem with our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further enhance the body’s internal ability to naturally produce antioxidants and reduce the effects of cellular stress.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activates NRF1, a protein that regulates the expression of genes involved in mitochondrial DNA transcription, translation and repair. The unique blend of ingredients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supports the mitochondria to slow cellular aging and increase cellular energy.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i w:val="1"/>
          <w:iCs w:val="1"/>
          <w:color w:val="auto"/>
        </w:rPr>
        <w:t xml:space="preserve"> NAD Synergizer</w:t>
      </w:r>
      <w:r>
        <w:rPr>
          <w:rFonts w:ascii="Times New Roman" w:cs="Times New Roman" w:eastAsia="Times New Roman" w:hAnsi="Times New Roman"/>
          <w:sz w:val="18"/>
          <w:szCs w:val="18"/>
          <w:b w:val="1"/>
          <w:bCs w:val="1"/>
          <w:color w:val="auto"/>
          <w:vertAlign w:val="superscript"/>
        </w:rPr>
        <w:t>®</w:t>
      </w:r>
    </w:p>
    <w:p>
      <w:pPr>
        <w:spacing w:after="0" w:line="77" w:lineRule="exact"/>
        <w:rPr>
          <w:sz w:val="20"/>
          <w:szCs w:val="20"/>
          <w:color w:val="auto"/>
        </w:rPr>
      </w:pPr>
    </w:p>
    <w:p>
      <w:pPr>
        <w:ind w:right="120" w:firstLine="255"/>
        <w:spacing w:after="0" w:line="235" w:lineRule="auto"/>
        <w:rPr>
          <w:sz w:val="20"/>
          <w:szCs w:val="20"/>
          <w:color w:val="auto"/>
        </w:rPr>
      </w:pPr>
      <w:r>
        <w:rPr>
          <w:rFonts w:ascii="Times New Roman" w:cs="Times New Roman" w:eastAsia="Times New Roman" w:hAnsi="Times New Roman"/>
          <w:sz w:val="14"/>
          <w:szCs w:val="14"/>
          <w:b w:val="1"/>
          <w:bCs w:val="1"/>
          <w:color w:val="auto"/>
        </w:rPr>
        <w:t>Protandim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NAD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dietary supplement which was specifically formulated to target the biochemical pathways involved in the synthesis and recycling of a specific molecule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called NAD (nicotinamide adenine dinucleotide) and has been shown to double sirtuin activity in just 24 hours. Sirtuin activity naturally declines by as much as 60 percent as humans age. Research has long shown that sirtuin activity can be increased by as much as 94 percent through drastic caloric restriction. Sirtuin activity has been linked to multiple health benefits. In addition to being responsible for cellular autophagy (cellular cleanup and renewal process), sirtuins help improve mental focus and concentration, support positive mood and motivation, boost mental and physical energy, aid in maintaining cholesterol levels already in a healthy range, support a healthy vascular system, and promote healthy longevity. A study on the active ingredients in NAD Synergizer</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xml:space="preserve"> also demonstrated a significant increase in NAD+ associated metabolites.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i w:val="1"/>
          <w:iCs w:val="1"/>
          <w:color w:val="auto"/>
        </w:rPr>
        <w:t xml:space="preserve"> MindBody GLP-1 System</w:t>
      </w:r>
      <w:r>
        <w:rPr>
          <w:rFonts w:ascii="Times New Roman" w:cs="Times New Roman" w:eastAsia="Times New Roman" w:hAnsi="Times New Roman"/>
          <w:sz w:val="18"/>
          <w:szCs w:val="18"/>
          <w:color w:val="auto"/>
          <w:vertAlign w:val="superscript"/>
        </w:rPr>
        <w:t>™</w:t>
      </w:r>
    </w:p>
    <w:p>
      <w:pPr>
        <w:spacing w:after="0" w:line="72" w:lineRule="exact"/>
        <w:rPr>
          <w:sz w:val="20"/>
          <w:szCs w:val="20"/>
          <w:color w:val="auto"/>
        </w:rPr>
      </w:pPr>
    </w:p>
    <w:p>
      <w:pPr>
        <w:ind w:right="340" w:firstLine="255"/>
        <w:spacing w:after="0" w:line="232"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MindBody GLP-1 System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 U.S. patent-pending dietary supplement duo—MB 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MB Enhance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—that is scientifically shown to increase GLP-1 and help bring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balance to the gut-brain axis to reduce hunger, cravings, and food noise by activating the GLP-1 pathway, optimizing the gut microbiome to fuel production, and increasing</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2" w:name="page13"/>
    <w:bookmarkEnd w:id="12"/>
    <w:p>
      <w:pPr>
        <w:ind w:right="1900"/>
        <w:spacing w:after="0" w:line="325" w:lineRule="auto"/>
        <w:rPr>
          <w:sz w:val="20"/>
          <w:szCs w:val="20"/>
          <w:color w:val="auto"/>
        </w:rPr>
      </w:pPr>
      <w:r>
        <w:rPr>
          <w:rFonts w:ascii="Times New Roman" w:cs="Times New Roman" w:eastAsia="Times New Roman" w:hAnsi="Times New Roman"/>
          <w:sz w:val="14"/>
          <w:szCs w:val="14"/>
          <w:color w:val="auto"/>
        </w:rPr>
        <w:t>GLP-1 activity in the body. We filed a U.S. Patent application in October 2025 which, if granted, will protect the combined effects of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Omega+</w:t>
      </w:r>
    </w:p>
    <w:p>
      <w:pPr>
        <w:ind w:right="22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Omega+ </w:t>
      </w:r>
      <w:r>
        <w:rPr>
          <w:rFonts w:ascii="Times New Roman" w:cs="Times New Roman" w:eastAsia="Times New Roman" w:hAnsi="Times New Roman"/>
          <w:sz w:val="14"/>
          <w:szCs w:val="14"/>
          <w:color w:val="auto"/>
        </w:rPr>
        <w:t>is a dietary supplement that combines DHA and EPA omega-3 fatty acids, omega-7 fatty acids, and vitamin D3 to support cognitive health, cardiovascular health, skin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health, and the immune system.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ProBio</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ProBio </w:t>
      </w:r>
      <w:r>
        <w:rPr>
          <w:rFonts w:ascii="Times New Roman" w:cs="Times New Roman" w:eastAsia="Times New Roman" w:hAnsi="Times New Roman"/>
          <w:sz w:val="14"/>
          <w:szCs w:val="14"/>
          <w:color w:val="auto"/>
        </w:rPr>
        <w:t>is a dietary supplement designed to support long-term gut health by restoring healthy gut bacteria to support digestive system health.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IC Bright</w:t>
      </w:r>
      <w:r>
        <w:rPr>
          <w:rFonts w:ascii="Times New Roman" w:cs="Times New Roman" w:eastAsia="Times New Roman" w:hAnsi="Times New Roman"/>
          <w:sz w:val="18"/>
          <w:szCs w:val="18"/>
          <w:b w:val="1"/>
          <w:bCs w:val="1"/>
          <w:i w:val="1"/>
          <w:iCs w:val="1"/>
          <w:color w:val="auto"/>
          <w:vertAlign w:val="superscript"/>
        </w:rPr>
        <w:t>®</w:t>
      </w:r>
    </w:p>
    <w:p>
      <w:pPr>
        <w:spacing w:after="0" w:line="111" w:lineRule="exact"/>
        <w:rPr>
          <w:sz w:val="20"/>
          <w:szCs w:val="20"/>
          <w:color w:val="auto"/>
        </w:rPr>
      </w:pPr>
    </w:p>
    <w:p>
      <w:pPr>
        <w:ind w:right="6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IC Bright</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combines macular carotenoids with vitamins and key ingredients that effectively support eye and brain health. It helps reduce eye fatigue and strain from use of digital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devices, helps promote healthy levels of essential proteins for the brain, and may help support normal sleep patterns, which can be disrupted by blue light exposure.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Daily Wellness</w:t>
      </w:r>
    </w:p>
    <w:p>
      <w:pPr>
        <w:spacing w:after="0" w:line="77" w:lineRule="exact"/>
        <w:rPr>
          <w:sz w:val="20"/>
          <w:szCs w:val="20"/>
          <w:color w:val="auto"/>
        </w:rPr>
      </w:pPr>
    </w:p>
    <w:p>
      <w:pPr>
        <w:ind w:right="38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Daily Wellness </w:t>
      </w:r>
      <w:r>
        <w:rPr>
          <w:rFonts w:ascii="Times New Roman" w:cs="Times New Roman" w:eastAsia="Times New Roman" w:hAnsi="Times New Roman"/>
          <w:sz w:val="14"/>
          <w:szCs w:val="14"/>
          <w:color w:val="auto"/>
        </w:rPr>
        <w:t>is a dietary supplement designed to strengthen immune health by supporting and balancing the three essential roles of the immune system: barrier, innate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adaptive.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Rise AM &amp; Reset PM System</w:t>
      </w:r>
      <w:r>
        <w:rPr>
          <w:rFonts w:ascii="Times New Roman" w:cs="Times New Roman" w:eastAsia="Times New Roman" w:hAnsi="Times New Roman"/>
          <w:sz w:val="18"/>
          <w:szCs w:val="18"/>
          <w:b w:val="1"/>
          <w:bCs w:val="1"/>
          <w:color w:val="auto"/>
          <w:vertAlign w:val="superscript"/>
        </w:rPr>
        <w:t>®</w:t>
      </w:r>
    </w:p>
    <w:p>
      <w:pPr>
        <w:spacing w:after="0" w:line="72" w:lineRule="exact"/>
        <w:rPr>
          <w:sz w:val="20"/>
          <w:szCs w:val="20"/>
          <w:color w:val="auto"/>
        </w:rPr>
      </w:pPr>
    </w:p>
    <w:p>
      <w:pPr>
        <w:jc w:val="both"/>
        <w:ind w:firstLine="255"/>
        <w:spacing w:after="0" w:line="219"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Rise AM &amp; Reset PM System</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an intelligent approach to a multivitamin that uses Timewise Nutrient Delivery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provide the body with the right nutrients in the right amounts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the right time. Timewise Nutrient Delivery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developed in combination with experts in biochemistry, biophysics, and molecular biology and results in nutrition that allows your body to stay in sync with its natural rhythms, delivering energy and focus for a productive day and helping to calm the mind and body at night.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LifeVantage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D3</w:t>
      </w:r>
      <w:r>
        <w:rPr>
          <w:rFonts w:ascii="Times New Roman" w:cs="Times New Roman" w:eastAsia="Times New Roman" w:hAnsi="Times New Roman"/>
          <w:sz w:val="18"/>
          <w:szCs w:val="18"/>
          <w:b w:val="1"/>
          <w:bCs w:val="1"/>
          <w:i w:val="1"/>
          <w:iCs w:val="1"/>
          <w:color w:val="auto"/>
          <w:vertAlign w:val="superscript"/>
        </w:rPr>
        <w:t>+</w:t>
      </w:r>
    </w:p>
    <w:p>
      <w:pPr>
        <w:spacing w:after="0" w:line="79" w:lineRule="exact"/>
        <w:rPr>
          <w:sz w:val="20"/>
          <w:szCs w:val="20"/>
          <w:color w:val="auto"/>
        </w:rPr>
      </w:pPr>
    </w:p>
    <w:p>
      <w:pPr>
        <w:ind w:right="540" w:firstLine="255"/>
        <w:spacing w:after="0" w:line="233" w:lineRule="auto"/>
        <w:rPr>
          <w:sz w:val="20"/>
          <w:szCs w:val="20"/>
          <w:color w:val="auto"/>
        </w:rPr>
      </w:pPr>
      <w:r>
        <w:rPr>
          <w:rFonts w:ascii="Times New Roman" w:cs="Times New Roman" w:eastAsia="Times New Roman" w:hAnsi="Times New Roman"/>
          <w:sz w:val="14"/>
          <w:szCs w:val="14"/>
          <w:b w:val="1"/>
          <w:bCs w:val="1"/>
          <w:color w:val="auto"/>
        </w:rPr>
        <w:t>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D3+ </w:t>
      </w:r>
      <w:r>
        <w:rPr>
          <w:rFonts w:ascii="Times New Roman" w:cs="Times New Roman" w:eastAsia="Times New Roman" w:hAnsi="Times New Roman"/>
          <w:sz w:val="14"/>
          <w:szCs w:val="14"/>
          <w:color w:val="auto"/>
        </w:rPr>
        <w:t>is a dietary supplement that provides vitamin D3, vitamin K2, magnesium, calcium, and other trace minerals to support a balanced immune system, strong bones,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cardiovascular health.</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i w:val="1"/>
          <w:iCs w:val="1"/>
          <w:color w:val="auto"/>
        </w:rPr>
        <w:t xml:space="preserve"> Fat Burn</w:t>
      </w:r>
    </w:p>
    <w:p>
      <w:pPr>
        <w:spacing w:after="0" w:line="79" w:lineRule="exact"/>
        <w:rPr>
          <w:sz w:val="20"/>
          <w:szCs w:val="20"/>
          <w:color w:val="auto"/>
        </w:rPr>
      </w:pPr>
    </w:p>
    <w:p>
      <w:pPr>
        <w:ind w:right="680" w:firstLine="255"/>
        <w:spacing w:after="0" w:line="232" w:lineRule="auto"/>
        <w:rPr>
          <w:sz w:val="20"/>
          <w:szCs w:val="20"/>
          <w:color w:val="auto"/>
        </w:rPr>
      </w:pPr>
      <w:r>
        <w:rPr>
          <w:rFonts w:ascii="Times New Roman" w:cs="Times New Roman" w:eastAsia="Times New Roman" w:hAnsi="Times New Roman"/>
          <w:sz w:val="14"/>
          <w:szCs w:val="14"/>
          <w:b w:val="1"/>
          <w:bCs w:val="1"/>
          <w:color w:val="auto"/>
        </w:rPr>
        <w:t>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Fat Burn </w:t>
      </w:r>
      <w:r>
        <w:rPr>
          <w:rFonts w:ascii="Times New Roman" w:cs="Times New Roman" w:eastAsia="Times New Roman" w:hAnsi="Times New Roman"/>
          <w:sz w:val="14"/>
          <w:szCs w:val="14"/>
          <w:color w:val="auto"/>
        </w:rPr>
        <w:t>is a dietary supplement containing naturally derived active ingredients to stimulate the breakdown of abdominal fat, increase energy and support long-term weight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i w:val="1"/>
          <w:iCs w:val="1"/>
          <w:color w:val="auto"/>
        </w:rPr>
        <w:t xml:space="preserve"> Prebiotic</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 xml:space="preserve"> Prebiotic </w:t>
      </w:r>
      <w:r>
        <w:rPr>
          <w:rFonts w:ascii="Times New Roman" w:cs="Times New Roman" w:eastAsia="Times New Roman" w:hAnsi="Times New Roman"/>
          <w:sz w:val="14"/>
          <w:szCs w:val="14"/>
          <w:color w:val="auto"/>
        </w:rPr>
        <w:t>is a dietary supplement designed to support the “good” bacteria in the gut and a healthy microbiome, resulting in a healthier digestive tract and a healthier metabolism.</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Skin Care</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line of activated anti-aging skin care products under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 consists of:</w:t>
      </w:r>
    </w:p>
    <w:p>
      <w:pPr>
        <w:spacing w:after="0" w:line="75" w:lineRule="exact"/>
        <w:rPr>
          <w:sz w:val="20"/>
          <w:szCs w:val="20"/>
          <w:color w:val="auto"/>
        </w:rPr>
      </w:pPr>
    </w:p>
    <w:p>
      <w:pPr>
        <w:ind w:left="520" w:right="320" w:hanging="260"/>
        <w:spacing w:after="0" w:line="23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Liquid Collagen</w:t>
      </w:r>
      <w:r>
        <w:rPr>
          <w:rFonts w:ascii="Times New Roman" w:cs="Times New Roman" w:eastAsia="Times New Roman" w:hAnsi="Times New Roman"/>
          <w:sz w:val="14"/>
          <w:szCs w:val="14"/>
          <w:color w:val="auto"/>
        </w:rPr>
        <w:t>: our first digestible liquid supplement in fully recyclable glass bottles that activates, replenishes, and maintains the body’s production of collagen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cellular level to support skin firmness and elasticity for healthy, glowing skin.</w:t>
      </w:r>
    </w:p>
    <w:p>
      <w:pPr>
        <w:spacing w:after="0" w:line="98" w:lineRule="exact"/>
        <w:rPr>
          <w:rFonts w:ascii="Times New Roman" w:cs="Times New Roman" w:eastAsia="Times New Roman" w:hAnsi="Times New Roman"/>
          <w:sz w:val="14"/>
          <w:szCs w:val="14"/>
          <w:color w:val="auto"/>
        </w:rPr>
      </w:pPr>
    </w:p>
    <w:p>
      <w:pPr>
        <w:ind w:left="520" w:hanging="260"/>
        <w:spacing w:after="0" w:line="23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TrueRenew Daily Firming Complex</w:t>
      </w:r>
      <w:r>
        <w:rPr>
          <w:rFonts w:ascii="Times New Roman" w:cs="Times New Roman" w:eastAsia="Times New Roman" w:hAnsi="Times New Roman"/>
          <w:sz w:val="14"/>
          <w:szCs w:val="14"/>
          <w:color w:val="auto"/>
        </w:rPr>
        <w:t>: a high-performance cosmetic retinol alternative that targets 11 visible signs of aging, providing a more youthful and vibrant complexion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as little as three weeks—with continued enhancements at six weeks.</w:t>
      </w:r>
    </w:p>
    <w:p>
      <w:pPr>
        <w:spacing w:after="0" w:line="9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616060"/>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TrueClean Refining Cleanser</w:t>
      </w:r>
      <w:r>
        <w:rPr>
          <w:rFonts w:ascii="Times New Roman" w:cs="Times New Roman" w:eastAsia="Times New Roman" w:hAnsi="Times New Roman"/>
          <w:sz w:val="14"/>
          <w:szCs w:val="14"/>
          <w:color w:val="auto"/>
        </w:rPr>
        <w:t>: a rich 2-in-1 facial cleanser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E3134"/>
        </w:rPr>
        <w:t>that cleanses and exfoliates leaving skin clean, soft, and smooth without making it feel tight or dry.</w:t>
      </w:r>
    </w:p>
    <w:p>
      <w:pPr>
        <w:spacing w:after="0" w:line="76" w:lineRule="exact"/>
        <w:rPr>
          <w:rFonts w:ascii="Times New Roman" w:cs="Times New Roman" w:eastAsia="Times New Roman" w:hAnsi="Times New Roman"/>
          <w:sz w:val="14"/>
          <w:szCs w:val="14"/>
          <w:color w:val="616060"/>
        </w:rPr>
      </w:pPr>
    </w:p>
    <w:p>
      <w:pPr>
        <w:ind w:left="520" w:right="260" w:hanging="260"/>
        <w:spacing w:after="0" w:line="233" w:lineRule="auto"/>
        <w:tabs>
          <w:tab w:leader="none" w:pos="516" w:val="left"/>
        </w:tabs>
        <w:numPr>
          <w:ilvl w:val="0"/>
          <w:numId w:val="13"/>
        </w:numPr>
        <w:rPr>
          <w:rFonts w:ascii="Times New Roman" w:cs="Times New Roman" w:eastAsia="Times New Roman" w:hAnsi="Times New Roman"/>
          <w:sz w:val="14"/>
          <w:szCs w:val="14"/>
          <w:color w:val="2E3134"/>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TrueLift Illuminating Eye Cream</w:t>
      </w:r>
      <w:r>
        <w:rPr>
          <w:rFonts w:ascii="Times New Roman" w:cs="Times New Roman" w:eastAsia="Times New Roman" w:hAnsi="Times New Roman"/>
          <w:sz w:val="14"/>
          <w:szCs w:val="14"/>
          <w:color w:val="auto"/>
        </w:rPr>
        <w:t>: a silky-smooth formula that targets dark circles and visibly lifts to reveal revitalized eyes. TrueLift supports the skin to improve seven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visible signs of aging around the eyes, including dark circles, under eye bags, puffiness, fine lines, wrinkles, sagging eyelids, and crow’s feet.</w:t>
      </w:r>
    </w:p>
    <w:p>
      <w:pPr>
        <w:spacing w:after="0" w:line="98" w:lineRule="exact"/>
        <w:rPr>
          <w:rFonts w:ascii="Times New Roman" w:cs="Times New Roman" w:eastAsia="Times New Roman" w:hAnsi="Times New Roman"/>
          <w:sz w:val="14"/>
          <w:szCs w:val="14"/>
          <w:color w:val="2E3134"/>
        </w:rPr>
      </w:pPr>
    </w:p>
    <w:p>
      <w:pPr>
        <w:ind w:left="520" w:right="20" w:hanging="260"/>
        <w:spacing w:after="0" w:line="23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TrueHydrate Brightening Moisturizer</w:t>
      </w:r>
      <w:r>
        <w:rPr>
          <w:rFonts w:ascii="Times New Roman" w:cs="Times New Roman" w:eastAsia="Times New Roman" w:hAnsi="Times New Roman"/>
          <w:sz w:val="14"/>
          <w:szCs w:val="14"/>
          <w:color w:val="auto"/>
        </w:rPr>
        <w:t>: a moisturizing cream that provides hydration equivalent to two weeks’ use of hyaluronic acid, enhanced brightness in seven days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more even skin tone and visibly faded age spots with continued use.</w:t>
      </w:r>
    </w:p>
    <w:p>
      <w:pPr>
        <w:spacing w:after="0" w:line="91" w:lineRule="exact"/>
        <w:rPr>
          <w:rFonts w:ascii="Times New Roman" w:cs="Times New Roman" w:eastAsia="Times New Roman" w:hAnsi="Times New Roman"/>
          <w:sz w:val="14"/>
          <w:szCs w:val="14"/>
          <w:color w:val="auto"/>
        </w:rPr>
      </w:pPr>
    </w:p>
    <w:p>
      <w:pPr>
        <w:ind w:left="520" w:right="420" w:hanging="260"/>
        <w:spacing w:after="0" w:line="232"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TrueProtect Daily Mineral Sunstick SPF 30: </w:t>
      </w:r>
      <w:r>
        <w:rPr>
          <w:rFonts w:ascii="Times New Roman" w:cs="Times New Roman" w:eastAsia="Times New Roman" w:hAnsi="Times New Roman"/>
          <w:sz w:val="14"/>
          <w:szCs w:val="14"/>
          <w:color w:val="2E3134"/>
        </w:rPr>
        <w:t>A broad-spectrum mineral sunscreen that addresses the appearance of sun-induced hyperpigmentation and wrinkles as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E3134"/>
        </w:rPr>
        <w:t>protects against future damage for younger-looking, radiant skin.</w:t>
      </w:r>
    </w:p>
    <w:p>
      <w:pPr>
        <w:spacing w:after="0" w:line="97" w:lineRule="exact"/>
        <w:rPr>
          <w:rFonts w:ascii="Times New Roman" w:cs="Times New Roman" w:eastAsia="Times New Roman" w:hAnsi="Times New Roman"/>
          <w:sz w:val="14"/>
          <w:szCs w:val="14"/>
          <w:color w:val="auto"/>
        </w:rPr>
      </w:pPr>
    </w:p>
    <w:p>
      <w:pPr>
        <w:ind w:left="520" w:right="20" w:hanging="260"/>
        <w:spacing w:after="0" w:line="233" w:lineRule="auto"/>
        <w:tabs>
          <w:tab w:leader="none" w:pos="516" w:val="left"/>
        </w:tabs>
        <w:numPr>
          <w:ilvl w:val="0"/>
          <w:numId w:val="13"/>
        </w:numPr>
        <w:rPr>
          <w:rFonts w:ascii="Times New Roman" w:cs="Times New Roman" w:eastAsia="Times New Roman" w:hAnsi="Times New Roman"/>
          <w:sz w:val="14"/>
          <w:szCs w:val="14"/>
          <w:color w:val="2E3134"/>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TrueTone Perfecting Lotion (Japan market only): </w:t>
      </w:r>
      <w:r>
        <w:rPr>
          <w:rFonts w:ascii="Times New Roman" w:cs="Times New Roman" w:eastAsia="Times New Roman" w:hAnsi="Times New Roman"/>
          <w:sz w:val="14"/>
          <w:szCs w:val="14"/>
          <w:color w:val="auto"/>
        </w:rPr>
        <w:t>a toning lotion developed to meet the needs and concerns of Japanese skin care consumers that moisturizes the skin while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minimizing the appearance of pores.</w:t>
      </w:r>
    </w:p>
    <w:p>
      <w:pPr>
        <w:spacing w:after="0" w:line="98" w:lineRule="exact"/>
        <w:rPr>
          <w:rFonts w:ascii="Times New Roman" w:cs="Times New Roman" w:eastAsia="Times New Roman" w:hAnsi="Times New Roman"/>
          <w:sz w:val="14"/>
          <w:szCs w:val="14"/>
          <w:color w:val="2E3134"/>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Perfecting Lotion: </w:t>
      </w:r>
      <w:r>
        <w:rPr>
          <w:rFonts w:ascii="Times New Roman" w:cs="Times New Roman" w:eastAsia="Times New Roman" w:hAnsi="Times New Roman"/>
          <w:sz w:val="14"/>
          <w:szCs w:val="14"/>
          <w:color w:val="auto"/>
        </w:rPr>
        <w:t>a hybrid lotion formulated for smoother, radiant, and brighter looking skin.</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Hand Cream: </w:t>
      </w:r>
      <w:r>
        <w:rPr>
          <w:rFonts w:ascii="Times New Roman" w:cs="Times New Roman" w:eastAsia="Times New Roman" w:hAnsi="Times New Roman"/>
          <w:sz w:val="14"/>
          <w:szCs w:val="14"/>
          <w:color w:val="auto"/>
        </w:rPr>
        <w:t>a cream formulated with Nrf2 ingredients to moisturize skin and decrease the visible signs of premature aging on the hands.</w:t>
      </w:r>
    </w:p>
    <w:p>
      <w:pPr>
        <w:spacing w:after="0" w:line="79" w:lineRule="exact"/>
        <w:rPr>
          <w:sz w:val="20"/>
          <w:szCs w:val="20"/>
          <w:color w:val="auto"/>
        </w:rPr>
      </w:pPr>
    </w:p>
    <w:p>
      <w:pPr>
        <w:ind w:right="120" w:firstLine="255"/>
        <w:spacing w:after="0" w:line="225" w:lineRule="auto"/>
        <w:rPr>
          <w:sz w:val="20"/>
          <w:szCs w:val="20"/>
          <w:color w:val="auto"/>
        </w:rPr>
      </w:pPr>
      <w:r>
        <w:rPr>
          <w:rFonts w:ascii="Times New Roman" w:cs="Times New Roman" w:eastAsia="Times New Roman" w:hAnsi="Times New Roman"/>
          <w:sz w:val="14"/>
          <w:szCs w:val="14"/>
          <w:color w:val="auto"/>
        </w:rPr>
        <w:t>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Collection includes the following products in a TSA-compliant set: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TrueClean Refining Cleanser,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TrueLift Illuminating Eye Cream,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TrueHydrate Brightening Moisturizer. The system varies slightly in some markets and additional products such as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Daily Mineral Sunstick SPF 30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Perfecting Lotion are available outside of the Collection.</w:t>
      </w:r>
    </w:p>
    <w:p>
      <w:pPr>
        <w:spacing w:after="0" w:line="44" w:lineRule="exact"/>
        <w:rPr>
          <w:sz w:val="20"/>
          <w:szCs w:val="20"/>
          <w:color w:val="auto"/>
        </w:rPr>
      </w:pPr>
    </w:p>
    <w:p>
      <w:pPr>
        <w:ind w:right="200" w:firstLine="255"/>
        <w:spacing w:after="0" w:line="219" w:lineRule="auto"/>
        <w:rPr>
          <w:sz w:val="20"/>
          <w:szCs w:val="20"/>
          <w:color w:val="auto"/>
        </w:rPr>
      </w:pPr>
      <w:r>
        <w:rPr>
          <w:rFonts w:ascii="Times New Roman" w:cs="Times New Roman" w:eastAsia="Times New Roman" w:hAnsi="Times New Roman"/>
          <w:sz w:val="14"/>
          <w:szCs w:val="14"/>
          <w:color w:val="auto"/>
        </w:rPr>
        <w:t>We filed a U.S. Patent application in fiscal year 2023 which, if granted, will protect the combined effects and synergistic benefits of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products when used together.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care products leverage our research on Nrf2 activation and oxidative stress in combination with other clinically tested activating ingredients that work multi-mechanistically to target skin concerns at the source through activation.</w:t>
      </w:r>
    </w:p>
    <w:p>
      <w:pPr>
        <w:spacing w:after="0" w:line="94" w:lineRule="exact"/>
        <w:rPr>
          <w:sz w:val="20"/>
          <w:szCs w:val="20"/>
          <w:color w:val="auto"/>
        </w:rPr>
      </w:pPr>
    </w:p>
    <w:p>
      <w:pPr>
        <w:ind w:right="180" w:firstLine="255"/>
        <w:spacing w:after="0" w:line="230" w:lineRule="auto"/>
        <w:rPr>
          <w:sz w:val="20"/>
          <w:szCs w:val="20"/>
          <w:color w:val="auto"/>
        </w:rPr>
      </w:pPr>
      <w:r>
        <w:rPr>
          <w:rFonts w:ascii="Times New Roman" w:cs="Times New Roman" w:eastAsia="Times New Roman" w:hAnsi="Times New Roman"/>
          <w:sz w:val="14"/>
          <w:szCs w:val="14"/>
          <w:color w:val="auto"/>
        </w:rPr>
        <w:t>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was also validated through a third-party clinical trial. Starting at three weeks and continuing over six weeks, subjects experienced significant improvements in 11 visible signs of aging.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TrueScience</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Hair Care</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line of hair care products under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 consists of:</w:t>
      </w:r>
    </w:p>
    <w:p>
      <w:pPr>
        <w:spacing w:after="0" w:line="70"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Invigorating Shampoo: </w:t>
      </w:r>
      <w:r>
        <w:rPr>
          <w:rFonts w:ascii="Times New Roman" w:cs="Times New Roman" w:eastAsia="Times New Roman" w:hAnsi="Times New Roman"/>
          <w:sz w:val="14"/>
          <w:szCs w:val="14"/>
          <w:color w:val="auto"/>
        </w:rPr>
        <w:t>Mild surfactant and added amino acid blend that cleans hair without drying out the scalp.</w:t>
      </w:r>
    </w:p>
    <w:p>
      <w:pPr>
        <w:spacing w:after="0" w:line="7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Nourishing Conditioner: </w:t>
      </w:r>
      <w:r>
        <w:rPr>
          <w:rFonts w:ascii="Times New Roman" w:cs="Times New Roman" w:eastAsia="Times New Roman" w:hAnsi="Times New Roman"/>
          <w:sz w:val="14"/>
          <w:szCs w:val="14"/>
          <w:color w:val="auto"/>
        </w:rPr>
        <w:t>Deeply nourishing weightless conditioner that helps hair feel soft and smooth and look fuller and thicker.</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TrueScience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 xml:space="preserve"> Scalp Serum: </w:t>
      </w:r>
      <w:r>
        <w:rPr>
          <w:rFonts w:ascii="Times New Roman" w:cs="Times New Roman" w:eastAsia="Times New Roman" w:hAnsi="Times New Roman"/>
          <w:sz w:val="14"/>
          <w:szCs w:val="14"/>
          <w:color w:val="auto"/>
        </w:rPr>
        <w:t>A serum that nourishes the scalp to support normal hair growth while soothing all scalp types.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Petandim</w:t>
      </w:r>
      <w:r>
        <w:rPr>
          <w:rFonts w:ascii="Times New Roman" w:cs="Times New Roman" w:eastAsia="Times New Roman" w:hAnsi="Times New Roman"/>
          <w:sz w:val="18"/>
          <w:szCs w:val="18"/>
          <w:b w:val="1"/>
          <w:bCs w:val="1"/>
          <w:i w:val="1"/>
          <w:iCs w:val="1"/>
          <w:color w:val="auto"/>
          <w:vertAlign w:val="superscript"/>
        </w:rPr>
        <w:t>®</w:t>
      </w:r>
    </w:p>
    <w:p>
      <w:pPr>
        <w:spacing w:after="0" w:line="74" w:lineRule="exact"/>
        <w:rPr>
          <w:sz w:val="20"/>
          <w:szCs w:val="20"/>
          <w:color w:val="auto"/>
        </w:rPr>
      </w:pPr>
    </w:p>
    <w:p>
      <w:pPr>
        <w:ind w:right="360" w:firstLine="255"/>
        <w:spacing w:after="0" w:line="244" w:lineRule="auto"/>
        <w:rPr>
          <w:sz w:val="20"/>
          <w:szCs w:val="20"/>
          <w:color w:val="auto"/>
        </w:rPr>
      </w:pPr>
      <w:r>
        <w:rPr>
          <w:rFonts w:ascii="Times New Roman" w:cs="Times New Roman" w:eastAsia="Times New Roman" w:hAnsi="Times New Roman"/>
          <w:sz w:val="14"/>
          <w:szCs w:val="14"/>
          <w:color w:val="auto"/>
        </w:rPr>
        <w:t>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specially formulated to combat oxidative stress in dogs through Nrf2 activation.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builds upon the active ingredients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reduce oxidative stress and support joint function, mobility and flexibility in dogs.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received the Quality Seal from the National Animal Supplement Council (“NASC”).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AXIO</w:t>
      </w:r>
      <w:r>
        <w:rPr>
          <w:rFonts w:ascii="Times New Roman" w:cs="Times New Roman" w:eastAsia="Times New Roman" w:hAnsi="Times New Roman"/>
          <w:sz w:val="18"/>
          <w:szCs w:val="18"/>
          <w:b w:val="1"/>
          <w:bCs w:val="1"/>
          <w:i w:val="1"/>
          <w:iCs w:val="1"/>
          <w:color w:val="auto"/>
          <w:vertAlign w:val="superscript"/>
        </w:rPr>
        <w:t>®</w:t>
      </w:r>
    </w:p>
    <w:p>
      <w:pPr>
        <w:spacing w:after="0" w:line="82" w:lineRule="exact"/>
        <w:rPr>
          <w:sz w:val="20"/>
          <w:szCs w:val="20"/>
          <w:color w:val="auto"/>
        </w:rPr>
      </w:pPr>
    </w:p>
    <w:p>
      <w:pPr>
        <w:ind w:right="440" w:firstLine="255"/>
        <w:spacing w:after="0" w:line="237" w:lineRule="auto"/>
        <w:rPr>
          <w:sz w:val="20"/>
          <w:szCs w:val="20"/>
          <w:color w:val="auto"/>
        </w:rPr>
      </w:pPr>
      <w:r>
        <w:rPr>
          <w:rFonts w:ascii="Times New Roman" w:cs="Times New Roman" w:eastAsia="Times New Roman" w:hAnsi="Times New Roman"/>
          <w:sz w:val="14"/>
          <w:szCs w:val="14"/>
          <w:color w:val="auto"/>
        </w:rPr>
        <w:t>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energy drink mixes, formulated as a nootropic to promote alertness and support mental performance. These energy drink powders deliver sustained energy, as well as improved mental focus and promote a positive mood. Available in regular and decaf formulas,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derived from a unique combination of scientifically validated ingredients.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Stacking</w:t>
      </w:r>
    </w:p>
    <w:p>
      <w:pPr>
        <w:spacing w:after="0" w:line="127"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A stack consists of multiple products bundled together that are designed to achieve a specific result. By studying the effects of nutrients and natural compounds, we have developed scientifically backed nutrigenomics products that promote healthy aging on the cellular level. By stacking these products together, we have created a foundation for synergy from nutrigenomic products to promote a healthier life.</w:t>
      </w:r>
    </w:p>
    <w:p>
      <w:pPr>
        <w:spacing w:after="0" w:line="83" w:lineRule="exact"/>
        <w:rPr>
          <w:sz w:val="20"/>
          <w:szCs w:val="20"/>
          <w:color w:val="auto"/>
        </w:rPr>
      </w:pPr>
    </w:p>
    <w:p>
      <w:pPr>
        <w:ind w:firstLine="255"/>
        <w:spacing w:after="0" w:line="226" w:lineRule="auto"/>
        <w:rPr>
          <w:sz w:val="20"/>
          <w:szCs w:val="20"/>
          <w:color w:val="auto"/>
        </w:rPr>
      </w:pPr>
      <w:r>
        <w:rPr>
          <w:rFonts w:ascii="Times New Roman" w:cs="Times New Roman" w:eastAsia="Times New Roman" w:hAnsi="Times New Roman"/>
          <w:sz w:val="14"/>
          <w:szCs w:val="14"/>
          <w:color w:val="auto"/>
        </w:rPr>
        <w:t>In fiscal year 2025, our stack strategy continued to focus on the brand message of activation. During the year, we introduced a number of new stacks to meet customer and independent consultant needs. Prior to the launch of our latest activator,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we introduced the Kickstart Bundle, which features a selection of products (varies by market) to help prepare the body for GLP-1 activation. Additionally, several stacks were introduced that incorporated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offer consumers support for weight management and wellness along with delivering other targeted benefits as part of their activated lifestyle.</w:t>
      </w:r>
    </w:p>
    <w:p>
      <w:pPr>
        <w:spacing w:after="0" w:line="92" w:lineRule="exact"/>
        <w:rPr>
          <w:sz w:val="20"/>
          <w:szCs w:val="20"/>
          <w:color w:val="auto"/>
        </w:rPr>
      </w:pPr>
    </w:p>
    <w:p>
      <w:pPr>
        <w:ind w:firstLine="255"/>
        <w:spacing w:after="0" w:line="237" w:lineRule="auto"/>
        <w:rPr>
          <w:sz w:val="20"/>
          <w:szCs w:val="20"/>
          <w:color w:val="auto"/>
        </w:rPr>
      </w:pPr>
      <w:r>
        <w:rPr>
          <w:rFonts w:ascii="Times New Roman" w:cs="Times New Roman" w:eastAsia="Times New Roman" w:hAnsi="Times New Roman"/>
          <w:sz w:val="14"/>
          <w:szCs w:val="14"/>
          <w:color w:val="auto"/>
        </w:rPr>
        <w:t>We also introduced our Healthy Weight Stack, which includes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Results of an in vitro study were released that showed beneficial “activation synergies” when both products were used together, including enhanced fatty acid metabolism, improved defense against oxidative stress, and activation of 22 new genes that help cells make what they need to support organ strength, structure, and signaling.</w:t>
      </w:r>
    </w:p>
    <w:p>
      <w:pPr>
        <w:spacing w:after="0" w:line="104" w:lineRule="exact"/>
        <w:rPr>
          <w:sz w:val="20"/>
          <w:szCs w:val="20"/>
          <w:color w:val="auto"/>
        </w:rPr>
      </w:pPr>
    </w:p>
    <w:p>
      <w:pPr>
        <w:ind w:right="100" w:firstLine="255"/>
        <w:spacing w:after="0" w:line="419" w:lineRule="auto"/>
        <w:rPr>
          <w:sz w:val="20"/>
          <w:szCs w:val="20"/>
          <w:color w:val="auto"/>
        </w:rPr>
      </w:pPr>
      <w:r>
        <w:rPr>
          <w:rFonts w:ascii="Times New Roman" w:cs="Times New Roman" w:eastAsia="Times New Roman" w:hAnsi="Times New Roman"/>
          <w:sz w:val="14"/>
          <w:szCs w:val="14"/>
          <w:color w:val="auto"/>
        </w:rPr>
        <w:t xml:space="preserve">We continue to offer other popular stacks with products that complement one another with inner activation power for internal benefits that can be felt, external benefits that can be seen, or both. </w:t>
      </w:r>
      <w:r>
        <w:rPr>
          <w:rFonts w:ascii="Times New Roman" w:cs="Times New Roman" w:eastAsia="Times New Roman" w:hAnsi="Times New Roman"/>
          <w:sz w:val="14"/>
          <w:szCs w:val="14"/>
          <w:b w:val="1"/>
          <w:bCs w:val="1"/>
          <w:color w:val="auto"/>
        </w:rPr>
        <w:t>Distribution of Products</w:t>
      </w: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We believe our products are well suited for independent consultant to customer sales through our direct selling model. This model allows our independent consultants to educate our customers regarding the benefits of our unique products more thoroughly than other business models. Our direct selling model also allows our independent consultants to offer personalized customer service to our customers and encourage regular use of our products.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Return Policy</w:t>
      </w:r>
    </w:p>
    <w:p>
      <w:pPr>
        <w:spacing w:after="0" w:line="12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All products purchased directly from us include a product guarantee. Subject to some exceptions based on local regulations, we will accept returns of opened and unopened products within 30 days of purchase for a full refund of the purchase price. In addition, our product return program allows independent consultants to return certain unopened, unexpired products for a refund of the purchase price less a 10% restocking fee and any paid commissions. The amount of inventory we will repurchase from an independent consultant is subject to specified policies and procedures.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generally categorize accounts as either independent consultants or customers, both of which may be consumers of our products.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 Consultants</w:t>
      </w:r>
    </w:p>
    <w:p>
      <w:pPr>
        <w:spacing w:after="0" w:line="11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An independent consultant in our company is an independent contractor who participates in our direct sales opportunity by enrolling through the independent consultant contract process and selling our products. Independent consultants may purchase our products and sell them to others either directly or through our company. We believe our independent consultants are typically entrepreneurs, who believe in our products and desire to earn income through sales commissions and by building their own business. Many of our independent consultants are attracted by the opportunity to sell unique, scientifically validated products without incurring significant start-up costs. Independent consultants sign a contract with us that includes a requirement that they adhere to strict policies and procedures. Independent consultants may purchase product from us for individual and family consumption and for demonstrations, samples and retailing opportunities.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1" w:right="339" w:bottom="1440" w:gutter="0" w:footer="0" w:header="0"/>
        </w:sectPr>
      </w:pPr>
    </w:p>
    <w:bookmarkStart w:id="15" w:name="page16"/>
    <w:bookmarkEnd w:id="15"/>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While we provide product development, shipping and logistics support, brochures, magazines, a website, the LifeVantage app and other sales and marketing materials, independent consultants are primarily responsible for their sales to customers and for attracting, enrolling, and educating new independent consultants about the benefits of our products and sales compensation plan. An independent consultant creates multiple levels of compensation by selling our products and enrolling new independent consultants who sell our products. These newly enrolled independent consultants form a “downline” or “group” for the independent consultant who enrolled them. If downline independent consultants enroll new independent consultants or customers who purchase our products, they create additional levels of compensation, and their downline independent consultants remain in the same downline network as the original enrolling independent consultant We pay commissions only upon the sale of our products. We do not pay commissions for enrolling independent consultants.</w:t>
      </w:r>
    </w:p>
    <w:p>
      <w:pPr>
        <w:spacing w:after="0" w:line="82"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define “active independent consultants” as those independent consultants who have purchased product from us for retail sales or personal consumption during the prior three months. We had approximately 51,000 and 49,000 active independent consultants as of each of the fiscal years ended June 30, 2025 and 2024, respectively.</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Independent Consultant Compensation</w:t>
      </w:r>
    </w:p>
    <w:p>
      <w:pPr>
        <w:spacing w:after="0" w:line="12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March 2025, we launched the Evolve Compensation Plan for our independent consultants in several markets including Taiwan, Hong Kong, and Singapore. In November 2024, we launched an optimized version of the Evolve Compensation Plan for our independent consultants in the United States, Japan, Australia, New Zealand, Canada, Mexico, and Europe markets. In February 2024, we launched the Evolve Compensation Plan for our independent consultants in the Mexico, Canada, and Europe markets. In March 2023, we launched the Evolve Compensation Plan for our independent consultants in the United States, Australia, New Zealand and Japan markets. We plan to roll out this new compensation plan to Thailand once we receive the appropriate government approval.</w:t>
      </w:r>
    </w:p>
    <w:p>
      <w:pPr>
        <w:spacing w:after="0" w:line="77" w:lineRule="exact"/>
        <w:rPr>
          <w:sz w:val="20"/>
          <w:szCs w:val="20"/>
          <w:color w:val="auto"/>
        </w:rPr>
      </w:pPr>
    </w:p>
    <w:p>
      <w:pPr>
        <w:ind w:right="340" w:firstLine="255"/>
        <w:spacing w:after="0" w:line="257" w:lineRule="auto"/>
        <w:rPr>
          <w:sz w:val="20"/>
          <w:szCs w:val="20"/>
          <w:color w:val="auto"/>
        </w:rPr>
      </w:pPr>
      <w:r>
        <w:rPr>
          <w:rFonts w:ascii="Times New Roman" w:cs="Times New Roman" w:eastAsia="Times New Roman" w:hAnsi="Times New Roman"/>
          <w:sz w:val="14"/>
          <w:szCs w:val="14"/>
          <w:color w:val="auto"/>
        </w:rPr>
        <w:t>We believe our sales compensation plan is one of the more financially rewarding in the direct selling industry and in line with direct selling industry standards. Some elements of our sales compensation plan are paid daily, to eligible independent consultants, and others are paid weekly or monthly. We believe this gives us a competitive advantage and helps retain new independent consultants by allowing them to receive some sales commissions in a more timely manner from their sales efforts. Our sales compensation plan is intended to appeal to a broad cross-section of people, including those seeking to supplement family income, start a home-based business or pursue entrepreneurial opportunities full- or part-time. Through the Evolve Compensation Plan our independent consultants earn bonuses specifically for the sale of products to customers and by growing a customer subscription-based business, creating greater opportunities for independent consultants who are not interested in enrolling other consultants to sell products. Our independent consultants earn sales commissions on product sales to their personally enrolled customers and independent consultants and the product sales to customers and independent consultants within their sales organization, or “downline.” Our independent consultants can also earn money by purchasing product from us and selling that product to others at their chosen retail price. We pay sales commissions in the local currency of the independent consultant’s home country.</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Independent Consultant Motivation and Training</w:t>
      </w:r>
    </w:p>
    <w:p>
      <w:pPr>
        <w:spacing w:after="0" w:line="127"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Our revenue depends on the sales success and productivity of our independent consultants. We provide tools, training and technology designed to increase our independent consultants’ sales productivity and increase their potential for sales success. We offer training and business development opportunities to our independent consultants, including the opportunities listed below.</w:t>
      </w:r>
    </w:p>
    <w:p>
      <w:pPr>
        <w:spacing w:after="0" w:line="61" w:lineRule="exact"/>
        <w:rPr>
          <w:sz w:val="20"/>
          <w:szCs w:val="20"/>
          <w:color w:val="auto"/>
        </w:rPr>
      </w:pPr>
    </w:p>
    <w:p>
      <w:pPr>
        <w:ind w:left="520" w:right="20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Consultant Communications Hub</w:t>
      </w:r>
      <w:r>
        <w:rPr>
          <w:rFonts w:ascii="Times New Roman" w:cs="Times New Roman" w:eastAsia="Times New Roman" w:hAnsi="Times New Roman"/>
          <w:sz w:val="14"/>
          <w:szCs w:val="14"/>
          <w:color w:val="auto"/>
        </w:rPr>
        <w:t>: A consultant-specific website that has all the latest details on promotions, product launches, and onboarding to help each consultant build a LifeVantage business. Since the launch in October 2023, this site has been widely adopted as a centralized resource for our independent consultants.</w:t>
      </w:r>
    </w:p>
    <w:p>
      <w:pPr>
        <w:spacing w:after="0" w:line="71" w:lineRule="exact"/>
        <w:rPr>
          <w:rFonts w:ascii="Times New Roman" w:cs="Times New Roman" w:eastAsia="Times New Roman" w:hAnsi="Times New Roman"/>
          <w:sz w:val="14"/>
          <w:szCs w:val="14"/>
          <w:color w:val="auto"/>
        </w:rPr>
      </w:pPr>
    </w:p>
    <w:p>
      <w:pPr>
        <w:ind w:left="520" w:right="46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Momentum Academy, Global Convention, and other Company-Sponsored Training</w:t>
      </w:r>
      <w:r>
        <w:rPr>
          <w:rFonts w:ascii="Times New Roman" w:cs="Times New Roman" w:eastAsia="Times New Roman" w:hAnsi="Times New Roman"/>
          <w:sz w:val="14"/>
          <w:szCs w:val="14"/>
          <w:color w:val="auto"/>
        </w:rPr>
        <w:t>: We hold regularly occurring live and virtual company-sponsored events intended to provide sales training and motivation to our independent consultants.</w:t>
      </w:r>
    </w:p>
    <w:p>
      <w:pPr>
        <w:spacing w:after="0" w:line="71"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Promotions and Incentive Trips</w:t>
      </w:r>
      <w:r>
        <w:rPr>
          <w:rFonts w:ascii="Times New Roman" w:cs="Times New Roman" w:eastAsia="Times New Roman" w:hAnsi="Times New Roman"/>
          <w:sz w:val="14"/>
          <w:szCs w:val="14"/>
          <w:color w:val="auto"/>
        </w:rPr>
        <w:t>: We hold special sales promotions, business incentives and incentive trips from time to time in order to motivate our independent consultants to accomplish specific sales goals.</w:t>
      </w:r>
    </w:p>
    <w:p>
      <w:pPr>
        <w:spacing w:after="0" w:line="60"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Mobile Application</w:t>
      </w:r>
      <w:r>
        <w:rPr>
          <w:rFonts w:ascii="Times New Roman" w:cs="Times New Roman" w:eastAsia="Times New Roman" w:hAnsi="Times New Roman"/>
          <w:sz w:val="14"/>
          <w:szCs w:val="14"/>
          <w:color w:val="auto"/>
        </w:rPr>
        <w:t>: The LifeVantage app was designed to allow users to conduct their business on a single platform from anywhere in the world. Ultimately, through artificial intelligence and machine learning, we expect that the app will be able to guide users on what to share, when to share it, and with whom to maximize their sales potential.</w:t>
      </w:r>
    </w:p>
    <w:p>
      <w:pPr>
        <w:spacing w:after="0" w:line="71"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Online Social Media Groups</w:t>
      </w:r>
      <w:r>
        <w:rPr>
          <w:rFonts w:ascii="Times New Roman" w:cs="Times New Roman" w:eastAsia="Times New Roman" w:hAnsi="Times New Roman"/>
          <w:sz w:val="14"/>
          <w:szCs w:val="14"/>
          <w:color w:val="auto"/>
        </w:rPr>
        <w:t>: Through the use of social media platforms, we host online groups to support the success of our independent consultants. Important announcements, weekly trainings, calls, and documentation are also shared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color w:val="auto"/>
        </w:rPr>
        <w:t>through our social media groups to provide our independent consultants many opportunities to find the training and support.</w:t>
      </w:r>
    </w:p>
    <w:p>
      <w:pPr>
        <w:spacing w:after="0" w:line="115" w:lineRule="exact"/>
        <w:rPr>
          <w:sz w:val="20"/>
          <w:szCs w:val="20"/>
          <w:color w:val="auto"/>
        </w:rPr>
      </w:pPr>
    </w:p>
    <w:p>
      <w:pPr>
        <w:ind w:left="520" w:righ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Support Team</w:t>
      </w:r>
      <w:r>
        <w:rPr>
          <w:rFonts w:ascii="Times New Roman" w:cs="Times New Roman" w:eastAsia="Times New Roman" w:hAnsi="Times New Roman"/>
          <w:sz w:val="14"/>
          <w:szCs w:val="14"/>
          <w:color w:val="auto"/>
        </w:rPr>
        <w:t>: The LifeVantage contact center, VIP Lines, and sales support team are designed to provide support, motivation, training, and resources to our independent consultants through their business journey. As independent consultants advance through the titles in our consultant path, they continue to receive more personalized support.</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continue to evaluate new ways in which to incorporate new technology and sales training opportunities to improve consultant product sales.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Independent Consultant Compliance Activities</w:t>
      </w:r>
    </w:p>
    <w:p>
      <w:pPr>
        <w:spacing w:after="0" w:line="117" w:lineRule="exact"/>
        <w:rPr>
          <w:sz w:val="20"/>
          <w:szCs w:val="20"/>
          <w:color w:val="auto"/>
        </w:rPr>
      </w:pPr>
    </w:p>
    <w:p>
      <w:pPr>
        <w:ind w:right="20" w:firstLine="255"/>
        <w:spacing w:after="0" w:line="267" w:lineRule="auto"/>
        <w:rPr>
          <w:sz w:val="20"/>
          <w:szCs w:val="20"/>
          <w:color w:val="auto"/>
        </w:rPr>
      </w:pPr>
      <w:r>
        <w:rPr>
          <w:rFonts w:ascii="Times New Roman" w:cs="Times New Roman" w:eastAsia="Times New Roman" w:hAnsi="Times New Roman"/>
          <w:sz w:val="14"/>
          <w:szCs w:val="14"/>
          <w:color w:val="auto"/>
        </w:rPr>
        <w:t>Given that our independent consultants are independent contractors, we do not control or direct their promotional efforts. We do, however, require that our independent consultants abide by policies and procedures that require them to act in an ethical manner and in compliance with applicable laws and regulations. As a member of the United States Direct Selling Association (“US DSA”) and similar organizations in many of the markets where we do business, we are also subject to the ethical business practices and consumer service standards required by the industry’s code of ethics.</w:t>
      </w:r>
    </w:p>
    <w:p>
      <w:pPr>
        <w:spacing w:after="0" w:line="258"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Independent consultants represent to us that their receipt of sales commissions is based on their product sales and by product sales of other LifeVantage consultants in their personal marketing organization. We must produce or pre-approve all sales aids used by independent consultants, such as brochures and online materials. Products may be promoted only through sales materials produced or approved by us. Independent consultants may not use our trademarks or other intellectual property without our written consent.</w:t>
      </w:r>
    </w:p>
    <w:p>
      <w:pPr>
        <w:spacing w:after="0" w:line="83"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We monitor and systematically review alleged independent consultant misbehavior through our internal consultant compliance department. If we determine one of our independent consultants has violated any of our policies and procedures, we first attempt to educate, but may discipline or terminate the independent consultant’s rights to sell or distribute our products when appropriate. When necessary, we have brought legal action against independent consultants, or former consultants, to enforce our policies and procedures. Short of termination or legal action, and in addition to educating, we may impose sanctions against independent consultants whose actions are in violation of our policies and procedures. Such sanctions may include warnings, probation, withdrawal or denial of an award, suspension of privileges of a consultantship, fines and/or withholding of commissions until specified conditions are satisfied, or other appropriate injunctive relief.</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2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Customers purchase products directly from us at either our retail (list) pricing for one-time purchases or our subscription price on a monthly subscription basis for personal consumption, without the ability to resell or earn commissions from the purchase or sale of such products. In eligible markets, customers who order their items on a subscription also automatically join our Rewards Circle loyalty program, a program that rewards customer loyalty through subscription purchases. A customer may decide to enroll as an independent consultant at any time if they become interested in selling our products. We believe our customers are a great source of word-of-mouth advertising for our products. We also believe our large base of customers validates the health benefits of our products.</w:t>
      </w:r>
    </w:p>
    <w:p>
      <w:pPr>
        <w:spacing w:after="0" w:line="90"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define an “active customer” as a customer who has purchased product from us within the prior three months. As of June 30, 2025 and 2024, we had approximately 81,000 and 79,000 active customers,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Our Products</w:t>
      </w:r>
    </w:p>
    <w:p>
      <w:pPr>
        <w:spacing w:after="0" w:line="127"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We accept orders for our products through our website at www.lifevantage.com and through personalized websites we provide to our independent consultants, which we refer to as “Referral Sites.” Orders placed through Referral Sites and through our website are processed daily at our fulfillment centers, where orders are shipped directly to the consumer.</w:t>
      </w:r>
    </w:p>
    <w:p>
      <w:pPr>
        <w:spacing w:after="0" w:line="7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offer toll-free numbers for our independent consultants and our customers to order product or ask questions. Our customer service representatives assist customers in placing orders through our web order processing system, answer questions, track packages, and initiate refunds. The customer service representatives receive extensive training about our products and our direct selling business model. LifeVantage customers and independent consultants generally pay for products by credit card, prior to shipment, and as a result, we carry minimal accounts receivable.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2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general economic factors, we are impacted by seasonal factors and trends such as major cultural events and vacation patterns. We believe that direct selling in the United States and Japan is also generally negatively impacted during our</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17" w:name="page18"/>
    <w:bookmarkEnd w:id="17"/>
    <w:p>
      <w:pPr>
        <w:ind w:right="360"/>
        <w:spacing w:after="0" w:line="287" w:lineRule="auto"/>
        <w:rPr>
          <w:sz w:val="20"/>
          <w:szCs w:val="20"/>
          <w:color w:val="auto"/>
        </w:rPr>
      </w:pPr>
      <w:r>
        <w:rPr>
          <w:rFonts w:ascii="Times New Roman" w:cs="Times New Roman" w:eastAsia="Times New Roman" w:hAnsi="Times New Roman"/>
          <w:sz w:val="14"/>
          <w:szCs w:val="14"/>
          <w:color w:val="auto"/>
        </w:rPr>
        <w:t>first fiscal quarter, from July 1 through September 30, when many individuals, including our independent consultants, traditionally take vacations. The timing and size of our training events and incentive trips can also cause revenue and expense to fluctuate in the periods that they are held.</w:t>
      </w:r>
    </w:p>
    <w:p>
      <w:pPr>
        <w:spacing w:after="0" w:line="61"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Although our product launch process may vary by market, we may introduce new products to our customers and independent consultants through limited-time offers and promotions. The limited-time offers and promotions typically generate significant activity and a high level of sales and purchasing, which may result in a higher-than-normal increase in revenue during the quarter of the limited-time offer and skew year-over-year and sequential comparisons. Similarly, company events for independent consultants typically generate a higher-than-normal increase in revenue. The timing of these events can also skew year-over-year and sequential comparisons.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1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utilize our network of independent consultants located throughout the United States, Mexico, Japan, Australia, Hong Kong, Canada, Thailand, the United Kingdom, the Netherlands, Germany, Taiwan, Austria, Spain, Ireland, Belgium, New Zealand and Singapore to market and sell our products. We also have in-house sales, marketing, IT, and customer service groups dedicated to supporting our independent consultants. Support includes training and education, personalized assistance, in-person and digital events, recognition, incentives and promotions, digital and social media content, press coverage, regular communications, as well as a full suite of marketing assets, including content for their websites.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 and Manufacturing</w:t>
      </w:r>
    </w:p>
    <w:p>
      <w:pPr>
        <w:spacing w:after="0" w:line="127"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outsource the primary manufacturing, fulfillment, and shipping components of our business to third-party companies we believe possess a high degree of expertise. We believe outsourcing provides us access to advanced manufacturing process capabilities and expertise without incurring fixed costs associated with manufacturing our own products in house.</w:t>
      </w:r>
    </w:p>
    <w:p>
      <w:pPr>
        <w:spacing w:after="0" w:line="7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We currently outsource the manufacture of our products to multiple third-party contract manufacturers. Our contract manufacturers have a legal obligation to comply with the current Good Manufacturing Practices (“GMP”) regulations that are applicable to those who manufacture, package, label and hold dietary supplements and personal care products.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to consumers. We maintain and qualify alternative manufacturing options in order to keep our costs low, maintain the quality of our products, and prepare for unanticipated spikes in demand or manufacturing failure. Our contract manufacturers deliver products to our fulfillment centers based on our purchase orders. We also have a Vendor Code of Conduct that we expect our contract manufacturers and/or vendors to adhere to. This Vendor Code of Conduct requires contract manufacturers and vendors to abide by certain human rights, labor rights, protection of the environment and fight against corruption standards outlined under the United Nations Global Compact.</w:t>
      </w:r>
    </w:p>
    <w:p>
      <w:pPr>
        <w:spacing w:after="0" w:line="83"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Times New Roman" w:cs="Times New Roman" w:eastAsia="Times New Roman" w:hAnsi="Times New Roman"/>
          <w:sz w:val="14"/>
          <w:szCs w:val="14"/>
          <w:i w:val="1"/>
          <w:iCs w:val="1"/>
          <w:color w:val="auto"/>
        </w:rPr>
        <w:t>Risk Factors - High quality material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 our products may be difficult to obtain or expensive</w:t>
      </w:r>
      <w:r>
        <w:rPr>
          <w:rFonts w:ascii="Times New Roman" w:cs="Times New Roman" w:eastAsia="Times New Roman" w:hAnsi="Times New Roman"/>
          <w:sz w:val="14"/>
          <w:szCs w:val="14"/>
          <w:color w:val="auto"/>
        </w:rPr>
        <w:t>” for a discussion of the risks and uncertainties associated with our sourcing of raw materials.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Geographic Information</w:t>
      </w:r>
    </w:p>
    <w:p>
      <w:pPr>
        <w:spacing w:after="0" w:line="12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sell our products in the United States, Mexico, Japan, Australia, Hong Kong, Canada, Thailand, the United Kingdom, the Netherlands, Germany, Taiwan, Austria, Spain, Ireland, Belgium, New Zealand and Singapore. On June 30, 2025, we ceased operations in the Philippines and closed that market. We also sell our products in a number of countries to customers for personal consumption only. In fiscal year 2025, revenue generated in the United States accounted for approximately 78% of our total revenue and revenue generated from Japan accounted for approximately 11% of our total revenue. For reporting purposes, we generally divide our markets into two geographic regions: the Americas region and the Asia/Pacific and Europe region. The following table sets forth net revenue information by region for the periods indicated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For the fiscal years ended June 30,</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3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Pr>
          <w:p>
            <w:pPr>
              <w:spacing w:after="0"/>
              <w:rPr>
                <w:sz w:val="13"/>
                <w:szCs w:val="13"/>
                <w:color w:val="auto"/>
              </w:rPr>
            </w:pPr>
          </w:p>
        </w:tc>
      </w:tr>
      <w:tr>
        <w:trPr>
          <w:trHeight w:val="17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185,723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152,907</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20" w:type="dxa"/>
            <w:vAlign w:val="bottom"/>
          </w:tcPr>
          <w:p>
            <w:pPr>
              <w:spacing w:after="0"/>
              <w:rPr>
                <w:sz w:val="15"/>
                <w:szCs w:val="15"/>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Asia/Pacific &amp; Europe</w:t>
            </w: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47,257</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20" w:type="dxa"/>
            <w:vAlign w:val="bottom"/>
          </w:tcPr>
          <w:p>
            <w:pPr>
              <w:spacing w:after="0"/>
              <w:rPr>
                <w:sz w:val="15"/>
                <w:szCs w:val="15"/>
                <w:color w:val="auto"/>
              </w:rPr>
            </w:pP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tcPr>
          <w:p>
            <w:pPr>
              <w:spacing w:after="0"/>
              <w:rPr>
                <w:sz w:val="16"/>
                <w:szCs w:val="16"/>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8"/>
        </w:trPr>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ind w:right="900" w:firstLine="255"/>
        <w:spacing w:after="0" w:line="420" w:lineRule="auto"/>
        <w:rPr>
          <w:sz w:val="20"/>
          <w:szCs w:val="20"/>
          <w:color w:val="auto"/>
        </w:rPr>
      </w:pPr>
      <w:r>
        <w:rPr>
          <w:rFonts w:ascii="Times New Roman" w:cs="Times New Roman" w:eastAsia="Times New Roman" w:hAnsi="Times New Roman"/>
          <w:sz w:val="14"/>
          <w:szCs w:val="14"/>
          <w:color w:val="auto"/>
        </w:rPr>
        <w:t>Additional comparative revenue and related financial information is presented in the section captioned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in Note 13 to our consolidated financial statements. </w:t>
      </w:r>
      <w:r>
        <w:rPr>
          <w:rFonts w:ascii="Times New Roman" w:cs="Times New Roman" w:eastAsia="Times New Roman" w:hAnsi="Times New Roman"/>
          <w:sz w:val="14"/>
          <w:szCs w:val="14"/>
          <w:b w:val="1"/>
          <w:bCs w:val="1"/>
          <w:color w:val="auto"/>
        </w:rPr>
        <w:t>Product Liability and Other Insurance</w:t>
      </w:r>
    </w:p>
    <w:p>
      <w:pPr>
        <w:spacing w:after="0" w:line="1"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We have product liability insurance coverage for our products that we believe is adequate for our needs. We also maintain commercial property and liability coverage, directors’ and officers’ liability insurance, workers compensation coverage and cyber information security risk insurance policies as well as foreign and other miscellaneous coverage.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17"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We use commercially reasonable efforts to protect our intellectual property through patent protection, trademarks, and trade secrets, licensed rights, and contractual protections, and intend to continue to develop a strong brand identity for our company and our products.</w:t>
      </w:r>
    </w:p>
    <w:p>
      <w:pPr>
        <w:spacing w:after="0" w:line="68" w:lineRule="exact"/>
        <w:rPr>
          <w:sz w:val="20"/>
          <w:szCs w:val="20"/>
          <w:color w:val="auto"/>
        </w:rPr>
      </w:pPr>
    </w:p>
    <w:p>
      <w:pPr>
        <w:ind w:right="80" w:firstLine="255"/>
        <w:spacing w:after="0" w:line="230" w:lineRule="auto"/>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proprietary, dietary supplement formulation for enhancing antioxidant enzymes including superoxide dismutase and catalase. The patents and patent applications protecting its formulations held by LifeVantage Corporation or our wholly owned subsidiary, Lifeline Nutraceuticals Corporation expired in March 2025. However, we continue to research and file, as appropriate, new composition and method patents in the U.S. for enhanced and improved product formulations that are intended to provide patent protection for a variety of product formulations and methods. During fiscal year 2018, we received patents for personal care or skin care products. These patents expire approximately February 2036. In fiscal year 2023, we received a patent for the combination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collectively called the Tri-Synergizer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pack. In fiscal year 2023, we filed a U.S. patent application which, if granted, will protect the combined synergistic effects and benefits of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products when these two products are used together. In fiscal year 2025, we filed a U.S. patent application which, if granted, will protect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right="60" w:firstLine="255"/>
        <w:spacing w:after="0" w:line="225" w:lineRule="auto"/>
        <w:rPr>
          <w:sz w:val="20"/>
          <w:szCs w:val="20"/>
          <w:color w:val="auto"/>
        </w:rPr>
      </w:pPr>
      <w:r>
        <w:rPr>
          <w:rFonts w:ascii="Times New Roman" w:cs="Times New Roman" w:eastAsia="Times New Roman" w:hAnsi="Times New Roman"/>
          <w:sz w:val="14"/>
          <w:szCs w:val="14"/>
          <w:color w:val="auto"/>
        </w:rPr>
        <w:t>We continue to protect our products and brands using trademarks. We have filed and successfully procured registered trademarks for our key brands consisting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many countries around the world, and we have pending trademark applications for these and other marks in many other countries, including our newest key product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including MB 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MB Enhance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We anticipate seeking protection in other countries, as we deem appropriate.</w:t>
      </w:r>
    </w:p>
    <w:p>
      <w:pPr>
        <w:spacing w:after="0" w:line="3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 Selling Companies</w:t>
      </w:r>
    </w:p>
    <w:p>
      <w:pPr>
        <w:spacing w:after="0" w:line="11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compete with other direct selling companies, many of which have longer operating histories and greater visibility, name recognition and financial resources than we do. We also compete with newer direct selling companies that may attempt to solicit our independent consultants by offering the possibility of a more financially rewarding opportunity or by being among the company's early consultant base. We compete for new consultants with these companies on the basis of our business opportunity, product offerings, sales compensation plan, management and operations. In order to successfully compete in the direct selling industry and attract and retain quality consultants, we must maintain the attractiveness of our business opportunity, product offerings and sales compensation plan.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Dietary Supplement Market</w:t>
      </w:r>
    </w:p>
    <w:p>
      <w:pPr>
        <w:spacing w:after="0" w:line="127"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We compete with other companies that sell dietary supplements. We believe the dietary supplement market is highly fragmented and competitive. We believe competition in the dietary supplement market is based primarily on quality, price, efficacy,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4"/>
          <w:szCs w:val="14"/>
          <w:b w:val="1"/>
          <w:bCs w:val="1"/>
          <w:color w:val="auto"/>
        </w:rPr>
        <w:t>Nrf2 Activators</w:t>
      </w:r>
    </w:p>
    <w:p>
      <w:pPr>
        <w:spacing w:after="0" w:line="117"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Direct Antioxidants</w:t>
      </w:r>
    </w:p>
    <w:p>
      <w:pPr>
        <w:spacing w:after="0" w:line="125" w:lineRule="exact"/>
        <w:rPr>
          <w:sz w:val="20"/>
          <w:szCs w:val="20"/>
          <w:color w:val="auto"/>
        </w:rPr>
      </w:pPr>
    </w:p>
    <w:p>
      <w:pPr>
        <w:ind w:firstLine="255"/>
        <w:spacing w:after="0" w:line="213" w:lineRule="auto"/>
        <w:rPr>
          <w:sz w:val="20"/>
          <w:szCs w:val="20"/>
          <w:color w:val="auto"/>
        </w:rPr>
      </w:pPr>
      <w:r>
        <w:rPr>
          <w:rFonts w:ascii="Times New Roman" w:cs="Times New Roman" w:eastAsia="Times New Roman" w:hAnsi="Times New Roman"/>
          <w:sz w:val="14"/>
          <w:szCs w:val="14"/>
          <w:color w:val="auto"/>
        </w:rPr>
        <w:t>Vitamin C, vitamin E, other vitamin/mineral antioxidants, and other sources of externally derived antioxidants may be considered competitors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but they are mechanistically distinct from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These other sources of antioxidants do not increase the body’s elimination of oxidants using internal antioxidant enzymes. Our research indicates that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increases production of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Oral Superoxide Dismutase and Catalase</w:t>
      </w:r>
    </w:p>
    <w:p>
      <w:pPr>
        <w:spacing w:after="0" w:line="125" w:lineRule="exact"/>
        <w:rPr>
          <w:sz w:val="20"/>
          <w:szCs w:val="20"/>
          <w:color w:val="auto"/>
        </w:rPr>
      </w:pPr>
    </w:p>
    <w:p>
      <w:pPr>
        <w:ind w:firstLine="255"/>
        <w:spacing w:after="0" w:line="225" w:lineRule="auto"/>
        <w:rPr>
          <w:sz w:val="20"/>
          <w:szCs w:val="20"/>
          <w:color w:val="auto"/>
        </w:rPr>
      </w:pPr>
      <w:r>
        <w:rPr>
          <w:rFonts w:ascii="Times New Roman" w:cs="Times New Roman" w:eastAsia="Times New Roman" w:hAnsi="Times New Roman"/>
          <w:sz w:val="14"/>
          <w:szCs w:val="14"/>
          <w:color w:val="auto"/>
        </w:rPr>
        <w:t>There are many companies performing research into antioxidants. Several companies sell oral forms of superoxide dismutase and catalase. Although we believe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superior alternative to oral forms of superoxide dismutase and catalase, these products do compete with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the marketplace. We anticipate additional companies will likely develop, purchase or in-license products that are competitive with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Omega Fatty Acid Products</w:t>
      </w:r>
    </w:p>
    <w:p>
      <w:pPr>
        <w:spacing w:after="0" w:line="117" w:lineRule="exact"/>
        <w:rPr>
          <w:sz w:val="20"/>
          <w:szCs w:val="20"/>
          <w:color w:val="auto"/>
        </w:rPr>
      </w:pPr>
    </w:p>
    <w:p>
      <w:pPr>
        <w:ind w:right="80" w:firstLine="255"/>
        <w:spacing w:after="0" w:line="247" w:lineRule="auto"/>
        <w:rPr>
          <w:sz w:val="20"/>
          <w:szCs w:val="20"/>
          <w:color w:val="auto"/>
        </w:rPr>
      </w:pPr>
      <w:r>
        <w:rPr>
          <w:rFonts w:ascii="Times New Roman" w:cs="Times New Roman" w:eastAsia="Times New Roman" w:hAnsi="Times New Roman"/>
          <w:sz w:val="14"/>
          <w:szCs w:val="14"/>
          <w:color w:val="auto"/>
        </w:rPr>
        <w:t>There are many companies that market omega supplements, including omega-3. Although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 contains a unique combination of DHA and EPA omega-3 fatty acids, omega-7 fatty acids, and vitamin D3, we anticipate additional companies will likely develop products that are competitive with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Omega+.</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Probiotic Products</w:t>
      </w:r>
    </w:p>
    <w:p>
      <w:pPr>
        <w:spacing w:after="0" w:line="125" w:lineRule="exact"/>
        <w:rPr>
          <w:sz w:val="20"/>
          <w:szCs w:val="20"/>
          <w:color w:val="auto"/>
        </w:rPr>
      </w:pPr>
    </w:p>
    <w:p>
      <w:pPr>
        <w:ind w:right="440" w:firstLine="255"/>
        <w:spacing w:after="0" w:line="232" w:lineRule="auto"/>
        <w:rPr>
          <w:sz w:val="20"/>
          <w:szCs w:val="20"/>
          <w:color w:val="auto"/>
        </w:rPr>
      </w:pPr>
      <w:r>
        <w:rPr>
          <w:rFonts w:ascii="Times New Roman" w:cs="Times New Roman" w:eastAsia="Times New Roman" w:hAnsi="Times New Roman"/>
          <w:sz w:val="14"/>
          <w:szCs w:val="14"/>
          <w:color w:val="auto"/>
        </w:rPr>
        <w:t>There are many companies that market probiotic supplements, and we anticipate additional companies will likely continue to develop products that compete with our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ProBio supplement.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Eye Health and Vitamin Products</w:t>
      </w:r>
    </w:p>
    <w:p>
      <w:pPr>
        <w:spacing w:after="0" w:line="127" w:lineRule="exact"/>
        <w:rPr>
          <w:sz w:val="20"/>
          <w:szCs w:val="20"/>
          <w:color w:val="auto"/>
        </w:rPr>
      </w:pPr>
    </w:p>
    <w:p>
      <w:pPr>
        <w:ind w:right="220" w:firstLine="255"/>
        <w:spacing w:after="0" w:line="288" w:lineRule="auto"/>
        <w:rPr>
          <w:sz w:val="20"/>
          <w:szCs w:val="20"/>
          <w:color w:val="auto"/>
        </w:rPr>
      </w:pPr>
      <w:r>
        <w:rPr>
          <w:rFonts w:ascii="Times New Roman" w:cs="Times New Roman" w:eastAsia="Times New Roman" w:hAnsi="Times New Roman"/>
          <w:sz w:val="14"/>
          <w:szCs w:val="14"/>
          <w:color w:val="auto"/>
        </w:rPr>
        <w:t>There are many companies that market eye health and other vitamin/mineral supplements and we anticipate additional companies will likely continue to develop products that are competitive with our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Daily Wellness,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Personal Skin Care Market</w:t>
      </w:r>
    </w:p>
    <w:p>
      <w:pPr>
        <w:spacing w:after="0" w:line="117" w:lineRule="exact"/>
        <w:rPr>
          <w:sz w:val="20"/>
          <w:szCs w:val="20"/>
          <w:color w:val="auto"/>
        </w:rPr>
      </w:pPr>
    </w:p>
    <w:p>
      <w:pPr>
        <w:ind w:right="80" w:firstLine="255"/>
        <w:spacing w:after="0" w:line="245" w:lineRule="auto"/>
        <w:rPr>
          <w:sz w:val="20"/>
          <w:szCs w:val="20"/>
          <w:color w:val="auto"/>
        </w:rPr>
      </w:pPr>
      <w:r>
        <w:rPr>
          <w:rFonts w:ascii="Times New Roman" w:cs="Times New Roman" w:eastAsia="Times New Roman" w:hAnsi="Times New Roman"/>
          <w:sz w:val="14"/>
          <w:szCs w:val="14"/>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Nrf2 formulas in our personal care products. We also now compete in the growing global liquid collagen market and believe we can compete with our triple-action formula that has been shown to deliver visible results in only 30 days as it activates, replenishes, and maintains collagen levels.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is a unique blend featuring sustainably sourced, hydrolyzed fish collagen that delivers 10 different types of peptides–significantly more than most competitive products–plus a unique red quinoa extract that has been shown to up regulate genes associated with collagen production and down regulate those that produce enzymes that break down collagen.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Personal Hair Care Market</w:t>
      </w:r>
    </w:p>
    <w:p>
      <w:pPr>
        <w:spacing w:after="0" w:line="127"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Animal Supplement Market</w:t>
      </w:r>
    </w:p>
    <w:p>
      <w:pPr>
        <w:spacing w:after="0" w:line="127"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compete principally with large, well-known companies in the animal supplement market. Most of the companies we compete with in the animal supplement market have broad distribution channels that include retail establishments. Many of</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20" w:name="page21"/>
    <w:bookmarkEnd w:id="20"/>
    <w:p>
      <w:pPr>
        <w:ind w:right="240"/>
        <w:spacing w:after="0" w:line="287" w:lineRule="auto"/>
        <w:rPr>
          <w:sz w:val="20"/>
          <w:szCs w:val="20"/>
          <w:color w:val="auto"/>
        </w:rPr>
      </w:pPr>
      <w:r>
        <w:rPr>
          <w:rFonts w:ascii="Times New Roman" w:cs="Times New Roman" w:eastAsia="Times New Roman" w:hAnsi="Times New Roman"/>
          <w:sz w:val="14"/>
          <w:szCs w:val="14"/>
          <w:color w:val="auto"/>
        </w:rPr>
        <w:t>these competitors have greater financial resources and brand recognition than we do. We believe, however, that we can compete with these larger companies by leveraging our direct selling model and emphasizing our unique, science-based animal supplement product.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 Drink Market</w:t>
      </w:r>
    </w:p>
    <w:p>
      <w:pPr>
        <w:spacing w:after="0" w:line="127" w:lineRule="exact"/>
        <w:rPr>
          <w:sz w:val="20"/>
          <w:szCs w:val="20"/>
          <w:color w:val="auto"/>
        </w:rPr>
      </w:pPr>
    </w:p>
    <w:p>
      <w:pPr>
        <w:ind w:right="120" w:firstLine="255"/>
        <w:spacing w:after="0" w:line="272" w:lineRule="auto"/>
        <w:rPr>
          <w:sz w:val="20"/>
          <w:szCs w:val="20"/>
          <w:color w:val="auto"/>
        </w:rPr>
      </w:pPr>
      <w:r>
        <w:rPr>
          <w:rFonts w:ascii="Times New Roman" w:cs="Times New Roman" w:eastAsia="Times New Roman" w:hAnsi="Times New Roman"/>
          <w:sz w:val="14"/>
          <w:szCs w:val="14"/>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no sugar, low-carbohydrate and low-calorie energy drink that is also non-GMO, gluten-free and vegan.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Weight Management Market</w:t>
      </w:r>
    </w:p>
    <w:p>
      <w:pPr>
        <w:spacing w:after="0" w:line="11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compete with large, well-known companies in the weight management market, including those offering GLP-1 products.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Environment</w:t>
      </w:r>
    </w:p>
    <w:p>
      <w:pPr>
        <w:spacing w:after="0" w:line="12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formulation, manufacturing, packaging, labeling, and advertising of our products in the United States are subject to regulation by the Food and Drug Administration (“FDA”) and the Federal Trade Commission (“FTC”), as well as comparable state laws.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Regulations and DSHEA</w:t>
      </w:r>
    </w:p>
    <w:p>
      <w:pPr>
        <w:spacing w:after="0" w:line="125" w:lineRule="exact"/>
        <w:rPr>
          <w:sz w:val="20"/>
          <w:szCs w:val="20"/>
          <w:color w:val="auto"/>
        </w:rPr>
      </w:pPr>
    </w:p>
    <w:p>
      <w:pPr>
        <w:ind w:firstLine="255"/>
        <w:spacing w:after="0" w:line="244" w:lineRule="auto"/>
        <w:rPr>
          <w:sz w:val="20"/>
          <w:szCs w:val="20"/>
          <w:color w:val="auto"/>
        </w:rPr>
      </w:pPr>
      <w:r>
        <w:rPr>
          <w:rFonts w:ascii="Times New Roman" w:cs="Times New Roman" w:eastAsia="Times New Roman" w:hAnsi="Times New Roman"/>
          <w:sz w:val="14"/>
          <w:szCs w:val="14"/>
          <w:color w:val="auto"/>
        </w:rPr>
        <w:t>We market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as “dietary supplements” as defined in the Dietary Supplement Health and Education Act of 1994 (“DSHEA”). DSHEA is intended to promote access to safe, quality dietary supplements, and information about dietary supplements. DSHEA established a new framework governing the composition and labeling of dietary supplements. DSHEA does not apply to animal supplements like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We are not required to obtain FDA pre-market approval to sell our products in the United States under current laws.</w:t>
      </w:r>
    </w:p>
    <w:p>
      <w:pPr>
        <w:spacing w:after="0" w:line="4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w:t>
      </w:r>
    </w:p>
    <w:p>
      <w:pPr>
        <w:spacing w:after="0" w:line="8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83"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83" w:lineRule="exact"/>
        <w:rPr>
          <w:sz w:val="20"/>
          <w:szCs w:val="20"/>
          <w:color w:val="auto"/>
        </w:rPr>
      </w:pPr>
    </w:p>
    <w:p>
      <w:pPr>
        <w:jc w:val="both"/>
        <w:ind w:right="180" w:firstLine="255"/>
        <w:spacing w:after="0" w:line="242" w:lineRule="auto"/>
        <w:rPr>
          <w:sz w:val="20"/>
          <w:szCs w:val="20"/>
          <w:color w:val="auto"/>
        </w:rPr>
      </w:pPr>
      <w:r>
        <w:rPr>
          <w:rFonts w:ascii="Times New Roman" w:cs="Times New Roman" w:eastAsia="Times New Roman" w:hAnsi="Times New Roman"/>
          <w:sz w:val="14"/>
          <w:szCs w:val="14"/>
          <w:color w:val="auto"/>
        </w:rPr>
        <w:t>The FDA’s Center for Veterinary Medicine (“CVM”) is responsible for enforcing the portion of the Federal Food, Drug, and Cosmetic Act (the “FFDCA”), that relates to animal supplements, like our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CVM’s primary responsibility in enforcing the FFDCA is to ensure that animal supplements are safe, effective, and can be manufactured to a consistent standard. CVM has taken the position that DSHEA does not apply to products intended for animals, but it is clear that products like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are under FDA jurisdiction.</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follows the labeling rules of the NASC of which LifeVantage is a member. Under the NASC rules,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classified as a dosage form animal health product.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While we exercise care in our formulation, manufacturing, packaging, labeling, and advertising of our products, we cannot guarantee the FDA will never inform us that the FDA believes some violation of law has occurred either by us or by our independent consultants.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customers, investors, independent consultants, vendors, and employees.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 There were no open letters from the FDA to us as of June 30,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FTC Regulations</w:t>
      </w:r>
    </w:p>
    <w:p>
      <w:pPr>
        <w:spacing w:after="0" w:line="12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Advertising and marketing of our products in the United States are also subject to regulation by the FTC under the Federal Trade Commission Act (“FTC Act”). Among other things, the FTC Act prohibits unfair methods of competition and unfair false or deceptive acts or practices in or affecting commerce. The FTC Act also makes it illegal to disseminate or cause to be disseminated any false advertisement for “food, drugs, devices, services, or cosmetics.”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may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and/or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95"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The National Advertising Division (“NAD”), of the national Better Business Bureau, a non-governmental not-for-profit organization through its Advertising Self-Regulatory Council, is also actively engaged in conducting investigations, 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w:t>
      </w:r>
    </w:p>
    <w:p>
      <w:pPr>
        <w:spacing w:after="0" w:line="7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January 2019, the Direct Selling Self-Regulatory Council (“DSSRC”) was introduced. This program monitors the entire direct selling channel—including the US DSA member companies and non-members. The DSSRC provides impartial monitoring, enforcement, and dispute resolution regarding product claims or income representations (including lifestyle claims) disseminated by direct selling companies and their sales force members (independent consultants). The failure of a company to resolve DSSRC complaints will ultimately result in the DSSRC reporting the matter to the FTC, which may or may not pursue enforcement action in any given case. There were no open letters from the FTC to us as of June 30,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of Direct Selling Activities</w:t>
      </w:r>
    </w:p>
    <w:p>
      <w:pPr>
        <w:spacing w:after="0" w:line="127" w:lineRule="exact"/>
        <w:rPr>
          <w:sz w:val="20"/>
          <w:szCs w:val="20"/>
          <w:color w:val="auto"/>
        </w:rPr>
      </w:pPr>
    </w:p>
    <w:p>
      <w:pPr>
        <w:ind w:right="340" w:firstLine="255"/>
        <w:spacing w:after="0" w:line="270" w:lineRule="auto"/>
        <w:rPr>
          <w:sz w:val="20"/>
          <w:szCs w:val="20"/>
          <w:color w:val="auto"/>
        </w:rPr>
      </w:pPr>
      <w:r>
        <w:rPr>
          <w:rFonts w:ascii="Times New Roman" w:cs="Times New Roman" w:eastAsia="Times New Roman" w:hAnsi="Times New Roman"/>
          <w:sz w:val="14"/>
          <w:szCs w:val="14"/>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sufficient emphasis on product sales. The laws and regulations may often:</w:t>
      </w:r>
    </w:p>
    <w:p>
      <w:pPr>
        <w:spacing w:after="0" w:line="72"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or our independent consultants to register with governmental agencies;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caps on the amount or type of sales commission we can pay;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reporting requirements; and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2" w:name="page23"/>
    <w:bookmarkEnd w:id="22"/>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we ensure, among other things, that our independent consultants maintain levels of product sales to qualify to receive sales commissions and that our independent consultants are being compensated primarily for sales of products and not primarily for recruiting additional participants.</w:t>
      </w:r>
    </w:p>
    <w:p>
      <w:pPr>
        <w:spacing w:after="0" w:line="6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laws and regulations governing direct selling are modified from time to time, and, like other direct selling companies, we may be subject to government investigations related to our direct selling activities. This may require us to make changes to our business model and our sales compensation plan.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 Regulations</w:t>
      </w:r>
    </w:p>
    <w:p>
      <w:pPr>
        <w:spacing w:after="0" w:line="127"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Food Safety Modernization Act</w:t>
      </w:r>
    </w:p>
    <w:p>
      <w:pPr>
        <w:spacing w:after="0" w:line="127"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FDA Food Safety Modernization Act (“FSMA”) was enacted in 2011 and is now part of the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71"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the FDA explicit authority to compel a recall if the FDA believes there is a reasonable probability of serious adverse health consequences or death;</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strict obligations on food and dietary supplement importers to verify that food from foreign suppliers is not adulterated or misbranded;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whistle blower protection for employees of conventional food or dietary supplement companies who provide information to governmental authorities about violations of the</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FFDCA.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 Regulations</w:t>
      </w:r>
    </w:p>
    <w:p>
      <w:pPr>
        <w:spacing w:after="0" w:line="117" w:lineRule="exact"/>
        <w:rPr>
          <w:sz w:val="20"/>
          <w:szCs w:val="20"/>
          <w:color w:val="auto"/>
        </w:rPr>
      </w:pPr>
    </w:p>
    <w:p>
      <w:pPr>
        <w:ind w:firstLine="255"/>
        <w:spacing w:after="0" w:line="234" w:lineRule="auto"/>
        <w:rPr>
          <w:sz w:val="20"/>
          <w:szCs w:val="20"/>
          <w:color w:val="auto"/>
        </w:rPr>
      </w:pPr>
      <w:r>
        <w:rPr>
          <w:rFonts w:ascii="Times New Roman" w:cs="Times New Roman" w:eastAsia="Times New Roman" w:hAnsi="Times New Roman"/>
          <w:sz w:val="14"/>
          <w:szCs w:val="14"/>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independent consultants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While we disagree with the assessment of ashwagandha by Japanese regulatory authorities, we are restricted from selling a formulation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that contains ashwagandha in Japan. As such, we reformulated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the Japan market to exclude ashwagandha and include black pepper extract. This reformulated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introduced in Japan in fiscal year 2013.</w:t>
      </w:r>
    </w:p>
    <w:p>
      <w:pPr>
        <w:spacing w:after="0" w:line="40" w:lineRule="exact"/>
        <w:rPr>
          <w:sz w:val="20"/>
          <w:szCs w:val="20"/>
          <w:color w:val="auto"/>
        </w:rPr>
      </w:pPr>
    </w:p>
    <w:p>
      <w:pPr>
        <w:ind w:right="20" w:firstLine="255"/>
        <w:spacing w:after="0" w:line="241" w:lineRule="auto"/>
        <w:rPr>
          <w:sz w:val="20"/>
          <w:szCs w:val="20"/>
          <w:color w:val="auto"/>
        </w:rPr>
      </w:pPr>
      <w:r>
        <w:rPr>
          <w:rFonts w:ascii="Times New Roman" w:cs="Times New Roman" w:eastAsia="Times New Roman" w:hAnsi="Times New Roman"/>
          <w:sz w:val="14"/>
          <w:szCs w:val="14"/>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103"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Our business model is also subject to regulatory frameworks that may limit or significantly alter the way business is done in foreign markets vis-à-vis the United States. For example, our marketing of products or business opportunity as a consultant in the United Kingdom differs significantly from marketing to United States customers and independent consultants. Consequently, we may experience additional costs and delays in entering or continuing to do business in foreign markets in order to comply with local regulations.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FDA and Other Regulation</w:t>
      </w:r>
    </w:p>
    <w:p>
      <w:pPr>
        <w:spacing w:after="0" w:line="12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We could become subject to additional laws or regulations administered by the FDA, FTC, or other federal, state, local or international regulatory authorities, to the repeal or amendment of laws or regulations that we consider favorable, such as</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23" w:name="page24"/>
    <w:bookmarkEnd w:id="23"/>
    <w:p>
      <w:pPr>
        <w:ind w:right="80"/>
        <w:spacing w:after="0" w:line="264" w:lineRule="auto"/>
        <w:rPr>
          <w:sz w:val="20"/>
          <w:szCs w:val="20"/>
          <w:color w:val="auto"/>
        </w:rPr>
      </w:pPr>
      <w:r>
        <w:rPr>
          <w:rFonts w:ascii="Times New Roman" w:cs="Times New Roman" w:eastAsia="Times New Roman" w:hAnsi="Times New Roman"/>
          <w:sz w:val="14"/>
          <w:szCs w:val="14"/>
          <w:color w:val="auto"/>
        </w:rPr>
        <w:t>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further regulate cosmetics. In general, the regulatory environment is becoming more complex with increasingly strict regulations.</w:t>
      </w:r>
    </w:p>
    <w:p>
      <w:pPr>
        <w:spacing w:after="0" w:line="77" w:lineRule="exact"/>
        <w:rPr>
          <w:sz w:val="20"/>
          <w:szCs w:val="20"/>
          <w:color w:val="auto"/>
        </w:rPr>
      </w:pPr>
    </w:p>
    <w:p>
      <w:pPr>
        <w:ind w:right="100" w:firstLine="255"/>
        <w:spacing w:after="0" w:line="241" w:lineRule="auto"/>
        <w:rPr>
          <w:sz w:val="20"/>
          <w:szCs w:val="20"/>
          <w:color w:val="auto"/>
        </w:rPr>
      </w:pPr>
      <w:r>
        <w:rPr>
          <w:rFonts w:ascii="Times New Roman" w:cs="Times New Roman" w:eastAsia="Times New Roman" w:hAnsi="Times New Roman"/>
          <w:sz w:val="14"/>
          <w:szCs w:val="14"/>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to include a domestic address or telephone number by which the company selling the product may receive a report of a serious adverse event associated with such product. Our product labels comply with that statutory provision.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2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As of June 30, 2025, we had 238 employees, 232 of which were full-time employees. As of June 30, 2025, 176 of our employees were based in the United States and 62 were based in our international markets. We do not include our independent consultants in our number of employees because our independent consultants are independent contractors and not employees. We outsource our manufacturing, warehousing and shipping operations.</w:t>
      </w:r>
    </w:p>
    <w:p>
      <w:pPr>
        <w:spacing w:after="0" w:line="7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that our employees are an essential asset. We have a dedicated team of professionals that support our customers and independent consultants, work to generate long-term value for our stockholders and contribute to the broader public through charitable programs, including LifeVantage Legacy – an independent charitable organization focused on bettering the lives of children throughout the world (“LifeVantage Legacy”). In turn, we offer competitive compensation and guide employees to focus on the long-term goals of our stockholders and independent consultants. We have received many ‘best place to work’ awards over the years, most recently being named as “Utah Top Workplaces” by the Salt Lake Tribune for the third year, “Top Places to Work in the Wellness Industry” by Energage, an industry leader in employee engagement for the third year, and “Best Place to Work” by USA Today.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 and Sustainability</w:t>
      </w:r>
    </w:p>
    <w:p>
      <w:pPr>
        <w:spacing w:after="0" w:line="12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understand that long-term value creation for stockholders is our core responsibility. We are investing in a number of sustainability initiatives, including reducing the environmental impact of our business activities and products, improving the global human condition, providing a positive working environment and engaging with our stakeholders regarding these initiatives.</w:t>
      </w:r>
    </w:p>
    <w:p>
      <w:pPr>
        <w:spacing w:after="0" w:line="6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u w:val="single" w:color="auto"/>
          <w:color w:val="auto"/>
        </w:rPr>
        <w:t>Environment</w:t>
      </w:r>
      <w:r>
        <w:rPr>
          <w:rFonts w:ascii="Times New Roman" w:cs="Times New Roman" w:eastAsia="Times New Roman" w:hAnsi="Times New Roman"/>
          <w:sz w:val="14"/>
          <w:szCs w:val="14"/>
          <w:color w:val="auto"/>
        </w:rPr>
        <w:t>: We are committed to reducing our impact on the environment and creating awareness about sustainability. We strive to improve our environmental footprint over time and to initiate additional projects and activities that will further reduce our impact on the environment. Our commitment to the environment extends to our customers, our independent consultants, our employees, and the global communities in which we operate. We comply with applicable environmental regulations and strive to prevent pollution whenever possible. We are increasing our efforts to train our employees and independent consultants on our environmental program and empower them to contribute and participate. We are committed to continually improving over time by striving to measure our environmental impacts and by setting goals to reduce these impacts each year. Some examples of our efforts include:</w:t>
      </w:r>
    </w:p>
    <w:p>
      <w:pPr>
        <w:spacing w:after="0" w:line="119"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Launching our new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using only clean ingredients and packaging recyclable curbside in most locations;</w:t>
      </w:r>
    </w:p>
    <w:p>
      <w:pPr>
        <w:spacing w:after="0" w:line="79" w:lineRule="exact"/>
        <w:rPr>
          <w:rFonts w:ascii="Arial" w:cs="Arial" w:eastAsia="Arial" w:hAnsi="Arial"/>
          <w:sz w:val="17"/>
          <w:szCs w:val="17"/>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 revamped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Collection using only clean ingredients that also score low on the Think Dirty scale;</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more easily recycled packaging in the relaunch of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Activated Skin Care Collection;</w:t>
      </w:r>
    </w:p>
    <w:p>
      <w:pPr>
        <w:spacing w:after="0" w:line="7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Abiding by our environmental policy using the feedback from our stakeholders to help formalize our focus on sustainability;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environmental auditing in our selection process for new partners;</w:t>
      </w:r>
    </w:p>
    <w:p>
      <w:pPr>
        <w:spacing w:after="0" w:line="114" w:lineRule="exact"/>
        <w:rPr>
          <w:rFonts w:ascii="Times New Roman" w:cs="Times New Roman" w:eastAsia="Times New Roman" w:hAnsi="Times New Roman"/>
          <w:sz w:val="14"/>
          <w:szCs w:val="14"/>
          <w:color w:val="auto"/>
        </w:rPr>
      </w:pPr>
    </w:p>
    <w:p>
      <w:pPr>
        <w:ind w:left="520" w:right="100" w:hanging="260"/>
        <w:spacing w:after="0" w:line="30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Switching to more easily recyclable bottles and cartons for product packaging, including replacing plastic bags with paper cartons for our energy drink products and using a fully recyclable glass bottle and cap for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product line;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4" w:name="page25"/>
    <w:bookmarkEnd w:id="24"/>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shipping boxes made from Sustainable Forestry Initiative certified corrugate material;</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shipping boxes to reduce the amount of waste created;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our shipping process to leverage lower CO2 emissions by 50%;</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sharable videos that our independent consultants can use when discussing our sustainability efforts;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Focusing on working with fish oil suppliers and fisheries who are Marine Stewardship Council certified;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Joining the Roundtable on Sustainable Palm Oil to support sustainable sources of Palm Oil.</w:t>
      </w:r>
    </w:p>
    <w:p>
      <w:pPr>
        <w:spacing w:after="0" w:line="125"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u w:val="single" w:color="auto"/>
          <w:color w:val="auto"/>
        </w:rPr>
        <w:t>Social/Community</w:t>
      </w:r>
      <w:r>
        <w:rPr>
          <w:rFonts w:ascii="Times New Roman" w:cs="Times New Roman" w:eastAsia="Times New Roman" w:hAnsi="Times New Roman"/>
          <w:sz w:val="14"/>
          <w:szCs w:val="14"/>
          <w:color w:val="auto"/>
        </w:rPr>
        <w:t>: We believe that our legacy is not the past, it is the future we create. This belief informed our effort to sponsor the formation of LifeVantage Legacy. LifeVantage Legacy helps the leaders of tomorrow by touching a million lives across the world today. From helping a child in need to supporting initiatives that uplift entire communities, our goal is simple - give future generations the support and resources they need to live happier, healthier lives one child at a time. One of the best parts of LifeVantage is our commitment to leaving places better than we found them. Some examples of our efforts include:</w:t>
      </w:r>
    </w:p>
    <w:p>
      <w:pPr>
        <w:spacing w:after="0" w:line="77"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Partnering with local schools near where we host our events to provide weekend meals to underprivileged children;</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Partnered with a local school in South Africa supplementing their library, providing school supplies and uniforms for the local community;</w:t>
      </w:r>
    </w:p>
    <w:p>
      <w:pPr>
        <w:spacing w:after="0" w:line="125"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home building trips over the holidays with our independent consultants and their families in Puerto Penasco, Mexico, where we have built over 30 homes for families in need over the past several years;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Partnering with local refugee foundations to provide help to repair fences, provide habitat upkeep, as well as helped procure needed items for kids and cleaning supplies for people's homes;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Assembling backpacks during our company training events consisting of food items for children who have food insecurity over weekends.</w:t>
      </w:r>
    </w:p>
    <w:p>
      <w:pPr>
        <w:spacing w:after="0" w:line="125" w:lineRule="exact"/>
        <w:rPr>
          <w:rFonts w:ascii="Times New Roman" w:cs="Times New Roman" w:eastAsia="Times New Roman" w:hAnsi="Times New Roman"/>
          <w:sz w:val="14"/>
          <w:szCs w:val="14"/>
          <w:color w:val="auto"/>
        </w:rPr>
      </w:pPr>
    </w:p>
    <w:p>
      <w:pPr>
        <w:ind w:left="520" w:right="48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Company-sponsored incentive trips where attendees give back to the local communities, like creating over 1,000 school kits for the local community to aid children and their families in attending school and after-school education during a recent Company-sponsored trip to Punta Cana;</w:t>
      </w:r>
    </w:p>
    <w:p>
      <w:pPr>
        <w:spacing w:after="0" w:line="60"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Formalizing our auditing and commitment to align internationally with human rights philosophies in how we conduct business through our human rights policy and vendor code of conduct, including auditing our key partners each year to ensure we are partnering with those who share our values;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Measuring our employees’ engagement levels, requesting anonymous feedback during the fiscal year, and implementing changes to address their feedback;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monthly all hands staff meetings to ensure our employees feel informed and aligned on our priorities and to encourage transparent communication.</w:t>
      </w:r>
    </w:p>
    <w:p>
      <w:pPr>
        <w:spacing w:after="0" w:line="115"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Governance</w:t>
      </w:r>
      <w:r>
        <w:rPr>
          <w:rFonts w:ascii="Times New Roman" w:cs="Times New Roman" w:eastAsia="Times New Roman" w:hAnsi="Times New Roman"/>
          <w:sz w:val="14"/>
          <w:szCs w:val="14"/>
          <w:color w:val="auto"/>
        </w:rPr>
        <w:t>: We endeavor to continue to strengthen and improve our corporate governance and executive compensation practices. We have an equity ownership policy to reinforce our belief that executives and directors who believe in the future of our company should have meaningful equity holdings in LifeVantage. In addition, we have a majority standard for the election of directors on our board.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1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Our principal offices are located at 3300 N. Triumph Blvd, Suite 700, Lehi, UT 84043. Our telephone number is (801) 432-9000 and our fax number is (801) 880-0699. Our website address is www.lifevantage.com; however, information found on our website is not incorporated by reference into this report. Our website address is included in this annual report as an inactive textual reference only.</w:t>
      </w:r>
    </w:p>
    <w:p>
      <w:pPr>
        <w:spacing w:after="0" w:line="83" w:lineRule="exact"/>
        <w:rPr>
          <w:sz w:val="20"/>
          <w:szCs w:val="20"/>
          <w:color w:val="auto"/>
        </w:rPr>
      </w:pPr>
    </w:p>
    <w:p>
      <w:pPr>
        <w:ind w:right="20" w:firstLine="255"/>
        <w:spacing w:after="0" w:line="280" w:lineRule="auto"/>
        <w:rPr>
          <w:sz w:val="20"/>
          <w:szCs w:val="20"/>
          <w:color w:val="auto"/>
        </w:rPr>
      </w:pPr>
      <w:r>
        <w:rPr>
          <w:rFonts w:ascii="Times New Roman" w:cs="Times New Roman" w:eastAsia="Times New Roman" w:hAnsi="Times New Roman"/>
          <w:sz w:val="14"/>
          <w:szCs w:val="14"/>
          <w:color w:val="auto"/>
        </w:rPr>
        <w:t xml:space="preserve">The reports filed with the SEC, by us and by our officers, directors, and significant stockholders are available for review on the SEC’s website at www.sec.gov. </w:t>
      </w:r>
      <w:r>
        <w:rPr>
          <w:rFonts w:ascii="Times New Roman" w:cs="Times New Roman" w:eastAsia="Times New Roman" w:hAnsi="Times New Roman"/>
          <w:sz w:val="14"/>
          <w:szCs w:val="14"/>
          <w:color w:val="212529"/>
        </w:rPr>
        <w:t>Such reports are also available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free of charge through the investor relations section of our website at www.lifevantage.com and are accessible as soon as reasonably practicable after being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17" w:lineRule="exact"/>
        <w:rPr>
          <w:sz w:val="20"/>
          <w:szCs w:val="20"/>
          <w:color w:val="auto"/>
        </w:rPr>
      </w:pPr>
    </w:p>
    <w:p>
      <w:pPr>
        <w:ind w:firstLine="255"/>
        <w:spacing w:after="0" w:line="267" w:lineRule="auto"/>
        <w:rPr>
          <w:sz w:val="20"/>
          <w:szCs w:val="20"/>
          <w:color w:val="auto"/>
        </w:rPr>
      </w:pPr>
      <w:r>
        <w:rPr>
          <w:rFonts w:ascii="Times New Roman" w:cs="Times New Roman" w:eastAsia="Times New Roman" w:hAnsi="Times New Roman"/>
          <w:sz w:val="14"/>
          <w:szCs w:val="14"/>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inability to properly motivate and incentivize sales from our independent consultants could harm our business.</w:t>
      </w:r>
    </w:p>
    <w:p>
      <w:pPr>
        <w:spacing w:after="0" w:line="11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Motivating our independent consultants and providing them with appropriate sales resources, including technology, tools, and training, are important to the growth and success of our business. We have faced, and may continue to face, challenges in motivating and incentivizing our independent consultants. In addition, actions we take from time to time to enforce our policies and procedures, may cause discord among some of our independent consultants. The loss of key independent consultants due to various factors including, but not limited to, voluntary termination or involuntary termination or suspension resulting from non-compliance with our policies and procedures, could distract our independent consultants and disrupt our business. For example, in the past, we have experienced discord among our leading independent consultants. If we fail to properly respond to any discord among our leading independent consultants in the United States and other markets, we could lose additional leaders, including to competing direct selling companies, which could have a significant negative impact on our revenue. Further, from time to time, we are involved in legal proceedings with former independent consultants. Such legal proceedings can be a distraction to our active independent consultants and can be expensive, time-consuming and cause a disruption to our business. Our inability to properly respond to these and other distractions may have a negative impact on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retain our existing customers and independent consultants or attract additional customers and independent consultants, our revenue will not increase and may decline.</w:t>
      </w:r>
    </w:p>
    <w:p>
      <w:pPr>
        <w:spacing w:after="0" w:line="12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Our customers may cease purchasing our products at any time and for any reason. Our independent consultants may terminate their services at any time, and we can and have in the past terminated consultants for conduct violative of our policies and procedures. As such, like most direct selling companies, we have experienced and are likely to continue to experience turnover among both customers and independent consultants. In the past, we have experienced, and, in the future, we may experience, a decrease in the number of our independent consultants. The departure for any reason of one of our leading independent consultants can be a major disruption to other independent consultants and could have a significant negative impact on our sales and operating results. Independent consultants who join our company to purchase our products for personal consumption or for short-term income goals may only stay with us for a short time. While we take steps to help train, motivate, and retain independent consultants, we cannot accurately predict the number or sales productivity of our independent consultants.</w:t>
      </w:r>
    </w:p>
    <w:p>
      <w:pPr>
        <w:spacing w:after="0" w:line="82"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Our operating results will be harmed if we and our independent consultant leaders do not generate sufficient interest in our business to retain existing customers and independent consultants and attract new customers and independent consultants. The number and sales productivity of our independent consultants could be harmed by several factors, including:</w:t>
      </w:r>
    </w:p>
    <w:p>
      <w:pPr>
        <w:spacing w:after="0" w:line="71"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adverse publicity regarding us, our products, our distribution channel, or our competitors;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by our independent consultants with applicable legal requirements or our policies and procedures;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interest in existing or new products or their failure to achieve desired sales results;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 compelling business opportunity sufficient to generate the interest and commitment of new independent consultants;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we might make to our independent consultant sales compensation plan;</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negative public perception of our company or our products or their ingredients;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negative public perception of our independent consultants and direct selling business in general;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actions to enforce our policies and procedures;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efforts to sell our products through competitive channels;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regulatory actions or charges against us or others in our industry;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independent consultants could fail to comply with applicable legal requirements or our policies and procedures, which could result in claims against us that could harm our business.</w:t>
      </w:r>
    </w:p>
    <w:p>
      <w:pPr>
        <w:spacing w:after="0" w:line="117"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Our independent consultants are independent contractors and, accordingly, we are not in a position to directly provide the same oversight, direction and motivation as we would if they were our employees. As a result, there can be no assurance that our independent consultants will comply with applicable laws or regulations or our independent consultant policies and procedures, participate in our marketing strategies or plans, or accept our introduction of new products. Despite their independent contractor status, activities by our independent consultants that allegedly violate applicable laws or regulations could result in government or third-party actions against us, which could harm our business. Our independent consultants agree to abide by our policies and procedures which are designed to ensure our independent consultants will comply with legal requirements. We have a consultant compliance department that addresses violations of our independent consultants when they become known to us. However, given the size of our independent consultant network, we experience problems with independent consultants violating our policies and procedures from time to time and are not always able to discover or remedy such violations.</w:t>
      </w:r>
    </w:p>
    <w:p>
      <w:pPr>
        <w:spacing w:after="0" w:line="94"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One of our most significant areas of risk with respect to independent consultant activities relates to improper product claims and claims regarding the consultant business opportunity of being an independent consultant. Any determination by the FDA, FTC, any state agency, or other similar governmental agency outside the United States that we or our independent consultants are not in compliance with applicable laws could materially harm our business. Even if governmental actions do not result in rulings or orders against us, they could create negative publicity that could detrimentally affect our efforts to recruit or motivate independent consultants and attract customers or lead to consumer lawsuits against us. When we experience growth in the number of our independent consultants, we have seen an increase in sales aids and promotional material being produced by independent consultants and/or consultant groups in some markets. This places an increased burden on us to monitor compliance of such materials and increases the risk that such materials could contain problematic product, marketing, or business opportunity claims in violation of our policies and applicable regulations.</w:t>
      </w:r>
    </w:p>
    <w:p>
      <w:pPr>
        <w:spacing w:after="0" w:line="94"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Because we have expanded into foreign countries, our policies and procedures for our independent consultants differ slightly in some countries due to the different legal requirements of each country in which we do business. In addition, as we have expanded internationally, some of our independent consultants have carried or shipped our products into countries in which such products are not registered or that otherwise impose stringent restrictions on our direct selling model. While we have taken steps to stop or restrict these sales from occurring, including through our independent consultant policies and procedures, it can be difficult to enforce these policies and procedures because of the large number of independent consultants and their independent status. If relevant regulatory authorities determined that any such independent consultant activities are not compliant with all regulatory requirements, we could be subject to related fines, penalties, and other assessments or negative publicity, any of which could have an adverse impact on our business. In addition, violations by our independent consultants of our policies and procedures could reflect negatively on our products and operations and harm our business reputation. Further, it is possible that a court could hold us civilly or criminally accountable based on vicarious liability because of the actions of our independent consultants. In the past, some of our independent consultants have been investigated by government agencies for conduct alleged to have violated the law and our policies. This type of investigation can have an adverse effect on us even if we are not involved in the independent consultant’s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changes to our independent consultant compensation plans.</w:t>
      </w:r>
    </w:p>
    <w:p>
      <w:pPr>
        <w:spacing w:after="0" w:line="127"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We modify our compensation plans from time to time to keep them competitive and attractive to existing and potential independent consultants, to address changing market dynamics, to provide incentives to our independent consultants that we believe will help grow our business, to conform to local regulations and to address other business-related considerations. In fiscal year 2023, we launched our new Evolve Compensation Plan for our independent consultants in the United States, Australia, New Zealand, and Japan markets. In fiscal year 2024, we launched our new Evolve Compensation Plan for our independent consultants in the Canada, Mexico and Europe markets. In fiscal year 2025, we launched an optimized version of the Evolve Compensation Plan for our independent consultants in the United States, Japan, Australia, New Zealand, Canada, Mexico, and Europe markets and launched the Evolve Compensation plan in other markets, including Taiwan, Hong Kong, and Singapore. It is difficult to predict whether such changes will achieve their desired results in the various markets. Such changes could result in unintended or unforeseen negative economic and non-economic consequences to our business, such as higher than anticipated costs or difficulty in attracting and retaining independent consultants, either of which could have a material adverse effect on our results of operations and financial condition. In addition, if regulatory agencies such as the FTC or judicial cases lead to new industry standards or rules, our business could be impacted, and we may need to amend our compensation plan. If we are required to make changes, or if the FTC seeks to enforce similar measures in the industry, either through rulemaking or an enforcement action against our company, our business could be harmed.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We primarily depend on a few products for a majority of our revenue.</w:t>
      </w:r>
    </w:p>
    <w:p>
      <w:pPr>
        <w:spacing w:after="0" w:line="117" w:lineRule="exact"/>
        <w:rPr>
          <w:sz w:val="20"/>
          <w:szCs w:val="20"/>
          <w:color w:val="auto"/>
        </w:rPr>
      </w:pPr>
    </w:p>
    <w:p>
      <w:pPr>
        <w:ind w:right="120" w:firstLine="255"/>
        <w:spacing w:after="0" w:line="248" w:lineRule="auto"/>
        <w:rPr>
          <w:sz w:val="20"/>
          <w:szCs w:val="20"/>
          <w:color w:val="auto"/>
        </w:rPr>
      </w:pPr>
      <w:r>
        <w:rPr>
          <w:rFonts w:ascii="Times New Roman" w:cs="Times New Roman" w:eastAsia="Times New Roman" w:hAnsi="Times New Roman"/>
          <w:sz w:val="14"/>
          <w:szCs w:val="14"/>
          <w:color w:val="auto"/>
        </w:rPr>
        <w:t>We primarily rely on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lines for a majority of our revenue, which collectively represent approximately 87.6% of total revenue for the fiscal year ended June 30, 2025. As such, any adverse impact we experience with respect to any of these products lines could negatively impact our overall revenue. For example, if we are unable to sustain or increase the price or sales levels of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color w:val="auto"/>
        </w:rPr>
        <w:t>, or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lines, our business could be harmed.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third parties to manufacture our products.</w:t>
      </w:r>
    </w:p>
    <w:p>
      <w:pPr>
        <w:spacing w:after="0" w:line="1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currently rely on third parties to manufacture our products. We are dependent on the uninterrupted and efficient operation of third-party manufacturers’ facilities. We currently use multiple third-party manufacturers for our products. If any of our current manufacturers are unable or unwilling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 quality materials for our products may be difficult to obtain or expensive.</w:t>
      </w:r>
    </w:p>
    <w:p>
      <w:pPr>
        <w:spacing w:after="0" w:line="127"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to or significantly increased costs associated with transportation and other distribution channels for our products may adversely affect our margins and profitability.</w:t>
      </w:r>
    </w:p>
    <w:p>
      <w:pPr>
        <w:spacing w:after="0" w:line="117"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disruptions caused by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product recalls.</w:t>
      </w:r>
    </w:p>
    <w:p>
      <w:pPr>
        <w:spacing w:after="0" w:line="127" w:lineRule="exact"/>
        <w:rPr>
          <w:sz w:val="20"/>
          <w:szCs w:val="20"/>
          <w:color w:val="auto"/>
        </w:rPr>
      </w:pPr>
    </w:p>
    <w:p>
      <w:pPr>
        <w:ind w:right="80" w:firstLine="255"/>
        <w:spacing w:after="0" w:line="236" w:lineRule="auto"/>
        <w:rPr>
          <w:sz w:val="20"/>
          <w:szCs w:val="20"/>
          <w:color w:val="auto"/>
        </w:rPr>
      </w:pPr>
      <w:r>
        <w:rPr>
          <w:rFonts w:ascii="Times New Roman" w:cs="Times New Roman" w:eastAsia="Times New Roman" w:hAnsi="Times New Roman"/>
          <w:sz w:val="14"/>
          <w:szCs w:val="14"/>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the past, we commenced a voluntary recall of certain lots of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alleviate safety concerns related to certain batches of turmeric extract, an ingredient in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96"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A past voluntary product recall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additional safety measures such as these may increase our cost of goods sold and strain our relationships with manufacturers.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susceptible to product liability claims.</w:t>
      </w:r>
    </w:p>
    <w:p>
      <w:pPr>
        <w:spacing w:after="0" w:line="11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95"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Many of the markets in which we compete for business, including the dietary supplement and personal care markets, are highly competitive. We may not be able to compete effectively, which may have a material adverse effect on our results of operations and financial condition.</w:t>
      </w:r>
    </w:p>
    <w:p>
      <w:pPr>
        <w:spacing w:after="0" w:line="69" w:lineRule="exact"/>
        <w:rPr>
          <w:sz w:val="20"/>
          <w:szCs w:val="20"/>
          <w:color w:val="auto"/>
        </w:rPr>
      </w:pPr>
    </w:p>
    <w:p>
      <w:pPr>
        <w:ind w:firstLine="255"/>
        <w:spacing w:after="0" w:line="238" w:lineRule="auto"/>
        <w:rPr>
          <w:sz w:val="20"/>
          <w:szCs w:val="20"/>
          <w:color w:val="auto"/>
        </w:rPr>
      </w:pPr>
      <w:r>
        <w:rPr>
          <w:rFonts w:ascii="Times New Roman" w:cs="Times New Roman" w:eastAsia="Times New Roman" w:hAnsi="Times New Roman"/>
          <w:sz w:val="14"/>
          <w:szCs w:val="14"/>
          <w:color w:val="auto"/>
        </w:rPr>
        <w:t>Many of the markets in which we compete for business, including the dietary supplement and personal care markets, are large, highly competitive, and fragmented. Our flagship product line,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and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compete in the dietary supplements market and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Care Collection competes in the personal care market.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may develop and release products that will compete directly with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will be marketed as activation products. One or more of these products could significantly reduce the demand for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and personal care products, we may have difficulty differentiating our products from our competitors’ products and competing products entering the dietary supplements and personal care markets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publicity could materially harm our business.</w:t>
      </w:r>
    </w:p>
    <w:p>
      <w:pPr>
        <w:spacing w:after="0" w:line="127"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9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4" w:right="359" w:bottom="1440" w:gutter="0" w:footer="0" w:header="0"/>
        </w:sectPr>
      </w:pPr>
    </w:p>
    <w:bookmarkStart w:id="29" w:name="page30"/>
    <w:bookmarkEnd w:id="29"/>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Actions of activist stockholders have, and could continue to, impact the pursuit of our business strategies, cause us to incur substantial costs, divert our management’s attention and resources, and adversely affect our business, results of operations, financial condition, and the trading price of our common stock.</w:t>
      </w:r>
    </w:p>
    <w:p>
      <w:pPr>
        <w:spacing w:after="0" w:line="5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Publicly traded companies have increasingly become subject to campaigns by activist investors advocating for corporate actions such as financial restructurings, increased borrowings, special dividends, stock repurchases or even sales of assets or entire companies to third parties or the activists themselves. Responding to proxy contests and other actions by activist stockholders, including related litigation, has been and can be costly and time consuming, disrupt our operations and divert the attention of our board and senior management from the pursuit of business strategies, which could adversely affect our results of operations and financial condition. For example, in August 2023, we received notice from a stockholder, Bradley L. Radoff, of his intent to nominate three directors for election at our fiscal year 2024 annual meeting of stockholders. We and Mr. Radoff communicated throughout the proxy contest, but could not reach an agreement in connection with Mr. Radoff’s nomination. At our fiscal year 2024 annual meeting of stockholders, our stockholders elected the incumbent directors as the directors of our board, each to hold office until our fiscal year 2025 annual meeting of stockholders or until his or her respective successor is elected and qualified. On February 14, 2024, we entered into a cooperation agreement with Mr. Radoff and other relevant persons and entities (the “Cooperation Agreement”). Pursuant to the Cooperation Agreement, we increased the size of our board by one seat, appointed Mr. Dayton Judd to our board, and agreed to other terms and customary standstill provisions. The amount of time, attention, and resources that were required of our Company, board, and executive leadership team to address the proxy contest-related measures were substantial, and the residual impact on the Company’s business and financial performance is uncertain.</w:t>
      </w:r>
    </w:p>
    <w:p>
      <w:pPr>
        <w:spacing w:after="0" w:line="9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Additionally, perceived uncertainties as to our future direction as a result of future stockholder activism or further changes to the composition of our board may lead to the perception of a change in the direction of our business, instability or lack of continuity. These uncertainties may be more acute or heightened when an activist seeks to change a majority of the board or ultimately desires to acquire the company. If individuals are elected to our board with a specific agenda, it may adversely affect our ability to effectively implement our business strategy and create additional value for our stockholders. Additionally, actions by activist stockholders may be exploited by our competitors, cause concern to our current or potential independent consultants and customers, make it more difficult to attract and retain qualified personnel and may create adverse uncertainty for our employees. In addition, actions of activist stockholders may cause significant fluctuations in our stock price based on temporary or speculative market perceptions or other factors that do not necessarily reflect the underlying fundamentals and prospects of our business. It is possible that we could become engaged in future proxy contests with other activist stockholders, which could adversely affect our results of operations and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or inability to attract key personnel could negatively impact our business.</w:t>
      </w:r>
    </w:p>
    <w:p>
      <w:pPr>
        <w:spacing w:after="0" w:line="117"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Our future performance will depend, in part,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90" w:lineRule="exact"/>
        <w:rPr>
          <w:sz w:val="20"/>
          <w:szCs w:val="20"/>
          <w:color w:val="auto"/>
        </w:rPr>
      </w:pPr>
    </w:p>
    <w:p>
      <w:pPr>
        <w:ind w:right="520" w:firstLine="255"/>
        <w:spacing w:after="0" w:line="287" w:lineRule="auto"/>
        <w:rPr>
          <w:sz w:val="20"/>
          <w:szCs w:val="20"/>
          <w:color w:val="auto"/>
        </w:rPr>
      </w:pPr>
      <w:r>
        <w:rPr>
          <w:rFonts w:ascii="Times New Roman" w:cs="Times New Roman" w:eastAsia="Times New Roman" w:hAnsi="Times New Roman"/>
          <w:sz w:val="14"/>
          <w:szCs w:val="14"/>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69"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held responsible for certain taxes or assessments and other obligations relating to the activities of our independent consultants, which could harm our financial condition and operating results.</w:t>
      </w:r>
    </w:p>
    <w:p>
      <w:pPr>
        <w:spacing w:after="0" w:line="5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Our independent consultants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consultants as employees, or that our independent consultants are deemed by local regulatory authorities in one or more of the jurisdictions in which we operate to be our employees rather than independent contractors under existing laws and interpretations, or our independent consultants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consultants were deemed to be employees rather than independent contractors, we may be obligated to pay certain employee benefits, such as workers compensation and unemployment insurance. Further, if our independent consultants are misclassified as employees, we would also face the threat of increased vicarious liability for their actions.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a Global Not For Resale Program.</w:t>
      </w:r>
    </w:p>
    <w:p>
      <w:pPr>
        <w:spacing w:after="0" w:line="11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We have a Global Not For Resale program, which allows customers from around the world to purchase limited amounts of our products for their individual consumption. Under this program, customers from other countries are able to set up a U.S. customer account and associated U.S. address and payment method to drop-ship their order to a third-party vendor in the U.S., who will then ship the products to the customer’s global location with any customs and/or duties being the sole responsibility of the ordering customer.</w:t>
      </w:r>
    </w:p>
    <w:p>
      <w:pPr>
        <w:spacing w:after="0" w:line="8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This program may raise questions from tax regulators about the appropriate sales tax jurisdiction due to the varied and complex tax regulations in the U.S. and around the world. Further, any regulatory review of our facilitation to ship U.S. product to our existing markets, where such product has not been registered, may raise issues against the local subsidiary from the foreign jurisdiction equivalents of the FDA or FTC or the relevant trade associations, should any agency or association perceive that we or our independent consultants are advertising and/or facilitating the sale of unregistered product in their country.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Company</w:t>
      </w:r>
    </w:p>
    <w:p>
      <w:pPr>
        <w:spacing w:after="0" w:line="115" w:lineRule="exact"/>
        <w:rPr>
          <w:sz w:val="20"/>
          <w:szCs w:val="20"/>
          <w:color w:val="auto"/>
        </w:rPr>
      </w:pPr>
    </w:p>
    <w:p>
      <w:pPr>
        <w:jc w:val="both"/>
        <w:ind w:right="4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evolving laws, policies, and contractual obligations related to data privacy and security, including cybersecurity, and our actual or perceived failure to comply with such obligations or perceived failure to maintain the integrity of our data could expose us to data loss or litigation, harm our reputation, subject us to significant fines and liability, or otherwise adversely affect our business, prospects, financial condition, and operating results.</w:t>
      </w:r>
    </w:p>
    <w:p>
      <w:pPr>
        <w:spacing w:after="0" w:line="83"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We collect and retain large volumes of data relating to our business and from our customers, independent consultants and employees for business purposes, including for transactional and promotional purposes, and our various IT systems enter, process, summarize and report such data. The integrity and protection of this data is critical to our business.</w:t>
      </w:r>
    </w:p>
    <w:p>
      <w:pPr>
        <w:spacing w:after="0" w:line="7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We are also subject to requirements imposed by the payment card industry. As we expand our operations, the CCPA, CPRA, and other laws and regulations relating to privacy and data security may increase our compliance costs and potential liability. Compliance with any applicable privacy and data security laws and regulations is a time-intensive and costly process, and we may be required to put in place additional processes to comply with existing and evolving laws and regulations and new laws and regulations as we expand our operations. Many jurisdictions have enacted laws requiring companies to notify individuals, regulatory authorities and others of security breaches involving certain types of data. In addition, our agreements with certain customers may require us to notify them in the event of a security breach or incident. Such mandatory disclosures can be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 We may not be able to monitor and react to all developments in a timely manner. Maintaining compliance with these evolving regulations and requirements could be difficult and may increase our expenses.</w:t>
      </w:r>
    </w:p>
    <w:p>
      <w:pPr>
        <w:spacing w:after="0" w:line="8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Many jurisdictions outside of the United States are considering or have enacted similar or more stringent legislation providing for local storage of data or otherwise imposing privacy, data protection, and data security obligations in connection with the collection, use, and other processing of personal data. Further, the global data protection landscape is rapidly evolving, and implementation standards and enforcement practices are likely to remain uncertain for the foreseeable future. As our international presence expands, we may become subject to additional obligations under laws and regulations in countries outside the United States, such as, for example, the European Union’s General Data Protection Regulation (“GDPR”), legislation in other countries implementing the GDPR or similar versions of the GDPR.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Despite the security measures we have in place to comply with applicable laws and rules and to protect our security and information systems, there can be no assurance that our cybersecurity risk management program and processes, including our policies, controls, or procedures will be fully implemented, complied with, or effective in protecting our systems and information Further, our vendors and third-party service providers (as well as their third-party service providers), may be vulnerable to security breaches, acts of cyber terrorism or sabotage, vandalism or theft, computer viruses, loss or corruption of data or programming or human errors or other similar events. While we have agreements requiring our third-party service providers to use best practices for data security, we have no operational control over them. Because such attacks are increasing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1" w:name="page32"/>
    <w:bookmarkEnd w:id="31"/>
    <w:p>
      <w:pPr>
        <w:jc w:val="both"/>
        <w:spacing w:after="0" w:line="259" w:lineRule="auto"/>
        <w:rPr>
          <w:sz w:val="20"/>
          <w:szCs w:val="20"/>
          <w:color w:val="auto"/>
        </w:rPr>
      </w:pPr>
      <w:r>
        <w:rPr>
          <w:rFonts w:ascii="Times New Roman" w:cs="Times New Roman" w:eastAsia="Times New Roman" w:hAnsi="Times New Roman"/>
          <w:sz w:val="14"/>
          <w:szCs w:val="14"/>
          <w:color w:val="auto"/>
        </w:rPr>
        <w:t>in sophistication and change frequently in nature, we and our third-party service providers may be unable to anticipate these attacks or implement adequate preventative measures, and any compromise of our systems, or those of our third-party vendors (as well as their third-party service providers), may not be discovered and remediated promptly. Changes in consumer behavior following a security breach or perceived security breach, act of cyber terrorism or sabotage, vandalism or theft, computer virus, loss or corruption of data or programming or human error or other similar event affecting a competitor, large retailer or financial institution may materially and adversely affect our business. While we carry cyber insurance, we cannot be certain that our coverage will be adequate for liabilities actually incurred, that insurance will continue to be available to us on commercially reasonable terms or at all, or that any insurer will not deny coverage as to any future claim. Any of the foregoing may have an adverse effect on our business, prospects,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expanding our operations.</w:t>
      </w:r>
    </w:p>
    <w:p>
      <w:pPr>
        <w:spacing w:after="0" w:line="127"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We may not be successful in expanding our operations. Although we have been selling our products through our direct selling network since fiscal year 2009, we still may have limited insight into trends, disruptions and other factors that may emerge and affect our business. For example, a widespread pandemic, such as the COVID-19 pandemic, and measures taken in response by governments and businesses worldwide to contain its spread, including quarantines, facility closures, travel and logistics restrictions, border controls, and shelter in place or stay at home and social distancing orders, may adversely impact our supply chain, manufacturing, logistics, workforce and operations, as well as the operations of our customers and suppliers globally. Such adverse impacts on our supply chain could limit our ability to sell our products on a timely and cost-effective basis, which could adversely affect our business and results of operations.</w:t>
      </w:r>
    </w:p>
    <w:p>
      <w:pPr>
        <w:spacing w:after="0" w:line="90"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In addition, from time to time, we are compelled to terminate one or more of our independent consultants for actions contrary to their contractual obligations with us. In the past, some of these terminations have caused disruption among our independent consultants, and such terminations or resulting disruption in the future may negatively impact our revenue. Additionally, we may not be successful in keeping our leading independent consultants focused and motivated or in aligning their goals with our company goals. Although we are seeking to grow our business, if we fail to effectively manage operations in our existing markets and/or expand our operations into additional markets, we may be unable to generate consistent operating profit growth in future periods.</w:t>
      </w:r>
    </w:p>
    <w:p>
      <w:pPr>
        <w:spacing w:after="0" w:line="7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able to expand our operations, including through acquisition of assets or businesses, we may experience difficulties in managing our future growth, which could adversely affect our business.</w:t>
      </w:r>
    </w:p>
    <w:p>
      <w:pPr>
        <w:spacing w:after="0" w:line="69"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If we are able to expand our operations in the United States and in other countries where we believe our products will be successful, such expansion could place increased strain on our management, operational, financial and other resources. An inability to leverage our current resources in an efficient manner could have a material adverse effect on our business, operating margins, and results of operations. If we are able to expand our operations, we expect we will need additional managerial, operational, technical, sales, marketing, financial, legal, and other resources.</w:t>
      </w:r>
    </w:p>
    <w:p>
      <w:pPr>
        <w:spacing w:after="0" w:line="83"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In addition, acquisitions of complementary businesses or assets involve numerous risks and uncertainties. These include challenges in integrating operations, systems, and personnel; difficulties in realizing the anticipated benefits of the transaction within the expected timeframe, or at all; disruption of ongoing business operations and relationships; exposure to unknown or contingent liabilities; and potential increases in costs, indebtedness, or dilution. If we are unable to successfully integrate acquired businesses or achieve the benefits we expect, our growth strategy and financial performance could be adversely affected.</w:t>
      </w:r>
    </w:p>
    <w:p>
      <w:pPr>
        <w:spacing w:after="0" w:line="77"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If we are successful in expanding our operations, our management may need to divert its attention away from its day-to-day activities and devote a substantial amount of time to managing these growth activities. We may not be able to effectively manage the expansion of our operations, which may result in weaknesses in our infrastructure and loss of business opportunities, among others.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succeed in growing our business in existing markets or opening new markets.</w:t>
      </w:r>
    </w:p>
    <w:p>
      <w:pPr>
        <w:spacing w:after="0" w:line="12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sell our products in the United States, Mexico, Japan, Australia, Hong Kong, Canada, Thailand, the United Kingdom, the Netherlands, Germany, Taiwan, Austria, Spain, Ireland, Belgium, New Zealand, and Singapore. We also sell our products in a number of countries to customers for personal consumption only. In fiscal year 2025, we generated approximately 22% of our revenue from our international operations, a majority of which was generated in Japan. We believe that our ability to achieve future growth is dependent in part on our ability to effectively expand into new international markets and grow our existing markets. In some international markets, we have experienced difficulties which have resulted in adverse consequences to our business, including declining revenue in some markets, the closure of some markets, and occasional disruption to our business with supply chain and logistics delays in delivering product to certain markets in a timely manner. Our business and financial results may be also negatively impacted if a particular market or new business model is not widely accepted and adopted. We must overcome significant regulatory and legal barriers before we can begin marketing in any international market. Also, before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2" w:name="page33"/>
    <w:bookmarkEnd w:id="32"/>
    <w:p>
      <w:pPr>
        <w:ind w:right="40"/>
        <w:spacing w:after="0" w:line="264" w:lineRule="auto"/>
        <w:rPr>
          <w:sz w:val="20"/>
          <w:szCs w:val="20"/>
          <w:color w:val="auto"/>
        </w:rPr>
      </w:pPr>
      <w:r>
        <w:rPr>
          <w:rFonts w:ascii="Times New Roman" w:cs="Times New Roman" w:eastAsia="Times New Roman" w:hAnsi="Times New Roman"/>
          <w:sz w:val="14"/>
          <w:szCs w:val="14"/>
          <w:color w:val="auto"/>
        </w:rPr>
        <w:t>marketing commences in a new country or market, it is difficult to assess the extent to which our products and sales techniques will be accepted or successful.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Inability of new products and technological innovations to gain market acceptance by customers and/or independent consultants could harm our business.</w:t>
      </w:r>
    </w:p>
    <w:p>
      <w:pPr>
        <w:spacing w:after="0" w:line="12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believe our ability to introduce new products that gain acceptance among our customers and independent consultants is an important part of our ability to grow our revenue in future periods. However, any new products we introduce may not gain market acceptance by customers and/or independent consultants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sales revenue. The introduction of a new product could also negatively impact other product lines to the extent our independent consultant leaders focus their sales efforts on the new product instead of an existing product. If any of our products fails to gain customer and/or independent consultant acceptance, we could see an increase in product returns.</w:t>
      </w:r>
    </w:p>
    <w:p>
      <w:pPr>
        <w:spacing w:after="0" w:line="94"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In addition, we believe our ability to introduce new technologies that gain acceptance among our customers and independent consultants is an important part of our ability to grow our sales revenue in future periods. However, these or other new technologies that we introduce may not gain customer and/or independent consultant acceptance to the extent we anticipate or project.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if we fail to execute any product launch process due to increased pressure on our supply chain, information systems and management.</w:t>
      </w:r>
    </w:p>
    <w:p>
      <w:pPr>
        <w:spacing w:after="0" w:line="12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Although our product launch process may vary by market, we generally introduce new products to our customers and independent consultants through live events or cyber launches, limited-time offers and promotions. The limited-time offers typically generate significant activity and a high level of purchasing, which may result in a higher-than-normal increase in sales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consultants and their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harmed if we are unable to appropriately manage our inventory.</w:t>
      </w:r>
    </w:p>
    <w:p>
      <w:pPr>
        <w:spacing w:after="0" w:line="117" w:lineRule="exact"/>
        <w:rPr>
          <w:sz w:val="20"/>
          <w:szCs w:val="20"/>
          <w:color w:val="auto"/>
        </w:rPr>
      </w:pPr>
    </w:p>
    <w:p>
      <w:pPr>
        <w:ind w:right="20" w:firstLine="255"/>
        <w:spacing w:after="0" w:line="244" w:lineRule="auto"/>
        <w:rPr>
          <w:sz w:val="20"/>
          <w:szCs w:val="20"/>
          <w:color w:val="auto"/>
        </w:rPr>
      </w:pPr>
      <w:r>
        <w:rPr>
          <w:rFonts w:ascii="Times New Roman" w:cs="Times New Roman" w:eastAsia="Times New Roman" w:hAnsi="Times New Roman"/>
          <w:sz w:val="14"/>
          <w:szCs w:val="14"/>
          <w:color w:val="auto"/>
        </w:rPr>
        <w:t>In the past, we have experienced difficulties in appropriately managing our inventory. For example, when we launched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October 2024, we experienced higher than expected demand and did not have sufficient inventory to meet demand. In the past, we have also experienced an inventory surplus, causing us to engage in a deliberate effort to manage down such inventory balances to levels we viewed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IT systems to manage numerous aspects of our business, and a disruption in these systems, including as a result of cybersecurity incidents, could adversely affect our business.</w:t>
      </w:r>
    </w:p>
    <w:p>
      <w:pPr>
        <w:spacing w:after="0" w:line="12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depend on our IT systems to manage numerous aspects of our business, including our finance and accounting transactions, to manage our independent consultant sales compensation plan and to provide analytical information to management. Our IT systems are an essential component of our business and growth strategies, and a serious disruption to our IT systems, including as a result of cybersecurity incidents, could significantly limit our ability to manage and operate our</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33" w:name="page34"/>
    <w:bookmarkEnd w:id="33"/>
    <w:p>
      <w:pPr>
        <w:ind w:right="180"/>
        <w:spacing w:after="0" w:line="264" w:lineRule="auto"/>
        <w:rPr>
          <w:sz w:val="20"/>
          <w:szCs w:val="20"/>
          <w:color w:val="auto"/>
        </w:rPr>
      </w:pPr>
      <w:r>
        <w:rPr>
          <w:rFonts w:ascii="Times New Roman" w:cs="Times New Roman" w:eastAsia="Times New Roman" w:hAnsi="Times New Roman"/>
          <w:sz w:val="14"/>
          <w:szCs w:val="14"/>
          <w:color w:val="auto"/>
        </w:rPr>
        <w:t>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consultants and their customers.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127"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In April 2024, we entered into a loan agreement, which provides for a revolving line of credit in an aggregate principal amount not to exceed $5.0 million (the “2024 Credit Facility”). As of June 30, 2025, there is no outstanding balance on the 2024 Credit Facility.</w:t>
      </w:r>
    </w:p>
    <w:p>
      <w:pPr>
        <w:spacing w:after="0" w:line="71"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The principal amount of any borrowings under the 2024 Credit Facility is repayable, if drawn, on the maturity date of the facility (April 12, 2027). Interest will accrue on outstanding loans, payable monthly. We expect to generate the cash necessary to pay any future principal and interest on the 2024 Credit Facility, if any,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8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The 2024 Credit Facility is secured by a lien on substantially all of our assets, and the assets of Lifeline Nutraceuticals, and by a pledge of membership interests of our subsidiaries, and contains customary covenants, both affirmative and negative covenants, that, among other things, restrict our ability to deal with our assets outside of the ordinary course, incur or guarantee additional indebtedness, grant liens on our assets, make certain investments, purchase or otherwise acquire all or substantially all the assets or equity interests of other companies, and enter into consolidations, mergers or other combinations. The 2024 Credit Facility requires that we maintain specified financial ratios and satisfy certain financial condition tests and comply with certain informational requirements in order to borrow under the revolving loan facility, if needed. Our ability to comply with these financial ratios and tests and informational requirements can be affected by events beyond our control and we may be unable to meet these ratios and tests and informational requirements. A breach of any of the representations, covenants (including compliance with financial ratios), or other restrictions imposed by the 2024 Credit Facility may result in a default or an event of default giving rise to lender's remedies thereunder, which could result in the lender declaring any portion or all amounts of principal, interest and other related costs and expenses outstanding under the 2024 Credit Facility to be immediately due and payable or limit our ability to draw on the revolving loan facility. Our assets may not be sufficient to repay the indebtedness if the lender accelerates our repayment of the indebtedness under the 2024 Credit Facility. In such circumstances, the lender's remedies would include the ability to foreclose on the collateral securing the loan. We were in compliance with all of the 2024 Credit Facility covenants at the end of fiscal year 2025.</w:t>
      </w:r>
    </w:p>
    <w:p>
      <w:pPr>
        <w:spacing w:after="0" w:line="95" w:lineRule="exact"/>
        <w:rPr>
          <w:sz w:val="20"/>
          <w:szCs w:val="20"/>
          <w:color w:val="auto"/>
        </w:rPr>
      </w:pPr>
    </w:p>
    <w:p>
      <w:pPr>
        <w:ind w:right="6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6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consultants,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be likely reduced. Foreign currency fluctuations can also result in losses and gains resulting from translation of foreign currency denominated balances on our balance sheet. Additionally, purchases from suppliers are generally made in U.S. Dollars while sales to customers and independent consultants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4" w:name="page35"/>
    <w:bookmarkEnd w:id="34"/>
    <w:p>
      <w:pPr>
        <w:ind w:right="220"/>
        <w:spacing w:after="0" w:line="287" w:lineRule="auto"/>
        <w:rPr>
          <w:sz w:val="20"/>
          <w:szCs w:val="20"/>
          <w:color w:val="auto"/>
        </w:rPr>
      </w:pPr>
      <w:r>
        <w:rPr>
          <w:rFonts w:ascii="Times New Roman" w:cs="Times New Roman" w:eastAsia="Times New Roman" w:hAnsi="Times New Roman"/>
          <w:sz w:val="14"/>
          <w:szCs w:val="14"/>
          <w:color w:val="auto"/>
        </w:rPr>
        <w:t>economic dynamics that affect exchange rate fluctuations, it is difficult to predict future fluctuations and the effect these fluctuations may have upon future reported results or our overall financial condition.</w:t>
      </w:r>
    </w:p>
    <w:p>
      <w:pPr>
        <w:spacing w:after="0" w:line="61"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Additionally, any major changes in tax or trade policy, such as the imposition of additional tariffs or duties on imported products, or trade sanctions, between the U.S. and countries from which we source products or ingredients, directly or indirectly, could require us to take certain actions, such as raising prices on our products or seeking alternative sources of supply from vendors with whom we have less familiarity, which could adversely affect our reputation, revenue, and our results of operations. U.S. trade policies continue to be in flux, and trade policies implemented by the U.S. federal government, or the consequences of such policies, could have an adverse effect on our business.</w:t>
      </w:r>
    </w:p>
    <w:p>
      <w:pPr>
        <w:spacing w:after="0" w:line="8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cannot predict what changes to trade policy will be made by the U.S. federal government, or other governments, including whether existing tariff policies will be maintained or modified or whether the entry into new bilateral or multilateral trade agreements will occur, nor can we predict the effects that any such changes would have on our business or the global economy. Changes in U.S. trade policy, or threat of such changes, have resulted and could again result in reactions from U.S. trading partners, including adopting responsive trade policies making it more difficult or costly for us to export our products or import products or product ingredients from countries where we currently purchase products or product ingredients or sell our products.</w:t>
      </w:r>
    </w:p>
    <w:p>
      <w:pPr>
        <w:spacing w:after="0" w:line="8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We may be negatively impacted by conflicts with, or disruptions caused or faced by, third party importers, as well as conflicts between such importers and local governments or regulatory agencies. We are required to obtain import licenses in order to sell our products to consumers in countries outside the United States. Our inability to obtain and maintain import licenses could cause delays or disruptions to our business and financial condition. Our operations in some markets also may be adversely affected by political, economic, and social instability in foreign countries.</w:t>
      </w:r>
    </w:p>
    <w:p>
      <w:pPr>
        <w:spacing w:after="0" w:line="70"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require substantial additional funding, which may not be available to us on acceptable terms, or at all, and, if not available, may require us to delay, scale back, or cease our product development or growth plans.</w:t>
      </w:r>
    </w:p>
    <w:p>
      <w:pPr>
        <w:spacing w:after="0" w:line="69"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Based on our current plans, we believe that our current cash and cash equivalents and our ongoing cash flow from operations will be sufficient to satisfy our anticipated cash requirements for at least 12 months from the date of this report. If our available cash resources and anticipated cash flows from operations are insufficient to satisfy our liquidity requirements, we may be required to raise significant additional capital to support our continued operations and the implementation of our business and growth plans. Future funding requirements will depend on many factors, including but not limited to:</w:t>
      </w:r>
    </w:p>
    <w:p>
      <w:pPr>
        <w:spacing w:after="0" w:line="87"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products from third-party vendors;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the sales and marketing activities of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commissions and incentives for our independent consultants;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integrating any assets or businesses that we acquire;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expenses we incur to defend against claims, including claims that we infringe the intellectual property of others or judgments we must pay to satisfy such claims;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obligations to third parties;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rate of progress in developing, launching, and selling our current products and any new products we pursue;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our operating costs;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satisfy our outstanding debt obligations;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responding to the other risks and uncertainties described in this report.</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may also be required to raise additional capital in the future to expand our business and operations to pursue strategic investments or for other reasons including but not limited to:</w:t>
      </w:r>
    </w:p>
    <w:p>
      <w:pPr>
        <w:spacing w:after="0" w:line="125"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acquiring or investing in complementary businesses or assets;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sales and marketing efforts to drive market adoption of our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scaling up our customer support capabilities;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development and marketing efforts of additional products;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product portfolio into additional markets;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35" w:name="page36"/>
    <w:bookmarkEnd w:id="35"/>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acquiring products through licensing rights;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capital expenditures and general and administrative expenses.</w:t>
      </w:r>
    </w:p>
    <w:p>
      <w:pPr>
        <w:spacing w:after="0" w:line="125"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may seek required funding through issuances of equity or convertible debt securities or entering into additional loan facilities. Each of the various ways we could raise additional capital carry potential risks. If we raise funds by issuing equity securities, dilution to our stockholders would result. If we raise funds by issuing additional debt securities, those debt securities would have rights, preferences, and privileges senior to those of holders of our common stock. Our 2024 Credit Facility restricts our ability to pursue certain transactions that we may believe to be in our best interest, including incurring additional indebtedness without the prior written consent of the lender under the credit facility.</w:t>
      </w:r>
    </w:p>
    <w:p>
      <w:pPr>
        <w:spacing w:after="0" w:line="87"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Regulatory, Compliance, and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strict government regulations.</w:t>
      </w:r>
    </w:p>
    <w:p>
      <w:pPr>
        <w:spacing w:after="0" w:line="12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 manufacturing, packaging, labeling, advertising, sale, and distribution of our products are subject to federal laws and regulations by one or more federal agencies, including, in the United States, the FDA, the FTC, the Consumer Product Safety Commission, and the United States Department of Agriculture (the “U.S. DOA”). These activities are also regulated by various state, local, and international laws, and agencies of the states, localities, and countries in which our products are sold. For instance, the FDA regulates, among other things, the ingredients, composition, manufacture, safety, labeling, and marketing of dietary supplements (including vitamins, minerals, herbs and other dietary ingredients for human use) and cosmetic products. We and our suppliers must comply with FDA regulations with respect to current GMP, which require good manufacturing processes, including ingredient identification, manufacturing controls and record keeping. If our third-party suppliers or vendors are not able to comply with these regulations, we may experience increased cost or delays in obtaining certain raw materials and third-party products. Complying with applicable legislation could also raise our costs and negatively impact our business. In addition, government regulations may prevent or delay the introduction of our products or require us to reformulate our products or change the claims we make about them, which could result in lost revenue, increased costs, and delayed expansion into new international markets.</w:t>
      </w:r>
    </w:p>
    <w:p>
      <w:pPr>
        <w:spacing w:after="0" w:line="85"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The FDA may determine that a particular dietary supplement or ingredient or a particular cosmetic product is adulterated or misbranded or both and may determine that a particular claim or statement of nutritional support that we make to support the marketing of a dietary supplement is an impermissible drug claim or is an unauthorized version of a “health claim,” or that a particular benefit claim that we make to support the marketing of a cosmetic product is an impermissible drug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cosmetic product, or making certain claims for that product. The FDA could also require us to remove a particular product from the 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spacing w:after="0" w:line="94"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may receive a warning letter from the FDA if it believes some violation of law has occurred either by us or by our independent consultants. Any allegations of our non-compliance may result in time-consuming and expensive defense of our activities. FDA warning letters are available to the public on the FDA’s website. That information could negatively affect our relationships with our customers, investors, independent consultants, vendors, employees,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9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 Our operations also could be harmed if new laws or regulations are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enacted that restrict our ability to market or distribute dietary supplements or impose additional burdens or requirements on dietary supplement companies or require us to reformulate our products.</w:t>
      </w:r>
    </w:p>
    <w:p>
      <w:pPr>
        <w:spacing w:after="0" w:line="115"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In the United States, for example, some legislators and industry critics continue to push for increased regulatory authority by the FDA over dietary supplements and the FTC over the direct selling industry. The FTC may strengthen the regulation of business opportunity claims and direct selling companies, among other things. The FTC has in recent years investigated and taken enforcement action against direct selling companies for misleading representations relating to the earnings potential of an independent consultant within a company’s compensation plan, as well as appropriateness of the compensation plans themselves. Our business could be harmed if more restrictive legislation or regulation is successfully introduced and adopted in the future.</w:t>
      </w:r>
    </w:p>
    <w:p>
      <w:pPr>
        <w:spacing w:after="0" w:line="87" w:lineRule="exact"/>
        <w:rPr>
          <w:sz w:val="20"/>
          <w:szCs w:val="20"/>
          <w:color w:val="auto"/>
        </w:rPr>
      </w:pPr>
    </w:p>
    <w:p>
      <w:pPr>
        <w:ind w:right="360" w:firstLine="255"/>
        <w:spacing w:after="0" w:line="264" w:lineRule="auto"/>
        <w:rPr>
          <w:sz w:val="20"/>
          <w:szCs w:val="20"/>
          <w:color w:val="auto"/>
        </w:rPr>
      </w:pPr>
      <w:r>
        <w:rPr>
          <w:rFonts w:ascii="Times New Roman" w:cs="Times New Roman" w:eastAsia="Times New Roman" w:hAnsi="Times New Roman"/>
          <w:sz w:val="14"/>
          <w:szCs w:val="14"/>
          <w:color w:val="auto"/>
        </w:rPr>
        <w:t>In December 2022, Congress passed the Modernization of Cosmetics Regulation Act, which added significant new requirements for cosmetic products marketed in the United States. For example, we now have to register cosmetic product manufacturing facilities and list all cosmetic products with the FDA, and need to report all “serious adverse events” to the FDA and maintain relevant records. We will need to comply with current GMP regulations and fragrance allergen declaration regulations once the FDA implements those requirements. Complying with these requirements could raise our costs and negatively impact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Regulations governing the production and marketing of our products could harm our business.</w:t>
      </w:r>
    </w:p>
    <w:p>
      <w:pPr>
        <w:spacing w:after="0" w:line="117" w:lineRule="exact"/>
        <w:rPr>
          <w:sz w:val="20"/>
          <w:szCs w:val="20"/>
          <w:color w:val="auto"/>
        </w:rPr>
      </w:pPr>
    </w:p>
    <w:p>
      <w:pPr>
        <w:ind w:right="220" w:firstLine="255"/>
        <w:spacing w:after="0" w:line="259" w:lineRule="auto"/>
        <w:rPr>
          <w:sz w:val="20"/>
          <w:szCs w:val="20"/>
          <w:color w:val="auto"/>
        </w:rPr>
      </w:pPr>
      <w:r>
        <w:rPr>
          <w:rFonts w:ascii="Times New Roman" w:cs="Times New Roman" w:eastAsia="Times New Roman" w:hAnsi="Times New Roman"/>
          <w:sz w:val="14"/>
          <w:szCs w:val="14"/>
          <w:color w:val="auto"/>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consultants, it may lead to a determination that the LifeVantage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products and/or be required to adjust our operations. Our operations also could be harmed if new laws or regulations are enacted that restrict our ability to market or distribute our products or impose additional burdens or requirements on the contents of our products or require us to reformulate our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risk of investigatory and enforcement action.</w:t>
      </w:r>
    </w:p>
    <w:p>
      <w:pPr>
        <w:spacing w:after="0" w:line="127"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We are subject to the risk of investigatory and enforcement action by various government agencies, both domestic and international. For instance, the FTC and state attorneys general may open an investigation or bring an enforcement action against us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In addition, we are subject to the risk of investigatory and enforcement action by other agencies including, but not limited to, the FDA, including warning letters and other sanctions, enforcement actions by the SEC and by other international regulatory agencies. Any investigation may be very expensive to defend and may result in an adverse ruling or in a consent decree.</w:t>
      </w:r>
    </w:p>
    <w:p>
      <w:pPr>
        <w:spacing w:after="0" w:line="81"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6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88"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59"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Various government agencies throughout the world regulate direct selling practices. The laws and regulations applicable to us and our independent consultants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Government agencies,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7" w:name="page38"/>
    <w:bookmarkEnd w:id="37"/>
    <w:p>
      <w:pPr>
        <w:ind w:right="20"/>
        <w:spacing w:after="0" w:line="259" w:lineRule="auto"/>
        <w:rPr>
          <w:sz w:val="20"/>
          <w:szCs w:val="20"/>
          <w:color w:val="auto"/>
        </w:rPr>
      </w:pPr>
      <w:r>
        <w:rPr>
          <w:rFonts w:ascii="Times New Roman" w:cs="Times New Roman" w:eastAsia="Times New Roman" w:hAnsi="Times New Roman"/>
          <w:sz w:val="14"/>
          <w:szCs w:val="14"/>
          <w:color w:val="auto"/>
        </w:rPr>
        <w:t>such as the FTC in the United States and similar agencies in foreign jurisdictions, periodically investigate direct selling companies based on such schemes or other claims made by a direct selling company or its independent consultants. Generally, companies that are the subject of an FTC, or similar foreign agency, enforcement action are required to pay monetary fines and/or make updates or changes to their business model. The laws and regulations in some of our markets impose cancellations, product returns, inventory buy-backs and cooling-off rights for our independent consultants and/or customers. Excessive refunds and/or product returns pursuant to local laws and regulations, including being the target of an enforcement action or investigation by the FTC or a similar foreign agency in a foreign jurisdiction,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condition and results of operations may be adversely affected by international regulatory and business risks.</w:t>
      </w:r>
    </w:p>
    <w:p>
      <w:pPr>
        <w:spacing w:after="0" w:line="12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As a result of our operations, offering products or contracting with independent contractors and other service providers in various other countries, we are increasingly subject to varied and complex foreign and international laws and regulations. Compliance with these laws and regulations often involves significant costs and may require changes in our business practices that may result in reduced revenues and adversely affect our operating results.</w:t>
      </w:r>
    </w:p>
    <w:p>
      <w:pPr>
        <w:spacing w:after="0" w:line="83"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We are subject to the Foreign Corrupt Practices Act, which prohibits companies and their intermediaries from making payments in violation of law to non-U.S. government officials for the purpose of obtaining or retaining business or securing any other improper advantage. Our reliance on independent consultants to market our products internationally demands a high degree of vigilance in maintaining our policy against participation in corrupt activity, because these independent consultants may be deemed to be our agents and we could be held responsible for their actions.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Any violations of these laws, or allegations of such violations, could disrupt our operations, involve significant management distraction, involve significant costs and expenses, including legal fees, and we could be subject to severe penalties, including criminal and civil penalties, disgorgement, and other remedial measures, any of which could result in a material adverse effect on our business, prospects, financial condition, or results of operations.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 Operating internationally requires significant management attention and financial resources. We cannot be certain that the investment and additional resources required to increase international revenues or expand our international presence will produce desired levels of revenues or profitability.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intellectual property rights are valuable, and any inability to protect them could reduce the value of our products and brand.</w:t>
      </w:r>
    </w:p>
    <w:p>
      <w:pPr>
        <w:spacing w:after="0" w:line="127" w:lineRule="exact"/>
        <w:rPr>
          <w:sz w:val="20"/>
          <w:szCs w:val="20"/>
          <w:color w:val="auto"/>
        </w:rPr>
      </w:pPr>
    </w:p>
    <w:p>
      <w:pPr>
        <w:ind w:right="140" w:firstLine="255"/>
        <w:spacing w:after="0" w:line="245" w:lineRule="auto"/>
        <w:rPr>
          <w:sz w:val="20"/>
          <w:szCs w:val="20"/>
          <w:color w:val="auto"/>
        </w:rPr>
      </w:pPr>
      <w:r>
        <w:rPr>
          <w:rFonts w:ascii="Times New Roman" w:cs="Times New Roman" w:eastAsia="Times New Roman" w:hAnsi="Times New Roman"/>
          <w:sz w:val="14"/>
          <w:szCs w:val="14"/>
          <w:color w:val="auto"/>
        </w:rPr>
        <w:t>The loss of our intellectual property rights in our products could permit our competitors to manufacture their own version of our products. For example, the U.S. patents protecting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expired in March 2025, which could permit competitors to manufacture and sell their own version of this product and harm our business. We have attempted to protect our intellectual property rights in our products through a combination of patents, patent applications, trademarks, trade secrets,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10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Moreover, our intellectual property rights are more limited outside of the United States than they are in the United States. As such, we may not be successful in preventing third parties from copying or misappropriating our intellectual property. There also can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consultants,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Third parties might claim that we infringe on their intellectual property rights.</w:t>
      </w:r>
    </w:p>
    <w:p>
      <w:pPr>
        <w:spacing w:after="0" w:line="117"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Although the dietary supplement industry has historically been characterized by products with naturally occurring ingredients, it has become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experience future volatility.</w:t>
      </w:r>
    </w:p>
    <w:p>
      <w:pPr>
        <w:spacing w:after="0" w:line="11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 We cannot predict the effect, if any, of future sales of our common stock, or the availability of our common stock for future sales, on the value of our common stock. Sales of substantial amounts of our common stock by any one or more of our stockholders, or the perception that such sales could occur, may adversely affect the market price of our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Substantial sales of shares of our common stock in the public market may impact the market price of our common stock.</w:t>
      </w:r>
    </w:p>
    <w:p>
      <w:pPr>
        <w:spacing w:after="0" w:line="127"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These sales also might make it more difficult for us to sell equity or equity-related securities in the future at a time and price that we consider appropriate.</w:t>
      </w:r>
    </w:p>
    <w:p>
      <w:pPr>
        <w:spacing w:after="0" w:line="7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Significant additional capital may be required in the future to continue our planned operations. To the extent that we raise additional capital through the sale and issuance of shares or other securities convertible into shares, our stockholders will be diluted.</w:t>
      </w:r>
    </w:p>
    <w:p>
      <w:pPr>
        <w:spacing w:after="0" w:line="88"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6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board of directors authorized a share repurchase program pursuant to which we may repurchase up to $60 million of our common stock on or before December 31, 2026. The manner, timing and amount of any share repurchases may fluctuate and will be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common stock, or reduce our available cash balance such that we will be required to seek financing to support our operations. Our share repurchase program may be modified, suspended, or terminated at any time, which may result in a decrease in the trading prices of our common stock. Even if our share repurchase program is fully implemented, it may not enhance long-term stockholder value. Additionally, repurchases are subject to the 1% Share Repurchase Excise Tax enacted by the Inflation Reduction Act, which may be offset by shares newly issued during that fiscal year (the “Share Repurchase Excise Tax”). We have and will continue to take the Share Repurchase Excise Tax into account with respect to our decisions to repurchase shares.</w:t>
      </w:r>
    </w:p>
    <w:p>
      <w:pPr>
        <w:spacing w:after="0" w:line="83" w:lineRule="exact"/>
        <w:rPr>
          <w:sz w:val="20"/>
          <w:szCs w:val="20"/>
          <w:color w:val="auto"/>
        </w:rPr>
      </w:pPr>
    </w:p>
    <w:p>
      <w:pPr>
        <w:ind w:right="7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Additional shares that may be issued upon the exercise of currently outstanding options or upon future vesting of restricted stock units, would dilute the voting power of our currently outstanding common stock and could cause our stock price to decline.</w:t>
      </w:r>
    </w:p>
    <w:p>
      <w:pPr>
        <w:spacing w:after="0" w:line="6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As of June 30, 2025, we had 12.4 million shares of common stock outstanding. As of June 30, 2025, we also had stock options outstanding for an aggregate of 0.1 million shares of common stock. As of June 30, 2025 we also had time-based and performance restricted stock units outstanding that, at target-level achievement, would result in the issuance of an aggregate 0.9 million shares of common stock, which would further increase the total number of outstanding shares of our common stock.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The issuance of these shares will dilute the voting power of our currently outstanding common stock and could cause our stock price to decline.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maintain compliance with Nasdaq requirements for continued listing, our common stock could be delisted from trading.</w:t>
      </w:r>
    </w:p>
    <w:p>
      <w:pPr>
        <w:spacing w:after="0" w:line="12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If our common stock was delisted from the Nasdaq Stock Market for failure to maintain compliance with its listing requirements, then there can be no assurance whether or when it would be listed again for trading on the Nasdaq or any other exchange. In addition, if our common stock were to be delisted, the market price of our shares would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8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may take advantage of certain scaled disclosures available to us. We cannot be certain if the reduced reporting requirements applicable to smaller reporting companies will make our common stock less attractive to investors.</w:t>
      </w:r>
    </w:p>
    <w:p>
      <w:pPr>
        <w:spacing w:after="0" w:line="59"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We are a “smaller reporting company” as defined in the Exchange Act. As a smaller reporting company, we are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8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will be able to take advantage of these scaled disclosures for so long as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as measured on the last business day of our second fiscal quarter.</w:t>
      </w:r>
    </w:p>
    <w:p>
      <w:pPr>
        <w:spacing w:after="0" w:line="83"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will rely on certain scaled disclosures that are available to smaller reporting companies. If some investors find our common stock less attractive as a result, there may be a less active trading market for our common stock and our stock price may be more volatile.</w:t>
      </w:r>
    </w:p>
    <w:p>
      <w:pPr>
        <w:spacing w:after="0" w:line="59"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69"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amended and restated bylaws, or any action asserting a claim against us that is governed by the internal affairs doctrine. 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91"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Delaware law and provisions in our certificate of incorporation and amended and restated bylaws could make a merger, tender offer or proxy contest difficult, thereby depressing the trading price of our common stock.</w:t>
      </w:r>
    </w:p>
    <w:p>
      <w:pPr>
        <w:spacing w:after="0" w:line="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certificate of incorporation and amended and restated bylaws contain provisions that may make the acquisition of our company more difficult, including the following:</w:t>
      </w:r>
    </w:p>
    <w:p>
      <w:pPr>
        <w:spacing w:after="0" w:line="87" w:lineRule="exact"/>
        <w:rPr>
          <w:sz w:val="20"/>
          <w:szCs w:val="20"/>
          <w:color w:val="auto"/>
        </w:rPr>
      </w:pPr>
    </w:p>
    <w:p>
      <w:pPr>
        <w:ind w:left="520" w:right="2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0" w:name="page41"/>
    <w:bookmarkEnd w:id="40"/>
    <w:p>
      <w:pPr>
        <w:ind w:left="520" w:right="6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to elect a director to fill a vacancy created by the expansion of our board or the resignation, death, or removal of a director, which prevents stockholders from being able to fill vacancies on our board;</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125"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a majority vote of our entire board, the chairman of our board or our chief executive officer, or by stockholders holding at least 10% of the outstanding shares entitled to vote at such special meeting, which could delay the ability of our stockholders to force consideration of a proposal or to take action, including the removal of directors; and</w:t>
      </w:r>
    </w:p>
    <w:p>
      <w:pPr>
        <w:spacing w:after="0" w:line="82" w:lineRule="exact"/>
        <w:rPr>
          <w:rFonts w:ascii="Times New Roman" w:cs="Times New Roman" w:eastAsia="Times New Roman" w:hAnsi="Times New Roman"/>
          <w:sz w:val="14"/>
          <w:szCs w:val="14"/>
          <w:color w:val="auto"/>
        </w:rPr>
      </w:pPr>
    </w:p>
    <w:p>
      <w:pPr>
        <w:ind w:left="520" w:right="60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or to propose matters to be acted upon at a stockholders’ meeting, which may discourage or deter a potential acquiror from conducting a solicitation of proxies to elect the acquirer’s own slate of directors or otherwise attempting to obtain control of us.</w:t>
      </w:r>
    </w:p>
    <w:p>
      <w:pPr>
        <w:spacing w:after="0" w:line="6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8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These and other provisions in our certificate of incorporation, amended and restated bylaws and Delaware law could make it more difficult for stockholders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8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In August 2023, we entered into a Rights Agreement, pursuant to which we declared a dividend of one preferred share purchase right (a “Right”) for each outstanding share of our common stock. The dividend was payable on September 11, 2023 to the stockholders of record at the close of business on September 11, 2023. Each Right initially entitled the registered holder to purchase from the Company one one-thousandth of a share of Series A Junior Participating Preferred Stock, par value $0.0001 per share, of the Company (the “Preferred Stock”) at a price of $20 per one one-thousandth of a share of Preferred Stock, subject to adjustment. Also called a “poison pill,” the Rights Agreement may have the effect of discouraging or preventing a change of control by, among other things, making it uneconomical for a third party to gain control of us through open market accumulation of shares without paying all stockholders an appropriate control premium or without the consent of our board. The Rights expired on August 28,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legal proceedings that are expensive, time-consuming and, if adversely adjudicated or settled, could adversely affect our financial results.</w:t>
      </w:r>
    </w:p>
    <w:p>
      <w:pPr>
        <w:spacing w:after="0" w:line="12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Litigation claims can be expensive and time-consuming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6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From time to time, we are involved in various legal matters, both as a plaintiff and defendant. While we believe the suits against us are without merit, they are costly to defend, and we cannot be assured that we will ultimately prevail. If we do not prevail and are required to pay damages, it could harm our business.</w:t>
      </w:r>
    </w:p>
    <w:p>
      <w:pPr>
        <w:spacing w:after="0" w:line="6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6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As a public company, we are required to maintain internal controls over financial reporting and to report any material weaknesses in such internal controls. Section 404 of the Sarbanes-Oxley Act of 2002 (the “Sarbanes-Oxley Act”) requires, among other things, that we evaluate and determine the effectiveness of our internal controls over financial reporting and provide a management report on the internal controls over financial reporting.</w:t>
      </w:r>
    </w:p>
    <w:p>
      <w:pPr>
        <w:spacing w:after="0" w:line="7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We have implemented internal controls to help ensure the completeness and accuracy of our financial reporting and to detect and prevent fraudulent actions within our financial and accounting processes including the development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1" w:name="page42"/>
    <w:bookmarkEnd w:id="41"/>
    <w:p>
      <w:pPr>
        <w:spacing w:after="0" w:line="257" w:lineRule="auto"/>
        <w:rPr>
          <w:sz w:val="20"/>
          <w:szCs w:val="20"/>
          <w:color w:val="auto"/>
        </w:rPr>
      </w:pPr>
      <w:r>
        <w:rPr>
          <w:rFonts w:ascii="Times New Roman" w:cs="Times New Roman" w:eastAsia="Times New Roman" w:hAnsi="Times New Roman"/>
          <w:sz w:val="14"/>
          <w:szCs w:val="14"/>
          <w:color w:val="auto"/>
        </w:rPr>
        <w:t>implementation of control policies and procedures regarding the international business policies, practices, monitoring, and training for each country outside the U.S. in which we do business. However, we cannot be assured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the Sarbanes-Oxley Act and the rules promulgated thereunder. The existence of a material weakness could result in errors in our financial statements that could result in a restatement of financial statements, cause us to fail to timely meet our reporting obligations, or cause investors to lose confidence in our reported financial information, which could cause a decline in the market price of our stock and we could be subject to sanctions or investigations by the SEC or other regulatory authorities including equivalent foreign authorities. In fiscal year 2025, we did not experience any material weaknesses in our internal control and/or financial reporting processes.</w:t>
      </w:r>
    </w:p>
    <w:p>
      <w:pPr>
        <w:spacing w:after="0" w:line="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12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As a U.S. company doing business in international markets through subsidiaries, we are subject to various tax and intercompany pricing laws, including those relating to the flow of funds between our company and our subsidiaries. Tax authorities may disagree with certain positions that we have taken and assess additional taxes. From time to time, we are audited by tax regulators in the U.S. and in our foreign markets. If regulators challenge our tax positions, corporate structure, transfer pricing mechanisms or intercompany transfers, we may be subject to fines and payment of back taxes, our effective tax rate may increase, and our operations may be harmed. We regularly assess the likely outcomes of these audits in order to determine the appropriateness of our tax positions. However, there can be no assurance that we will accurately predict the outcomes of these audits, and the actual outcomes of these audits could have a material impact on our business, result of operations, financial condition, and cash flows.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political, and other risks associated with our international operations could adversely affect our revenue and international growth prospects.</w:t>
      </w:r>
    </w:p>
    <w:p>
      <w:pPr>
        <w:spacing w:after="0" w:line="11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part of our business strategy, we intend to continue to expand and grow our international presence. Our international operations are subject to a number of risks inherent to operating in foreign countries, and any expansion or growth of our international operations will increase the effects of these risks. These risks include, among others:</w:t>
      </w:r>
    </w:p>
    <w:p>
      <w:pPr>
        <w:spacing w:after="0" w:line="71"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of foreign markets;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governments’ restrictive trade policies;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changes in tax or trade policy, such as the imposition of additional tariffs or duties on imported products;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well-established or reliable legal systems in certain areas in which we operate;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inconsistent product regulation or sudden policy changes by foreign agencies or governments;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or increase in, duties, taxes, government royalties, or non-tariff trade barriers;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collecting international accounts receivable and potentially longer payment cycles;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a foreign government may limit our ability to repatriate cash;</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in maintaining international marketing efforts;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entering international markets with different cultural bases and consumer preferences;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color w:val="auto"/>
        </w:rPr>
        <w:t>Any of these risks could have a material adverse effect on our international operations and our growth strategy.</w:t>
      </w:r>
    </w:p>
    <w:p>
      <w:pPr>
        <w:spacing w:after="0" w:line="113"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including high inflation, tariffs, and other macroeconomic conditions or trends may have an adverse impact on our business, financial results, and prospects.</w:t>
      </w:r>
    </w:p>
    <w:p>
      <w:pPr>
        <w:spacing w:after="0" w:line="69"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Ongoing geopolitical matters have contributed to difficult macroeconomic conditions and exacerbated supply chain issues, resulting in significant economic uncertainty as well as volatility in the financial markets, particularly in the United States. Such conditions may adversely impact our business, financial results, and prospects. We rely on consumer discretionary spending. If general economic conditions continue to deteriorate globally or in specific markets where we operate, including with respect to inflation, consumer discretionary spending may decline and demand for our products may be reduced. A decrease in consumer discretionary spending would cause sales in our products to decline and adversely impact our business. If our costs were to become subject to significant inflationary pressures, including, as a result of, increased tariffs, we may not be able to fully offset such higher costs through increases in revenue as increases in core inflation rates may also affect consumers’ willingness to make discretionary purchases on our products. Our inability or failure to do so could harm our business, financial condition, and results of operations.</w:t>
      </w:r>
    </w:p>
    <w:p>
      <w:pPr>
        <w:spacing w:after="0" w:line="93"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6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To the extent that there are health epidemics or outbreaks, or a resurgence in the COVID-19 pandemic, our operations could be disrupted and our business adversely impacted. Such disruptions or impacts may be similar to those we faced during the COVID-19 pandemic, such as mandated business closures in impacted areas, limitations due to stay at home orders or sickness of employees or their families, reduced demand for certain of our products, or supply constraints.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subject to securities class action litigation.</w:t>
      </w:r>
    </w:p>
    <w:p>
      <w:pPr>
        <w:spacing w:after="0" w:line="127" w:lineRule="exact"/>
        <w:rPr>
          <w:sz w:val="20"/>
          <w:szCs w:val="20"/>
          <w:color w:val="auto"/>
        </w:rPr>
      </w:pPr>
    </w:p>
    <w:p>
      <w:pPr>
        <w:ind w:right="420" w:firstLine="255"/>
        <w:spacing w:after="0" w:line="270"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a company following a decline in the market price of its securities. This risk is especially relevant for us because dietary supplement companies have experienced significant stock price volatility in recent years. If we face such litigation, it could result in substantial costs and a diversion of management’s attention and resources, which could harm our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cease publishing research or publish inaccurate or unfavorable research about our business, our stock price and trading volume could decline.</w:t>
      </w:r>
    </w:p>
    <w:p>
      <w:pPr>
        <w:spacing w:after="0" w:line="12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published by securities or industry analysts about us or our business. Securities and industry analysts currently publish research on our company. If analysts cease coverage of us, the trading price for our common stock could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 CYBERSECURITY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Risk Management and Strategy</w:t>
      </w:r>
    </w:p>
    <w:p>
      <w:pPr>
        <w:spacing w:after="0" w:line="115"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4"/>
          <w:szCs w:val="14"/>
          <w:color w:val="auto"/>
        </w:rPr>
        <w:t>We have implemented and maintain a cybersecurity risk management program through our security steering committee, which is designed to assess risks from cybersecurity threats, monitor our information systems for potential vulnerabilities, and test those systems pursuant to our cybersecurity policies, processes, and practices, which are integrated into our overall risk management program. The members of our security steering committee represent the following functional areas: cybersecurity and infrastructure; corporate risk and privacy; personnel; and finance and fraud management. The security steering committee collaborates with and manages third parties, as appropriate, to assess the effectiveness of our cybersecurity prevention and response systems and processes. These third parties may include cybersecurity assessors, consultants, and other external cybersecurity experts to assist in the identification, verification, and validation of cybersecurity risks, as well as to support associated mitigation plans when necessary. To protect our information systems from cybersecurity threats, we also ask our employees to take periodic cybersecurity training and we use various security tools that are designed to help identify, escalate, investigate, resolve, and recover from security incidents in a timely manner.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3" w:name="page44"/>
    <w:bookmarkEnd w:id="43"/>
    <w:p>
      <w:pPr>
        <w:ind w:firstLine="255"/>
        <w:spacing w:after="0" w:line="261" w:lineRule="auto"/>
        <w:rPr>
          <w:sz w:val="20"/>
          <w:szCs w:val="20"/>
          <w:color w:val="auto"/>
        </w:rPr>
      </w:pPr>
      <w:r>
        <w:rPr>
          <w:rFonts w:ascii="Times New Roman" w:cs="Times New Roman" w:eastAsia="Times New Roman" w:hAnsi="Times New Roman"/>
          <w:sz w:val="14"/>
          <w:szCs w:val="14"/>
          <w:color w:val="auto"/>
        </w:rPr>
        <w:t>We have not identified risks from known cybersecurity threats to the business, including as a result of any prior cybersecurity incidents, that have materially affected or are reasonably likely to materially affect our Company, including our business strategy, results of operations, or financial condition. See our risk factor “</w:t>
      </w:r>
      <w:r>
        <w:rPr>
          <w:rFonts w:ascii="Times New Roman" w:cs="Times New Roman" w:eastAsia="Times New Roman" w:hAnsi="Times New Roman"/>
          <w:sz w:val="14"/>
          <w:szCs w:val="14"/>
          <w:i w:val="1"/>
          <w:iCs w:val="1"/>
          <w:color w:val="auto"/>
        </w:rPr>
        <w:t>We are subject to evolving laws, policies, and contractual obligations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related to data privacy and security, including cybersecurity, and our actual or perceived failure to comply with such obligations or perceived failure to maintain the integrity of our data could expose us to data loss or litigation, harm our reputation, subject us to significant fines and liability, or otherwise affect our business, prospects, financial condition, and operating results.</w:t>
      </w:r>
      <w:r>
        <w:rPr>
          <w:rFonts w:ascii="Times New Roman" w:cs="Times New Roman" w:eastAsia="Times New Roman" w:hAnsi="Times New Roman"/>
          <w:sz w:val="14"/>
          <w:szCs w:val="14"/>
          <w:color w:val="auto"/>
        </w:rPr>
        <w:t>” in Part I, Item 1A.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(“Risk Factors”) for additional details regarding cybersecurity risks and potential impacts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Cybersecurity Governance</w:t>
      </w:r>
    </w:p>
    <w:p>
      <w:pPr>
        <w:spacing w:after="0" w:line="12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Our board is actively involved in the assessment, oversight and management of the material risks that could affect the Company. The board carries out its risk oversight and management responsibilities by monitoring risk directly as a full board and, where appropriate, through its committees. Our board has delegated to the audit committee the oversight responsibility for risks and incidents relating to cybersecurity threats, including compliance with disclosure requirements, cooperation with law enforcement, and related effects on financial and other risks. The audit committee reports any material or notable cybersecurity incidents, findings and recommendations, as appropriate, to the full board for consideration. Our Chief Information and Innovation Officer (“CIIO”) also presents to the audit committee and to the board, as appropriate, any updates, changes, or improvements on the Company’s cybersecurity risk management program.</w:t>
      </w:r>
    </w:p>
    <w:p>
      <w:pPr>
        <w:spacing w:after="0" w:line="90"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Our CIIO, with over 40 years of experience in IT and operational technology security, has the primary responsibility of overseeing our cybersecurity risk management program and assessing and managing any material risks related to cybersecurity threats. Our CIIO supervises efforts to help prevent, detect, mitigate, and remediate cybersecurity risks and incidents through various means, which may include briefings from internal information systems personnel and reports produced by security tools deployed in the technical environment.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Offices</w:t>
      </w:r>
    </w:p>
    <w:p>
      <w:pPr>
        <w:spacing w:after="0" w:line="12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In November 2019, we entered into a lease agreement with Traverse Ridge Center III LLC, a Utah limited liability company, for our new corporate headquarters located at 3300 N. Triumph Blvd., Suite 700, Lehi, Utah 84043. The lease is for approximately 51,674 square feet with a right of first refusal to lease certain additional space in the building when such space becomes available. The term of the lease began on January 1, 2021, and will continue for a period of eleven years.</w:t>
      </w:r>
    </w:p>
    <w:p>
      <w:pPr>
        <w:spacing w:after="0" w:line="72"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In July 2023, our subsidiary, LifeVantage Japan K.K., entered into a lease agreement with Sumitomo Mitsui Trust Bank, Limited, for an office located in the Shinagawa Grand Central Tower in Tokyo, Japan. The lease is for approximately 5,200 square feet and has a lease term from July 1, 2023 through June 30, 2026.</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the facilities under our leases are sufficient to meet our needs for the foreseeable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Warehouse Facilities</w:t>
      </w:r>
    </w:p>
    <w:p>
      <w:pPr>
        <w:spacing w:after="0" w:line="117"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Since fiscal year 2010, Maersk E-Commerce Logistics (formerly Visible Supply Chain Management and IntegraCore, LLC) has provided fulfillment services to us, including services relating to procurement, warehousing, ordering, processing, and shipping. We have also entered into arrangements to receive similar services in each of our international markets.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14 of the Notes to the Consolidated Financial Statements contained within this Annual Report on Form 10-K for a discussion of the company's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15" w:lineRule="exact"/>
        <w:rPr>
          <w:sz w:val="20"/>
          <w:szCs w:val="20"/>
          <w:color w:val="auto"/>
        </w:rPr>
      </w:pPr>
    </w:p>
    <w:p>
      <w:pPr>
        <w:ind w:right="1100"/>
        <w:spacing w:after="0" w:line="420" w:lineRule="auto"/>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 Market Information and Holders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trades on the Nasdaq Capital Market under the symbol “LFVN”.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4" w:name="page45"/>
    <w:bookmarkEnd w:id="44"/>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common stock is issued in registered form and the following information is taken from the records of our current transfer agent, Computershare Trust Company, Inc. As of June 30, 2025, we had 79 stockholders of record and 12.4 million shares of common stock outstanding. This does not include an unknown number of persons who hold shares in street name through brokers and dealers and who are not listed on our stockholder records.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2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We paid quarterly cash dividends of $0.04 per share of common stock to stockholders of record in September 2024, December 2024, and March 2025, and $0.045 per share of common stock to stockholders in June 2025, which were in the aggregate amount of $2.1 million, or $0.165 per share of common stock for the fiscal year ended June 30, 2025. For the fiscal year ended June 30, 2024, we paid a one-time cash dividend of $0.40 per share of common stock to stockholders of record in September 2023, $0.035 per share of common stock to stockholders of record in September 2023, December 2023 and March 2024, and $0.04 per share of common stock to stockholders in June 2024, which were in the aggregate amount of $6.9 million, or $0.545 per share of common stock.</w:t>
      </w:r>
    </w:p>
    <w:p>
      <w:pPr>
        <w:spacing w:after="0" w:line="8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declaration of dividends is subject to the discretion of our board and will depend upon various factors, including our earnings, financial condition, restrictions imposed by any indebtedness that may be outstanding, cash requirements, future prospects and other factors deemed relevant by our board of directors. We currently expect that a comparable cash dividend will be paid each quarter for the foreseeable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w:t>
      </w:r>
    </w:p>
    <w:p>
      <w:pPr>
        <w:spacing w:after="0" w:line="12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On November 27, 2017, our board approved a stock repurchase program. Under this program, we were initially authorized to repurchase up to $15.0 million of the outstanding shares through November 27, 2020. On August 27, 2020, our board approved an amendment to the stock repurchase program to increase the authorized share repurchase amount from $15.0 million to $35.0 million and to extend the duration of the program through November 30, 2023. Further, on February 17, 2022, our board approved an amendment to the stock repurchase program to increase the authorized share repurchase amount from $35.0 million to $60.0 million. On June 13, 2023, our board approved an amendment to the stock repurchase program to extend the duration of the program through December 31, 2026. The stock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stock repurchase program may be suspended or discontinued at any time. During the three months ended June 30, 2025, we repurchased 0.2 million shares of our common stock under the stock repurchase plan.</w:t>
      </w:r>
    </w:p>
    <w:p>
      <w:pPr>
        <w:spacing w:after="0" w:line="93" w:lineRule="exact"/>
        <w:rPr>
          <w:sz w:val="20"/>
          <w:szCs w:val="20"/>
          <w:color w:val="auto"/>
        </w:rPr>
      </w:pPr>
    </w:p>
    <w:p>
      <w:pPr>
        <w:ind w:right="180" w:firstLine="255"/>
        <w:spacing w:after="0" w:line="275" w:lineRule="auto"/>
        <w:rPr>
          <w:sz w:val="20"/>
          <w:szCs w:val="20"/>
          <w:color w:val="auto"/>
        </w:rPr>
      </w:pPr>
      <w:r>
        <w:rPr>
          <w:rFonts w:ascii="Times New Roman" w:cs="Times New Roman" w:eastAsia="Times New Roman" w:hAnsi="Times New Roman"/>
          <w:sz w:val="14"/>
          <w:szCs w:val="14"/>
          <w:color w:val="auto"/>
        </w:rPr>
        <w:t>The following table provides information with respect to all purchases made by the company during the three months ended June 30, 2025. All purchases listed below were made at prevailing market prices.</w:t>
      </w:r>
    </w:p>
    <w:p>
      <w:pPr>
        <w:sectPr>
          <w:pgSz w:w="11900" w:h="16838" w:orient="portrait"/>
          <w:cols w:equalWidth="0" w:num="1">
            <w:col w:w="11240"/>
          </w:cols>
          <w:pgMar w:left="300" w:top="846" w:right="359" w:bottom="1440" w:gutter="0" w:footer="0" w:header="0"/>
        </w:sectPr>
      </w:pPr>
    </w:p>
    <w:p>
      <w:pPr>
        <w:spacing w:after="0" w:line="287"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1 - April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May 1 - May 31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June 1 - June 30</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 Number of Shares</w:t>
      </w:r>
    </w:p>
    <w:p>
      <w:pPr>
        <w:spacing w:after="0" w:line="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99,653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59,900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12700</wp:posOffset>
            </wp:positionV>
            <wp:extent cx="12801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0160" cy="698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14605</wp:posOffset>
            </wp:positionV>
            <wp:extent cx="128016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0160" cy="698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34925</wp:posOffset>
            </wp:positionV>
            <wp:extent cx="128016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01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80" w:type="dxa"/>
            <w:vAlign w:val="bottom"/>
          </w:tcPr>
          <w:p>
            <w:pPr>
              <w:spacing w:after="0"/>
              <w:rPr>
                <w:sz w:val="12"/>
                <w:szCs w:val="12"/>
                <w:color w:val="auto"/>
              </w:rPr>
            </w:pPr>
          </w:p>
        </w:tc>
        <w:tc>
          <w:tcPr>
            <w:tcW w:w="20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Maximum Dollar Value of Shares</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0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Purchased as Part of the Publicly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right"/>
              <w:ind w:right="129"/>
              <w:spacing w:after="0" w:line="138"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ind w:right="9"/>
              <w:spacing w:after="0" w:line="191" w:lineRule="exact"/>
              <w:rPr>
                <w:sz w:val="20"/>
                <w:szCs w:val="20"/>
                <w:color w:val="auto"/>
              </w:rPr>
            </w:pPr>
            <w:r>
              <w:rPr>
                <w:rFonts w:ascii="Times New Roman" w:cs="Times New Roman" w:eastAsia="Times New Roman" w:hAnsi="Times New Roman"/>
                <w:sz w:val="14"/>
                <w:szCs w:val="14"/>
                <w:b w:val="1"/>
                <w:bCs w:val="1"/>
                <w:color w:val="auto"/>
                <w:w w:val="97"/>
              </w:rPr>
              <w:t>Under the Plans or Programs</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167"/>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19,307,478</w:t>
            </w:r>
          </w:p>
        </w:tc>
        <w:tc>
          <w:tcPr>
            <w:tcW w:w="0" w:type="dxa"/>
            <w:vAlign w:val="bottom"/>
          </w:tcPr>
          <w:p>
            <w:pPr>
              <w:spacing w:after="0"/>
              <w:rPr>
                <w:sz w:val="1"/>
                <w:szCs w:val="1"/>
                <w:color w:val="auto"/>
              </w:rPr>
            </w:pPr>
          </w:p>
        </w:tc>
      </w:tr>
      <w:tr>
        <w:trPr>
          <w:trHeight w:val="180"/>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99,653</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18,034,641</w:t>
            </w:r>
          </w:p>
        </w:tc>
        <w:tc>
          <w:tcPr>
            <w:tcW w:w="0" w:type="dxa"/>
            <w:vAlign w:val="bottom"/>
          </w:tcPr>
          <w:p>
            <w:pPr>
              <w:spacing w:after="0"/>
              <w:rPr>
                <w:sz w:val="1"/>
                <w:szCs w:val="1"/>
                <w:color w:val="auto"/>
              </w:rPr>
            </w:pPr>
          </w:p>
        </w:tc>
      </w:tr>
      <w:tr>
        <w:trPr>
          <w:trHeight w:val="184"/>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17,274,386</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159,553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-262255</wp:posOffset>
            </wp:positionV>
            <wp:extent cx="709422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4220" cy="11430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-497840</wp:posOffset>
            </wp:positionV>
            <wp:extent cx="7094220" cy="12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4220" cy="12128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3">
            <w:col w:w="2340" w:space="720"/>
            <w:col w:w="1680" w:space="140"/>
            <w:col w:w="6360"/>
          </w:cols>
          <w:pgMar w:left="300" w:top="846" w:right="359" w:bottom="1440" w:gutter="0" w:footer="0" w:header="0"/>
          <w:type w:val="continuous"/>
        </w:sectPr>
      </w:pPr>
    </w:p>
    <w:p>
      <w:pPr>
        <w:ind w:right="100" w:firstLine="260"/>
        <w:spacing w:after="0" w:line="301" w:lineRule="auto"/>
        <w:tabs>
          <w:tab w:leader="none" w:pos="397"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On November 27, 2017, our board approved a stock repurchase program. Under this program, we were initially authorized to repurchase up to $15.0 million of the outstanding shares through November 27, 2020. On August 27, 2020, our board approved an amendment to the stock repurchase program to increase the authorized share repurchase amount from $15.0 million to $35.0 million and to extend the duration of the program through November 30, 2023. Further, on February 17, 2022, our board approved an amendment to the stock repurchase program to increase the authorized share repurchase amount from $35.0 million to $60.0 million. On June 13, 2023, our board approved an amendment to the stock repurchase program to extend the duration of the program through December 31,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 of Unregistered Securities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type w:val="continuous"/>
        </w:sectPr>
      </w:pPr>
    </w:p>
    <w:bookmarkStart w:id="45" w:name="page46"/>
    <w:bookmarkEnd w:id="45"/>
    <w:p>
      <w:pPr>
        <w:ind w:left="260"/>
        <w:spacing w:after="0"/>
        <w:rPr>
          <w:sz w:val="20"/>
          <w:szCs w:val="20"/>
          <w:color w:val="auto"/>
        </w:rPr>
      </w:pPr>
      <w:r>
        <w:rPr>
          <w:rFonts w:ascii="Times New Roman" w:cs="Times New Roman" w:eastAsia="Times New Roman" w:hAnsi="Times New Roman"/>
          <w:sz w:val="14"/>
          <w:szCs w:val="14"/>
          <w:color w:val="auto"/>
        </w:rPr>
        <w:t>This information is incorporated by reference to Part III, Item 12 of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 [RESERVED]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 MANAGEMENT’S DISCUSSION AND ANALYSIS OF FINANCIAL CONDITION AND RESULTS OF OPERATIONS</w:t>
      </w:r>
    </w:p>
    <w:p>
      <w:pPr>
        <w:spacing w:after="0" w:line="125"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consolidated financial statements and related notes, which are included in this Annual Report on Form 10-K.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engage in the identification, research, development, formulation and sale of advanced nutrigenomic activators, dietary supplements, weight management products, pre- and pro-biotics, skin and hair care products, and nootropics. We currently sell our products to customers and independent consultants in two geographic regions that we have classified as the Americas region and the Asia/Pacific and Europe region.</w:t>
      </w:r>
    </w:p>
    <w:p>
      <w:pPr>
        <w:spacing w:after="0" w:line="90"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spacing w:after="0" w:line="61" w:lineRule="exact"/>
        <w:rPr>
          <w:sz w:val="20"/>
          <w:szCs w:val="20"/>
          <w:color w:val="auto"/>
        </w:rPr>
      </w:pPr>
    </w:p>
    <w:p>
      <w:pPr>
        <w:jc w:val="both"/>
        <w:ind w:left="520" w:right="180" w:hanging="260"/>
        <w:spacing w:after="0" w:line="22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including our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scientifically validated dietary supplements, our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dietary supplements that include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D3+, and Daily Wellness, our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Fat Burn and Prebiotic dietary supplements, 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skin and hair care products and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w:t>
      </w:r>
    </w:p>
    <w:p>
      <w:pPr>
        <w:spacing w:after="0" w:line="3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compensation plan and other sales initiatives and incentives;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delivery of superior customer service.</w:t>
      </w:r>
    </w:p>
    <w:p>
      <w:pPr>
        <w:spacing w:after="0" w:line="11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and Singapore.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 On June 30, 2025, we ceased operations in the Philippines and closed that market.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114" w:lineRule="exact"/>
        <w:rPr>
          <w:sz w:val="20"/>
          <w:szCs w:val="20"/>
          <w:color w:val="auto"/>
        </w:rPr>
      </w:pPr>
    </w:p>
    <w:p>
      <w:pPr>
        <w:ind w:right="20" w:firstLine="255"/>
        <w:spacing w:after="0" w:line="200" w:lineRule="auto"/>
        <w:rPr>
          <w:sz w:val="20"/>
          <w:szCs w:val="20"/>
          <w:color w:val="auto"/>
        </w:rPr>
      </w:pPr>
      <w:r>
        <w:rPr>
          <w:rFonts w:ascii="Times New Roman" w:cs="Times New Roman" w:eastAsia="Times New Roman" w:hAnsi="Times New Roman"/>
          <w:sz w:val="14"/>
          <w:szCs w:val="14"/>
          <w:color w:val="auto"/>
        </w:rPr>
        <w:t>Our products are: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scientifically validated dietary supplements; the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dietary supplements that include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D3+, and Daily Wellness; our PhysIQ Fat Burn and Prebiotic dietary supplements; the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skin and hair care products and Liquid Collagen; our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nootropic energy drink mixes. We believe the significant number of customers who regularly and repeatedly purchase our products is a strong indicator of the health benefits of our products.</w:t>
      </w:r>
    </w:p>
    <w:p>
      <w:pPr>
        <w:spacing w:after="0" w:line="102" w:lineRule="exact"/>
        <w:rPr>
          <w:sz w:val="20"/>
          <w:szCs w:val="20"/>
          <w:color w:val="auto"/>
        </w:rPr>
      </w:pPr>
    </w:p>
    <w:p>
      <w:pPr>
        <w:ind w:right="60" w:firstLine="255"/>
        <w:spacing w:after="0" w:line="220" w:lineRule="auto"/>
        <w:rPr>
          <w:sz w:val="20"/>
          <w:szCs w:val="20"/>
          <w:color w:val="auto"/>
        </w:rPr>
      </w:pPr>
      <w:r>
        <w:rPr>
          <w:rFonts w:ascii="Times New Roman" w:cs="Times New Roman" w:eastAsia="Times New Roman" w:hAnsi="Times New Roman"/>
          <w:sz w:val="14"/>
          <w:szCs w:val="14"/>
          <w:color w:val="auto"/>
        </w:rPr>
        <w:t>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includes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NRF1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NAD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together, marketed as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has been shown to produce synergistic benefits greater than using the single products on their own.</w:t>
      </w:r>
    </w:p>
    <w:p>
      <w:pPr>
        <w:spacing w:after="0" w:line="103" w:lineRule="exact"/>
        <w:rPr>
          <w:sz w:val="20"/>
          <w:szCs w:val="20"/>
          <w:color w:val="auto"/>
        </w:rPr>
      </w:pPr>
    </w:p>
    <w:p>
      <w:pPr>
        <w:ind w:right="220" w:firstLine="255"/>
        <w:spacing w:after="0" w:line="232" w:lineRule="auto"/>
        <w:rPr>
          <w:sz w:val="20"/>
          <w:szCs w:val="20"/>
          <w:color w:val="auto"/>
        </w:rPr>
      </w:pPr>
      <w:r>
        <w:rPr>
          <w:rFonts w:ascii="Times New Roman" w:cs="Times New Roman" w:eastAsia="Times New Roman" w:hAnsi="Times New Roman"/>
          <w:sz w:val="14"/>
          <w:szCs w:val="14"/>
          <w:color w:val="auto"/>
        </w:rPr>
        <w:t>The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 includes: the new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dietary supplement that combines two products MB 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MB Enhance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designed to support weight loss and wellness by activating GLP-1 naturally and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6" w:name="page47"/>
    <w:bookmarkEnd w:id="46"/>
    <w:p>
      <w:pPr>
        <w:ind w:right="120"/>
        <w:spacing w:after="0" w:line="230" w:lineRule="auto"/>
        <w:rPr>
          <w:sz w:val="20"/>
          <w:szCs w:val="20"/>
          <w:color w:val="auto"/>
        </w:rPr>
      </w:pPr>
      <w:r>
        <w:rPr>
          <w:rFonts w:ascii="Times New Roman" w:cs="Times New Roman" w:eastAsia="Times New Roman" w:hAnsi="Times New Roman"/>
          <w:sz w:val="14"/>
          <w:szCs w:val="14"/>
          <w:color w:val="auto"/>
        </w:rPr>
        <w:t>balancing signals along the gut-brain axis; Omega+, a dietary supplement that combines DHA and EPA Omega-3 fatty acids, omega-7 fatty acids, and vitamin D3 to support cognitive health, cardiovascular health, skin health, and the immune system; ProBio, a dietary supplement designed to support optimal digestion and immune system function; Daily Wellness, a dietary supplement designed to support immune health.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dietary supplement to help support eye and brain health, reduce eye fatigue and strain, support cognitive functions, and may help support normal sleep patterns;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dietary supplement that uses Timewise Nutrient Delivery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provide the body with the right nutrients in the right amounts at the right time and D3+, a dietary supplement that provides vitamin D3, vitamin K2, magnesium, calcium, and other trace minerals to support a balanced immune system, strong bones, and cardiovascular health.</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Fat Burn is a dietary supplement designed to support weight management, and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Prebiotic is a dietary supplement designed to support a healthy digestive tract.</w:t>
      </w:r>
    </w:p>
    <w:p>
      <w:pPr>
        <w:spacing w:after="0" w:line="77" w:lineRule="exact"/>
        <w:rPr>
          <w:sz w:val="20"/>
          <w:szCs w:val="20"/>
          <w:color w:val="auto"/>
        </w:rPr>
      </w:pPr>
    </w:p>
    <w:p>
      <w:pPr>
        <w:ind w:firstLine="255"/>
        <w:spacing w:after="0" w:line="201" w:lineRule="auto"/>
        <w:rPr>
          <w:sz w:val="20"/>
          <w:szCs w:val="20"/>
          <w:color w:val="auto"/>
        </w:rPr>
      </w:pPr>
      <w:r>
        <w:rPr>
          <w:rFonts w:ascii="Times New Roman" w:cs="Times New Roman" w:eastAsia="Times New Roman" w:hAnsi="Times New Roman"/>
          <w:sz w:val="14"/>
          <w:szCs w:val="14"/>
          <w:color w:val="auto"/>
        </w:rPr>
        <w:t>Our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skin and hair care products includes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TrueClean Refining Cleanser,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TrueRenew Daily Firming Complex,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TrueLift Illuminating Eye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TrueHydrate Brightening Moisturizer,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TrueTone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TrueProtect Daily Mineral Sunstick SPF 30,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Perfecting Lotion,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Hand Cream,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Invigorating Shampoo,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Nourishing Conditioner,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Scalp Serum,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activates, replenishes, and maintains collagen to support firmness and elasticity from within.</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a supplement specially formulated to combat oxidative stress in dogs through Nrf2 activation.</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our line of our nootropic energy drink mixes formulated to promote alertness and support mental performance.</w:t>
      </w:r>
    </w:p>
    <w:p>
      <w:pPr>
        <w:spacing w:after="0" w:line="79" w:lineRule="exact"/>
        <w:rPr>
          <w:sz w:val="20"/>
          <w:szCs w:val="20"/>
          <w:color w:val="auto"/>
        </w:rPr>
      </w:pPr>
    </w:p>
    <w:p>
      <w:pPr>
        <w:ind w:right="60" w:firstLine="255"/>
        <w:spacing w:after="0" w:line="230" w:lineRule="auto"/>
        <w:rPr>
          <w:sz w:val="20"/>
          <w:szCs w:val="20"/>
          <w:color w:val="auto"/>
        </w:rPr>
      </w:pPr>
      <w:r>
        <w:rPr>
          <w:rFonts w:ascii="Times New Roman" w:cs="Times New Roman" w:eastAsia="Times New Roman" w:hAnsi="Times New Roman"/>
          <w:sz w:val="14"/>
          <w:szCs w:val="14"/>
          <w:color w:val="auto"/>
        </w:rPr>
        <w:t>We sell our products both individually and in stacks. A stack consists of multiple products bundled together that are designed to achieve a specific result. In fiscal year 2025, our stack strategy continued to focus on the brand message of activation. During the year, we introduced a number of new stacks to meet customer and independent consultant needs. Prior to the launch of our latest activator,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 we introduced the Kickstart Bundle, which features a selection of products (varies by market) to help prepare the body for GLP-1 activation. Additionally, several stacks were introduced that incorporated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 offer consumers support for weight management and wellness along with delivering other targeted benefits as part of their activated lifestyle.</w:t>
      </w:r>
    </w:p>
    <w:p>
      <w:pPr>
        <w:spacing w:after="0" w:line="103" w:lineRule="exact"/>
        <w:rPr>
          <w:sz w:val="20"/>
          <w:szCs w:val="20"/>
          <w:color w:val="auto"/>
        </w:rPr>
      </w:pPr>
    </w:p>
    <w:p>
      <w:pPr>
        <w:ind w:firstLine="255"/>
        <w:spacing w:after="0" w:line="238" w:lineRule="auto"/>
        <w:rPr>
          <w:sz w:val="20"/>
          <w:szCs w:val="20"/>
          <w:color w:val="auto"/>
        </w:rPr>
      </w:pPr>
      <w:r>
        <w:rPr>
          <w:rFonts w:ascii="Times New Roman" w:cs="Times New Roman" w:eastAsia="Times New Roman" w:hAnsi="Times New Roman"/>
          <w:sz w:val="14"/>
          <w:szCs w:val="14"/>
          <w:color w:val="auto"/>
        </w:rPr>
        <w:t>We also introduced our Healthy Weight Stack, which includes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Results of an in vitro study were released that showed beneficial “activation synergies” when both products were used together, including enhanced fatty acid metabolism, improved defense against oxidative stress, and activation of 22 new genes that help cells make what they need to support organ strength, structure, and signaling.</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continue to offer other popular stacks with products that complement one another with inner activation power for internal benefits that can be felt, external benefits that can be seen, or both.</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shows revenue by major product line for the fiscal years ended June 30, 2025 and 2024.</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489"/>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71"/>
        </w:trPr>
        <w:tc>
          <w:tcPr>
            <w:tcW w:w="43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104,135</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r>
      <w:tr>
        <w:trPr>
          <w:trHeight w:val="180"/>
        </w:trPr>
        <w:tc>
          <w:tcPr>
            <w:tcW w:w="43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15,675</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80"/>
        </w:trPr>
        <w:tc>
          <w:tcPr>
            <w:tcW w:w="4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56,252</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28.1 %</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24,102</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12.1 %</w:t>
            </w: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360" w:firstLine="255"/>
        <w:spacing w:after="0" w:line="244" w:lineRule="auto"/>
        <w:rPr>
          <w:sz w:val="20"/>
          <w:szCs w:val="20"/>
          <w:color w:val="auto"/>
        </w:rPr>
      </w:pPr>
      <w:r>
        <w:rPr>
          <w:rFonts w:ascii="Times New Roman" w:cs="Times New Roman" w:eastAsia="Times New Roman" w:hAnsi="Times New Roman"/>
          <w:sz w:val="14"/>
          <w:szCs w:val="14"/>
          <w:color w:val="auto"/>
        </w:rPr>
        <w:t>Our revenue for the fiscal year ended June 30, 2025 is largely attributed to three product lines,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On a combined basis, these three product lines represent approximately 87.6% of our total net revenue for the fiscal year ended June 30, 2025. Our revenue for the fiscal year ended June 30, 2024 was largely attributed to two product lines,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on a combined basis, represented approximately 80.1% of our total net revenue for that fiscal year.</w:t>
      </w:r>
    </w:p>
    <w:p>
      <w:pPr>
        <w:spacing w:after="0" w:line="44"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We currently have additional products in development. Any delays or difficulties in introducing compelling products or attractive initiatives or tools into our markets may have a negative impact on our revenue and our ability to attract new independent consultants and customers.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Accounts</w:t>
      </w:r>
    </w:p>
    <w:p>
      <w:pPr>
        <w:spacing w:after="0" w:line="117"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are typically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spacing w:after="0" w:line="8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following tables summarize the changes in our active accounts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9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5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Change from Prior</w:t>
            </w:r>
          </w:p>
        </w:tc>
        <w:tc>
          <w:tcPr>
            <w:tcW w:w="80" w:type="dxa"/>
            <w:vAlign w:val="bottom"/>
          </w:tcPr>
          <w:p>
            <w:pPr>
              <w:spacing w:after="0"/>
              <w:rPr>
                <w:sz w:val="8"/>
                <w:szCs w:val="8"/>
                <w:color w:val="auto"/>
              </w:rPr>
            </w:pPr>
          </w:p>
        </w:tc>
        <w:tc>
          <w:tcPr>
            <w:tcW w:w="120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Percent Change</w:t>
            </w:r>
          </w:p>
        </w:tc>
        <w:tc>
          <w:tcPr>
            <w:tcW w:w="0" w:type="dxa"/>
            <w:vAlign w:val="bottom"/>
          </w:tcPr>
          <w:p>
            <w:pPr>
              <w:spacing w:after="0"/>
              <w:rPr>
                <w:sz w:val="1"/>
                <w:szCs w:val="1"/>
                <w:color w:val="auto"/>
              </w:rPr>
            </w:pPr>
          </w:p>
        </w:tc>
      </w:tr>
      <w:tr>
        <w:trPr>
          <w:trHeight w:val="154"/>
        </w:trPr>
        <w:tc>
          <w:tcPr>
            <w:tcW w:w="39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Active Independent Consultants</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63.3 %</w:t>
            </w:r>
          </w:p>
        </w:tc>
        <w:tc>
          <w:tcPr>
            <w:tcW w:w="100" w:type="dxa"/>
            <w:vAlign w:val="bottom"/>
          </w:tcPr>
          <w:p>
            <w:pPr>
              <w:spacing w:after="0"/>
              <w:rPr>
                <w:sz w:val="15"/>
                <w:szCs w:val="15"/>
                <w:color w:val="auto"/>
              </w:rPr>
            </w:pPr>
          </w:p>
        </w:tc>
        <w:tc>
          <w:tcPr>
            <w:tcW w:w="1080" w:type="dxa"/>
            <w:vAlign w:val="bottom"/>
          </w:tcPr>
          <w:p>
            <w:pPr>
              <w:jc w:val="center"/>
              <w:ind w:left="572"/>
              <w:spacing w:after="0"/>
              <w:rPr>
                <w:sz w:val="20"/>
                <w:szCs w:val="20"/>
                <w:color w:val="auto"/>
              </w:rPr>
            </w:pPr>
            <w:r>
              <w:rPr>
                <w:rFonts w:ascii="Times New Roman" w:cs="Times New Roman" w:eastAsia="Times New Roman" w:hAnsi="Times New Roman"/>
                <w:sz w:val="14"/>
                <w:szCs w:val="14"/>
                <w:color w:val="auto"/>
              </w:rPr>
              <w:t>3,000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36.7 %</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4"/>
                <w:szCs w:val="14"/>
                <w:color w:val="auto"/>
              </w:rPr>
              <w:t>(1,000)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Active Independent Consultants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ind w:left="572"/>
              <w:spacing w:after="0"/>
              <w:rPr>
                <w:sz w:val="20"/>
                <w:szCs w:val="20"/>
                <w:color w:val="auto"/>
              </w:rPr>
            </w:pPr>
            <w:r>
              <w:rPr>
                <w:rFonts w:ascii="Times New Roman" w:cs="Times New Roman" w:eastAsia="Times New Roman" w:hAnsi="Times New Roman"/>
                <w:sz w:val="14"/>
                <w:szCs w:val="14"/>
                <w:color w:val="auto"/>
              </w:rPr>
              <w:t>2,000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Active Customers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4"/>
                <w:szCs w:val="14"/>
                <w:color w:val="auto"/>
              </w:rPr>
              <w:t>3,000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4"/>
                <w:szCs w:val="14"/>
                <w:color w:val="auto"/>
              </w:rPr>
              <w:t>(1,000)</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Active Customers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left="572"/>
              <w:spacing w:after="0"/>
              <w:rPr>
                <w:sz w:val="20"/>
                <w:szCs w:val="20"/>
                <w:color w:val="auto"/>
              </w:rPr>
            </w:pPr>
            <w:r>
              <w:rPr>
                <w:rFonts w:ascii="Times New Roman" w:cs="Times New Roman" w:eastAsia="Times New Roman" w:hAnsi="Times New Roman"/>
                <w:sz w:val="14"/>
                <w:szCs w:val="14"/>
                <w:color w:val="auto"/>
              </w:rPr>
              <w:t>2,000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Active Accounts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Americas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00" w:type="dxa"/>
            <w:vAlign w:val="bottom"/>
          </w:tcPr>
          <w:p>
            <w:pPr>
              <w:spacing w:after="0"/>
              <w:rPr>
                <w:sz w:val="15"/>
                <w:szCs w:val="15"/>
                <w:color w:val="auto"/>
              </w:rPr>
            </w:pPr>
          </w:p>
        </w:tc>
        <w:tc>
          <w:tcPr>
            <w:tcW w:w="1080" w:type="dxa"/>
            <w:vAlign w:val="bottom"/>
          </w:tcPr>
          <w:p>
            <w:pPr>
              <w:jc w:val="center"/>
              <w:ind w:left="572"/>
              <w:spacing w:after="0"/>
              <w:rPr>
                <w:sz w:val="20"/>
                <w:szCs w:val="20"/>
                <w:color w:val="auto"/>
              </w:rPr>
            </w:pPr>
            <w:r>
              <w:rPr>
                <w:rFonts w:ascii="Times New Roman" w:cs="Times New Roman" w:eastAsia="Times New Roman" w:hAnsi="Times New Roman"/>
                <w:sz w:val="14"/>
                <w:szCs w:val="14"/>
                <w:color w:val="auto"/>
              </w:rPr>
              <w:t>6,000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4"/>
                <w:szCs w:val="14"/>
                <w:color w:val="auto"/>
              </w:rPr>
              <w:t>(2,000)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Active Accounts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ind w:left="572"/>
              <w:spacing w:after="0"/>
              <w:rPr>
                <w:sz w:val="20"/>
                <w:szCs w:val="20"/>
                <w:color w:val="auto"/>
              </w:rPr>
            </w:pPr>
            <w:r>
              <w:rPr>
                <w:rFonts w:ascii="Times New Roman" w:cs="Times New Roman" w:eastAsia="Times New Roman" w:hAnsi="Times New Roman"/>
                <w:sz w:val="14"/>
                <w:szCs w:val="14"/>
                <w:color w:val="auto"/>
              </w:rPr>
              <w:t>4,000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Statement Presentation</w:t>
      </w:r>
    </w:p>
    <w:p>
      <w:pPr>
        <w:spacing w:after="0" w:line="127" w:lineRule="exact"/>
        <w:rPr>
          <w:sz w:val="20"/>
          <w:szCs w:val="20"/>
          <w:color w:val="auto"/>
        </w:rPr>
      </w:pPr>
    </w:p>
    <w:p>
      <w:pPr>
        <w:ind w:right="20" w:firstLine="255"/>
        <w:spacing w:after="0" w:line="263" w:lineRule="auto"/>
        <w:rPr>
          <w:sz w:val="20"/>
          <w:szCs w:val="20"/>
          <w:color w:val="auto"/>
        </w:rPr>
      </w:pPr>
      <w:r>
        <w:rPr>
          <w:rFonts w:ascii="Times New Roman" w:cs="Times New Roman" w:eastAsia="Times New Roman" w:hAnsi="Times New Roman"/>
          <w:sz w:val="14"/>
          <w:szCs w:val="14"/>
          <w:color w:val="auto"/>
        </w:rPr>
        <w:t>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For the fiscal years ended June 30,</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54"/>
        </w:trPr>
        <w:tc>
          <w:tcPr>
            <w:tcW w:w="43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7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185,723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152,907</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76.4 %</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Asia/Pacific &amp; Europe</w:t>
            </w: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47,257</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23.6 %</w:t>
            </w: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Cost of sales primarily consists of costs of products purchased from and manufactured by third-party vendors, shipping and order fulfillment costs, costs of adjustments to inventory carrying value, and costs of marketing materials which we sell to our independent consultant sales force, as well as freight, duties and taxes associated with the import and export of our products. As our international revenue increases as a percentage of total revenue, cost of sales as a percentage of revenue likely will increase as a result of additional duties, freight, and other factors, such as changes in currency exchange rates.</w:t>
      </w:r>
    </w:p>
    <w:p>
      <w:pPr>
        <w:spacing w:after="0" w:line="87"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Commissions and incentives expenses are our most significant expenses and are classified as operating expenses. Commissions and incentives expenses include sales commissions paid to our independent consultants, special incentives and costs for incentive trips and other rewards. Commissions and incentives expenses do not include any amounts we pay to our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8" w:name="page49"/>
    <w:bookmarkEnd w:id="48"/>
    <w:p>
      <w:pPr>
        <w:ind w:right="40"/>
        <w:spacing w:after="0" w:line="256" w:lineRule="auto"/>
        <w:rPr>
          <w:sz w:val="20"/>
          <w:szCs w:val="20"/>
          <w:color w:val="auto"/>
        </w:rPr>
      </w:pPr>
      <w:r>
        <w:rPr>
          <w:rFonts w:ascii="Times New Roman" w:cs="Times New Roman" w:eastAsia="Times New Roman" w:hAnsi="Times New Roman"/>
          <w:sz w:val="14"/>
          <w:szCs w:val="14"/>
          <w:color w:val="auto"/>
        </w:rPr>
        <w:t>independent consultants related to their personal purchases. Commissions paid to independent consultants on personal purchases are considered a sales discount and are reported as a reduction to net revenue. Our sales compensation plan is an important factor in our ability to attract and retain our independent consultants. Under our sales compensation plan, independent consultants can earn commissions for product sales to their customers as well as the product sales made through the sales networks they have developed and trained. We do not pay commissions on marketing materials that are sold to our independent consultants. Commissions and incentives expenses, as a percentage of net revenue, may be impacted by the timing and magnitude of non-commissionable revenue derived from the sales of marketing materials, event tickets, and promotional items, investment in our red-carpet program, limited-time offers and the timing, magnitude and number of incentive trips and other promotional activities. From time to time, we make modifications and enhancements to our sales compensation plan in an effort to help motivate our sales force and develop leadership characteristics, which can have an impact on commissions and incentives expenses. In fiscal year 2023, we introduced our new compensation plan, called the Evolve Compensation Plan, in four markets – the United States, Japan, Australia, and New Zealand. In fiscal year 2024, we introduced the Evolve Compensation Plan to Canada, Mexico, and Europe. In fiscal year 2025, we introduced an optimized version of the Evolve Compensation Plan to the United States, Japan, Australia, New Zealand, Canada, Mexico, and Europe and introduced the Evolve Compensation Plan in other markets, including Taiwan, Hong Kong, and Singapore.</w:t>
      </w:r>
    </w:p>
    <w:p>
      <w:pPr>
        <w:spacing w:after="0" w:line="8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consultant conventions and events held in various markets worldwide, which we expense in the period in which they are incurred. For the fiscal year ended June 30, 2024 marketing and event costs also included expenses associated with our sponsorship of the Major League Soccer team, Real Salt Lake. Our agreement with Real Salt Lake ended in December 2023.</w:t>
      </w:r>
    </w:p>
    <w:p>
      <w:pPr>
        <w:spacing w:after="0" w:line="90"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consultants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17"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For the fiscal years ended June 30, 2025 and 2024, we generated net revenue of $228.5 million and $200.2 million, respectively, recognized operating income of $12.2 million and $4.3 million, respectively, and recognized net income of $9.8 million and $2.9 million, respectively.</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consolidated earnings data as a percentage of net revenue for the years indicated:</w:t>
      </w:r>
    </w:p>
    <w:p>
      <w:pPr>
        <w:spacing w:after="0" w:line="15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For the fiscal years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Borders>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1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5"/>
                <w:szCs w:val="15"/>
                <w:color w:val="auto"/>
              </w:rPr>
            </w:pPr>
          </w:p>
        </w:tc>
        <w:tc>
          <w:tcPr>
            <w:tcW w:w="2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4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Commissions and incentives</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5"/>
                <w:szCs w:val="15"/>
                <w:color w:val="auto"/>
              </w:rPr>
            </w:pPr>
          </w:p>
        </w:tc>
        <w:tc>
          <w:tcPr>
            <w:tcW w:w="2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1400" w:type="dxa"/>
            <w:vAlign w:val="bottom"/>
          </w:tcPr>
          <w:p>
            <w:pPr>
              <w:spacing w:after="0"/>
              <w:rPr>
                <w:sz w:val="14"/>
                <w:szCs w:val="14"/>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4"/>
                <w:szCs w:val="14"/>
                <w:color w:val="auto"/>
              </w:rPr>
            </w:pPr>
          </w:p>
        </w:tc>
        <w:tc>
          <w:tcPr>
            <w:tcW w:w="2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Interest income, net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expense, net</w:t>
            </w:r>
          </w:p>
        </w:tc>
        <w:tc>
          <w:tcPr>
            <w:tcW w:w="7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other expense</w:t>
            </w:r>
          </w:p>
        </w:tc>
        <w:tc>
          <w:tcPr>
            <w:tcW w:w="14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1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4"/>
                <w:szCs w:val="14"/>
                <w:color w:val="auto"/>
              </w:rPr>
            </w:pPr>
          </w:p>
        </w:tc>
        <w:tc>
          <w:tcPr>
            <w:tcW w:w="2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49</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69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9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auto"/>
        </w:rPr>
        <w:t>Comparison of Fiscal Years Ended June 30, 2025 and 2024</w:t>
      </w:r>
    </w:p>
    <w:p>
      <w:pPr>
        <w:spacing w:after="0" w:line="113" w:lineRule="exact"/>
        <w:rPr>
          <w:sz w:val="20"/>
          <w:szCs w:val="20"/>
          <w:color w:val="auto"/>
        </w:rPr>
      </w:pPr>
    </w:p>
    <w:p>
      <w:pPr>
        <w:ind w:right="220" w:firstLine="255"/>
        <w:spacing w:after="0" w:line="220" w:lineRule="auto"/>
        <w:rPr>
          <w:sz w:val="20"/>
          <w:szCs w:val="20"/>
          <w:color w:val="auto"/>
        </w:rPr>
      </w:pPr>
      <w:r>
        <w:rPr>
          <w:rFonts w:ascii="Times New Roman" w:cs="Times New Roman" w:eastAsia="Times New Roman" w:hAnsi="Times New Roman"/>
          <w:sz w:val="14"/>
          <w:szCs w:val="14"/>
          <w:u w:val="single" w:color="auto"/>
          <w:color w:val="auto"/>
        </w:rPr>
        <w:t>Net Revenue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We generated net revenue of $228.5 million and $200.2 million during the fiscal years ended June 30, 2025 and 2024, respectively. The overall increase in revenue is attributed mainly to the launch of our new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which drove an increase in our total Active Accounts by 3.1% during fiscal year 2025. Total revenue from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$40.8 million, including the product when sold as part of a bundle. This increase was partially offset by a $4.7 million decrease in revenue from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a decrease of $8.8 million in sales from our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products, and the negative impacts of foreign currency fluctuations compared to fiscal year ended June 30, 2024. In fiscal year 2025, foreign currency fluctuations negatively impacted our net revenue $0.5 million or 0.3%.</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Americas</w:t>
      </w:r>
      <w:r>
        <w:rPr>
          <w:rFonts w:ascii="Times New Roman" w:cs="Times New Roman" w:eastAsia="Times New Roman" w:hAnsi="Times New Roman"/>
          <w:sz w:val="14"/>
          <w:szCs w:val="14"/>
          <w:color w:val="auto"/>
        </w:rPr>
        <w:t>. The following table sets forth revenue for the fiscal years ended June 30, 2025 and 2024 for the Americas region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For the fiscal years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71"/>
        </w:trPr>
        <w:tc>
          <w:tcPr>
            <w:tcW w:w="59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178,442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145,679</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22.5 %</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 Total</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185,723</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ind w:right="40" w:firstLine="255"/>
        <w:spacing w:after="0" w:line="215" w:lineRule="auto"/>
        <w:rPr>
          <w:sz w:val="20"/>
          <w:szCs w:val="20"/>
          <w:color w:val="auto"/>
        </w:rPr>
      </w:pPr>
      <w:r>
        <w:rPr>
          <w:rFonts w:ascii="Times New Roman" w:cs="Times New Roman" w:eastAsia="Times New Roman" w:hAnsi="Times New Roman"/>
          <w:sz w:val="14"/>
          <w:szCs w:val="14"/>
          <w:color w:val="auto"/>
        </w:rPr>
        <w:t>Revenue in the Americas region for the fiscal year ended June 30, 2025 increased $32.8 million, or 21.5%, compared to the prior year. Total Active Accounts increased 6.4% in the region compared to the prior fiscal year which contributed to the increase in revenue. The increase in revenue and Active Accounts is due primarily to the launch of our new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Total revenue related to the sale of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the United States for the fiscal year ended June 30, 2025 was $37.3 million, including the product when sold as part of a bundle. In Canada and Mexico, sales of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were $0.9 million for the fiscal year ended June 30, 2025. The increase in revenue in the Americas regions was partially offset by a decrease in revenue from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which decreased approximately $2.4 million for the fiscal year ended June 30, 2025 compared to fiscal year ended June 30, 2024, and the negative impacts of foreign currency of $0.5 million.</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Asia/Pacific &amp; Europe</w:t>
      </w:r>
      <w:r>
        <w:rPr>
          <w:rFonts w:ascii="Times New Roman" w:cs="Times New Roman" w:eastAsia="Times New Roman" w:hAnsi="Times New Roman"/>
          <w:sz w:val="14"/>
          <w:szCs w:val="14"/>
          <w:color w:val="auto"/>
        </w:rPr>
        <w:t>. The following table sets forth revenue for the fiscal years ended June 30, 2025 and 2024 for the Asia/Pacific and Europe region and its principal markets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For the fiscal years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71"/>
        </w:trPr>
        <w:tc>
          <w:tcPr>
            <w:tcW w:w="59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26,989</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15.3 %</w:t>
            </w:r>
          </w:p>
        </w:tc>
      </w:tr>
      <w:tr>
        <w:trPr>
          <w:trHeight w:val="1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 &amp; New Zealand</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Asia/Pacific</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8,595</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Asia/Pacific &amp; Europe Total</w:t>
            </w: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42,807</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Revenue in the Asia/Pacific and Europe region for the fiscal year ended June 30, 2025 decreased $4.5 million, or 9.4%, compared to the prior year. Revenue in the region was positively impacted approximately $16,000, or 0.0%, by foreign currency exchange rate fluctuations.</w:t>
      </w:r>
    </w:p>
    <w:p>
      <w:pPr>
        <w:spacing w:after="0" w:line="61" w:lineRule="exact"/>
        <w:rPr>
          <w:sz w:val="20"/>
          <w:szCs w:val="20"/>
          <w:color w:val="auto"/>
        </w:rPr>
      </w:pPr>
    </w:p>
    <w:p>
      <w:pPr>
        <w:ind w:right="200" w:firstLine="255"/>
        <w:spacing w:after="0" w:line="241" w:lineRule="auto"/>
        <w:rPr>
          <w:sz w:val="20"/>
          <w:szCs w:val="20"/>
          <w:color w:val="auto"/>
        </w:rPr>
      </w:pPr>
      <w:r>
        <w:rPr>
          <w:rFonts w:ascii="Times New Roman" w:cs="Times New Roman" w:eastAsia="Times New Roman" w:hAnsi="Times New Roman"/>
          <w:sz w:val="14"/>
          <w:szCs w:val="14"/>
          <w:color w:val="auto"/>
        </w:rPr>
        <w:t>Revenue in our Japan market decreased 5.9% year over year on a U.S. Dollar basis and decreased 5.8% on a constant currency basis. Total revenue related to the sale of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Japan for the year ended June 30, 2025 was $1.3 million. The increase in revenue related to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offset by a decrease in sales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which decreased by $1.3 million for the fiscal year ended June 30, 2025 compared to the prior year. During the fiscal year ended June 30, 2025, the Japanese Yen, on average, weakened against the U.S. Dollar, negatively impacting our revenue in this market by $27,000 or 0.1%.</w:t>
      </w:r>
    </w:p>
    <w:p>
      <w:pPr>
        <w:spacing w:after="0" w:line="103" w:lineRule="exact"/>
        <w:rPr>
          <w:sz w:val="20"/>
          <w:szCs w:val="20"/>
          <w:color w:val="auto"/>
        </w:rPr>
      </w:pPr>
    </w:p>
    <w:p>
      <w:pPr>
        <w:ind w:firstLine="255"/>
        <w:spacing w:after="0" w:line="226" w:lineRule="auto"/>
        <w:rPr>
          <w:sz w:val="20"/>
          <w:szCs w:val="20"/>
          <w:color w:val="auto"/>
        </w:rPr>
      </w:pPr>
      <w:r>
        <w:rPr>
          <w:rFonts w:ascii="Times New Roman" w:cs="Times New Roman" w:eastAsia="Times New Roman" w:hAnsi="Times New Roman"/>
          <w:sz w:val="14"/>
          <w:szCs w:val="14"/>
          <w:color w:val="auto"/>
        </w:rPr>
        <w:t>Revenue in our Australia and New Zealand markets decreased $1.5 million, or 19.0%, during fiscal year 2025. The decrease in revenue in these markets primarily resulted from a 13.6% decrease in the number of Active Accounts. Total revenue related to the sale of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Australia and New Zealand for the year ended June 30, 2025 was $0.6 million. The increase in revenue related to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offset by a decrease in sales of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Liquid Collagen, which decreased by $1.1 million for the fiscal year ended June 30, 2025 compared to the prior year.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0" w:name="page51"/>
    <w:bookmarkEnd w:id="50"/>
    <w:p>
      <w:pPr>
        <w:ind w:right="100" w:firstLine="255"/>
        <w:spacing w:after="0" w:line="288" w:lineRule="auto"/>
        <w:rPr>
          <w:sz w:val="20"/>
          <w:szCs w:val="20"/>
          <w:color w:val="auto"/>
        </w:rPr>
      </w:pPr>
      <w:r>
        <w:rPr>
          <w:rFonts w:ascii="Times New Roman" w:cs="Times New Roman" w:eastAsia="Times New Roman" w:hAnsi="Times New Roman"/>
          <w:sz w:val="14"/>
          <w:szCs w:val="14"/>
          <w:color w:val="auto"/>
        </w:rPr>
        <w:t>Revenue in our Europe region increased by 15.3% year over year primarily due to an 18.1% increase in our average number of Active Accounts within the market from fiscal year 2024 to fiscal year 2025. Total revenue related to the sale of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Europe for the year ended June 30, 2025 was $0.6 million.</w:t>
      </w:r>
    </w:p>
    <w:p>
      <w:pPr>
        <w:spacing w:after="0" w:line="4"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The decline in revenue in our other markets was driven by a decrease in revenue from the Philippines. Revenue from our Philippines market was $1.4 million during fiscal year 2025 compared to $2.6 million during fiscal year 2024. Total Active Accounts in the Philippines decreased by 63.0% in the current fiscal year. On June 30, 2025, we ceased operations in the Philippines and closed that market.</w:t>
      </w:r>
    </w:p>
    <w:p>
      <w:pPr>
        <w:spacing w:after="0" w:line="83" w:lineRule="exact"/>
        <w:rPr>
          <w:sz w:val="20"/>
          <w:szCs w:val="20"/>
          <w:color w:val="auto"/>
        </w:rPr>
      </w:pPr>
    </w:p>
    <w:p>
      <w:pPr>
        <w:ind w:right="100" w:firstLine="255"/>
        <w:spacing w:after="0" w:line="237" w:lineRule="auto"/>
        <w:rPr>
          <w:sz w:val="20"/>
          <w:szCs w:val="20"/>
          <w:color w:val="auto"/>
        </w:rPr>
      </w:pPr>
      <w:r>
        <w:rPr>
          <w:rFonts w:ascii="Times New Roman" w:cs="Times New Roman" w:eastAsia="Times New Roman" w:hAnsi="Times New Roman"/>
          <w:sz w:val="14"/>
          <w:szCs w:val="14"/>
          <w:color w:val="auto"/>
        </w:rPr>
        <w:t>Globally, our sales and marketing efforts continue to be directed toward strengthening our core business through our fiscal year initiatives and building our worldwide sales. We plan to continue the refinement and expansion of our product offerings internationally, including our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during the fiscal year 2026 and beyond. We expect this expansion will continue to drive revenue growth globally through increased average order size and increased ability to attract and retain new independent consultants and customers with a compelling product lineup.</w:t>
      </w:r>
    </w:p>
    <w:p>
      <w:pPr>
        <w:spacing w:after="0" w:line="104" w:lineRule="exact"/>
        <w:rPr>
          <w:sz w:val="20"/>
          <w:szCs w:val="20"/>
          <w:color w:val="auto"/>
        </w:rPr>
      </w:pPr>
    </w:p>
    <w:p>
      <w:pPr>
        <w:ind w:firstLine="255"/>
        <w:spacing w:after="0" w:line="263" w:lineRule="auto"/>
        <w:rPr>
          <w:sz w:val="20"/>
          <w:szCs w:val="20"/>
          <w:color w:val="auto"/>
        </w:rPr>
      </w:pPr>
      <w:r>
        <w:rPr>
          <w:rFonts w:ascii="Times New Roman" w:cs="Times New Roman" w:eastAsia="Times New Roman" w:hAnsi="Times New Roman"/>
          <w:sz w:val="14"/>
          <w:szCs w:val="14"/>
          <w:color w:val="auto"/>
        </w:rPr>
        <w:t>During fiscal year 2026, our main focus will be to increase our average account base through concentrating our efforts on the enrollment of new independent consultants and customers, who will in turn help grow the business through incremental product sales, and on increasing the number of accounts that place an order in the month following their initial enrollment. We also plan to continue investing in our red-carpet program, which we believe has increased our ability to attract and retain strong consultant leadership and is a significant opportunity to drive revenue growth throughout our markets. We remain committed to further expanding the functionality and availability of our digital tools, which we believe will aid independent consultants in initiating and expanding their businesses.</w:t>
      </w:r>
    </w:p>
    <w:p>
      <w:pPr>
        <w:spacing w:after="0" w:line="247" w:lineRule="exact"/>
        <w:rPr>
          <w:sz w:val="20"/>
          <w:szCs w:val="20"/>
          <w:color w:val="auto"/>
        </w:rPr>
      </w:pPr>
    </w:p>
    <w:p>
      <w:pPr>
        <w:jc w:val="both"/>
        <w:ind w:right="60" w:firstLine="255"/>
        <w:spacing w:after="0" w:line="271" w:lineRule="auto"/>
        <w:rPr>
          <w:sz w:val="20"/>
          <w:szCs w:val="20"/>
          <w:color w:val="auto"/>
        </w:rPr>
      </w:pPr>
      <w:r>
        <w:rPr>
          <w:rFonts w:ascii="Times New Roman" w:cs="Times New Roman" w:eastAsia="Times New Roman" w:hAnsi="Times New Roman"/>
          <w:sz w:val="14"/>
          <w:szCs w:val="14"/>
          <w:u w:val="single" w:color="auto"/>
          <w:color w:val="auto"/>
        </w:rPr>
        <w:t>Cost of Sales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Cost of sales were $44.9 million for the fiscal year ended June 30, 2025, and $41.4 million for the fiscal year ended June 30, 2024, resulting in a gross margin of $183.7 million, or 80.4%, and $158.7 million, or 79.3%, respectively. The decrease in cost of sales as a percentage of revenue is primarily due to shift in product mix and decreased inventory obsolescence costs during the fiscal year ended June 30, 2025.</w:t>
      </w:r>
    </w:p>
    <w:p>
      <w:pPr>
        <w:spacing w:after="0" w:line="81" w:lineRule="exact"/>
        <w:rPr>
          <w:sz w:val="20"/>
          <w:szCs w:val="20"/>
          <w:color w:val="auto"/>
        </w:rPr>
      </w:pPr>
    </w:p>
    <w:p>
      <w:pPr>
        <w:jc w:val="both"/>
        <w:ind w:right="320" w:firstLine="255"/>
        <w:spacing w:after="0" w:line="271" w:lineRule="auto"/>
        <w:rPr>
          <w:sz w:val="20"/>
          <w:szCs w:val="20"/>
          <w:color w:val="auto"/>
        </w:rPr>
      </w:pPr>
      <w:r>
        <w:rPr>
          <w:rFonts w:ascii="Times New Roman" w:cs="Times New Roman" w:eastAsia="Times New Roman" w:hAnsi="Times New Roman"/>
          <w:sz w:val="14"/>
          <w:szCs w:val="14"/>
          <w:u w:val="single" w:color="auto"/>
          <w:color w:val="auto"/>
        </w:rPr>
        <w:t>Commissions and Incentives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Commissions and incentives expenses for the fiscal year ended June 30, 2025 were $102.3 million or 44.7% of revenue compared to $85.9 million or 42.9% of revenue for the fiscal year ended June 30, 2024. The increase in commissions as a percentage of revenue compared to the prior fiscal year is primarily due to higher qualifications within existing promotional and incentive programs and changes in the sales mix between our independent consultants and customers.</w:t>
      </w:r>
    </w:p>
    <w:p>
      <w:pPr>
        <w:spacing w:after="0" w:line="83" w:lineRule="exact"/>
        <w:rPr>
          <w:sz w:val="20"/>
          <w:szCs w:val="20"/>
          <w:color w:val="auto"/>
        </w:rPr>
      </w:pPr>
    </w:p>
    <w:p>
      <w:pPr>
        <w:ind w:right="820" w:firstLine="255"/>
        <w:spacing w:after="0" w:line="287" w:lineRule="auto"/>
        <w:rPr>
          <w:sz w:val="20"/>
          <w:szCs w:val="20"/>
          <w:color w:val="auto"/>
        </w:rPr>
      </w:pPr>
      <w:r>
        <w:rPr>
          <w:rFonts w:ascii="Times New Roman" w:cs="Times New Roman" w:eastAsia="Times New Roman" w:hAnsi="Times New Roman"/>
          <w:sz w:val="14"/>
          <w:szCs w:val="14"/>
          <w:color w:val="auto"/>
        </w:rPr>
        <w:t>Commissions and incentives expenses, as a percentage of revenue, may fluctuate in future periods based on the timing of incentive trips and events and the timing and magnitude of compensation, incentive, and promotional programs.</w:t>
      </w:r>
    </w:p>
    <w:p>
      <w:pPr>
        <w:spacing w:after="0" w:line="59" w:lineRule="exact"/>
        <w:rPr>
          <w:sz w:val="20"/>
          <w:szCs w:val="20"/>
          <w:color w:val="auto"/>
        </w:rPr>
      </w:pPr>
    </w:p>
    <w:p>
      <w:pPr>
        <w:ind w:right="100" w:firstLine="255"/>
        <w:spacing w:after="0" w:line="265" w:lineRule="auto"/>
        <w:rPr>
          <w:sz w:val="20"/>
          <w:szCs w:val="20"/>
          <w:color w:val="auto"/>
        </w:rPr>
      </w:pPr>
      <w:r>
        <w:rPr>
          <w:rFonts w:ascii="Times New Roman" w:cs="Times New Roman" w:eastAsia="Times New Roman" w:hAnsi="Times New Roman"/>
          <w:sz w:val="14"/>
          <w:szCs w:val="14"/>
          <w:u w:val="single" w:color="auto"/>
          <w:color w:val="auto"/>
        </w:rPr>
        <w:t>Selling, General and Administrative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Selling, general and administrative expenses for the fiscal year ended June 30, 2025 were $69.2 million or 30.3% of revenue compared to $68.5 million or 34.2% of revenue for the fiscal year ended June 30, 2024. The decrease in selling, general, and administrative expenses as a percentage of revenue during fiscal year 2025 primarily was due to decreased proxy contest related expenses and the termination of our endorsement agreement with Real Salt Lake in December 2023. These decreases were partially offset by increases in the variable portion of employee related compensation expenses.</w:t>
      </w:r>
    </w:p>
    <w:p>
      <w:pPr>
        <w:spacing w:after="0" w:line="8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Primary factors that may cause our selling, general and administrative expenses to fluctuate in the future include changes in the number of employees, the timing and number of events we hold, marketing and branding initiatives and costs related to legal matters, if and as they arise. A fluctuation in our stock price may also impact our stock-based compensation expense relating to equity awards made in future years.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Interest Income</w:t>
      </w:r>
      <w:r>
        <w:rPr>
          <w:rFonts w:ascii="Times New Roman" w:cs="Times New Roman" w:eastAsia="Times New Roman" w:hAnsi="Times New Roman"/>
          <w:sz w:val="14"/>
          <w:szCs w:val="14"/>
          <w:color w:val="auto"/>
        </w:rPr>
        <w:t>. Interest income, net, was $0.4 million for each of the fiscal years ended June 30, 2025 and June 30, 2024.</w:t>
      </w:r>
    </w:p>
    <w:p>
      <w:pPr>
        <w:spacing w:after="0" w:line="113"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u w:val="single" w:color="auto"/>
          <w:color w:val="auto"/>
        </w:rPr>
        <w:t>Other Expense, Net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We recognized other expense, net, for the fiscal year ended June 30, 2025 of $0.4 million as compared to $0.4 million for the fiscal year ended June 30, 2024. Other expense, net, primarily consists of the impact of foreign currency fluctuations recognized during the fiscal year.</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Income Tax Expense</w:t>
      </w:r>
      <w:r>
        <w:rPr>
          <w:rFonts w:ascii="Times New Roman" w:cs="Times New Roman" w:eastAsia="Times New Roman" w:hAnsi="Times New Roman"/>
          <w:sz w:val="14"/>
          <w:szCs w:val="14"/>
          <w:color w:val="auto"/>
        </w:rPr>
        <w:t>. Our income tax expense for the fiscal year ended June 30, 2025 was $2.4 million as compared to income tax expense of $1.4 million for the fiscal year ended June 30, 2024.</w:t>
      </w:r>
    </w:p>
    <w:p>
      <w:pPr>
        <w:spacing w:after="0" w:line="125"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effective tax rate was 19.9% of pre-tax income for the fiscal year ended June 30, 2025, compared to 32.5% for the fiscal year ended June 30, 2024. The decrease in the effective tax rate for fiscal year 2025 compared to the prior year is mainly due to the impact of permanent items in relation to pre-tax income.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1" w:name="page52"/>
    <w:bookmarkEnd w:id="51"/>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Our provision for income taxes for the fiscal year ended June 30, 2025 consisted primarily of federal, state, and foreign tax on anticipated fiscal year 2025 income which was partially offset by tax benefits. We expect our effective rate to fluctuate in future periods based on the impact of permanent items in relation to pre-tax income.</w:t>
      </w:r>
    </w:p>
    <w:p>
      <w:pPr>
        <w:spacing w:after="0" w:line="59" w:lineRule="exact"/>
        <w:rPr>
          <w:sz w:val="20"/>
          <w:szCs w:val="20"/>
          <w:color w:val="auto"/>
        </w:rPr>
      </w:pPr>
    </w:p>
    <w:p>
      <w:pPr>
        <w:ind w:right="220" w:firstLine="255"/>
        <w:spacing w:after="0" w:line="428" w:lineRule="auto"/>
        <w:rPr>
          <w:sz w:val="20"/>
          <w:szCs w:val="20"/>
          <w:color w:val="auto"/>
        </w:rPr>
      </w:pPr>
      <w:r>
        <w:rPr>
          <w:rFonts w:ascii="Times New Roman" w:cs="Times New Roman" w:eastAsia="Times New Roman" w:hAnsi="Times New Roman"/>
          <w:sz w:val="14"/>
          <w:szCs w:val="14"/>
          <w:u w:val="single" w:color="auto"/>
          <w:color w:val="auto"/>
        </w:rPr>
        <w:t>Net Income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a result of the foregoing factors, net income for the fiscal year ended June 30, 2025 increased to $9.8 million compared to $2.9 million for the fiscal year ended June 30, 2024. </w:t>
      </w:r>
      <w:r>
        <w:rPr>
          <w:rFonts w:ascii="Times New Roman" w:cs="Times New Roman" w:eastAsia="Times New Roman" w:hAnsi="Times New Roman"/>
          <w:sz w:val="14"/>
          <w:szCs w:val="14"/>
          <w:u w:val="single" w:color="auto"/>
          <w:color w:val="auto"/>
        </w:rPr>
        <w:t>Comparison of Fiscal Years Ended June 30, 2024 and 2023</w:t>
      </w:r>
    </w:p>
    <w:p>
      <w:pPr>
        <w:spacing w:after="0" w:line="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our results of operations for the fiscal year 2024 compared with fiscal year 2023, refer to “Part II. Item 7. Management’s Discussion and Analysis of Financial Condition and Results of Operations” in our annual report on Form 10-K for the fiscal year ended June 30, 2024, as filed with the SEC on August 28,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continually assess our capital allocation strategy to maximize stockholder value. Our current capital allocation strategy follows a balanced approach focused on supporting and re-investing in the business, as well as returning stockholder value through quarterly dividends and opportunistic share repurchases, where appropriate.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Liquidity</w:t>
      </w:r>
    </w:p>
    <w:p>
      <w:pPr>
        <w:spacing w:after="0" w:line="115"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Our primary liquidity and capital resource requirements are to service our debt, which includes any outstanding balances under the 2024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June 30, 2025, our cash and cash equivalents were $20.2 million. This represented an increase of $3.3 million from the $16.9 million in cash and cash equivalents as of June 30, 2024.</w:t>
      </w:r>
    </w:p>
    <w:p>
      <w:pPr>
        <w:spacing w:after="0" w:line="12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During the fiscal year ended June 30, 2025, our net cash provided by operating activities was $11.9 million as compared to $12.2 million during the fiscal year ended June 30, 2024. The decrease in cash provided by operating activities during the fiscal year ended June 30, 2025 primarily was due to increases in inventory and deposits on future events offset primarily by increases in other accrued expenses which contain accrued incentive compensation to employees and accrued incentives and promotions to our independent consultants.</w:t>
      </w:r>
    </w:p>
    <w:p>
      <w:pPr>
        <w:spacing w:after="0" w:line="72"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During the fiscal year ended June 30, 2025, our net cash used in investing activities was $1.4 million, as a result of the purchase of fixed assets, primarily from investing in changes to our Evolve Compensation Plan and Rewards Circle loyalty program through software, website, and mobile application development. During the fiscal year ended June 30, 2024, our net cash used in investing activities was $2.2 million, which was attributable to capital expenditures including leasehold improvements related to moving our Tokyo, Japan office.</w:t>
      </w:r>
    </w:p>
    <w:p>
      <w:pPr>
        <w:spacing w:after="0" w:line="83"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Cash used in financing activities during the fiscal year ended June 30, 2025 was $7.6 million, as a result of the repurchase of company stock, payment of quarterly cash dividends, and shares purchased as payment of tax withholding upon vesting of employee equity awards, partially offset by proceeds from stock option exercises and proceeds from purchases of company stock under our employee stock purchase plan. Cash used in financing activities during the fiscal year ended June 30, 2024 was $14.4 million, as a result of the payment of a one-time cash dividend in September 2023, quarterly cash dividends, the repurchase of company stock, and shares purchased as payment of tax withholding upon vesting of employee equity awards, partially offset by proceeds from purchases of company stock under our employee stock purchase plan.</w:t>
      </w:r>
    </w:p>
    <w:p>
      <w:pPr>
        <w:spacing w:after="0" w:line="90"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At June 30, 2025 and 2024, the total amount of our foreign subsidiary cash was $6.4 million and $7.3 million, respectively. Under current U.S. tax law, in the future, if needed, we expect to be able to repatriate cash from foreign subsidiaries without paying additional U.S. taxes.</w:t>
      </w:r>
    </w:p>
    <w:p>
      <w:pPr>
        <w:spacing w:after="0" w:line="6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At June 30, 2025, we had working capital (current assets minus current liabilities) of $23.7 million compared to working capital of $15.3 million at June 30, 2024. The increase in working capital primarily was due to increases in cash, inventory, and prepaid expenses and decreases in accounts payable, partially offset by increases in commissions payable and other accrued expenses.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however, contains covenants that in certain circumstances restrict our ability to incur additional indebtedness, make certain investments, purchase or otherwise acquire all or substantially all the assets or equity interests of other companies, or transfer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2" w:name="page53"/>
    <w:bookmarkEnd w:id="52"/>
    <w:p>
      <w:pPr>
        <w:ind w:right="60"/>
        <w:spacing w:after="0" w:line="287" w:lineRule="auto"/>
        <w:rPr>
          <w:sz w:val="20"/>
          <w:szCs w:val="20"/>
          <w:color w:val="auto"/>
        </w:rPr>
      </w:pPr>
      <w:r>
        <w:rPr>
          <w:rFonts w:ascii="Times New Roman" w:cs="Times New Roman" w:eastAsia="Times New Roman" w:hAnsi="Times New Roman"/>
          <w:sz w:val="14"/>
          <w:szCs w:val="14"/>
          <w:color w:val="auto"/>
        </w:rPr>
        <w:t>any part of the business. Additionally, our 2024 Credit Facility provides for a line of credit in an aggregate principal amount up to $5.0 million. We would also consider realigning our strategic plans including a reduction in capital spending and expenses.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Capital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Shelf Registration Statement</w:t>
      </w:r>
    </w:p>
    <w:p>
      <w:pPr>
        <w:spacing w:after="0" w:line="1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On March 31, 2023, we filed a shelf registration statement on Form S-3 (the “2023 Shelf Registration”) with the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2016 Credit Facility</w:t>
      </w:r>
    </w:p>
    <w:p>
      <w:pPr>
        <w:spacing w:after="0" w:line="1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March 30, 2016, we entered into a loan agreement (the “2016 Loan Agreement”) and a security agreement (the “2016 Security Agreement”). The 2016 Loan Agreement provided for a term loan in an aggregate principal amount of $10.0 million (the “2016 Term Loan”) and a revolving loan facility in an aggregate principal amount not to exceed $2.0 million (the “2016 Revolving Loan,” and collectively with the 2016 Term Loan, the 2016 Loan Agreement and the 2016 Security Agreement, and with the amendments described below, the “2016 Credit Facility”). The 2016 Credit Facility was subsequently amended, among other things, to increase the available borrowing under the revolving loan facility to $5.0 million. On March 31, 2024, the 2016 Credit Facility reached the maturity date and was terminated. As of March 31, 2024, there was no balance outstanding under the 2016 Credit Facility.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Credit Facility</w:t>
      </w:r>
    </w:p>
    <w:p>
      <w:pPr>
        <w:spacing w:after="0" w:line="117"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On April 12, 2024, we entered into a Loan Agreement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w:t>
      </w:r>
    </w:p>
    <w:p>
      <w:pPr>
        <w:spacing w:after="0" w:line="8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the event we borrow under the Line of Credit, interest will be payable commencing May 31, 2024, and then on the last day of each month thereafter until payment in full of all principal outstanding under the Line of Credit, with all unpaid principal and interest due on April 12, 2027 (the “Expiration Date”). The Line of Credit will bear interest at a rate per year equal to the sum of (i) the greater of the Term SOFR Daily Floating Rate (as defined in the Loan Agreement) or 0.00%, plus (ii) 2.00%. Amounts under the Line of Credit may be repaid and re-borrowed from time to time until the Expiration Date.</w:t>
      </w:r>
    </w:p>
    <w:p>
      <w:pPr>
        <w:spacing w:after="0" w:line="8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w:t>
      </w:r>
    </w:p>
    <w:p>
      <w:pPr>
        <w:spacing w:after="0" w:line="61"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w:t>
      </w:r>
    </w:p>
    <w:p>
      <w:pPr>
        <w:spacing w:after="0" w:line="83"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53" w:name="page54"/>
    <w:bookmarkEnd w:id="53"/>
    <w:p>
      <w:pPr>
        <w:ind w:left="260"/>
        <w:spacing w:after="0"/>
        <w:rPr>
          <w:sz w:val="20"/>
          <w:szCs w:val="20"/>
          <w:color w:val="auto"/>
        </w:rPr>
      </w:pPr>
      <w:r>
        <w:rPr>
          <w:rFonts w:ascii="Times New Roman" w:cs="Times New Roman" w:eastAsia="Times New Roman" w:hAnsi="Times New Roman"/>
          <w:sz w:val="14"/>
          <w:szCs w:val="14"/>
          <w:color w:val="auto"/>
        </w:rPr>
        <w:t>As of June 30, 2025, there was no outstanding balance under the 2024 Credit Facility</w:t>
      </w:r>
      <w:r>
        <w:rPr>
          <w:rFonts w:ascii="Times New Roman" w:cs="Times New Roman" w:eastAsia="Times New Roman" w:hAnsi="Times New Roman"/>
          <w:sz w:val="14"/>
          <w:szCs w:val="14"/>
          <w:i w:val="1"/>
          <w:i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Commitments and Obligations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Please refer to Note 14 to the consolidated financial statements contained in this report for information regarding our contingent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1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94"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and the audit committee has reviewed the disclosures noted below.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15"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8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Historically, our estimates and underlying assumptions have not materially deviated from our actual reported results and rates. However, we base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Income Taxes</w:t>
      </w:r>
    </w:p>
    <w:p>
      <w:pPr>
        <w:spacing w:after="0" w:line="115"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provision for income taxes includes income from U.S. and foreign subsidiaries taxed at statutory rates, the accrual or release of amounts for tax uncertainties, and U.S. tax impacts of foreign income in the U.S.</w:t>
      </w:r>
    </w:p>
    <w:p>
      <w:pPr>
        <w:spacing w:after="0" w:line="7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spacing w:after="0" w:line="94"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4" w:name="page55"/>
    <w:bookmarkEnd w:id="54"/>
    <w:p>
      <w:pPr>
        <w:spacing w:after="0" w:line="264" w:lineRule="auto"/>
        <w:rPr>
          <w:sz w:val="20"/>
          <w:szCs w:val="20"/>
          <w:color w:val="auto"/>
        </w:rPr>
      </w:pPr>
      <w:r>
        <w:rPr>
          <w:rFonts w:ascii="Times New Roman" w:cs="Times New Roman" w:eastAsia="Times New Roman" w:hAnsi="Times New Roman"/>
          <w:sz w:val="14"/>
          <w:szCs w:val="14"/>
          <w:color w:val="auto"/>
        </w:rPr>
        <w:t>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spacing w:after="0" w:line="77" w:lineRule="exact"/>
        <w:rPr>
          <w:sz w:val="20"/>
          <w:szCs w:val="20"/>
          <w:color w:val="auto"/>
        </w:rPr>
      </w:pPr>
    </w:p>
    <w:p>
      <w:pPr>
        <w:ind w:right="800" w:firstLine="255"/>
        <w:spacing w:after="0" w:line="287" w:lineRule="auto"/>
        <w:rPr>
          <w:sz w:val="20"/>
          <w:szCs w:val="20"/>
          <w:color w:val="auto"/>
        </w:rPr>
      </w:pPr>
      <w:r>
        <w:rPr>
          <w:rFonts w:ascii="Times New Roman" w:cs="Times New Roman" w:eastAsia="Times New Roman" w:hAnsi="Times New Roman"/>
          <w:sz w:val="14"/>
          <w:szCs w:val="14"/>
          <w:color w:val="auto"/>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Standards</w:t>
      </w:r>
    </w:p>
    <w:p>
      <w:pPr>
        <w:spacing w:after="0" w:line="127"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required for smaller reporting companies.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this Item 8 is set forth in the consolidated financial statements included in Part IV, Item 15 of this report and is incorporated into this Item 8 by reference.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127"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June 30, 2025,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Based on that evaluation, our Chief Executive Officer and Chief Financial Officer concluded that our disclosure controls and procedures were designed and operating effectively as of June 30,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27"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generally accepted accounting principles (“GAAP”).</w:t>
      </w:r>
    </w:p>
    <w:p>
      <w:pPr>
        <w:spacing w:after="0" w:line="83"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Our management, under the supervision of our Chief Executive Officer and Chief Financial Officer, assessed the effectiveness of our internal control over financial reporting as of June 30, 2025.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Auditor’s Attestation Report on Internal Control Over Financial Reporting</w:t>
      </w:r>
    </w:p>
    <w:p>
      <w:pPr>
        <w:spacing w:after="0" w:line="12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Deloitte &amp; Touche LLP,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5" w:name="page56"/>
    <w:bookmarkEnd w:id="55"/>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the quarter ended June 30, 2025 that have materially affected or are reasonably likely to materially affect our internal control over financial reporting.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2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17"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June 30, 2025, none of our officers or directors, as defined in Rule 16a-1(f), informed us of the adoption or termination of a Rule 10b5-1 trading arrangement or a non-Rule 10b5-1 trading arrangement, each as defined in Regulation S-K Item 408, other than as described below.</w:t>
      </w:r>
    </w:p>
    <w:p>
      <w:pPr>
        <w:spacing w:after="0" w:line="71"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As previously reported, on February 10, 2025, Michael Beindorff, a director, adopted a sales plan designed to comply with Rule 10b5-1 under the Exchange Act. The sales plan, which Mr. Beindorff adopted in compliance with restrictions imposed by our Insider Trading Policy, provided for sales of shares of LifeVantage Corporation common stock owned by Mr. Beindorff. Total sales on Mr. Beindorff’s behalf under the sales plan were limited to 1,000 shares per month, beginning in May 2025 and continuing through October 2026, and up to a maximum of 18,000 shares could be sold under the plan. On May 12, 2025, Mr. Beindorff terminated this 10b5-1 plan.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 DISCLOSURE REGARDING FOREIGN JURISDICTIONS THAT PREVENT INSPECTIONS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2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Certain information required by Part III of this report is omitted from this report pursuant to General Instruction G(3) of Form 10-K because we will file a definitive proxy statement pursuant to Regulation 14A for our fiscal year 2026 annual meeting of stockholders (the “Proxy Statement”) not later than 120 days after the end of the fiscal year covered by this report, and the information included in the Proxy Statement that is required by Part III of this report is incorporated herein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DIRECTORS, EXECUTIVE OFFICERS AND CORPORATE GOVERNANCE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 AND RELATED TRANSACTIONS, AND DIRECTORS INDEPENDENCE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Incorporated herein by reference to the information to be set forth in the Proxy Statement.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documents are being filed as part of this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117"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(a)(1) Financial Statements. The following consolidated financial statements of LifeVantage Corporation and Report of Independent Registered Public Accounting Firm are included in a separate section of this Annual Report on Form 10-K.</w:t>
      </w:r>
    </w:p>
    <w:p>
      <w:pPr>
        <w:spacing w:after="0" w:line="71"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(a)(2) All schedules for which provision is made in the applicable accounting regulations of the SEC are not required under the related instructions or are inapplicable, or because the required information is included in the financial statements or notes thereto, and therefore have been omitted.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(a)(3) The following exhibits are filed as part of, or incorporated by reference into, the Annual Report on Form 10-K.</w:t>
      </w:r>
    </w:p>
    <w:p>
      <w:pPr>
        <w:sectPr>
          <w:pgSz w:w="11900" w:h="16838" w:orient="portrait"/>
          <w:cols w:equalWidth="0" w:num="1">
            <w:col w:w="11280"/>
          </w:cols>
          <w:pgMar w:left="300" w:top="844" w:right="31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40" w:type="dxa"/>
            <w:vAlign w:val="bottom"/>
            <w:gridSpan w:val="9"/>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4"/>
        </w:trPr>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000" w:type="dxa"/>
            <w:vAlign w:val="bottom"/>
            <w:tcBorders>
              <w:top w:val="single" w:sz="8" w:color="auto"/>
            </w:tcBorders>
            <w:gridSpan w:val="14"/>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Certificate of Incorporation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4"/>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Amended and Restated Bylaws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4"/>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Certificate of Designation of Series A Junior Participating Preferred Stock of the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tcBorders>
              <w:top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Company</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4"/>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Certificate of Elimination of Series A Junior Participating Preferred Stock of</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Registrant, filed November 18, 2024</w:t>
              </w:r>
            </w:hyperlink>
          </w:p>
        </w:tc>
        <w:tc>
          <w:tcPr>
            <w:tcW w:w="3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FF"/>
            </w:tcBorders>
            <w:gridSpan w:val="7"/>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Form of Common Stock Certificate</w:t>
              </w:r>
            </w:hyperlink>
          </w:p>
        </w:tc>
        <w:tc>
          <w:tcPr>
            <w:tcW w:w="29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Description of Capital Stock</w:t>
              </w:r>
            </w:hyperlink>
          </w:p>
        </w:tc>
        <w:tc>
          <w:tcPr>
            <w:tcW w:w="3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4"/>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Rights Agreement, dated as of August 30, 2023, by and between the Company and</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Computershare Trust Company, N.A., as Rights Agent</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4"/>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Cooperation Agreement, dated February 14, 2024, by and among the Company,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740" w:type="dxa"/>
            <w:vAlign w:val="bottom"/>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0" w:type="dxa"/>
            <w:vAlign w:val="bottom"/>
            <w:gridSpan w:val="14"/>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entities and persons listed on Exhibit A thereto, and the entities and persons listed on</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Exhibit B thereto</w:t>
              </w:r>
            </w:hyperlink>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31864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Form 8-K filed with the SEC on March 13, 2018.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Form 8-K filed with the SEC on August 15, 2019.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Form 8-K filed with the SEC on August 31, 2023.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3.1 to Form 8-K filed with the SEC on November 19,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Form 8-K filed with the SEC on March 13, 2018.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4.2 to Form 10-K filed with the SEC on August 23,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4.1 to Form 8-K filed with the SEC on August 31, 2023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with the SEC on February 15, 2024.</w:t>
      </w:r>
    </w:p>
    <w:p>
      <w:pPr>
        <w:spacing w:after="0" w:line="478" w:lineRule="exact"/>
        <w:rPr>
          <w:sz w:val="20"/>
          <w:szCs w:val="20"/>
          <w:color w:val="auto"/>
        </w:rPr>
      </w:pPr>
    </w:p>
    <w:p>
      <w:pPr>
        <w:sectPr>
          <w:pgSz w:w="11900" w:h="16838" w:orient="portrait"/>
          <w:cols w:equalWidth="0" w:num="2">
            <w:col w:w="6120" w:space="100"/>
            <w:col w:w="5060"/>
          </w:cols>
          <w:pgMar w:left="300" w:top="844" w:right="31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16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9"/>
              </w:rPr>
            </w:pPr>
            <w:hyperlink r:id="rId81">
              <w:r>
                <w:rPr>
                  <w:rFonts w:ascii="Times New Roman" w:cs="Times New Roman" w:eastAsia="Times New Roman" w:hAnsi="Times New Roman"/>
                  <w:sz w:val="14"/>
                  <w:szCs w:val="14"/>
                  <w:color w:val="0000FF"/>
                  <w:w w:val="99"/>
                </w:rPr>
                <w:t>LifeVantage Sales Compensation Plan</w:t>
              </w:r>
            </w:hyperlink>
          </w:p>
        </w:tc>
        <w:tc>
          <w:tcPr>
            <w:tcW w:w="2280" w:type="dxa"/>
            <w:vAlign w:val="bottom"/>
            <w:gridSpan w:val="4"/>
          </w:tcPr>
          <w:p>
            <w:pPr>
              <w:spacing w:after="0"/>
              <w:rPr>
                <w:sz w:val="13"/>
                <w:szCs w:val="13"/>
                <w:color w:val="auto"/>
              </w:rPr>
            </w:pPr>
          </w:p>
        </w:tc>
        <w:tc>
          <w:tcPr>
            <w:tcW w:w="57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Exhibit 10.1 to Form 10-K filed with the SEC on August 23, 2022.</w:t>
            </w:r>
          </w:p>
        </w:tc>
      </w:tr>
      <w:tr>
        <w:trPr>
          <w:trHeight w:val="288"/>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1740" w:type="dxa"/>
            <w:vAlign w:val="bottom"/>
          </w:tcPr>
          <w:p>
            <w:pPr>
              <w:spacing w:after="0"/>
              <w:rPr>
                <w:rFonts w:ascii="Times New Roman" w:cs="Times New Roman" w:eastAsia="Times New Roman" w:hAnsi="Times New Roman"/>
                <w:sz w:val="14"/>
                <w:szCs w:val="14"/>
                <w:color w:val="0000FF"/>
                <w:w w:val="99"/>
              </w:rPr>
            </w:pPr>
            <w:hyperlink r:id="rId82">
              <w:r>
                <w:rPr>
                  <w:rFonts w:ascii="Times New Roman" w:cs="Times New Roman" w:eastAsia="Times New Roman" w:hAnsi="Times New Roman"/>
                  <w:sz w:val="14"/>
                  <w:szCs w:val="14"/>
                  <w:color w:val="0000FF"/>
                  <w:w w:val="99"/>
                </w:rPr>
                <w:t>LifeVantage Corporation 2017</w:t>
              </w:r>
            </w:hyperlink>
          </w:p>
        </w:tc>
        <w:tc>
          <w:tcPr>
            <w:tcW w:w="2700" w:type="dxa"/>
            <w:vAlign w:val="bottom"/>
            <w:gridSpan w:val="5"/>
          </w:tcPr>
          <w:p>
            <w:pPr>
              <w:ind w:left="20"/>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Long-Term Incentive Plan, as amended</w:t>
              </w:r>
            </w:hyperlink>
          </w:p>
        </w:tc>
        <w:tc>
          <w:tcPr>
            <w:tcW w:w="57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Annex A to the Registrant’s Proxy Statement on Schedule 14A, filed with the SEC on</w:t>
            </w:r>
          </w:p>
        </w:tc>
      </w:tr>
      <w:tr>
        <w:trPr>
          <w:trHeight w:val="164"/>
        </w:trPr>
        <w:tc>
          <w:tcPr>
            <w:tcW w:w="1120" w:type="dxa"/>
            <w:vAlign w:val="bottom"/>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September 20, 2024.</w:t>
            </w:r>
          </w:p>
        </w:tc>
      </w:tr>
      <w:tr>
        <w:trPr>
          <w:trHeight w:val="272"/>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1740" w:type="dxa"/>
            <w:vAlign w:val="bottom"/>
          </w:tcPr>
          <w:p>
            <w:pPr>
              <w:spacing w:after="0"/>
              <w:rPr>
                <w:rFonts w:ascii="Times New Roman" w:cs="Times New Roman" w:eastAsia="Times New Roman" w:hAnsi="Times New Roman"/>
                <w:sz w:val="14"/>
                <w:szCs w:val="14"/>
                <w:color w:val="0000FF"/>
                <w:w w:val="99"/>
              </w:rPr>
            </w:pPr>
            <w:hyperlink r:id="rId82">
              <w:r>
                <w:rPr>
                  <w:rFonts w:ascii="Times New Roman" w:cs="Times New Roman" w:eastAsia="Times New Roman" w:hAnsi="Times New Roman"/>
                  <w:sz w:val="14"/>
                  <w:szCs w:val="14"/>
                  <w:color w:val="0000FF"/>
                  <w:w w:val="99"/>
                </w:rPr>
                <w:t>LifeVantage Corporation 2019</w:t>
              </w:r>
            </w:hyperlink>
          </w:p>
        </w:tc>
        <w:tc>
          <w:tcPr>
            <w:tcW w:w="2700" w:type="dxa"/>
            <w:vAlign w:val="bottom"/>
            <w:gridSpan w:val="5"/>
          </w:tcPr>
          <w:p>
            <w:pPr>
              <w:ind w:left="20"/>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Employee Stock Purchase Plan, as amended</w:t>
              </w:r>
            </w:hyperlink>
          </w:p>
        </w:tc>
        <w:tc>
          <w:tcPr>
            <w:tcW w:w="57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Annex B to the Registrant’s Proxy Statement on Schedule 14A, filed with the SEC on</w:t>
            </w:r>
          </w:p>
        </w:tc>
      </w:tr>
      <w:tr>
        <w:trPr>
          <w:trHeight w:val="164"/>
        </w:trPr>
        <w:tc>
          <w:tcPr>
            <w:tcW w:w="1120" w:type="dxa"/>
            <w:vAlign w:val="bottom"/>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September 20, 2024.</w:t>
            </w:r>
          </w:p>
        </w:tc>
      </w:tr>
      <w:tr>
        <w:trPr>
          <w:trHeight w:val="272"/>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10.2.3#</w:t>
            </w:r>
          </w:p>
        </w:tc>
        <w:tc>
          <w:tcPr>
            <w:tcW w:w="4440" w:type="dxa"/>
            <w:vAlign w:val="bottom"/>
            <w:gridSpan w:val="6"/>
          </w:tcPr>
          <w:p>
            <w:pPr>
              <w:spacing w:after="0"/>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Evolve Compensation Plan (United States), as amended on November 1, 2024</w:t>
              </w:r>
            </w:hyperlink>
          </w:p>
        </w:tc>
        <w:tc>
          <w:tcPr>
            <w:tcW w:w="57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Exhibit 10.3 to Form 10-Q filed for the fiscal quarter ended December 31, 2024 filed</w:t>
            </w:r>
          </w:p>
        </w:tc>
      </w:tr>
      <w:tr>
        <w:trPr>
          <w:trHeight w:val="164"/>
        </w:trPr>
        <w:tc>
          <w:tcPr>
            <w:tcW w:w="1120" w:type="dxa"/>
            <w:vAlign w:val="bottom"/>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with the SEC on February 5, 2025.</w:t>
            </w:r>
          </w:p>
        </w:tc>
      </w:tr>
      <w:tr>
        <w:trPr>
          <w:trHeight w:val="908"/>
        </w:trPr>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w:t>
            </w:r>
          </w:p>
        </w:tc>
      </w:tr>
      <w:tr>
        <w:trPr>
          <w:trHeight w:val="87"/>
        </w:trPr>
        <w:tc>
          <w:tcPr>
            <w:tcW w:w="112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80" w:type="dxa"/>
            <w:vAlign w:val="bottom"/>
            <w:gridSpan w:val="17"/>
            <w:vMerge w:val="restart"/>
          </w:tcPr>
          <w:p>
            <w:pPr>
              <w:ind w:left="172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50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1"/>
                <w:szCs w:val="11"/>
                <w:b w:val="1"/>
                <w:bCs w:val="1"/>
                <w:color w:val="auto"/>
              </w:rPr>
              <w:t>Filed Herewith or Incorporated by Reference From</w:t>
            </w:r>
          </w:p>
        </w:tc>
        <w:tc>
          <w:tcPr>
            <w:tcW w:w="0" w:type="dxa"/>
            <w:vAlign w:val="bottom"/>
          </w:tcPr>
          <w:p>
            <w:pPr>
              <w:spacing w:after="0"/>
              <w:rPr>
                <w:sz w:val="1"/>
                <w:szCs w:val="1"/>
                <w:color w:val="auto"/>
              </w:rPr>
            </w:pPr>
          </w:p>
        </w:tc>
      </w:tr>
      <w:tr>
        <w:trPr>
          <w:trHeight w:val="153"/>
        </w:trPr>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80" w:type="dxa"/>
            <w:vAlign w:val="bottom"/>
            <w:gridSpan w:val="17"/>
            <w:vMerge w:val="continue"/>
          </w:tcPr>
          <w:p>
            <w:pPr>
              <w:spacing w:after="0"/>
              <w:rPr>
                <w:sz w:val="13"/>
                <w:szCs w:val="13"/>
                <w:color w:val="auto"/>
              </w:rPr>
            </w:pPr>
          </w:p>
        </w:tc>
        <w:tc>
          <w:tcPr>
            <w:tcW w:w="5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0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0" w:type="dxa"/>
            <w:vAlign w:val="bottom"/>
            <w:tcBorders>
              <w:top w:val="single" w:sz="8" w:color="auto"/>
            </w:tcBorders>
            <w:gridSpan w:val="17"/>
          </w:tcPr>
          <w:p>
            <w:pPr>
              <w:spacing w:after="0" w:line="143"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Evolve Compensation Plan (Australia), as amended on November 1, 2024</w:t>
              </w:r>
            </w:hyperlink>
          </w:p>
        </w:tc>
        <w:tc>
          <w:tcPr>
            <w:tcW w:w="100" w:type="dxa"/>
            <w:vAlign w:val="bottom"/>
          </w:tcPr>
          <w:p>
            <w:pPr>
              <w:spacing w:after="0"/>
              <w:rPr>
                <w:sz w:val="12"/>
                <w:szCs w:val="12"/>
                <w:color w:val="auto"/>
              </w:rPr>
            </w:pPr>
          </w:p>
        </w:tc>
        <w:tc>
          <w:tcPr>
            <w:tcW w:w="50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Exhibit 10.4 to Form 10-Q filed for the fiscal quarter ended December 31, 2024 filed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SEC on February 5,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Evolve Compensation Plan (New Zealand), as amended on November 1, 2024</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10.5 to Form 10-Q filed for the fiscal quarter ended December 31, 2024 filed</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SEC on February 5,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Evolve Compensation Plan (Japan), as amended on November 1, 2024</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10.6 to Form 10-Q filed for the fiscal quarter ended December 31, 2024 filed</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SEC on February 5,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Evolve Compensation Plan (Canada), as amended on November 1, 2024</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10.7 to Form 10-Q filed for the fiscal quarter ended December 31, 2024 filed</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SEC on February 5,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Evolve Compensation Plan (Mexico), as amended on November 1, 2024</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10.8 to Form 10-Q filed for the fiscal quarter ended December 31, 2024 filed</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SEC on February 5,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Evolve Compensation Plan (UK), as amended on November 1, 2024</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10.9 to Form 10-Q filed for the fiscal quarter ended December 31, 2024 filed</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SEC on February 5,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Evolve Compensation Plan (EU), as amended on November 1, 2024</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10.10 to Form 10-Q filed for the fiscal quarter ended December 31, 2024 filed</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the SEC on February 5,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Evolve Compensation Plan (Philippines)</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10.11 to Form 10-Q filed for the fiscal quarter ended March 31, 2025 filed with</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SEC on May 6,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Evolve Compensation Plan (Taiwan)</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10.11 to Form 10-Q filed for the fiscal quarter ended March 31, 2025 filed with</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SEC on May 6,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Evolve Compensation Plan (Hong Kong)</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10.11 to Form 10-Q filed for the fiscal quarter ended March 31, 2025 filed with</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SEC on May 6,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Evolve Compensation Plan (Singapore)</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10.11 to Form 10-Q filed for the fiscal quarter ended March 31, 2025 filed with</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SEC on May 6, 2025.</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Form of Restricted Stock Grant Agreement for the 2017 Long-Term Incentive Plan</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99.2 to the Registration Statement on Form S-8 filed with the SEC on March</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27, 2017.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Form of Stock Unit Agreement for the 2017 Long-Term Incentive Plan</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99.3 to the Registration Statement on Form S-8 filed with the SEC on March</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27, 2017.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LifeVantage Corporation 2019 Employee Stock Purchase Plan, as amended</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Annex B to the Registrant’s Proxy Statement on Schedule 14A, filed with the SEC on</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20, 2024.</w:t>
            </w:r>
          </w:p>
        </w:tc>
        <w:tc>
          <w:tcPr>
            <w:tcW w:w="0" w:type="dxa"/>
            <w:vAlign w:val="bottom"/>
          </w:tcPr>
          <w:p>
            <w:pPr>
              <w:spacing w:after="0"/>
              <w:rPr>
                <w:sz w:val="1"/>
                <w:szCs w:val="1"/>
                <w:color w:val="auto"/>
              </w:rPr>
            </w:pPr>
          </w:p>
        </w:tc>
      </w:tr>
      <w:tr>
        <w:trPr>
          <w:trHeight w:val="27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6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9"/>
              </w:rPr>
            </w:pPr>
            <w:hyperlink r:id="rId99">
              <w:r>
                <w:rPr>
                  <w:rFonts w:ascii="Times New Roman" w:cs="Times New Roman" w:eastAsia="Times New Roman" w:hAnsi="Times New Roman"/>
                  <w:sz w:val="14"/>
                  <w:szCs w:val="14"/>
                  <w:color w:val="0000FF"/>
                  <w:w w:val="99"/>
                </w:rPr>
                <w:t>Form of Indemnification Agreement</w:t>
              </w:r>
            </w:hyperlink>
          </w:p>
        </w:tc>
        <w:tc>
          <w:tcPr>
            <w:tcW w:w="3040" w:type="dxa"/>
            <w:vAlign w:val="bottom"/>
            <w:gridSpan w:val="16"/>
          </w:tcPr>
          <w:p>
            <w:pPr>
              <w:spacing w:after="0"/>
              <w:rPr>
                <w:sz w:val="23"/>
                <w:szCs w:val="23"/>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to 99.1 to Form 8-K filed with the SEC on March 13, 2018.</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8"/>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CEO Offer Letter, dated January 31, 2021, by and between the Company and Steven R.</w:t>
              </w:r>
            </w:hyperlink>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10.1 to Form 10-Q filed for the fiscal quarter ended March 31, 2021 filed 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88"/>
              </w:rPr>
            </w:pPr>
            <w:hyperlink r:id="rId100">
              <w:r>
                <w:rPr>
                  <w:rFonts w:ascii="Times New Roman" w:cs="Times New Roman" w:eastAsia="Times New Roman" w:hAnsi="Times New Roman"/>
                  <w:sz w:val="14"/>
                  <w:szCs w:val="14"/>
                  <w:color w:val="0000FF"/>
                  <w:w w:val="88"/>
                </w:rPr>
                <w:t>Fife</w:t>
              </w:r>
            </w:hyperlink>
          </w:p>
        </w:tc>
        <w:tc>
          <w:tcPr>
            <w:tcW w:w="4720" w:type="dxa"/>
            <w:vAlign w:val="bottom"/>
            <w:tcBorders>
              <w:top w:val="single" w:sz="8" w:color="0000FF"/>
            </w:tcBorders>
            <w:gridSpan w:val="15"/>
          </w:tcPr>
          <w:p>
            <w:pPr>
              <w:spacing w:after="0"/>
              <w:rPr>
                <w:sz w:val="11"/>
                <w:szCs w:val="11"/>
                <w:color w:val="auto"/>
              </w:rPr>
            </w:pPr>
          </w:p>
        </w:tc>
        <w:tc>
          <w:tcPr>
            <w:tcW w:w="160" w:type="dxa"/>
            <w:vAlign w:val="bottom"/>
            <w:gridSpan w:val="2"/>
          </w:tcPr>
          <w:p>
            <w:pPr>
              <w:spacing w:after="0"/>
              <w:rPr>
                <w:sz w:val="11"/>
                <w:szCs w:val="11"/>
                <w:color w:val="auto"/>
              </w:rPr>
            </w:pPr>
          </w:p>
        </w:tc>
        <w:tc>
          <w:tcPr>
            <w:tcW w:w="50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the SEC on April 29, 2021.</w:t>
            </w:r>
          </w:p>
        </w:tc>
        <w:tc>
          <w:tcPr>
            <w:tcW w:w="0" w:type="dxa"/>
            <w:vAlign w:val="bottom"/>
          </w:tcPr>
          <w:p>
            <w:pPr>
              <w:spacing w:after="0"/>
              <w:rPr>
                <w:sz w:val="1"/>
                <w:szCs w:val="1"/>
                <w:color w:val="auto"/>
              </w:rPr>
            </w:pPr>
          </w:p>
        </w:tc>
      </w:tr>
      <w:tr>
        <w:trPr>
          <w:trHeight w:val="934"/>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6"/>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180" w:type="dxa"/>
            <w:vAlign w:val="bottom"/>
            <w:gridSpan w:val="5"/>
            <w:vMerge w:val="restart"/>
          </w:tcPr>
          <w:p>
            <w:pPr>
              <w:ind w:left="112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3"/>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1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0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500" w:type="dxa"/>
            <w:vAlign w:val="bottom"/>
            <w:tcBorders>
              <w:top w:val="single" w:sz="8" w:color="auto"/>
              <w:bottom w:val="single" w:sz="8" w:color="0000FF"/>
            </w:tcBorders>
            <w:gridSpan w:val="2"/>
          </w:tcPr>
          <w:p>
            <w:pPr>
              <w:spacing w:after="0" w:line="143"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Form of Key Executive Benefits Agreement</w:t>
              </w:r>
            </w:hyperlink>
          </w:p>
        </w:tc>
        <w:tc>
          <w:tcPr>
            <w:tcW w:w="2500" w:type="dxa"/>
            <w:vAlign w:val="bottom"/>
            <w:tcBorders>
              <w:top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43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6"/>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Loan Agreement, dated April 12, 2024, by and between the Company and Bank of</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tcBorders>
              <w:top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America, N.A.</w:t>
              </w:r>
            </w:hyperlink>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6"/>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Continuing and Unconditional Guaranty, dated April 12, 2024, by and among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0" w:type="dxa"/>
            <w:vAlign w:val="bottom"/>
            <w:gridSpan w:val="6"/>
          </w:tcPr>
          <w:p>
            <w:pPr>
              <w:spacing w:after="0" w:line="129"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Company, as Borrower, Lifeline Nutraceuticals Corporation, as Guarantor, and Bank of</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40" w:type="dxa"/>
            <w:vAlign w:val="bottom"/>
            <w:tcBorders>
              <w:top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America, N.A.</w:t>
              </w:r>
            </w:hyperlink>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31864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Exhibit 10.09# to Form 10-K for the fiscal year ended June 30, 2024 filed with the SEC on August 28,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with the SEC on April 16,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 to Form 8-K filed with the SEC on April 16, 2024.</w:t>
      </w:r>
    </w:p>
    <w:p>
      <w:pPr>
        <w:spacing w:after="0" w:line="432" w:lineRule="exact"/>
        <w:rPr>
          <w:sz w:val="20"/>
          <w:szCs w:val="20"/>
          <w:color w:val="auto"/>
        </w:rPr>
      </w:pPr>
    </w:p>
    <w:p>
      <w:pPr>
        <w:sectPr>
          <w:pgSz w:w="11900" w:h="16838" w:orient="portrait"/>
          <w:cols w:equalWidth="0" w:num="2">
            <w:col w:w="6120" w:space="100"/>
            <w:col w:w="4960"/>
          </w:cols>
          <w:pgMar w:left="300" w:top="927" w:right="419" w:bottom="1440" w:gutter="0" w:footer="0" w:header="0"/>
        </w:sectPr>
      </w:pPr>
    </w:p>
    <w:p>
      <w:pPr>
        <w:ind w:left="20"/>
        <w:spacing w:after="0"/>
        <w:tabs>
          <w:tab w:leader="none" w:pos="1100" w:val="left"/>
          <w:tab w:leader="none" w:pos="620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w:t>
      </w:r>
      <w:r>
        <w:rPr>
          <w:sz w:val="20"/>
          <w:szCs w:val="20"/>
          <w:color w:val="auto"/>
        </w:rPr>
        <w:tab/>
      </w:r>
      <w:hyperlink r:id="rId107">
        <w:r>
          <w:rPr>
            <w:rFonts w:ascii="Times New Roman" w:cs="Times New Roman" w:eastAsia="Times New Roman" w:hAnsi="Times New Roman"/>
            <w:sz w:val="14"/>
            <w:szCs w:val="14"/>
            <w:u w:val="single" w:color="auto"/>
            <w:color w:val="0000FF"/>
          </w:rPr>
          <w:t>Security and Pledge Agreement, dated April 12, 2024, by and among the Company, as</w:t>
        </w:r>
      </w:hyperlink>
      <w:r>
        <w:rPr>
          <w:rFonts w:ascii="Times New Roman" w:cs="Times New Roman" w:eastAsia="Times New Roman" w:hAnsi="Times New Roman"/>
          <w:sz w:val="14"/>
          <w:szCs w:val="14"/>
          <w:u w:val="single" w:color="auto"/>
          <w:color w:val="0000FF"/>
        </w:rPr>
        <w:tab/>
        <w:t>Exhibit 10.3 to Form 8-K filed with the SEC on April 16, 2024.</w:t>
      </w:r>
    </w:p>
    <w:p>
      <w:pPr>
        <w:ind w:left="1120"/>
        <w:spacing w:after="0" w:line="210" w:lineRule="auto"/>
        <w:rPr>
          <w:rFonts w:ascii="Times New Roman" w:cs="Times New Roman" w:eastAsia="Times New Roman" w:hAnsi="Times New Roman"/>
          <w:sz w:val="14"/>
          <w:szCs w:val="14"/>
          <w:u w:val="single" w:color="auto"/>
          <w:color w:val="0000FF"/>
        </w:rPr>
      </w:pPr>
      <w:hyperlink r:id="rId107">
        <w:r>
          <w:rPr>
            <w:rFonts w:ascii="Times New Roman" w:cs="Times New Roman" w:eastAsia="Times New Roman" w:hAnsi="Times New Roman"/>
            <w:sz w:val="14"/>
            <w:szCs w:val="14"/>
            <w:u w:val="single" w:color="auto"/>
            <w:color w:val="0000FF"/>
          </w:rPr>
          <w:t>Borrower, Lifeline Nutraceuticals Corporation, as Guarantor, and Bank of America,</w:t>
        </w:r>
      </w:hyperlink>
    </w:p>
    <w:p>
      <w:pPr>
        <w:spacing w:after="0" w:line="1" w:lineRule="exact"/>
        <w:rPr>
          <w:sz w:val="20"/>
          <w:szCs w:val="20"/>
          <w:color w:val="auto"/>
        </w:rPr>
      </w:pPr>
    </w:p>
    <w:p>
      <w:pPr>
        <w:ind w:left="1120"/>
        <w:spacing w:after="0"/>
        <w:rPr>
          <w:rFonts w:ascii="Times New Roman" w:cs="Times New Roman" w:eastAsia="Times New Roman" w:hAnsi="Times New Roman"/>
          <w:sz w:val="14"/>
          <w:szCs w:val="14"/>
          <w:u w:val="single" w:color="auto"/>
          <w:color w:val="0000FF"/>
        </w:rPr>
      </w:pPr>
      <w:hyperlink r:id="rId107">
        <w:r>
          <w:rPr>
            <w:rFonts w:ascii="Times New Roman" w:cs="Times New Roman" w:eastAsia="Times New Roman" w:hAnsi="Times New Roman"/>
            <w:sz w:val="14"/>
            <w:szCs w:val="14"/>
            <w:u w:val="single" w:color="auto"/>
            <w:color w:val="0000FF"/>
          </w:rPr>
          <w:t>N.A.</w:t>
        </w:r>
      </w:hyperlink>
    </w:p>
    <w:p>
      <w:pPr>
        <w:sectPr>
          <w:pgSz w:w="11900" w:h="16838" w:orient="portrait"/>
          <w:cols w:equalWidth="0" w:num="1">
            <w:col w:w="11180"/>
          </w:cols>
          <w:pgMar w:left="300" w:top="927" w:right="419" w:bottom="1440" w:gutter="0" w:footer="0" w:header="0"/>
          <w:type w:val="continuous"/>
        </w:sectPr>
      </w:pP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Loan Agreement, dated March 30, 2016, by and between Z.B., N.A., the Company and</w:t>
              </w:r>
            </w:hyperlink>
          </w:p>
        </w:tc>
      </w:tr>
      <w:tr>
        <w:trPr>
          <w:trHeight w:val="129"/>
        </w:trPr>
        <w:tc>
          <w:tcPr>
            <w:tcW w:w="110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Lifeline Nutraceuticals Corporation</w:t>
              </w:r>
            </w:hyperlink>
          </w:p>
        </w:tc>
        <w:tc>
          <w:tcPr>
            <w:tcW w:w="294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Security Agreement, dated March 30, 2016, by and between Z.B., N.A., the Company</w:t>
              </w:r>
            </w:hyperlink>
          </w:p>
        </w:tc>
      </w:tr>
      <w:tr>
        <w:trPr>
          <w:trHeight w:val="129"/>
        </w:trPr>
        <w:tc>
          <w:tcPr>
            <w:tcW w:w="1100" w:type="dxa"/>
            <w:vAlign w:val="bottom"/>
          </w:tcPr>
          <w:p>
            <w:pPr>
              <w:spacing w:after="0"/>
              <w:rPr>
                <w:sz w:val="11"/>
                <w:szCs w:val="11"/>
                <w:color w:val="auto"/>
              </w:rPr>
            </w:pPr>
          </w:p>
        </w:tc>
        <w:tc>
          <w:tcPr>
            <w:tcW w:w="486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and Lifeline Nutraceuticals Corporation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Amended No.1 to Loan Agreement, dated May 4, 2018, by and between Z.B., N.A., the</w:t>
              </w:r>
            </w:hyperlink>
          </w:p>
        </w:tc>
      </w:tr>
      <w:tr>
        <w:trPr>
          <w:trHeight w:val="129"/>
        </w:trPr>
        <w:tc>
          <w:tcPr>
            <w:tcW w:w="1100" w:type="dxa"/>
            <w:vAlign w:val="bottom"/>
          </w:tcPr>
          <w:p>
            <w:pPr>
              <w:spacing w:after="0"/>
              <w:rPr>
                <w:sz w:val="11"/>
                <w:szCs w:val="11"/>
                <w:color w:val="auto"/>
              </w:rPr>
            </w:pPr>
          </w:p>
        </w:tc>
        <w:tc>
          <w:tcPr>
            <w:tcW w:w="28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Company and Lifeline Nutraceuticals Corporation</w:t>
              </w:r>
            </w:hyperlink>
          </w:p>
        </w:tc>
        <w:tc>
          <w:tcPr>
            <w:tcW w:w="216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Second Loan Modification Agreement, dated February 1, 2019, by and between Zions</w:t>
              </w:r>
            </w:hyperlink>
          </w:p>
        </w:tc>
      </w:tr>
      <w:tr>
        <w:trPr>
          <w:trHeight w:val="129"/>
        </w:trPr>
        <w:tc>
          <w:tcPr>
            <w:tcW w:w="1100" w:type="dxa"/>
            <w:vAlign w:val="bottom"/>
          </w:tcPr>
          <w:p>
            <w:pPr>
              <w:spacing w:after="0"/>
              <w:rPr>
                <w:sz w:val="11"/>
                <w:szCs w:val="11"/>
                <w:color w:val="auto"/>
              </w:rPr>
            </w:pPr>
          </w:p>
        </w:tc>
        <w:tc>
          <w:tcPr>
            <w:tcW w:w="488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Bank and the Company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Change in Terms Agreement, dated April 1, 2021, by and between Zions Bank and the</w:t>
              </w:r>
            </w:hyperlink>
          </w:p>
        </w:tc>
      </w:tr>
      <w:tr>
        <w:trPr>
          <w:trHeight w:val="129"/>
        </w:trPr>
        <w:tc>
          <w:tcPr>
            <w:tcW w:w="1100" w:type="dxa"/>
            <w:vAlign w:val="bottom"/>
          </w:tcPr>
          <w:p>
            <w:pPr>
              <w:spacing w:after="0"/>
              <w:rPr>
                <w:sz w:val="11"/>
                <w:szCs w:val="11"/>
                <w:color w:val="auto"/>
              </w:rPr>
            </w:pPr>
          </w:p>
        </w:tc>
        <w:tc>
          <w:tcPr>
            <w:tcW w:w="494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Company</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Change in Terms Agreement, dated September 30, 2022 by and between the Company</w:t>
              </w:r>
            </w:hyperlink>
          </w:p>
        </w:tc>
      </w:tr>
      <w:tr>
        <w:trPr>
          <w:trHeight w:val="129"/>
        </w:trPr>
        <w:tc>
          <w:tcPr>
            <w:tcW w:w="1100" w:type="dxa"/>
            <w:vAlign w:val="bottom"/>
          </w:tcPr>
          <w:p>
            <w:pPr>
              <w:spacing w:after="0"/>
              <w:rPr>
                <w:sz w:val="11"/>
                <w:szCs w:val="11"/>
                <w:color w:val="auto"/>
              </w:rPr>
            </w:pPr>
          </w:p>
        </w:tc>
        <w:tc>
          <w:tcPr>
            <w:tcW w:w="492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and Zions Bank</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Lease Agreement, dated November 14, 2019, by and between Traverse Ridge Center III</w:t>
              </w:r>
            </w:hyperlink>
          </w:p>
        </w:tc>
      </w:tr>
      <w:tr>
        <w:trPr>
          <w:trHeight w:val="129"/>
        </w:trPr>
        <w:tc>
          <w:tcPr>
            <w:tcW w:w="1100" w:type="dxa"/>
            <w:vAlign w:val="bottom"/>
          </w:tcPr>
          <w:p>
            <w:pPr>
              <w:spacing w:after="0"/>
              <w:rPr>
                <w:sz w:val="11"/>
                <w:szCs w:val="11"/>
                <w:color w:val="auto"/>
              </w:rPr>
            </w:pPr>
          </w:p>
        </w:tc>
        <w:tc>
          <w:tcPr>
            <w:tcW w:w="502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and the Company</w:t>
              </w:r>
            </w:hyperlink>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Lease Agreement, dated May 26, 2023, by and between Sumitomo Mitsui Trust Bank,</w:t>
              </w:r>
            </w:hyperlink>
          </w:p>
        </w:tc>
      </w:tr>
      <w:tr>
        <w:trPr>
          <w:trHeight w:val="129"/>
        </w:trPr>
        <w:tc>
          <w:tcPr>
            <w:tcW w:w="110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w w:val="99"/>
              </w:rPr>
            </w:pPr>
            <w:hyperlink r:id="rId115">
              <w:r>
                <w:rPr>
                  <w:rFonts w:ascii="Times New Roman" w:cs="Times New Roman" w:eastAsia="Times New Roman" w:hAnsi="Times New Roman"/>
                  <w:sz w:val="14"/>
                  <w:szCs w:val="14"/>
                  <w:color w:val="0000FF"/>
                  <w:w w:val="99"/>
                </w:rPr>
                <w:t>Limited and LifeVantage Japan in US/English Format</w:t>
              </w:r>
            </w:hyperlink>
          </w:p>
        </w:tc>
        <w:tc>
          <w:tcPr>
            <w:tcW w:w="1860" w:type="dxa"/>
            <w:vAlign w:val="bottom"/>
            <w:tcBorders>
              <w:top w:val="single" w:sz="8" w:color="0000FF"/>
            </w:tcBorders>
            <w:gridSpan w:val="6"/>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10.20*</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Commercial Supply Agreement, dated January 31, 2014, by and between the Company</w:t>
              </w:r>
            </w:hyperlink>
          </w:p>
        </w:tc>
      </w:tr>
      <w:tr>
        <w:trPr>
          <w:trHeight w:val="129"/>
        </w:trPr>
        <w:tc>
          <w:tcPr>
            <w:tcW w:w="1100" w:type="dxa"/>
            <w:vAlign w:val="bottom"/>
          </w:tcPr>
          <w:p>
            <w:pPr>
              <w:spacing w:after="0"/>
              <w:rPr>
                <w:sz w:val="11"/>
                <w:szCs w:val="11"/>
                <w:color w:val="auto"/>
              </w:rPr>
            </w:pPr>
          </w:p>
        </w:tc>
        <w:tc>
          <w:tcPr>
            <w:tcW w:w="170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w w:val="99"/>
              </w:rPr>
            </w:pPr>
            <w:hyperlink r:id="rId116">
              <w:r>
                <w:rPr>
                  <w:rFonts w:ascii="Times New Roman" w:cs="Times New Roman" w:eastAsia="Times New Roman" w:hAnsi="Times New Roman"/>
                  <w:sz w:val="14"/>
                  <w:szCs w:val="14"/>
                  <w:color w:val="0000FF"/>
                  <w:w w:val="99"/>
                </w:rPr>
                <w:t>and Deseret Laboratories, Inc.</w:t>
              </w:r>
            </w:hyperlink>
          </w:p>
        </w:tc>
        <w:tc>
          <w:tcPr>
            <w:tcW w:w="328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10.21*</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Service Agreement, dated June 1, 2014, by and between IntegraCore, LLC and the</w:t>
              </w:r>
            </w:hyperlink>
          </w:p>
        </w:tc>
      </w:tr>
      <w:tr>
        <w:trPr>
          <w:trHeight w:val="129"/>
        </w:trPr>
        <w:tc>
          <w:tcPr>
            <w:tcW w:w="1100" w:type="dxa"/>
            <w:vAlign w:val="bottom"/>
          </w:tcPr>
          <w:p>
            <w:pPr>
              <w:spacing w:after="0"/>
              <w:rPr>
                <w:sz w:val="11"/>
                <w:szCs w:val="11"/>
                <w:color w:val="auto"/>
              </w:rPr>
            </w:pPr>
          </w:p>
        </w:tc>
        <w:tc>
          <w:tcPr>
            <w:tcW w:w="466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Company</w:t>
              </w:r>
            </w:hyperlink>
          </w:p>
        </w:tc>
        <w:tc>
          <w:tcPr>
            <w:tcW w:w="80" w:type="dxa"/>
            <w:vAlign w:val="bottom"/>
          </w:tcPr>
          <w:p>
            <w:pPr>
              <w:spacing w:after="0"/>
              <w:rPr>
                <w:sz w:val="11"/>
                <w:szCs w:val="11"/>
                <w:color w:val="auto"/>
              </w:rPr>
            </w:pPr>
          </w:p>
        </w:tc>
        <w:tc>
          <w:tcPr>
            <w:tcW w:w="300" w:type="dxa"/>
            <w:vAlign w:val="bottom"/>
            <w:gridSpan w:val="10"/>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5040" w:type="dxa"/>
            <w:vAlign w:val="bottom"/>
            <w:gridSpan w:val="23"/>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Commercial Supply Agreement, dated May 30, 2014, by and between the Company</w:t>
              </w:r>
            </w:hyperlink>
          </w:p>
        </w:tc>
      </w:tr>
      <w:tr>
        <w:trPr>
          <w:trHeight w:val="129"/>
        </w:trPr>
        <w:tc>
          <w:tcPr>
            <w:tcW w:w="1100" w:type="dxa"/>
            <w:vAlign w:val="bottom"/>
          </w:tcPr>
          <w:p>
            <w:pPr>
              <w:spacing w:after="0"/>
              <w:rPr>
                <w:sz w:val="11"/>
                <w:szCs w:val="11"/>
                <w:color w:val="auto"/>
              </w:rPr>
            </w:pPr>
          </w:p>
        </w:tc>
        <w:tc>
          <w:tcPr>
            <w:tcW w:w="198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w w:val="99"/>
              </w:rPr>
            </w:pPr>
            <w:hyperlink r:id="rId118">
              <w:r>
                <w:rPr>
                  <w:rFonts w:ascii="Times New Roman" w:cs="Times New Roman" w:eastAsia="Times New Roman" w:hAnsi="Times New Roman"/>
                  <w:sz w:val="14"/>
                  <w:szCs w:val="14"/>
                  <w:color w:val="0000FF"/>
                  <w:w w:val="99"/>
                </w:rPr>
                <w:t>and Wasatch Product Development</w:t>
              </w:r>
            </w:hyperlink>
          </w:p>
        </w:tc>
        <w:tc>
          <w:tcPr>
            <w:tcW w:w="2760" w:type="dxa"/>
            <w:vAlign w:val="bottom"/>
            <w:tcBorders>
              <w:top w:val="single" w:sz="8" w:color="0000FF"/>
            </w:tcBorders>
            <w:gridSpan w:val="7"/>
          </w:tcPr>
          <w:p>
            <w:pPr>
              <w:spacing w:after="0"/>
              <w:rPr>
                <w:sz w:val="11"/>
                <w:szCs w:val="11"/>
                <w:color w:val="auto"/>
              </w:rPr>
            </w:pPr>
          </w:p>
        </w:tc>
        <w:tc>
          <w:tcPr>
            <w:tcW w:w="300" w:type="dxa"/>
            <w:vAlign w:val="bottom"/>
            <w:gridSpan w:val="10"/>
          </w:tcPr>
          <w:p>
            <w:pPr>
              <w:spacing w:after="0"/>
              <w:rPr>
                <w:sz w:val="11"/>
                <w:szCs w:val="11"/>
                <w:color w:val="auto"/>
              </w:rPr>
            </w:pP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19.1</w:t>
            </w:r>
          </w:p>
        </w:tc>
        <w:tc>
          <w:tcPr>
            <w:tcW w:w="504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Insider Trading Policy, amended and restated on April 29, 2025</w:t>
            </w:r>
          </w:p>
        </w:tc>
      </w:tr>
      <w:tr>
        <w:trPr>
          <w:trHeight w:val="807"/>
        </w:trPr>
        <w:tc>
          <w:tcPr>
            <w:tcW w:w="1100" w:type="dxa"/>
            <w:vAlign w:val="bottom"/>
          </w:tcPr>
          <w:p>
            <w:pPr>
              <w:spacing w:after="0"/>
              <w:rPr>
                <w:sz w:val="24"/>
                <w:szCs w:val="24"/>
                <w:color w:val="auto"/>
              </w:rPr>
            </w:pPr>
          </w:p>
        </w:tc>
        <w:tc>
          <w:tcPr>
            <w:tcW w:w="3580" w:type="dxa"/>
            <w:vAlign w:val="bottom"/>
            <w:tcBorders>
              <w:top w:val="single" w:sz="8" w:color="0000FF"/>
            </w:tcBorders>
            <w:gridSpan w:val="11"/>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with the SEC on April 4, 2016.</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10.2 to Form 8-K filed with the SEC on April 4, 2016.</w:t>
      </w:r>
    </w:p>
    <w:p>
      <w:pPr>
        <w:spacing w:after="0" w:line="2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March 31, 2018 filed with the SEC on May 9, 2018.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10.1 to Form 8-K filed with the SEC on February 4, 2019.</w:t>
      </w:r>
    </w:p>
    <w:p>
      <w:pPr>
        <w:spacing w:after="0" w:line="2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Exhibit 10.3 to Form 10-Q filed for the fiscal quarter ended March 31, 2021 filed with the SEC on April 29, 2021.</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September 30, 2022 filed with the SEC on November 2, 2022.</w:t>
      </w:r>
    </w:p>
    <w:p>
      <w:pPr>
        <w:spacing w:after="0" w:line="11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December 31, 2019 with the SEC on January 28, 2020.</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Exhibit 10.1 to Form 10-Q filed for the fiscal quarter ended September 30, 2023 filed with the SEC on November 9, 2023.</w:t>
      </w:r>
    </w:p>
    <w:p>
      <w:pPr>
        <w:spacing w:after="0" w:line="11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Exhibit 10.1 to Form 10-Q for the fiscal quarter ended March 31, 2014 filed with the SEC on May 6, 2014.</w:t>
      </w:r>
    </w:p>
    <w:p>
      <w:pPr>
        <w:spacing w:after="0" w:line="1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Exhibit 10.29 to Form 10-K for the fiscal year ended June 30, 2014 filed with the SEC on September 10, 2014.</w:t>
      </w:r>
    </w:p>
    <w:p>
      <w:pPr>
        <w:spacing w:after="0" w:line="1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Exhibit 10.30 to Form 10-K for the fiscal year ended June 30, 2014 filed with the SEC on September 10, 2014.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ectPr>
          <w:pgSz w:w="11900" w:h="16838" w:orient="portrait"/>
          <w:cols w:equalWidth="0" w:num="2">
            <w:col w:w="6080" w:space="140"/>
            <w:col w:w="4960"/>
          </w:cols>
          <w:pgMar w:left="300" w:top="927" w:right="41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00" w:type="dxa"/>
            <w:vAlign w:val="bottom"/>
            <w:gridSpan w:val="5"/>
            <w:vMerge w:val="restart"/>
          </w:tcPr>
          <w:p>
            <w:pPr>
              <w:ind w:left="84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100" w:type="dxa"/>
            <w:vAlign w:val="bottom"/>
            <w:vMerge w:val="restart"/>
          </w:tcPr>
          <w:p>
            <w:pPr>
              <w:spacing w:after="0"/>
              <w:rPr>
                <w:sz w:val="11"/>
                <w:szCs w:val="11"/>
                <w:color w:val="auto"/>
              </w:rPr>
            </w:pPr>
          </w:p>
        </w:tc>
        <w:tc>
          <w:tcPr>
            <w:tcW w:w="5020" w:type="dxa"/>
            <w:vAlign w:val="bottom"/>
            <w:vMerge w:val="restart"/>
          </w:tcPr>
          <w:p>
            <w:pPr>
              <w:ind w:left="1260"/>
              <w:spacing w:after="0"/>
              <w:rPr>
                <w:sz w:val="20"/>
                <w:szCs w:val="20"/>
                <w:color w:val="auto"/>
              </w:rPr>
            </w:pPr>
            <w:r>
              <w:rPr>
                <w:rFonts w:ascii="Times New Roman" w:cs="Times New Roman" w:eastAsia="Times New Roman" w:hAnsi="Times New Roman"/>
                <w:sz w:val="11"/>
                <w:szCs w:val="11"/>
                <w:b w:val="1"/>
                <w:bCs w:val="1"/>
                <w:color w:val="auto"/>
              </w:rPr>
              <w:t>Filed Herewith or Incorporated by Reference From</w:t>
            </w:r>
          </w:p>
        </w:tc>
        <w:tc>
          <w:tcPr>
            <w:tcW w:w="0" w:type="dxa"/>
            <w:vAlign w:val="bottom"/>
          </w:tcPr>
          <w:p>
            <w:pPr>
              <w:spacing w:after="0"/>
              <w:rPr>
                <w:sz w:val="1"/>
                <w:szCs w:val="1"/>
                <w:color w:val="auto"/>
              </w:rPr>
            </w:pPr>
          </w:p>
        </w:tc>
      </w:tr>
      <w:tr>
        <w:trPr>
          <w:trHeight w:val="153"/>
        </w:trPr>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No.</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4000" w:type="dxa"/>
            <w:vAlign w:val="bottom"/>
            <w:gridSpan w:val="6"/>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Consent of Deloitte &amp; Touche, LLP</w:t>
            </w:r>
          </w:p>
        </w:tc>
        <w:tc>
          <w:tcPr>
            <w:tcW w:w="3080" w:type="dxa"/>
            <w:vAlign w:val="bottom"/>
            <w:gridSpan w:val="5"/>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319"/>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Power of Attorney</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Signature page to this report.</w:t>
            </w:r>
          </w:p>
        </w:tc>
        <w:tc>
          <w:tcPr>
            <w:tcW w:w="0" w:type="dxa"/>
            <w:vAlign w:val="bottom"/>
          </w:tcPr>
          <w:p>
            <w:pPr>
              <w:spacing w:after="0"/>
              <w:rPr>
                <w:sz w:val="1"/>
                <w:szCs w:val="1"/>
                <w:color w:val="auto"/>
              </w:rPr>
            </w:pPr>
          </w:p>
        </w:tc>
      </w:tr>
      <w:tr>
        <w:trPr>
          <w:trHeight w:val="27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2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180" w:type="dxa"/>
            <w:vAlign w:val="bottom"/>
            <w:gridSpan w:val="2"/>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220" w:type="dxa"/>
            <w:vAlign w:val="bottom"/>
            <w:gridSpan w:val="3"/>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2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180" w:type="dxa"/>
            <w:vAlign w:val="bottom"/>
            <w:gridSpan w:val="2"/>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220" w:type="dxa"/>
            <w:vAlign w:val="bottom"/>
            <w:gridSpan w:val="3"/>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Company Policy for the Recovery of Erroneously Awarded Compensation (Clawback</w:t>
              </w:r>
            </w:hyperlink>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Exhibit 97.1 to Form 10-K for the fiscal year ended June 30, 2024 filed with the SEC</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40" w:type="dxa"/>
            <w:vAlign w:val="bottom"/>
            <w:tcBorders>
              <w:top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Policy)</w:t>
              </w:r>
            </w:hyperlink>
          </w:p>
        </w:tc>
        <w:tc>
          <w:tcPr>
            <w:tcW w:w="260" w:type="dxa"/>
            <w:vAlign w:val="bottom"/>
            <w:gridSpan w:val="4"/>
          </w:tcPr>
          <w:p>
            <w:pPr>
              <w:spacing w:after="0"/>
              <w:rPr>
                <w:sz w:val="11"/>
                <w:szCs w:val="11"/>
                <w:color w:val="auto"/>
              </w:rPr>
            </w:pPr>
          </w:p>
        </w:tc>
        <w:tc>
          <w:tcPr>
            <w:tcW w:w="50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on August 28, 2024.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financial information from the registrant’s Annual Report on Form 10-K</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gridSpan w:val="9"/>
          </w:tcPr>
          <w:p>
            <w:pPr>
              <w:spacing w:after="0" w:line="142" w:lineRule="exact"/>
              <w:rPr>
                <w:sz w:val="20"/>
                <w:szCs w:val="20"/>
                <w:color w:val="auto"/>
              </w:rPr>
            </w:pPr>
            <w:r>
              <w:rPr>
                <w:rFonts w:ascii="Times New Roman" w:cs="Times New Roman" w:eastAsia="Times New Roman" w:hAnsi="Times New Roman"/>
                <w:sz w:val="14"/>
                <w:szCs w:val="14"/>
                <w:color w:val="auto"/>
              </w:rPr>
              <w:t>for the year ended June 30, 2025 formatted in Inline XBRL (eXtensible Business</w:t>
            </w: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00" w:type="dxa"/>
            <w:vAlign w:val="bottom"/>
            <w:gridSpan w:val="9"/>
          </w:tcPr>
          <w:p>
            <w:pPr>
              <w:spacing w:after="0" w:line="138" w:lineRule="exact"/>
              <w:rPr>
                <w:sz w:val="20"/>
                <w:szCs w:val="20"/>
                <w:color w:val="auto"/>
              </w:rPr>
            </w:pPr>
            <w:r>
              <w:rPr>
                <w:rFonts w:ascii="Times New Roman" w:cs="Times New Roman" w:eastAsia="Times New Roman" w:hAnsi="Times New Roman"/>
                <w:sz w:val="14"/>
                <w:szCs w:val="14"/>
                <w:color w:val="auto"/>
              </w:rPr>
              <w:t>Reporting Language): (i) Consolidated Balance Sheets; (ii) Consolidated Statements of</w:t>
            </w: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gridSpan w:val="9"/>
          </w:tcPr>
          <w:p>
            <w:pPr>
              <w:spacing w:after="0" w:line="145" w:lineRule="exact"/>
              <w:rPr>
                <w:sz w:val="20"/>
                <w:szCs w:val="20"/>
                <w:color w:val="auto"/>
              </w:rPr>
            </w:pPr>
            <w:r>
              <w:rPr>
                <w:rFonts w:ascii="Times New Roman" w:cs="Times New Roman" w:eastAsia="Times New Roman" w:hAnsi="Times New Roman"/>
                <w:sz w:val="14"/>
                <w:szCs w:val="14"/>
                <w:color w:val="auto"/>
              </w:rPr>
              <w:t>Operations and Other Comprehensive Income; (iii) Consolidated Statement of</w:t>
            </w: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gridSpan w:val="9"/>
          </w:tcPr>
          <w:p>
            <w:pPr>
              <w:spacing w:after="0" w:line="142" w:lineRule="exact"/>
              <w:rPr>
                <w:sz w:val="20"/>
                <w:szCs w:val="20"/>
                <w:color w:val="auto"/>
              </w:rPr>
            </w:pPr>
            <w:r>
              <w:rPr>
                <w:rFonts w:ascii="Times New Roman" w:cs="Times New Roman" w:eastAsia="Times New Roman" w:hAnsi="Times New Roman"/>
                <w:sz w:val="14"/>
                <w:szCs w:val="14"/>
                <w:color w:val="auto"/>
              </w:rPr>
              <w:t>Stockholders’ Deficit; (iv) Consolidated Statements of Cash Flows; and (v) Notes to</w:t>
            </w: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Consolidated Financial Statements, tagged as blocks of text.</w:t>
            </w: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w:t>
            </w: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120" w:hanging="1101"/>
        <w:spacing w:after="0"/>
        <w:tabs>
          <w:tab w:leader="none" w:pos="1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w:t>
      </w:r>
    </w:p>
    <w:p>
      <w:pPr>
        <w:spacing w:after="0" w:line="23" w:lineRule="exact"/>
        <w:rPr>
          <w:sz w:val="20"/>
          <w:szCs w:val="20"/>
          <w:color w:val="auto"/>
        </w:rPr>
      </w:pPr>
    </w:p>
    <w:p>
      <w:pPr>
        <w:ind w:left="1120" w:right="180" w:hanging="1101"/>
        <w:spacing w:after="0" w:line="237" w:lineRule="auto"/>
        <w:tabs>
          <w:tab w:leader="none" w:pos="1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duly caused this report to be signed on its behalf by the undersigned, thereunto duly authorized.</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7" w:right="359" w:bottom="1440" w:gutter="0" w:footer="0" w:header="0"/>
        </w:sectPr>
      </w:pPr>
    </w:p>
    <w:bookmarkStart w:id="60" w:name="page61"/>
    <w:bookmarkEnd w:id="60"/>
    <w:p>
      <w:pPr>
        <w:ind w:left="5900"/>
        <w:spacing w:after="0"/>
        <w:rPr>
          <w:sz w:val="20"/>
          <w:szCs w:val="20"/>
          <w:color w:val="auto"/>
        </w:rPr>
      </w:pPr>
      <w:r>
        <w:rPr>
          <w:rFonts w:ascii="Times New Roman" w:cs="Times New Roman" w:eastAsia="Times New Roman" w:hAnsi="Times New Roman"/>
          <w:sz w:val="14"/>
          <w:szCs w:val="14"/>
          <w:color w:val="auto"/>
        </w:rPr>
        <w:t>LIFEVANTAGE CORPORATION</w:t>
      </w:r>
    </w:p>
    <w:p>
      <w:pPr>
        <w:spacing w:after="0" w:line="232" w:lineRule="exact"/>
        <w:rPr>
          <w:sz w:val="20"/>
          <w:szCs w:val="20"/>
          <w:color w:val="auto"/>
        </w:rPr>
      </w:pPr>
    </w:p>
    <w:p>
      <w:pPr>
        <w:ind w:left="5660"/>
        <w:spacing w:after="0"/>
        <w:tabs>
          <w:tab w:leader="none" w:pos="6160" w:val="left"/>
        </w:tabs>
        <w:rPr>
          <w:sz w:val="20"/>
          <w:szCs w:val="20"/>
          <w:color w:val="auto"/>
        </w:rPr>
      </w:pPr>
      <w:r>
        <w:rPr>
          <w:rFonts w:ascii="Times New Roman" w:cs="Times New Roman" w:eastAsia="Times New Roman" w:hAnsi="Times New Roman"/>
          <w:sz w:val="14"/>
          <w:szCs w:val="14"/>
          <w:color w:val="auto"/>
        </w:rPr>
        <w:t>By: /s/</w:t>
      </w:r>
      <w:r>
        <w:rPr>
          <w:sz w:val="20"/>
          <w:szCs w:val="20"/>
          <w:color w:val="auto"/>
        </w:rPr>
        <w:tab/>
      </w:r>
      <w:r>
        <w:rPr>
          <w:rFonts w:ascii="Times New Roman" w:cs="Times New Roman" w:eastAsia="Times New Roman" w:hAnsi="Times New Roman"/>
          <w:sz w:val="13"/>
          <w:szCs w:val="13"/>
          <w:color w:val="auto"/>
        </w:rPr>
        <w:t>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4290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1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Steven R. Fife</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Date: September 4, 2025</w:t>
      </w:r>
    </w:p>
    <w:p>
      <w:pPr>
        <w:spacing w:after="0" w:line="217" w:lineRule="exact"/>
        <w:rPr>
          <w:sz w:val="20"/>
          <w:szCs w:val="20"/>
          <w:color w:val="auto"/>
        </w:rPr>
      </w:pPr>
    </w:p>
    <w:p>
      <w:pPr>
        <w:ind w:left="5660"/>
        <w:spacing w:after="0"/>
        <w:tabs>
          <w:tab w:leader="none" w:pos="6160" w:val="left"/>
        </w:tabs>
        <w:rPr>
          <w:sz w:val="20"/>
          <w:szCs w:val="20"/>
          <w:color w:val="auto"/>
        </w:rPr>
      </w:pPr>
      <w:r>
        <w:rPr>
          <w:rFonts w:ascii="Times New Roman" w:cs="Times New Roman" w:eastAsia="Times New Roman" w:hAnsi="Times New Roman"/>
          <w:sz w:val="14"/>
          <w:szCs w:val="14"/>
          <w:color w:val="auto"/>
        </w:rPr>
        <w:t>By: /s/</w:t>
      </w:r>
      <w:r>
        <w:rPr>
          <w:sz w:val="20"/>
          <w:szCs w:val="20"/>
          <w:color w:val="auto"/>
        </w:rPr>
        <w:tab/>
      </w:r>
      <w:r>
        <w:rPr>
          <w:rFonts w:ascii="Times New Roman" w:cs="Times New Roman" w:eastAsia="Times New Roman" w:hAnsi="Times New Roman"/>
          <w:sz w:val="13"/>
          <w:szCs w:val="13"/>
          <w:color w:val="auto"/>
        </w:rPr>
        <w:t>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4290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1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Carl A. Aure</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Date: September 4, 2025</w:t>
      </w:r>
    </w:p>
    <w:p>
      <w:pPr>
        <w:spacing w:after="0" w:line="1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Each person whose individual signature appears below hereby constitutes and appoints Steven R. Fife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0"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Pr>
          <w:p>
            <w:pPr>
              <w:jc w:val="center"/>
              <w:ind w:right="1911"/>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1"/>
                <w:szCs w:val="11"/>
                <w:b w:val="1"/>
                <w:bCs w:val="1"/>
                <w:color w:val="auto"/>
              </w:rPr>
              <w:t>Title</w:t>
            </w:r>
          </w:p>
        </w:tc>
        <w:tc>
          <w:tcPr>
            <w:tcW w:w="0" w:type="dxa"/>
            <w:vAlign w:val="bottom"/>
          </w:tcPr>
          <w:p>
            <w:pPr>
              <w:spacing w:after="0"/>
              <w:rPr>
                <w:sz w:val="1"/>
                <w:szCs w:val="1"/>
                <w:color w:val="auto"/>
              </w:rPr>
            </w:pPr>
          </w:p>
        </w:tc>
      </w:tr>
      <w:tr>
        <w:trPr>
          <w:trHeight w:val="390"/>
        </w:trPr>
        <w:tc>
          <w:tcPr>
            <w:tcW w:w="20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tcPr>
          <w:p>
            <w:pPr>
              <w:jc w:val="center"/>
              <w:ind w:right="1651"/>
              <w:spacing w:after="0"/>
              <w:rPr>
                <w:sz w:val="20"/>
                <w:szCs w:val="20"/>
                <w:color w:val="auto"/>
              </w:rPr>
            </w:pPr>
            <w:r>
              <w:rPr>
                <w:rFonts w:ascii="Times New Roman" w:cs="Times New Roman" w:eastAsia="Times New Roman" w:hAnsi="Times New Roman"/>
                <w:sz w:val="14"/>
                <w:szCs w:val="14"/>
                <w:color w:val="auto"/>
                <w:w w:val="99"/>
              </w:rPr>
              <w:t>Steven R. Fife</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42"/>
        </w:trPr>
        <w:tc>
          <w:tcPr>
            <w:tcW w:w="1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2980" w:type="dxa"/>
            <w:vAlign w:val="bottom"/>
            <w:vMerge w:val="restart"/>
          </w:tcPr>
          <w:p>
            <w:pPr>
              <w:jc w:val="center"/>
              <w:ind w:left="751"/>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2900" w:type="dxa"/>
            <w:vAlign w:val="bottom"/>
            <w:gridSpan w:val="2"/>
            <w:vMerge w:val="restart"/>
          </w:tcPr>
          <w:p>
            <w:pPr>
              <w:jc w:val="center"/>
              <w:ind w:right="1731"/>
              <w:spacing w:after="0"/>
              <w:rPr>
                <w:sz w:val="20"/>
                <w:szCs w:val="20"/>
                <w:color w:val="auto"/>
              </w:rPr>
            </w:pPr>
            <w:r>
              <w:rPr>
                <w:rFonts w:ascii="Times New Roman" w:cs="Times New Roman" w:eastAsia="Times New Roman" w:hAnsi="Times New Roman"/>
                <w:sz w:val="14"/>
                <w:szCs w:val="14"/>
                <w:color w:val="auto"/>
              </w:rPr>
              <w:t>Steven R. Fife</w:t>
            </w:r>
          </w:p>
        </w:tc>
        <w:tc>
          <w:tcPr>
            <w:tcW w:w="244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8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2440" w:type="dxa"/>
            <w:vAlign w:val="bottom"/>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18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color w:val="auto"/>
                <w:w w:val="75"/>
              </w:rPr>
              <w:t>/s/</w:t>
            </w:r>
          </w:p>
        </w:tc>
        <w:tc>
          <w:tcPr>
            <w:tcW w:w="2900" w:type="dxa"/>
            <w:vAlign w:val="bottom"/>
            <w:tcBorders>
              <w:bottom w:val="single" w:sz="8" w:color="auto"/>
            </w:tcBorders>
            <w:gridSpan w:val="2"/>
          </w:tcPr>
          <w:p>
            <w:pPr>
              <w:jc w:val="center"/>
              <w:ind w:right="1471"/>
              <w:spacing w:after="0"/>
              <w:rPr>
                <w:sz w:val="20"/>
                <w:szCs w:val="20"/>
                <w:color w:val="auto"/>
              </w:rPr>
            </w:pPr>
            <w:r>
              <w:rPr>
                <w:rFonts w:ascii="Times New Roman" w:cs="Times New Roman" w:eastAsia="Times New Roman" w:hAnsi="Times New Roman"/>
                <w:sz w:val="14"/>
                <w:szCs w:val="14"/>
                <w:color w:val="auto"/>
              </w:rPr>
              <w:t>Raymond B. Greer</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71"/>
              <w:spacing w:after="0"/>
              <w:rPr>
                <w:sz w:val="20"/>
                <w:szCs w:val="20"/>
                <w:color w:val="auto"/>
              </w:rPr>
            </w:pPr>
            <w:r>
              <w:rPr>
                <w:rFonts w:ascii="Times New Roman" w:cs="Times New Roman" w:eastAsia="Times New Roman" w:hAnsi="Times New Roman"/>
                <w:sz w:val="14"/>
                <w:szCs w:val="14"/>
                <w:color w:val="auto"/>
              </w:rPr>
              <w:t>Chairman of the Board</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51"/>
              <w:spacing w:after="0"/>
              <w:rPr>
                <w:sz w:val="20"/>
                <w:szCs w:val="20"/>
                <w:color w:val="auto"/>
              </w:rPr>
            </w:pPr>
            <w:r>
              <w:rPr>
                <w:rFonts w:ascii="Times New Roman" w:cs="Times New Roman" w:eastAsia="Times New Roman" w:hAnsi="Times New Roman"/>
                <w:sz w:val="14"/>
                <w:szCs w:val="14"/>
                <w:color w:val="auto"/>
              </w:rPr>
              <w:t>Raymond B. Greer</w:t>
            </w:r>
          </w:p>
        </w:tc>
        <w:tc>
          <w:tcPr>
            <w:tcW w:w="2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color w:val="auto"/>
              </w:rPr>
              <w:t>/s/</w:t>
            </w:r>
          </w:p>
        </w:tc>
        <w:tc>
          <w:tcPr>
            <w:tcW w:w="2900" w:type="dxa"/>
            <w:vAlign w:val="bottom"/>
            <w:tcBorders>
              <w:bottom w:val="single" w:sz="8" w:color="auto"/>
            </w:tcBorders>
            <w:gridSpan w:val="2"/>
          </w:tcPr>
          <w:p>
            <w:pPr>
              <w:jc w:val="center"/>
              <w:ind w:right="1471"/>
              <w:spacing w:after="0"/>
              <w:rPr>
                <w:sz w:val="20"/>
                <w:szCs w:val="20"/>
                <w:color w:val="auto"/>
              </w:rPr>
            </w:pPr>
            <w:r>
              <w:rPr>
                <w:rFonts w:ascii="Times New Roman" w:cs="Times New Roman" w:eastAsia="Times New Roman" w:hAnsi="Times New Roman"/>
                <w:sz w:val="14"/>
                <w:szCs w:val="14"/>
                <w:color w:val="auto"/>
              </w:rPr>
              <w:t>Rajendran Anbalagan</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Rajendran Anbalagan</w:t>
            </w:r>
          </w:p>
        </w:tc>
        <w:tc>
          <w:tcPr>
            <w:tcW w:w="2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color w:val="auto"/>
              </w:rPr>
              <w:t>/s/</w:t>
            </w:r>
          </w:p>
        </w:tc>
        <w:tc>
          <w:tcPr>
            <w:tcW w:w="2900" w:type="dxa"/>
            <w:vAlign w:val="bottom"/>
            <w:tcBorders>
              <w:bottom w:val="single" w:sz="8" w:color="auto"/>
            </w:tcBorders>
            <w:gridSpan w:val="2"/>
          </w:tcPr>
          <w:p>
            <w:pPr>
              <w:jc w:val="center"/>
              <w:ind w:right="1451"/>
              <w:spacing w:after="0"/>
              <w:rPr>
                <w:sz w:val="20"/>
                <w:szCs w:val="20"/>
                <w:color w:val="auto"/>
              </w:rPr>
            </w:pPr>
            <w:r>
              <w:rPr>
                <w:rFonts w:ascii="Times New Roman" w:cs="Times New Roman" w:eastAsia="Times New Roman" w:hAnsi="Times New Roman"/>
                <w:sz w:val="14"/>
                <w:szCs w:val="14"/>
                <w:color w:val="auto"/>
              </w:rPr>
              <w:t>Michael A. Beindorff</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A. Beindorff</w:t>
            </w:r>
          </w:p>
        </w:tc>
        <w:tc>
          <w:tcPr>
            <w:tcW w:w="2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0"/>
              </w:rPr>
              <w:t>/s/</w:t>
            </w:r>
          </w:p>
        </w:tc>
        <w:tc>
          <w:tcPr>
            <w:tcW w:w="2720" w:type="dxa"/>
            <w:vAlign w:val="bottom"/>
            <w:tcBorders>
              <w:bottom w:val="single" w:sz="8" w:color="auto"/>
            </w:tcBorders>
          </w:tcPr>
          <w:p>
            <w:pPr>
              <w:jc w:val="center"/>
              <w:ind w:right="1651"/>
              <w:spacing w:after="0"/>
              <w:rPr>
                <w:sz w:val="20"/>
                <w:szCs w:val="20"/>
                <w:color w:val="auto"/>
              </w:rPr>
            </w:pPr>
            <w:r>
              <w:rPr>
                <w:rFonts w:ascii="Times New Roman" w:cs="Times New Roman" w:eastAsia="Times New Roman" w:hAnsi="Times New Roman"/>
                <w:sz w:val="14"/>
                <w:szCs w:val="14"/>
                <w:color w:val="auto"/>
              </w:rPr>
              <w:t>Dayton Judd</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jc w:val="center"/>
              <w:ind w:right="1931"/>
              <w:spacing w:after="0"/>
              <w:rPr>
                <w:sz w:val="20"/>
                <w:szCs w:val="20"/>
                <w:color w:val="auto"/>
              </w:rPr>
            </w:pPr>
            <w:r>
              <w:rPr>
                <w:rFonts w:ascii="Times New Roman" w:cs="Times New Roman" w:eastAsia="Times New Roman" w:hAnsi="Times New Roman"/>
                <w:sz w:val="14"/>
                <w:szCs w:val="14"/>
                <w:color w:val="auto"/>
              </w:rPr>
              <w:t>Dayton Judd</w:t>
            </w:r>
          </w:p>
        </w:tc>
        <w:tc>
          <w:tcPr>
            <w:tcW w:w="2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00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tcBorders>
              <w:bottom w:val="single" w:sz="8" w:color="auto"/>
            </w:tcBorders>
          </w:tcPr>
          <w:p>
            <w:pPr>
              <w:jc w:val="center"/>
              <w:ind w:right="1651"/>
              <w:spacing w:after="0"/>
              <w:rPr>
                <w:sz w:val="20"/>
                <w:szCs w:val="20"/>
                <w:color w:val="auto"/>
              </w:rPr>
            </w:pPr>
            <w:r>
              <w:rPr>
                <w:rFonts w:ascii="Times New Roman" w:cs="Times New Roman" w:eastAsia="Times New Roman" w:hAnsi="Times New Roman"/>
                <w:sz w:val="14"/>
                <w:szCs w:val="14"/>
                <w:color w:val="auto"/>
              </w:rPr>
              <w:t>Cynthia Latham</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51"/>
              <w:spacing w:after="0"/>
              <w:rPr>
                <w:sz w:val="20"/>
                <w:szCs w:val="20"/>
                <w:color w:val="auto"/>
              </w:rPr>
            </w:pPr>
            <w:r>
              <w:rPr>
                <w:rFonts w:ascii="Times New Roman" w:cs="Times New Roman" w:eastAsia="Times New Roman" w:hAnsi="Times New Roman"/>
                <w:sz w:val="14"/>
                <w:szCs w:val="14"/>
                <w:color w:val="auto"/>
              </w:rPr>
              <w:t>Cynthia Latham</w:t>
            </w:r>
          </w:p>
        </w:tc>
        <w:tc>
          <w:tcPr>
            <w:tcW w:w="2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00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tcBorders>
              <w:bottom w:val="single" w:sz="8" w:color="auto"/>
            </w:tcBorders>
          </w:tcPr>
          <w:p>
            <w:pPr>
              <w:jc w:val="center"/>
              <w:ind w:right="1631"/>
              <w:spacing w:after="0"/>
              <w:rPr>
                <w:sz w:val="20"/>
                <w:szCs w:val="20"/>
                <w:color w:val="auto"/>
              </w:rPr>
            </w:pPr>
            <w:r>
              <w:rPr>
                <w:rFonts w:ascii="Times New Roman" w:cs="Times New Roman" w:eastAsia="Times New Roman" w:hAnsi="Times New Roman"/>
                <w:sz w:val="14"/>
                <w:szCs w:val="14"/>
                <w:color w:val="auto"/>
              </w:rPr>
              <w:t>Darwin K. Lewis</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31"/>
              <w:spacing w:after="0"/>
              <w:rPr>
                <w:sz w:val="20"/>
                <w:szCs w:val="20"/>
                <w:color w:val="auto"/>
              </w:rPr>
            </w:pPr>
            <w:r>
              <w:rPr>
                <w:rFonts w:ascii="Times New Roman" w:cs="Times New Roman" w:eastAsia="Times New Roman" w:hAnsi="Times New Roman"/>
                <w:sz w:val="14"/>
                <w:szCs w:val="14"/>
                <w:color w:val="auto"/>
              </w:rPr>
              <w:t>Darwin K. Lewis</w:t>
            </w:r>
          </w:p>
        </w:tc>
        <w:tc>
          <w:tcPr>
            <w:tcW w:w="2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0"/>
              </w:rPr>
              <w:t>/s/</w:t>
            </w:r>
          </w:p>
        </w:tc>
        <w:tc>
          <w:tcPr>
            <w:tcW w:w="2720" w:type="dxa"/>
            <w:vAlign w:val="bottom"/>
            <w:tcBorders>
              <w:bottom w:val="single" w:sz="8" w:color="auto"/>
            </w:tcBorders>
          </w:tcPr>
          <w:p>
            <w:pPr>
              <w:jc w:val="center"/>
              <w:ind w:right="1631"/>
              <w:spacing w:after="0"/>
              <w:rPr>
                <w:sz w:val="20"/>
                <w:szCs w:val="20"/>
                <w:color w:val="auto"/>
              </w:rPr>
            </w:pPr>
            <w:r>
              <w:rPr>
                <w:rFonts w:ascii="Times New Roman" w:cs="Times New Roman" w:eastAsia="Times New Roman" w:hAnsi="Times New Roman"/>
                <w:sz w:val="14"/>
                <w:szCs w:val="14"/>
                <w:color w:val="auto"/>
              </w:rPr>
              <w:t>Garry Mauro</w:t>
            </w:r>
          </w:p>
        </w:tc>
        <w:tc>
          <w:tcPr>
            <w:tcW w:w="244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rPr>
              <w:t>September 4, 2025</w:t>
            </w:r>
          </w:p>
        </w:tc>
        <w:tc>
          <w:tcPr>
            <w:tcW w:w="2980" w:type="dxa"/>
            <w:vAlign w:val="bottom"/>
          </w:tcPr>
          <w:p>
            <w:pPr>
              <w:jc w:val="center"/>
              <w:ind w:left="751"/>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900" w:type="dxa"/>
            <w:vAlign w:val="bottom"/>
            <w:gridSpan w:val="2"/>
          </w:tcPr>
          <w:p>
            <w:pPr>
              <w:jc w:val="center"/>
              <w:ind w:right="1731"/>
              <w:spacing w:after="0"/>
              <w:rPr>
                <w:sz w:val="20"/>
                <w:szCs w:val="20"/>
                <w:color w:val="auto"/>
              </w:rPr>
            </w:pPr>
            <w:r>
              <w:rPr>
                <w:rFonts w:ascii="Times New Roman" w:cs="Times New Roman" w:eastAsia="Times New Roman" w:hAnsi="Times New Roman"/>
                <w:sz w:val="14"/>
                <w:szCs w:val="14"/>
                <w:color w:val="auto"/>
              </w:rPr>
              <w:t>Garry Mauro</w:t>
            </w:r>
          </w:p>
        </w:tc>
        <w:tc>
          <w:tcPr>
            <w:tcW w:w="24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37"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LIFEVANTAGE 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Reports of Independent Registered Public Accounting Firm (Deloitte &amp; Touche, LLP, Salt Lake City, UT, Auditor Firm ID: </w:t>
            </w:r>
            <w:r>
              <w:rPr>
                <w:rFonts w:ascii="Times New Roman" w:cs="Times New Roman" w:eastAsia="Times New Roman" w:hAnsi="Times New Roman"/>
                <w:sz w:val="14"/>
                <w:szCs w:val="14"/>
                <w:color w:val="000000"/>
              </w:rPr>
              <w:t>34</w:t>
            </w:r>
          </w:p>
        </w:tc>
        <w:tc>
          <w:tcPr>
            <w:tcW w:w="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0000FF"/>
                <w:w w:val="85"/>
              </w:rPr>
              <w:t>64</w:t>
            </w:r>
          </w:p>
        </w:tc>
      </w:tr>
      <w:tr>
        <w:trPr>
          <w:trHeight w:val="160"/>
        </w:trPr>
        <w:tc>
          <w:tcPr>
            <w:tcW w:w="20" w:type="dxa"/>
            <w:vAlign w:val="bottom"/>
          </w:tcPr>
          <w:p>
            <w:pPr>
              <w:spacing w:after="0"/>
              <w:rPr>
                <w:sz w:val="13"/>
                <w:szCs w:val="13"/>
                <w:color w:val="auto"/>
              </w:rPr>
            </w:pPr>
          </w:p>
        </w:tc>
        <w:tc>
          <w:tcPr>
            <w:tcW w:w="7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Financial Statements:</w:t>
            </w:r>
          </w:p>
        </w:tc>
        <w:tc>
          <w:tcPr>
            <w:tcW w:w="35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8600" w:type="dxa"/>
            <w:vAlign w:val="bottom"/>
            <w:gridSpan w:val="6"/>
          </w:tcPr>
          <w:p>
            <w:pPr>
              <w:spacing w:after="0"/>
              <w:rPr>
                <w:sz w:val="13"/>
                <w:szCs w:val="13"/>
                <w:color w:val="auto"/>
              </w:rPr>
            </w:pPr>
          </w:p>
        </w:tc>
        <w:tc>
          <w:tcPr>
            <w:tcW w:w="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0000FF"/>
                <w:w w:val="85"/>
              </w:rPr>
              <w:t>66</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Income</w:t>
            </w:r>
          </w:p>
        </w:tc>
        <w:tc>
          <w:tcPr>
            <w:tcW w:w="6760" w:type="dxa"/>
            <w:vAlign w:val="bottom"/>
            <w:gridSpan w:val="2"/>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67</w:t>
            </w: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0000FF"/>
                <w:w w:val="85"/>
              </w:rPr>
              <w:t>68</w:t>
            </w:r>
          </w:p>
        </w:tc>
      </w:tr>
      <w:tr>
        <w:trPr>
          <w:trHeight w:val="160"/>
        </w:trPr>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13"/>
                <w:szCs w:val="13"/>
                <w:color w:val="auto"/>
              </w:rPr>
            </w:pPr>
          </w:p>
        </w:tc>
        <w:tc>
          <w:tcPr>
            <w:tcW w:w="7820" w:type="dxa"/>
            <w:vAlign w:val="bottom"/>
            <w:gridSpan w:val="3"/>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69</w:t>
            </w: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8120" w:type="dxa"/>
            <w:vAlign w:val="bottom"/>
            <w:gridSpan w:val="4"/>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71</w:t>
            </w:r>
          </w:p>
        </w:tc>
        <w:tc>
          <w:tcPr>
            <w:tcW w:w="520" w:type="dxa"/>
            <w:vAlign w:val="bottom"/>
          </w:tcPr>
          <w:p>
            <w:pPr>
              <w:spacing w:after="0"/>
              <w:rPr>
                <w:sz w:val="13"/>
                <w:szCs w:val="13"/>
                <w:color w:val="auto"/>
              </w:rPr>
            </w:pPr>
          </w:p>
        </w:tc>
      </w:tr>
      <w:tr>
        <w:trPr>
          <w:trHeight w:val="797"/>
        </w:trPr>
        <w:tc>
          <w:tcPr>
            <w:tcW w:w="7040" w:type="dxa"/>
            <w:vAlign w:val="bottom"/>
            <w:gridSpan w:val="8"/>
          </w:tcPr>
          <w:p>
            <w:pPr>
              <w:jc w:val="right"/>
              <w:ind w:right="1320"/>
              <w:spacing w:after="0"/>
              <w:rPr>
                <w:sz w:val="20"/>
                <w:szCs w:val="20"/>
                <w:color w:val="auto"/>
              </w:rPr>
            </w:pPr>
            <w:r>
              <w:rPr>
                <w:rFonts w:ascii="Times New Roman" w:cs="Times New Roman" w:eastAsia="Times New Roman" w:hAnsi="Times New Roman"/>
                <w:sz w:val="14"/>
                <w:szCs w:val="14"/>
                <w:color w:val="auto"/>
              </w:rPr>
              <w:t>63</w:t>
            </w: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18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3" w:name="page64"/>
    <w:bookmarkEnd w:id="63"/>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LifeVantage Corporation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Opinions on the Financial Statements and Internal Control over Financial Reporting</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LifeVantage Corporation and subsidiaries (the “Company”) as of June 30, 2025 and 2024, the related consolidated statements of operations and comprehensive income, stockholders’ equity, and cash flows, for each of the two years in the period ended June 30, 2025, and the related notes (collectively referred to as the “financial statements”). We also have audited the Company’s internal control over financial reporting as of June 30,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(COSO).</w:t>
      </w:r>
    </w:p>
    <w:p>
      <w:pPr>
        <w:spacing w:after="0" w:line="7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financial statements referred to above present fairly, in all material respects, the financial position of the Company as of June 30, 2025 and 2024, and the results of its operations and its cash flows for each of the two years in the period ended June 30, 2025, in conformity with accounting principles generally accepted in the United States of America. Also, in our opinion, the Company maintained, in all material respects, effective internal control over financial reporting as of June 30,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Opinions</w:t>
      </w:r>
    </w:p>
    <w:p>
      <w:pPr>
        <w:spacing w:after="0" w:line="12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financial statements.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17"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4" w:name="page65"/>
    <w:bookmarkEnd w:id="64"/>
    <w:p>
      <w:pPr>
        <w:spacing w:after="0" w:line="270" w:lineRule="auto"/>
        <w:rPr>
          <w:sz w:val="20"/>
          <w:szCs w:val="20"/>
          <w:color w:val="auto"/>
        </w:rPr>
      </w:pPr>
      <w:r>
        <w:rPr>
          <w:rFonts w:ascii="Times New Roman" w:cs="Times New Roman" w:eastAsia="Times New Roman" w:hAnsi="Times New Roman"/>
          <w:sz w:val="14"/>
          <w:szCs w:val="14"/>
          <w:color w:val="auto"/>
        </w:rPr>
        <w:t>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Expense-US Jurisdiction – Refer to Notes 2 and 11 to the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2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operates and is subject to income taxes in the United States (“U.S.”) and numerous foreign jurisdictions with complex tax laws and regulations. The complexity of the Company’s global structure requires specialized knowledge, skills and judgment in determining the application of tax laws in various jurisdictions.</w:t>
      </w:r>
    </w:p>
    <w:p>
      <w:pPr>
        <w:spacing w:after="0" w:line="6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identified income tax expense for the U.S. jurisdiction as a critical audit matter because of the complexity the application of tax laws in the U.S. jurisdiction. This required an increased extent of effort, including the need to involve our income tax specialists to evaluate the Company’s U.S income tax expense, especially the interpretation and application of tax laws in the U.S.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calculation of U.S income tax expense, including the interpretation and application of tax laws in the U.S. included the following:</w:t>
      </w:r>
    </w:p>
    <w:p>
      <w:pPr>
        <w:spacing w:after="0" w:line="115"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effectiveness of controls over the calculation of the income tax expense, including management’s controls over the application of tax laws in the U.S.</w:t>
      </w:r>
    </w:p>
    <w:p>
      <w:pPr>
        <w:spacing w:after="0" w:line="125"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an understanding of the Company’s overall legal entity structure by reading and evaluating the Company’s organizational charts and associated documentation, including legal documents.</w:t>
      </w:r>
    </w:p>
    <w:p>
      <w:pPr>
        <w:spacing w:after="0" w:line="71" w:lineRule="exact"/>
        <w:rPr>
          <w:rFonts w:ascii="Times New Roman" w:cs="Times New Roman" w:eastAsia="Times New Roman" w:hAnsi="Times New Roman"/>
          <w:sz w:val="14"/>
          <w:szCs w:val="14"/>
          <w:color w:val="auto"/>
        </w:rPr>
      </w:pPr>
    </w:p>
    <w:p>
      <w:pPr>
        <w:ind w:left="520" w:hanging="260"/>
        <w:spacing w:after="0" w:line="270"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Company's U.S. income tax expense calculation, including: (1) testing the appropriateness of income tax rates applied by agreeing to applicable Federal and state tax laws, (2) testing the accuracy of income allocations and apportionment among the Federal and state taxing jurisdictions based on the Company's structure, (3) testing, on a sample basis, the completeness and accuracy of book to tax differences, and (4) testing the mathematical accuracy of the income tax expense calculation.</w:t>
      </w:r>
    </w:p>
    <w:p>
      <w:pPr>
        <w:spacing w:after="0" w:line="72" w:lineRule="exact"/>
        <w:rPr>
          <w:rFonts w:ascii="Times New Roman" w:cs="Times New Roman" w:eastAsia="Times New Roman" w:hAnsi="Times New Roman"/>
          <w:sz w:val="14"/>
          <w:szCs w:val="14"/>
          <w:color w:val="auto"/>
        </w:rPr>
      </w:pPr>
    </w:p>
    <w:p>
      <w:pPr>
        <w:ind w:left="520" w:right="160" w:hanging="260"/>
        <w:spacing w:after="0" w:line="270"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income tax specialists, we evaluated management's application of relevant tax laws to its legal entity structure and the effect on the Company's U.S. income tax expense, including the Company's calculations of current period income tax expense, by examining and evaluating management's income tax calculations and assessing the Company's compliance with tax laws.</w:t>
      </w:r>
    </w:p>
    <w:p>
      <w:pPr>
        <w:spacing w:after="0" w:line="8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income tax specialists, we evaluated management’s consideration of tax requirements in the U.S. tax jurisdiction in which the Company operates.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/s/Deloitte &amp; Touche LLP</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4,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46" w:right="41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16,886</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receivable</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15,055</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r>
      <w:tr>
        <w:trPr>
          <w:trHeight w:val="171"/>
        </w:trPr>
        <w:tc>
          <w:tcPr>
            <w:tcW w:w="7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current assets</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50,894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37,646</w:t>
            </w:r>
          </w:p>
        </w:tc>
      </w:tr>
      <w:tr>
        <w:trPr>
          <w:trHeight w:val="170"/>
        </w:trPr>
        <w:tc>
          <w:tcPr>
            <w:tcW w:w="7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7,813</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Right-of-use assets</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9,569</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long-term assets</w:t>
            </w:r>
          </w:p>
        </w:tc>
        <w:tc>
          <w:tcPr>
            <w:tcW w:w="1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71,958</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2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Commissions payable</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6,569</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payable</w:t>
            </w:r>
          </w:p>
        </w:tc>
        <w:tc>
          <w:tcPr>
            <w:tcW w:w="1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Lease liabilities</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accrued expenses</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w:t>
            </w:r>
          </w:p>
        </w:tc>
      </w:tr>
      <w:tr>
        <w:trPr>
          <w:trHeight w:val="171"/>
        </w:trPr>
        <w:tc>
          <w:tcPr>
            <w:tcW w:w="7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22,309</w:t>
            </w:r>
          </w:p>
        </w:tc>
      </w:tr>
      <w:tr>
        <w:trPr>
          <w:trHeight w:val="170"/>
        </w:trPr>
        <w:tc>
          <w:tcPr>
            <w:tcW w:w="7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171"/>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37,317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34,308</w:t>
            </w:r>
          </w:p>
        </w:tc>
      </w:tr>
      <w:tr>
        <w:trPr>
          <w:trHeight w:val="16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 Note 14</w:t>
            </w:r>
          </w:p>
        </w:tc>
        <w:tc>
          <w:tcPr>
            <w:tcW w:w="1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Preferred stock — par value $0.0001 per share, 5,000 shares authorized, no shares issued or outstanding</w:t>
            </w:r>
          </w:p>
        </w:tc>
        <w:tc>
          <w:tcPr>
            <w:tcW w:w="1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712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Common stock — par value $0.0001 per share, 40,000 shares authorized and 12,429 and 12,510 issued and outstanding</w:t>
            </w:r>
          </w:p>
        </w:tc>
        <w:tc>
          <w:tcPr>
            <w:tcW w:w="1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91"/>
        </w:trPr>
        <w:tc>
          <w:tcPr>
            <w:tcW w:w="7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as of June 30, 2025 and 2024, respectively</w:t>
            </w:r>
          </w:p>
        </w:tc>
        <w:tc>
          <w:tcPr>
            <w:tcW w:w="1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139,962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136,644</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1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(104,147)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(108,738)</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r>
      <w:tr>
        <w:trPr>
          <w:trHeight w:val="171"/>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34,641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25,991</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71,958</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6" w:name="page67"/>
    <w:bookmarkEnd w:id="66"/>
    <w:p>
      <w:pPr>
        <w:ind w:left="4240"/>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120" w:type="dxa"/>
            <w:vAlign w:val="bottom"/>
          </w:tcPr>
          <w:p>
            <w:pPr>
              <w:spacing w:after="0"/>
              <w:rPr>
                <w:sz w:val="13"/>
                <w:szCs w:val="13"/>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124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44,864</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41,440</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183,666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158,724</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Commissions and incentives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102,260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85,920</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69,207</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68,472</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171,467</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154,392</w:t>
            </w:r>
          </w:p>
        </w:tc>
        <w:tc>
          <w:tcPr>
            <w:tcW w:w="0" w:type="dxa"/>
            <w:vAlign w:val="bottom"/>
          </w:tcPr>
          <w:p>
            <w:pPr>
              <w:spacing w:after="0"/>
              <w:rPr>
                <w:sz w:val="1"/>
                <w:szCs w:val="1"/>
                <w:color w:val="auto"/>
              </w:rPr>
            </w:pP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 net</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expense, net</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other income, net</w:t>
            </w:r>
          </w:p>
        </w:tc>
        <w:tc>
          <w:tcPr>
            <w:tcW w:w="1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1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24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24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5"/>
                <w:szCs w:val="15"/>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12,458</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24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7" w:name="page68"/>
    <w:bookmarkEnd w:id="67"/>
    <w:p>
      <w:pPr>
        <w:jc w:val="center"/>
        <w:ind w:right="-7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For the years ended June 30, 2025 and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restart"/>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3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3720" w:type="dxa"/>
            <w:vAlign w:val="bottom"/>
          </w:tcPr>
          <w:p>
            <w:pPr>
              <w:spacing w:after="0"/>
              <w:rPr>
                <w:sz w:val="10"/>
                <w:szCs w:val="10"/>
                <w:color w:val="auto"/>
              </w:rPr>
            </w:pP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12,622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134,314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(98,305)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34,649</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issued under employee stock purchase plan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 issued under equity award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canceled or surrendered as payment of tax withholding and other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company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(6,430)</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w:t>
            </w:r>
          </w:p>
        </w:tc>
        <w:tc>
          <w:tcPr>
            <w:tcW w:w="0" w:type="dxa"/>
            <w:vAlign w:val="bottom"/>
          </w:tcPr>
          <w:p>
            <w:pPr>
              <w:spacing w:after="0"/>
              <w:rPr>
                <w:sz w:val="1"/>
                <w:szCs w:val="1"/>
                <w:color w:val="auto"/>
              </w:rPr>
            </w:pPr>
          </w:p>
        </w:tc>
      </w:tr>
      <w:tr>
        <w:trPr>
          <w:trHeight w:val="159"/>
        </w:trPr>
        <w:tc>
          <w:tcPr>
            <w:tcW w:w="37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Balances, June 30, 2024</w:t>
            </w: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12,510</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136,644</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(108,738)</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(1,916)</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25,991</w:t>
            </w:r>
          </w:p>
        </w:tc>
        <w:tc>
          <w:tcPr>
            <w:tcW w:w="0" w:type="dxa"/>
            <w:vAlign w:val="bottom"/>
          </w:tcPr>
          <w:p>
            <w:pPr>
              <w:spacing w:after="0"/>
              <w:rPr>
                <w:sz w:val="1"/>
                <w:szCs w:val="1"/>
                <w:color w:val="auto"/>
              </w:rPr>
            </w:pPr>
          </w:p>
        </w:tc>
      </w:tr>
      <w:tr>
        <w:trPr>
          <w:trHeight w:val="171"/>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5,702</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 issued under employee stock purchase plan</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issued under equity award plans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canceled or surrendered as payment of tax withholding and 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company stock</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r>
        <w:trPr>
          <w:trHeight w:val="1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9,805</w:t>
            </w:r>
          </w:p>
        </w:tc>
        <w:tc>
          <w:tcPr>
            <w:tcW w:w="0" w:type="dxa"/>
            <w:vAlign w:val="bottom"/>
          </w:tcPr>
          <w:p>
            <w:pPr>
              <w:spacing w:after="0"/>
              <w:rPr>
                <w:sz w:val="1"/>
                <w:szCs w:val="1"/>
                <w:color w:val="auto"/>
              </w:rPr>
            </w:pPr>
          </w:p>
        </w:tc>
      </w:tr>
      <w:tr>
        <w:trPr>
          <w:trHeight w:val="164"/>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2025</w:t>
            </w:r>
          </w:p>
        </w:tc>
        <w:tc>
          <w:tcPr>
            <w:tcW w:w="7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12,429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139,962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(104,147)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34,641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29" w:right="39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tc>
        <w:tc>
          <w:tcPr>
            <w:tcW w:w="124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1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9"/>
        </w:trPr>
        <w:tc>
          <w:tcPr>
            <w:tcW w:w="71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9,805</w:t>
            </w:r>
          </w:p>
        </w:tc>
        <w:tc>
          <w:tcPr>
            <w:tcW w:w="100" w:type="dxa"/>
            <w:vAlign w:val="bottom"/>
          </w:tcPr>
          <w:p>
            <w:pPr>
              <w:spacing w:after="0"/>
              <w:rPr>
                <w:sz w:val="15"/>
                <w:szCs w:val="15"/>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w:t>
            </w:r>
          </w:p>
        </w:tc>
      </w:tr>
      <w:tr>
        <w:trPr>
          <w:trHeight w:val="184"/>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3,156</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3,581</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Non-cash operating lease expense</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(Gain) loss on disposal of fixed assets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Amortization of deferred financing fees</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Deferred income tax</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w:t>
            </w: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Income tax receivable</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Inventory</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long-term assets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Income tax payable</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77"/>
        </w:trPr>
        <w:tc>
          <w:tcPr>
            <w:tcW w:w="71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accrued expenses</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84"/>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Lease liabilities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w:t>
            </w:r>
          </w:p>
        </w:tc>
      </w:tr>
      <w:tr>
        <w:trPr>
          <w:trHeight w:val="177"/>
        </w:trPr>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Other liabilities</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7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11,878</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12,197</w:t>
            </w:r>
          </w:p>
        </w:tc>
      </w:tr>
      <w:tr>
        <w:trPr>
          <w:trHeight w:val="159"/>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2"/>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 of equipment</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w:t>
            </w:r>
          </w:p>
        </w:tc>
      </w:tr>
      <w:tr>
        <w:trPr>
          <w:trHeight w:val="177"/>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Proceeds from sale of fixed assets</w:t>
            </w:r>
          </w:p>
        </w:tc>
        <w:tc>
          <w:tcPr>
            <w:tcW w:w="1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(1,367)</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(2,245)</w:t>
            </w:r>
          </w:p>
        </w:tc>
      </w:tr>
      <w:tr>
        <w:trPr>
          <w:trHeight w:val="159"/>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2"/>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 of deferred financing fees</w:t>
            </w:r>
          </w:p>
        </w:tc>
        <w:tc>
          <w:tcPr>
            <w:tcW w:w="1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Repurchase of company stock</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(6,430)</w:t>
            </w:r>
          </w:p>
        </w:tc>
      </w:tr>
      <w:tr>
        <w:trPr>
          <w:trHeight w:val="184"/>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 of cash dividends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w:t>
            </w:r>
          </w:p>
        </w:tc>
      </w:tr>
      <w:tr>
        <w:trPr>
          <w:trHeight w:val="177"/>
        </w:trPr>
        <w:tc>
          <w:tcPr>
            <w:tcW w:w="7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Shares purchased as payment of tax withholding and other</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r>
      <w:tr>
        <w:trPr>
          <w:trHeight w:val="184"/>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common stock issued under employee stock purchase plan</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17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1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(7,598)</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(14,417)</w:t>
            </w:r>
          </w:p>
        </w:tc>
      </w:tr>
      <w:tr>
        <w:trPr>
          <w:trHeight w:val="17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 Effect on Cash</w:t>
            </w:r>
          </w:p>
        </w:tc>
        <w:tc>
          <w:tcPr>
            <w:tcW w:w="1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79"/>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1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3,315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(4,719)</w:t>
            </w:r>
          </w:p>
        </w:tc>
      </w:tr>
      <w:tr>
        <w:trPr>
          <w:trHeight w:val="18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 beginning of period</w:t>
            </w:r>
          </w:p>
        </w:tc>
        <w:tc>
          <w:tcPr>
            <w:tcW w:w="1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16,886</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21,605</w:t>
            </w:r>
          </w:p>
        </w:tc>
      </w:tr>
      <w:tr>
        <w:trPr>
          <w:trHeight w:val="170"/>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 end of period</w:t>
            </w:r>
          </w:p>
        </w:tc>
        <w:tc>
          <w:tcPr>
            <w:tcW w:w="124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20,201</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16,886</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2"/>
        </w:trPr>
        <w:tc>
          <w:tcPr>
            <w:tcW w:w="7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4"/>
          <w:szCs w:val="14"/>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CONSOLIDATED STATEMENTS OF CASH FLOWS (CONTINUED)</w:t>
      </w:r>
    </w:p>
    <w:p>
      <w:pPr>
        <w:spacing w:after="0" w:line="13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1"/>
          <w:szCs w:val="11"/>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26035</wp:posOffset>
            </wp:positionV>
            <wp:extent cx="263398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23" w:lineRule="exact"/>
        <w:rPr>
          <w:sz w:val="20"/>
          <w:szCs w:val="20"/>
          <w:color w:val="auto"/>
        </w:rPr>
      </w:pPr>
    </w:p>
    <w:p>
      <w:pPr>
        <w:jc w:val="both"/>
        <w:ind w:left="8020"/>
        <w:spacing w:after="0"/>
        <w:tabs>
          <w:tab w:leader="none" w:pos="1012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-74295</wp:posOffset>
            </wp:positionV>
            <wp:extent cx="263398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35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c>
          <w:tcPr>
            <w:tcW w:w="96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84"/>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50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4,918</w:t>
            </w:r>
          </w:p>
        </w:tc>
        <w:tc>
          <w:tcPr>
            <w:tcW w:w="96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w:t>
            </w: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LIFEVANTAGE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1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LifeVantage Corporation (the “Company” or “we” or “our” or “us”) is a company focused on nutrigenomics, the study of how nutrition and naturally occurring compounds affect human genes to support good health. The Company is dedicated to helping people achieve their health, wellness, and financial goals. The Company provides quality, scientifically 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and Singapore. On June 30, 2025, the Company ceased operations in the Philippines and closed that market.</w:t>
      </w:r>
    </w:p>
    <w:p>
      <w:pPr>
        <w:spacing w:after="0" w:line="80" w:lineRule="exact"/>
        <w:rPr>
          <w:sz w:val="20"/>
          <w:szCs w:val="20"/>
          <w:color w:val="auto"/>
        </w:rPr>
      </w:pPr>
    </w:p>
    <w:p>
      <w:pPr>
        <w:ind w:right="160" w:firstLine="255"/>
        <w:spacing w:after="0" w:line="225" w:lineRule="auto"/>
        <w:rPr>
          <w:sz w:val="20"/>
          <w:szCs w:val="20"/>
          <w:color w:val="auto"/>
        </w:rPr>
      </w:pPr>
      <w:r>
        <w:rPr>
          <w:rFonts w:ascii="Times New Roman" w:cs="Times New Roman" w:eastAsia="Times New Roman" w:hAnsi="Times New Roman"/>
          <w:sz w:val="14"/>
          <w:szCs w:val="14"/>
          <w:color w:val="auto"/>
        </w:rPr>
        <w:t>The Company engages in the identification, research, development, formulation and sale of advanced nutrigenomic activators, dietary supplements, weight management products, pre- and pro-biotics, skin and hair care products and nootropics. The Company’s line of scientifically validated dietary supplements includes its flagship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family of products, its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dietary supplements that include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D3+, and Daily Wellness, and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the Company’s line of skin and hair care products and Liquid Collagen. The Company also markets and sells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its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its nootropic energy drink mixes.</w:t>
      </w:r>
    </w:p>
    <w:p>
      <w:pPr>
        <w:spacing w:after="0" w:line="38"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83"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In March 2018, the Company reincorporated from the state of Colorado to the state of Delaware. All outstanding shares of common stock, options and share units of the Colorado corporation were converted into an equivalent share, option or share unit of the Delaware corporation and the par value of the Company’s common stock was adjusted to $0.0001.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w:t>
      </w:r>
    </w:p>
    <w:p>
      <w:pPr>
        <w:spacing w:after="0" w:line="127" w:lineRule="exact"/>
        <w:rPr>
          <w:sz w:val="20"/>
          <w:szCs w:val="20"/>
          <w:color w:val="auto"/>
        </w:rPr>
      </w:pPr>
    </w:p>
    <w:p>
      <w:pPr>
        <w:ind w:right="640" w:firstLine="255"/>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All significant intercompany accounts and transactions are eliminated in consolidation.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2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stock-based compensation, and loss contingencies.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17"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A portion of the Company’s business operations occurs outside the United States. The local currency of each of the Company’s subsidiaries generally is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27"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Company accounts for assets and liabilities using a hierarchy of valuation techniques based on whether the inputs to those valuation techniques are observable or unobservable. Observable inputs reflect market data obtained from independent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71" w:name="page72"/>
    <w:bookmarkEnd w:id="71"/>
    <w:p>
      <w:pPr>
        <w:ind w:right="520"/>
        <w:spacing w:after="0" w:line="287" w:lineRule="auto"/>
        <w:rPr>
          <w:sz w:val="20"/>
          <w:szCs w:val="20"/>
          <w:color w:val="auto"/>
        </w:rPr>
      </w:pPr>
      <w:r>
        <w:rPr>
          <w:rFonts w:ascii="Times New Roman" w:cs="Times New Roman" w:eastAsia="Times New Roman" w:hAnsi="Times New Roman"/>
          <w:sz w:val="14"/>
          <w:szCs w:val="14"/>
          <w:color w:val="auto"/>
        </w:rPr>
        <w:t>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61"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for identical instruments in active markets;</w:t>
      </w:r>
    </w:p>
    <w:p>
      <w:pPr>
        <w:spacing w:after="0" w:line="125"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3—Valuations derived from valuation techniques in which one or more significant inputs or significant value drivers are unobservable.</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financial instruments, consisting primarily of cash and cash equivalents, accounts receivable, and accounts payable, approximate fair value due to their short-term nature.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considers only its monetary liquid assets with original maturities of three months or less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27"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Company’s accounts receivable for the fiscal years ended June 30, 2025 and 2024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2025 or 2024 is not necessary. There was no bad debt expense for the fiscal years ended June 30, 2025 and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Inventory consisted of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54"/>
        </w:trPr>
        <w:tc>
          <w:tcPr>
            <w:tcW w:w="43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7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78.7 %</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21.3 %</w:t>
            </w: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inventory</w:t>
            </w: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Inventories are carried at the lower of cost or net realizable value, using the first-in, first-out method, which includes a reduction in inventory values of $0.5 million and $1.3 million at June 30, 2025 and 2024, respectively, related to obsolete and slow-moving inventory.</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Reserves of inventories consist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4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w:t>
            </w:r>
          </w:p>
        </w:tc>
      </w:tr>
      <w:tr>
        <w:trPr>
          <w:trHeight w:val="20"/>
        </w:trPr>
        <w:tc>
          <w:tcPr>
            <w:tcW w:w="7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and equipment are recorded at cost and depreciated using the straight-line method over the following useful lives: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Years</w:t>
            </w:r>
          </w:p>
        </w:tc>
      </w:tr>
      <w:tr>
        <w:trPr>
          <w:trHeight w:val="171"/>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(includes computer hardware and software)</w:t>
            </w:r>
          </w:p>
        </w:tc>
        <w:tc>
          <w:tcPr>
            <w:tcW w:w="4880" w:type="dxa"/>
            <w:vAlign w:val="bottom"/>
            <w:shd w:val="clear" w:color="auto" w:fill="CCEEFF"/>
          </w:tcPr>
          <w:p>
            <w:pPr>
              <w:spacing w:after="0"/>
              <w:rPr>
                <w:sz w:val="14"/>
                <w:szCs w:val="14"/>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3 - 5</w:t>
            </w:r>
          </w:p>
        </w:tc>
      </w:tr>
      <w:tr>
        <w:trPr>
          <w:trHeight w:val="180"/>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6920" w:type="dxa"/>
            <w:vAlign w:val="bottom"/>
            <w:gridSpan w:val="2"/>
          </w:tcPr>
          <w:p>
            <w:pPr>
              <w:jc w:val="center"/>
              <w:ind w:left="4809"/>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w:t>
            </w:r>
          </w:p>
        </w:tc>
        <w:tc>
          <w:tcPr>
            <w:tcW w:w="6920" w:type="dxa"/>
            <w:vAlign w:val="bottom"/>
            <w:gridSpan w:val="2"/>
            <w:shd w:val="clear" w:color="auto" w:fill="CCEEFF"/>
          </w:tcPr>
          <w:p>
            <w:pPr>
              <w:jc w:val="center"/>
              <w:ind w:left="4809"/>
              <w:spacing w:after="0"/>
              <w:rPr>
                <w:sz w:val="20"/>
                <w:szCs w:val="20"/>
                <w:color w:val="auto"/>
              </w:rPr>
            </w:pPr>
            <w:r>
              <w:rPr>
                <w:rFonts w:ascii="Times New Roman" w:cs="Times New Roman" w:eastAsia="Times New Roman" w:hAnsi="Times New Roman"/>
                <w:sz w:val="14"/>
                <w:szCs w:val="14"/>
                <w:color w:val="auto"/>
              </w:rPr>
              <w:t>5</w:t>
            </w:r>
          </w:p>
        </w:tc>
      </w:tr>
      <w:tr>
        <w:trPr>
          <w:trHeight w:val="79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880" w:type="dxa"/>
            <w:vAlign w:val="bottom"/>
          </w:tcPr>
          <w:p>
            <w:pPr>
              <w:jc w:val="right"/>
              <w:ind w:right="3449"/>
              <w:spacing w:after="0"/>
              <w:rPr>
                <w:sz w:val="20"/>
                <w:szCs w:val="20"/>
                <w:color w:val="auto"/>
              </w:rPr>
            </w:pPr>
            <w:r>
              <w:rPr>
                <w:rFonts w:ascii="Times New Roman" w:cs="Times New Roman" w:eastAsia="Times New Roman" w:hAnsi="Times New Roman"/>
                <w:sz w:val="14"/>
                <w:szCs w:val="14"/>
                <w:color w:val="auto"/>
              </w:rPr>
              <w:t>72</w:t>
            </w:r>
          </w:p>
        </w:tc>
        <w:tc>
          <w:tcPr>
            <w:tcW w:w="20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48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2" w:name="page73"/>
    <w:bookmarkEnd w:id="72"/>
    <w:p>
      <w:pPr>
        <w:ind w:left="260"/>
        <w:spacing w:after="0"/>
        <w:rPr>
          <w:sz w:val="20"/>
          <w:szCs w:val="20"/>
          <w:color w:val="auto"/>
        </w:rPr>
      </w:pPr>
      <w:r>
        <w:rPr>
          <w:rFonts w:ascii="Times New Roman" w:cs="Times New Roman" w:eastAsia="Times New Roman" w:hAnsi="Times New Roman"/>
          <w:sz w:val="14"/>
          <w:szCs w:val="14"/>
          <w:color w:val="auto"/>
        </w:rPr>
        <w:t>Leasehold improvements are depreciated over the shorter of estimated useful life of the related asset or the lease term.</w:t>
      </w:r>
    </w:p>
    <w:p>
      <w:pPr>
        <w:spacing w:after="0" w:line="115"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12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Intangible assets are stated at cost less accumulated amortization. Finite-lived intangible assets are amortized over their related useful lives, using a straight-line method, consistent with the underlying expected future cash flows related to the specific intangible asset. 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77" w:lineRule="exact"/>
        <w:rPr>
          <w:sz w:val="20"/>
          <w:szCs w:val="20"/>
          <w:color w:val="auto"/>
        </w:rPr>
      </w:pPr>
    </w:p>
    <w:p>
      <w:pPr>
        <w:ind w:right="320" w:firstLine="255"/>
        <w:spacing w:after="0" w:line="270" w:lineRule="auto"/>
        <w:rPr>
          <w:sz w:val="20"/>
          <w:szCs w:val="20"/>
          <w:color w:val="auto"/>
        </w:rPr>
      </w:pPr>
      <w:r>
        <w:rPr>
          <w:rFonts w:ascii="Times New Roman" w:cs="Times New Roman" w:eastAsia="Times New Roman" w:hAnsi="Times New Roman"/>
          <w:sz w:val="14"/>
          <w:szCs w:val="14"/>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2025 and 2024, resulting in no impairment charges.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1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2025 and 2024, management has concluded that there are no indications of impairment.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127"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Accounting guidance for financial instruments requires disclosure of significant concentrations of credit risk regardless of the degree of such risk. Financial instruments with significant credit risk include cash and cash equivalents. At June 30, 2025, the Company had $17.0 million in cash and cash equivalent accounts at one financial institution and $3.2 million in other financial institutions. As of June 30, 2025 and 2024, and during the years then ended, the Company’s cash balances exceeded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Commissions and Incentives</w:t>
      </w:r>
    </w:p>
    <w:p>
      <w:pPr>
        <w:spacing w:after="0" w:line="11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Commissions and incentives expenses are the Company’s most significant expenses and are classified as operating expenses. Commissions and incentives expenses include sales commissions paid to the Company’s independent consultants, special incentives, costs for incentive trips and other rewards. Commissions and incentives expenses do not include any amounts the Company pays to its independent consultants for personal purchases. Commissions paid to independent consultants on personal purchases are considered a sales discount and are reported as a reduction to net revenue.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w:t>
      </w:r>
    </w:p>
    <w:p>
      <w:pPr>
        <w:spacing w:after="0" w:line="127"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Shipping and handling costs associated with inbound freight and freight out to customers, including independent consultants, are included in cost of sales. Shipping and handling fees charged to all customers are included in sales.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127"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Company expenses all costs related to research and development activities as incurred. Research and development expenses for the fiscal years ended June 30, 2025 and 2024 were $1.4 million and $0.7 million,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3" w:name="page74"/>
    <w:bookmarkEnd w:id="73"/>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consolidated balance sheets. The Company does not have any finance leases.</w:t>
      </w:r>
    </w:p>
    <w:p>
      <w:pPr>
        <w:spacing w:after="0" w:line="7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the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2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w:t>
      </w:r>
    </w:p>
    <w:p>
      <w:pPr>
        <w:spacing w:after="0" w:line="7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87"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17"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Per Share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Basic income per common share is computed by dividing net income by the weighted-average number of common shares outstanding during the period, less unvested restricted stock awards.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Diluted income per common share is computed by dividing net income by the weighted-average common shares and potentially dilutive common share equivalents using the treasury stock method.</w:t>
      </w:r>
    </w:p>
    <w:p>
      <w:pPr>
        <w:spacing w:after="0" w:line="101"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For the fiscal years ended June 30, 2025 and 2024, the effects of approximately 30,000 and 13,000 common shares, respectively, issuable upon exercise of options and non-vested shares of restricted stock, are not included in the computations as their effect was anti-dilutive.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4" w:name="page75"/>
    <w:bookmarkEnd w:id="74"/>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following is a reconciliation of net income per share and the weighted-average common shares outstanding for purposes of computing basic and diluted net income per share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Pr>
          <w:p>
            <w:pPr>
              <w:jc w:val="right"/>
              <w:ind w:right="119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100" w:type="dxa"/>
            <w:vAlign w:val="bottom"/>
          </w:tcPr>
          <w:p>
            <w:pPr>
              <w:spacing w:after="0"/>
              <w:rPr>
                <w:sz w:val="15"/>
                <w:szCs w:val="15"/>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weighted-average common shares outstanding</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12,458</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Stock awards and options</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outstanding</w:t>
            </w:r>
          </w:p>
        </w:tc>
        <w:tc>
          <w:tcPr>
            <w:tcW w:w="13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12,987</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 per share, basic</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20" w:type="dxa"/>
            <w:vAlign w:val="bottom"/>
            <w:vMerge w:val="continue"/>
          </w:tcPr>
          <w:p>
            <w:pPr>
              <w:spacing w:after="0"/>
              <w:rPr>
                <w:sz w:val="12"/>
                <w:szCs w:val="12"/>
                <w:color w:val="auto"/>
              </w:rPr>
            </w:pPr>
          </w:p>
        </w:tc>
        <w:tc>
          <w:tcPr>
            <w:tcW w:w="1340" w:type="dxa"/>
            <w:vAlign w:val="bottom"/>
            <w:tcBorders>
              <w:bottom w:val="single" w:sz="8" w:color="auto"/>
            </w:tcBorders>
          </w:tcPr>
          <w:p>
            <w:pPr>
              <w:jc w:val="right"/>
              <w:ind w:right="1193"/>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0.80</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5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per share, diluted</w:t>
            </w:r>
          </w:p>
        </w:tc>
        <w:tc>
          <w:tcPr>
            <w:tcW w:w="134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2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 Segment Reporting (Topic 280): Improvements to Reportable Segment Disclosures (ASU 2023-07), expanding segment disclosure requirements. The amendments require enhanced disclosure for certain segment items and required disclosure on how management uses reported measures to assess segment performance. The amendments do not change how segments are determined, aggregated, or how thresholds are applied to determine reportable segments. ASU 2023-07 is effective for the Company’s annual periods beginning July 1, 2024, and for interim periods beginning July 1, 2025, with early adoption permitted. The Company adopted ASU 2023-07 for the fiscal year beginning July 1, 2024. See Note 13 for expanded segment disclosures.</w:t>
      </w:r>
    </w:p>
    <w:p>
      <w:pPr>
        <w:spacing w:after="0" w:line="90"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July 1, 2025, with early adoption permitted. The Company is currently evaluating the potential effect that the updated standard will have on its financial statement disclosures.</w:t>
      </w:r>
    </w:p>
    <w:p>
      <w:pPr>
        <w:spacing w:after="0" w:line="77"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(“ASU 2024-03”). The guidance requires disclosure of specified information about certain costs and expenses at each interim and annual reporting period. ASU 2024-03 is effective for the Company’s annual periods beginning July 1, 2027, with early adoption permitted. The Company is currently evaluating the potential effect that the updated standard will have on its financial statement disclosures.</w:t>
      </w:r>
    </w:p>
    <w:p>
      <w:pPr>
        <w:spacing w:after="0" w:line="87" w:lineRule="exact"/>
        <w:rPr>
          <w:sz w:val="20"/>
          <w:szCs w:val="20"/>
          <w:color w:val="auto"/>
        </w:rPr>
      </w:pPr>
    </w:p>
    <w:p>
      <w:pPr>
        <w:ind w:right="1020" w:firstLine="255"/>
        <w:spacing w:after="0" w:line="419" w:lineRule="auto"/>
        <w:rPr>
          <w:sz w:val="20"/>
          <w:szCs w:val="20"/>
          <w:color w:val="auto"/>
        </w:rPr>
      </w:pPr>
      <w:r>
        <w:rPr>
          <w:rFonts w:ascii="Times New Roman" w:cs="Times New Roman" w:eastAsia="Times New Roman" w:hAnsi="Times New Roman"/>
          <w:sz w:val="14"/>
          <w:szCs w:val="14"/>
          <w:color w:val="auto"/>
        </w:rPr>
        <w:t xml:space="preserve">Other recently issued accounting pronouncements did not or are not believed by management to have a material impact on the Company’s present or future financial statements. </w:t>
      </w:r>
      <w:r>
        <w:rPr>
          <w:rFonts w:ascii="Times New Roman" w:cs="Times New Roman" w:eastAsia="Times New Roman" w:hAnsi="Times New Roman"/>
          <w:sz w:val="14"/>
          <w:szCs w:val="14"/>
          <w:b w:val="1"/>
          <w:bCs w:val="1"/>
          <w:color w:val="auto"/>
        </w:rPr>
        <w:t>Note 3 — Revenue</w:t>
      </w: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68" w:lineRule="exact"/>
        <w:rPr>
          <w:sz w:val="20"/>
          <w:szCs w:val="20"/>
          <w:color w:val="auto"/>
        </w:rPr>
      </w:pPr>
    </w:p>
    <w:p>
      <w:pPr>
        <w:ind w:right="80" w:firstLine="255"/>
        <w:spacing w:after="0" w:line="228" w:lineRule="auto"/>
        <w:rPr>
          <w:sz w:val="20"/>
          <w:szCs w:val="20"/>
          <w:color w:val="auto"/>
        </w:rPr>
      </w:pPr>
      <w:r>
        <w:rPr>
          <w:rFonts w:ascii="Times New Roman" w:cs="Times New Roman" w:eastAsia="Times New Roman" w:hAnsi="Times New Roman"/>
          <w:sz w:val="14"/>
          <w:szCs w:val="14"/>
          <w:color w:val="auto"/>
        </w:rPr>
        <w:t>The Company generates the majority of its revenue through product sales to customers. These products include the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dietary supplements, the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line of dietary supplements that include the MindBody GLP-1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Omega+, ProBio, IC Bright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Rise AM &amp; Reset PM System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D3+, and Daily Wellness, 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Fat Burn and Prebiotic dietary supplements,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skin and hair care products and Liquid Collagen, 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companion pet supplement formulated to combat oxidative stress in dogs, and 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nootropic energy drink mixes.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5" w:name="page76"/>
    <w:bookmarkEnd w:id="75"/>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Company also charges amounts to independent consultants to attend events that it holds. Tickets to events are sold as standalone items or included within packs. For event tickets sold in packs, the Company allocates a portion of the transaction price to the ticket on a relative standalone selling price basis, adjusted for the probability of the tickets being redeemed for attendance at a future event.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12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launched its Rewards Circle loyalty program in the United States, Australia, New Zealand, and Japan in March 2023 and in Canada, Europe, and Mexico in February 2024. Contract liabilities, recorded as deferred revenue, include these loyalty program credit deferrals with certain customers which are accounted for as a reduction in the transaction price and are generally recognized as credits are redeemed for additional products at a later date.</w:t>
      </w:r>
    </w:p>
    <w:p>
      <w:pPr>
        <w:spacing w:after="0" w:line="83"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Company also records deferred revenue when cash payments are received or due in advance of performance, including amounts which are refundable.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7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Deferred revenue is included in accrued expenses in the consolidated balance sheets. The balance of deferred revenue related to contract liabilities, each less than twelve months, was $0.7 million and $0.9 million as of June 30, 2025 and 2024, respectively. The contract liabilities impact to revenue for the years ended June 30, 2025 and 2024 was an increase of $0.2 million and a decrease of $26,000,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Returns and Allowances</w:t>
      </w:r>
    </w:p>
    <w:p>
      <w:pPr>
        <w:spacing w:after="0" w:line="12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June 30, 2025 and 2024, the Company’s return liability reserve, net was $0.2 million and $0.1 million, respectively.</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Reserves for sales returns consist of the following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4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6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Returns</w:t>
            </w:r>
          </w:p>
        </w:tc>
        <w:tc>
          <w:tcPr>
            <w:tcW w:w="26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680" w:type="dxa"/>
            <w:vAlign w:val="bottom"/>
          </w:tcPr>
          <w:p>
            <w:pPr>
              <w:spacing w:after="0"/>
              <w:rPr>
                <w:sz w:val="14"/>
                <w:szCs w:val="14"/>
                <w:color w:val="auto"/>
              </w:rPr>
            </w:pPr>
          </w:p>
        </w:tc>
        <w:tc>
          <w:tcPr>
            <w:tcW w:w="132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4 — Property and Equipment, Net</w:t>
            </w:r>
          </w:p>
        </w:tc>
        <w:tc>
          <w:tcPr>
            <w:tcW w:w="2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44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net consist of (in thousands):</w:t>
            </w: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44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(includes computer hardware and software)</w:t>
            </w:r>
          </w:p>
        </w:tc>
        <w:tc>
          <w:tcPr>
            <w:tcW w:w="26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6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2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6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(17,412)</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680" w:type="dxa"/>
            <w:vAlign w:val="bottom"/>
          </w:tcPr>
          <w:p>
            <w:pPr>
              <w:spacing w:after="0"/>
              <w:rPr>
                <w:sz w:val="14"/>
                <w:szCs w:val="14"/>
                <w:color w:val="auto"/>
              </w:rPr>
            </w:pPr>
          </w:p>
        </w:tc>
        <w:tc>
          <w:tcPr>
            <w:tcW w:w="132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80" w:type="dxa"/>
            <w:vAlign w:val="bottom"/>
            <w:vMerge w:val="restart"/>
          </w:tcPr>
          <w:p>
            <w:pPr>
              <w:jc w:val="right"/>
              <w:ind w:right="1329"/>
              <w:spacing w:after="0"/>
              <w:rPr>
                <w:sz w:val="20"/>
                <w:szCs w:val="20"/>
                <w:color w:val="auto"/>
              </w:rPr>
            </w:pPr>
            <w:r>
              <w:rPr>
                <w:rFonts w:ascii="Times New Roman" w:cs="Times New Roman" w:eastAsia="Times New Roman" w:hAnsi="Times New Roman"/>
                <w:sz w:val="14"/>
                <w:szCs w:val="14"/>
                <w:color w:val="auto"/>
              </w:rPr>
              <w:t>76</w:t>
            </w: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44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4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6" w:name="page77"/>
    <w:bookmarkEnd w:id="76"/>
    <w:p>
      <w:pPr>
        <w:ind w:left="260"/>
        <w:spacing w:after="0"/>
        <w:rPr>
          <w:sz w:val="20"/>
          <w:szCs w:val="20"/>
          <w:color w:val="auto"/>
        </w:rPr>
      </w:pPr>
      <w:r>
        <w:rPr>
          <w:rFonts w:ascii="Times New Roman" w:cs="Times New Roman" w:eastAsia="Times New Roman" w:hAnsi="Times New Roman"/>
          <w:sz w:val="14"/>
          <w:szCs w:val="14"/>
          <w:color w:val="auto"/>
        </w:rPr>
        <w:t>Depreciation expense totaled $3.1 million and $3.4 million for the fiscal years ended June 30, 2025 and 2024,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Intangible Assets, Net</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Intangible assets, net consist of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 costs</w:t>
            </w:r>
          </w:p>
        </w:tc>
        <w:tc>
          <w:tcPr>
            <w:tcW w:w="144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4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r>
      <w:tr>
        <w:trPr>
          <w:trHeight w:val="171"/>
        </w:trPr>
        <w:tc>
          <w:tcPr>
            <w:tcW w:w="71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finite-lived intangible assets, net</w:t>
            </w:r>
          </w:p>
        </w:tc>
        <w:tc>
          <w:tcPr>
            <w:tcW w:w="14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12"/>
        </w:trPr>
        <w:tc>
          <w:tcPr>
            <w:tcW w:w="7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other indefinite-lived intangible assets</w:t>
            </w:r>
          </w:p>
        </w:tc>
        <w:tc>
          <w:tcPr>
            <w:tcW w:w="14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71"/>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1440" w:type="dxa"/>
            <w:vAlign w:val="bottom"/>
            <w:tcBorders>
              <w:bottom w:val="single" w:sz="8" w:color="auto"/>
            </w:tcBorders>
          </w:tcPr>
          <w:p>
            <w:pPr>
              <w:jc w:val="right"/>
              <w:ind w:right="12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0"/>
        </w:trPr>
        <w:tc>
          <w:tcPr>
            <w:tcW w:w="7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20" w:firstLine="255"/>
        <w:spacing w:after="0" w:line="238" w:lineRule="auto"/>
        <w:rPr>
          <w:sz w:val="20"/>
          <w:szCs w:val="20"/>
          <w:color w:val="auto"/>
        </w:rPr>
      </w:pPr>
      <w:r>
        <w:rPr>
          <w:rFonts w:ascii="Times New Roman" w:cs="Times New Roman" w:eastAsia="Times New Roman" w:hAnsi="Times New Roman"/>
          <w:sz w:val="14"/>
          <w:szCs w:val="14"/>
          <w:color w:val="auto"/>
        </w:rPr>
        <w:t>During the fiscal year ended June 30, 2025, the patents included in intangible assets related to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Nrf2 Synergizer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reached expiration and entered the public domain. Amortization expense totaled $0.1 million and $0.1 million for the fiscal years ended June 30, 2025 and 2024, respectively. As of June 30, 2025, the remaining weighted-average amortization period for finite-lived intangible assets is zero years. There is no annual estimated amortization expense expected in the succeeding fiscal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Other Accrued Expenses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accrued expenses consist of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incentive compensation</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severance</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taxes payable</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payable to vendors</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incentives and promotions to consultants</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r>
      <w:tr>
        <w:trPr>
          <w:trHeight w:val="171"/>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other accrued expenses</w:t>
            </w:r>
          </w:p>
        </w:tc>
        <w:tc>
          <w:tcPr>
            <w:tcW w:w="134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13,513</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7,874</w:t>
            </w:r>
          </w:p>
        </w:tc>
      </w:tr>
      <w:tr>
        <w:trPr>
          <w:trHeight w:val="20"/>
        </w:trPr>
        <w:tc>
          <w:tcPr>
            <w:tcW w:w="7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Long-Term Debt</w:t>
      </w:r>
    </w:p>
    <w:p>
      <w:pPr>
        <w:spacing w:after="0" w:line="11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March 30, 2016, the Company entered into a loan agreement (the “2016 Loan Agreement”) and a security agreement (the “2016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2016 Security Agreement, and together with the amendments described below, the “2016 Credit Facility”). The 2016 Credit Facility was subsequently amended, among other things, to increase the available borrowing under the revolving loan facility to $5.0 million. On March 31, 2024, the 2016 Credit Facility reached the maturity date and was terminated. As of March 31, 2024, there was no balance outstanding under the 2016 Credit Facility.</w:t>
      </w:r>
    </w:p>
    <w:p>
      <w:pPr>
        <w:spacing w:after="0" w:line="90"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On April 12, 2024, the Company entered into a Loan Agreement (the “Loan Agreement”)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Continuing and Unconditional Guaranty, and the Security and Pledge Agreement, the “2024 Credit Facility”).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7" w:name="page78"/>
    <w:bookmarkEnd w:id="77"/>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In the event the Company borrows under the Line of Credit, interest will be payable commencing May 31, 2024, and then on the last day of each month thereafter until payment in full of all principal outstanding under the Line of Credit, with all unpaid principal and interest due on April 12, 2027 (the “Expiration Date”). The Line of Credit will bear interest at a rate per year equal to the sum of (i) the greater of the Term SOFR Daily Floating Rate (as defined in the Loan Agreement) or 0.00%, plus (ii) 2.00%. Amounts under the Line of Credit may be repaid and re-borrowed from time to time until the Expiration Date. As of June 30, 2025, the effective interest rate is 6.45%.</w:t>
      </w:r>
    </w:p>
    <w:p>
      <w:pPr>
        <w:spacing w:after="0" w:line="7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w:t>
      </w:r>
    </w:p>
    <w:p>
      <w:pPr>
        <w:spacing w:after="0" w:line="83" w:lineRule="exact"/>
        <w:rPr>
          <w:sz w:val="20"/>
          <w:szCs w:val="20"/>
          <w:color w:val="auto"/>
        </w:rPr>
      </w:pPr>
    </w:p>
    <w:p>
      <w:pPr>
        <w:ind w:right="260" w:firstLine="255"/>
        <w:spacing w:after="0" w:line="264" w:lineRule="auto"/>
        <w:rPr>
          <w:sz w:val="20"/>
          <w:szCs w:val="20"/>
          <w:color w:val="auto"/>
        </w:rPr>
      </w:pPr>
      <w:r>
        <w:rPr>
          <w:rFonts w:ascii="Times New Roman" w:cs="Times New Roman" w:eastAsia="Times New Roman" w:hAnsi="Times New Roman"/>
          <w:sz w:val="14"/>
          <w:szCs w:val="14"/>
          <w:color w:val="auto"/>
        </w:rPr>
        <w:t>The Loan Agreement contains customary covenants, both affirmative and negative, that, among other things, restrict the Company’s ability to deal with the Company’s assets outside of the ordinary course, incur additional indebtedness, grant liens 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w:t>
      </w:r>
    </w:p>
    <w:p>
      <w:pPr>
        <w:spacing w:after="0" w:line="8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83"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As of June 30, 2025, the Company was in compliance with its financial covenants under the 2024 Credit Facility. As of June 30, 2025, there was no balance outstanding on the 2024 Credit Facility.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Stockholders’ Equity</w:t>
      </w:r>
    </w:p>
    <w:p>
      <w:pPr>
        <w:spacing w:after="0" w:line="127" w:lineRule="exact"/>
        <w:rPr>
          <w:sz w:val="20"/>
          <w:szCs w:val="20"/>
          <w:color w:val="auto"/>
        </w:rPr>
      </w:pPr>
    </w:p>
    <w:p>
      <w:pPr>
        <w:jc w:val="both"/>
        <w:ind w:right="200" w:firstLine="255"/>
        <w:spacing w:after="0" w:line="264" w:lineRule="auto"/>
        <w:rPr>
          <w:sz w:val="20"/>
          <w:szCs w:val="20"/>
          <w:color w:val="auto"/>
        </w:rPr>
      </w:pPr>
      <w:r>
        <w:rPr>
          <w:rFonts w:ascii="Times New Roman" w:cs="Times New Roman" w:eastAsia="Times New Roman" w:hAnsi="Times New Roman"/>
          <w:sz w:val="14"/>
          <w:szCs w:val="14"/>
          <w:color w:val="auto"/>
        </w:rPr>
        <w:t>During the fiscal years ended June 30, 2025 and 2024, the Company issued zero shares of common stock as a result of the exercise of options. During the fiscal years ended June 30, 2025 and 2024, the Company issued 0.4 million and 1.0 million shares, respectively, under the Company’s equity incentive plans. During the fiscal years ended June 30, 2025 and 2024, 0.2 million and 0.2 million shares, respectively, of restricted stock were canceled or surrendered as payment of tax withholding upon vesting. During the fiscal years ended June 30, 2025 and 2024, the Company sold 44,000 and 0.1 million shares under its 2019 Employee Stock Purchase Plan, respectively.</w:t>
      </w:r>
    </w:p>
    <w:p>
      <w:pPr>
        <w:spacing w:after="0" w:line="7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On November 27, 2017, the Company’s board approved a stock repurchase program, which was subsequently amended on February 1, 2019. Under the currently approved stock repurchase program, the Company is authorized to purchase up to $60 million through December 31, 2026. The stock repurchase program permits the Company to purchase shares from time to time through a variety of methods, including in the open market, through privately negotiated transactions or other means as determined by the Company’s management, in accordance with applicable securities laws. As part of the stock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stock repurchase program may be suspended or discontinued at any time. During the year ended June 30, 2025, the Company purchased 0.3 million shares of its common stock at an aggregate purchase price of $3.1 million under this repurchase program. During the fiscal year ended June 30, 2024, the Company purchased 1.0 million shares of its common stock at an aggregate purchase price of $6.4 million under this repurchase program. At June 30, 2025, there is $17.3 million remaining under this stock repurchase program.</w:t>
      </w:r>
    </w:p>
    <w:p>
      <w:pPr>
        <w:spacing w:after="0" w:line="96"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On August 30, 2023, the board approved a stockholder rights agreement (the “Rights Plan”) and declared a dividend of one right for each outstanding share of common stock to stockholders of record on September 11, 2023. Each right entitled holders to purchase one newly issued share of preferred stock at an exercise price of $20 per right, subject to adjustment. Initially, the rights were not exercisable and traded with shares of the Company’s common stock.</w:t>
      </w:r>
    </w:p>
    <w:p>
      <w:pPr>
        <w:spacing w:after="0" w:line="83"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In general, the rights became exercisable following a public announcement that a person had acquired 12% (or, in the case of passive investors, 20%) or more of the outstanding shares of the Company’s common stock. If a person became an acquiring</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8" w:name="page79"/>
    <w:bookmarkEnd w:id="78"/>
    <w:p>
      <w:pPr>
        <w:spacing w:after="0" w:line="270" w:lineRule="auto"/>
        <w:rPr>
          <w:sz w:val="20"/>
          <w:szCs w:val="20"/>
          <w:color w:val="auto"/>
        </w:rPr>
      </w:pPr>
      <w:r>
        <w:rPr>
          <w:rFonts w:ascii="Times New Roman" w:cs="Times New Roman" w:eastAsia="Times New Roman" w:hAnsi="Times New Roman"/>
          <w:sz w:val="14"/>
          <w:szCs w:val="14"/>
          <w:color w:val="auto"/>
        </w:rPr>
        <w:t>person, each holder of rights (except the acquiring person) would have the right to purchase, for the purchase price, a number of shares of the Company’s common stock at a 50% discount to the then-current trading price. Rather than allowing the rights to be exercised in those circumstances, the board had the right to exchange each right, other than the rights owned by the acquiring person, for a share of the Company’s common stock. The agreement provided for exceptions and additional terms for other certain situations and circumstances.</w:t>
      </w:r>
    </w:p>
    <w:p>
      <w:pPr>
        <w:spacing w:after="0" w:line="7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Rights Plan was intended to protect the interests of the Company and its stockholders by reducing the likelihood that any entity, person or group gains control of the Company through open-market accumulation or other means without payment of an adequate control premium and expired on August 28, 2024. There was no impact to the Company’s Consolidated Financial Statements.</w:t>
      </w:r>
    </w:p>
    <w:p>
      <w:pPr>
        <w:spacing w:after="0" w:line="71"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Company’s Certificate of Incorporation authorizes the designation and issuance of shares of preferred stock. However, as of June 30, 2025, no shares of preferred stock have been designated by the Board nor are any shares of preferred stock outstanding.</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1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Company paid quarterly cash dividends of $0.04 per share of common stock to stockholders of record in September 2024, December 2024 and March 2025, and $0.045 per share of common stock to stockholders of record in June 2025 which were in the aggregate amount of $2.1 million, or $0.165 per share of common stock for the fiscal year ended June 30, 2025. The Company paid a one-time cash dividend of $0.40 per share of common stock to stockholders of record in September 2023, quarterly cash dividends of $0.035 per share of common stock to stockholders of record in September 2023, December 2023 and March 2024, and $0.04 per share of common stock to stockholders of record in June 2024 which were in the aggregate amount of $6.9 million, or $0.545 per share of common stock for the fiscal year ended June 30, 2024.</w:t>
      </w:r>
    </w:p>
    <w:p>
      <w:pPr>
        <w:spacing w:after="0" w:line="90"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declaration of dividends is subject to the discretion of the board and will depend upon various factors, including the Company’s earnings, financial condition, restrictions imposed by any indebtedness that may be outstanding, cash requirements, future prospects, and other factors deemed relevant by the board.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Stock-Based Compensation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u w:val="single" w:color="auto"/>
          <w:color w:val="auto"/>
        </w:rPr>
        <w:t>Long-Term Incentive Plans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Equity-Settled Plans</w:t>
      </w:r>
    </w:p>
    <w:p>
      <w:pPr>
        <w:spacing w:after="0" w:line="127"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The Company adopted, and the stockholders approved, the 2017 Long-Term Incentive Plan (the “2017 Plan”), effective February 16, 2017, to provide incentives to eligible employees, directors, and consultants. The initial share pool approved was 650,000 shares. On November 9, 2023, the stockholders approved amendments to the 2017 Plan to increase the number of shares of the Company’s common stock that are available for issuance under the 2017 plan by 1,138,000 shares. As of June 30, 2025, a maximum of 5,105,000 shares of the Company’s common stock can be issued under the 2017 Plan in connection with the grant of awards which is calculated as the sum of (i) 4,630,000 shares and (ii) up to 475,000 shares previously reserved for issuance under the Company’s prior 2010 Long Term Incentive Plan, including shares returned upon cancellation, termination or forfeiture of awards that were previously granted under that plan. Outstanding stock options awarded under the 2017 Plan have exercise prices of $4.44 per share, vest over a three year vesting period, and have a contractual term of ten years. Awards expire in accordance with the terms of each award and, upon expiration of the award, the shares subject to the award are added back to the 2017 Plan. As of June 30, 2025, under the 2017 Plan, there were stock option awards outstanding, net of awards expired, for an aggregate of 0.1 million shares of the Company’s common stock.</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25" w:lineRule="exact"/>
        <w:rPr>
          <w:sz w:val="20"/>
          <w:szCs w:val="20"/>
          <w:color w:val="auto"/>
        </w:rPr>
      </w:pPr>
    </w:p>
    <w:p>
      <w:pPr>
        <w:ind w:right="38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Company’s 2019 Employee Stock Purchase Plan (“ESPP”) was adopted by the board in September 2018 and the Company’s stockholders approved it in November 2018.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August 2024, the board approved an amendment to the ESPP to increase the share reserve thereunder by 0.4 million shares, which amendment and increase was approved by the Company’s stockholders in November 2024. The ESPP is intended to qualify under Section 423 of the Internal Revenue Code.</w:t>
      </w:r>
    </w:p>
    <w:p>
      <w:pPr>
        <w:spacing w:after="0" w:line="81"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Share Reserve. </w:t>
      </w:r>
      <w:r>
        <w:rPr>
          <w:rFonts w:ascii="Times New Roman" w:cs="Times New Roman" w:eastAsia="Times New Roman" w:hAnsi="Times New Roman"/>
          <w:sz w:val="14"/>
          <w:szCs w:val="14"/>
          <w:color w:val="auto"/>
        </w:rPr>
        <w:t>The Company has reserved 0.8 million shares of its common stock for issuance under the ESPP. As of June 30, 2025, 0.4 million shares were available for issuance. The number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shares reserved under the ESPP will automatically be adjusted in the event of a stock split, stock dividend or a reverse stock split (including an adjustment to the per-purchase period share limit).</w:t>
      </w:r>
    </w:p>
    <w:p>
      <w:pPr>
        <w:spacing w:after="0" w:line="57" w:lineRule="exact"/>
        <w:rPr>
          <w:sz w:val="20"/>
          <w:szCs w:val="20"/>
          <w:color w:val="auto"/>
        </w:rPr>
      </w:pPr>
    </w:p>
    <w:p>
      <w:pPr>
        <w:ind w:right="10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Purchase Price. </w:t>
      </w:r>
      <w:r>
        <w:rPr>
          <w:rFonts w:ascii="Times New Roman" w:cs="Times New Roman" w:eastAsia="Times New Roman" w:hAnsi="Times New Roman"/>
          <w:sz w:val="14"/>
          <w:szCs w:val="14"/>
          <w:color w:val="auto"/>
        </w:rPr>
        <w:t>Employees may purchase each share of common stock under the ESPP at a price equal to 85% of the lower of the fair market values of the stock as of the beginning or the 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six-month offering periods. An employee’s contributions to the ESPP are limited to 15% of the compensation, and up to a maximum of 3,000 shares may be purchased by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9" w:name="page80"/>
    <w:bookmarkEnd w:id="79"/>
    <w:p>
      <w:pPr>
        <w:ind w:right="20"/>
        <w:spacing w:after="0" w:line="287" w:lineRule="auto"/>
        <w:rPr>
          <w:sz w:val="20"/>
          <w:szCs w:val="20"/>
          <w:color w:val="auto"/>
        </w:rPr>
      </w:pPr>
      <w:r>
        <w:rPr>
          <w:rFonts w:ascii="Times New Roman" w:cs="Times New Roman" w:eastAsia="Times New Roman" w:hAnsi="Times New Roman"/>
          <w:sz w:val="14"/>
          <w:szCs w:val="14"/>
          <w:color w:val="auto"/>
        </w:rPr>
        <w:t>an employee during any offering period. A participant shall not be granted an option under the ESPP if such option would permit the participant’s rights to purchase stock to accrue at a rate exceeding $25,000 fair market value of stock for each calendar year in which such option is outstanding at any time.</w:t>
      </w:r>
    </w:p>
    <w:p>
      <w:pPr>
        <w:spacing w:after="0" w:line="59"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Offering Periods. </w:t>
      </w:r>
      <w:r>
        <w:rPr>
          <w:rFonts w:ascii="Times New Roman" w:cs="Times New Roman" w:eastAsia="Times New Roman" w:hAnsi="Times New Roman"/>
          <w:sz w:val="14"/>
          <w:szCs w:val="14"/>
          <w:color w:val="auto"/>
        </w:rPr>
        <w:t>Unless otherwise determined by the compensation committee, the ESPP will be operated through a series of successive six-month offering periods, which will begin each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1 and September 1.</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fiscal years ended June 30, 2025 and 2024, 44,000 and 0.1 million shares of common stock were purchased under the ESPP, respectively.</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15"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accounting guidance for stock-based compensation, payments in equity instruments for goods or services are accounted for by the fair value method. For the fiscal year ended June 30, 2025 and 2024, stock-based compensation of $5.7 million and $3.3 million, respectively, was reflected as an increase to additional paid in capital.</w:t>
      </w:r>
    </w:p>
    <w:p>
      <w:pPr>
        <w:spacing w:after="0" w:line="7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At June 30, 2025, there was $3.5 million of unrecognized compensation cost related to non-vested stock-based compensation arrangements under the 2017 Plan, based on management’s estimate of the shares that will ultimately vest. The Company expects to recognize such costs over a weighted-average period of 1.43 years.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stock option grants during the fiscal years ended June 30, 2025 and 2024.</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stock option activity for the fiscal years ended June 30,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Aggregate Intrinsic Value (in</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Options (in thousands)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ind w:left="320"/>
              <w:spacing w:after="0" w:line="117" w:lineRule="exact"/>
              <w:rPr>
                <w:sz w:val="20"/>
                <w:szCs w:val="20"/>
                <w:color w:val="auto"/>
              </w:rPr>
            </w:pPr>
            <w:r>
              <w:rPr>
                <w:rFonts w:ascii="Times New Roman" w:cs="Times New Roman" w:eastAsia="Times New Roman" w:hAnsi="Times New Roman"/>
                <w:sz w:val="11"/>
                <w:szCs w:val="11"/>
                <w:b w:val="1"/>
                <w:bCs w:val="1"/>
                <w:color w:val="auto"/>
              </w:rPr>
              <w:t>Average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Average Remaining</w:t>
            </w:r>
          </w:p>
        </w:tc>
        <w:tc>
          <w:tcPr>
            <w:tcW w:w="10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ind w:left="32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 Term (in years)</w:t>
            </w:r>
          </w:p>
        </w:tc>
        <w:tc>
          <w:tcPr>
            <w:tcW w:w="10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75"/>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2023</w:t>
            </w:r>
          </w:p>
        </w:tc>
        <w:tc>
          <w:tcPr>
            <w:tcW w:w="1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Expired or Canceled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2024</w:t>
            </w:r>
          </w:p>
        </w:tc>
        <w:tc>
          <w:tcPr>
            <w:tcW w:w="140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Expired or Canceled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2025</w:t>
            </w:r>
          </w:p>
        </w:tc>
        <w:tc>
          <w:tcPr>
            <w:tcW w:w="140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June 30, 2025</w:t>
            </w: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34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5840" w:type="dxa"/>
            <w:vAlign w:val="bottom"/>
            <w:gridSpan w:val="2"/>
          </w:tcPr>
          <w:p>
            <w:pPr>
              <w:ind w:left="5580"/>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0" w:name="page81"/>
    <w:bookmarkEnd w:id="80"/>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restricted stock award activity during the fiscal years ended June 30,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tcPr>
          <w:p>
            <w:pPr>
              <w:spacing w:after="0"/>
              <w:rPr>
                <w:sz w:val="11"/>
                <w:szCs w:val="11"/>
                <w:color w:val="auto"/>
              </w:rPr>
            </w:pPr>
          </w:p>
        </w:tc>
        <w:tc>
          <w:tcPr>
            <w:tcW w:w="1520" w:type="dxa"/>
            <w:vAlign w:val="bottom"/>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c>
          <w:tcPr>
            <w:tcW w:w="0" w:type="dxa"/>
            <w:vAlign w:val="bottom"/>
          </w:tcPr>
          <w:p>
            <w:pPr>
              <w:spacing w:after="0"/>
              <w:rPr>
                <w:sz w:val="1"/>
                <w:szCs w:val="1"/>
                <w:color w:val="auto"/>
              </w:rPr>
            </w:pPr>
          </w:p>
        </w:tc>
      </w:tr>
      <w:tr>
        <w:trPr>
          <w:trHeight w:val="153"/>
        </w:trPr>
        <w:tc>
          <w:tcPr>
            <w:tcW w:w="712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2023</w:t>
            </w:r>
          </w:p>
        </w:tc>
        <w:tc>
          <w:tcPr>
            <w:tcW w:w="15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0"/>
        </w:trPr>
        <w:tc>
          <w:tcPr>
            <w:tcW w:w="7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Nonvested at June 30, 2024</w:t>
            </w:r>
          </w:p>
        </w:tc>
        <w:tc>
          <w:tcPr>
            <w:tcW w:w="15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50"/>
        </w:trPr>
        <w:tc>
          <w:tcPr>
            <w:tcW w:w="7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18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2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2"/>
              </w:rPr>
              <w:t>(1)</w:t>
            </w:r>
          </w:p>
        </w:tc>
        <w:tc>
          <w:tcPr>
            <w:tcW w:w="76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Includes 125,732 shares of restricted stock that were granted in exchange for the cancellation of 48,026 shares of stock units and 77,706 shares of performance restricted stock units on November 6, 2023.</w:t>
            </w:r>
          </w:p>
        </w:tc>
        <w:tc>
          <w:tcPr>
            <w:tcW w:w="0" w:type="dxa"/>
            <w:vAlign w:val="bottom"/>
          </w:tcPr>
          <w:p>
            <w:pPr>
              <w:spacing w:after="0"/>
              <w:rPr>
                <w:sz w:val="1"/>
                <w:szCs w:val="1"/>
                <w:color w:val="auto"/>
              </w:rPr>
            </w:pPr>
          </w:p>
        </w:tc>
      </w:tr>
      <w:tr>
        <w:trPr>
          <w:trHeight w:val="74"/>
        </w:trPr>
        <w:tc>
          <w:tcPr>
            <w:tcW w:w="280" w:type="dxa"/>
            <w:vAlign w:val="bottom"/>
            <w:vMerge w:val="continue"/>
          </w:tcPr>
          <w:p>
            <w:pPr>
              <w:spacing w:after="0"/>
              <w:rPr>
                <w:sz w:val="6"/>
                <w:szCs w:val="6"/>
                <w:color w:val="auto"/>
              </w:rPr>
            </w:pPr>
          </w:p>
        </w:tc>
        <w:tc>
          <w:tcPr>
            <w:tcW w:w="7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vesting date fair value of restricted shares that vested during the fiscal years ended June 30, 2025 and 2024 was $4.4 million and $0.7 million, respectively.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restricted stock units activity during the fiscal years ended June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80"/>
        </w:trPr>
        <w:tc>
          <w:tcPr>
            <w:tcW w:w="7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8"/>
                <w:szCs w:val="18"/>
                <w:color w:val="auto"/>
                <w:vertAlign w:val="superscript"/>
              </w:rPr>
              <w:t>(1)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June 30, 2024</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2"/>
        </w:trPr>
        <w:tc>
          <w:tcPr>
            <w:tcW w:w="7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June 30, 2025</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20"/>
        </w:trPr>
        <w:tc>
          <w:tcPr>
            <w:tcW w:w="7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9"/>
          <w:szCs w:val="9"/>
          <w:color w:val="auto"/>
        </w:rPr>
        <w:t>Includes 48,026 shares of restricted stock units that were canceled in exchange for restricted stock awards on November 6, 2023.</w:t>
      </w:r>
    </w:p>
    <w:p>
      <w:pPr>
        <w:ind w:left="580"/>
        <w:spacing w:after="0"/>
        <w:rPr>
          <w:sz w:val="20"/>
          <w:szCs w:val="20"/>
          <w:color w:val="auto"/>
        </w:rPr>
      </w:pPr>
      <w:r>
        <w:rPr>
          <w:rFonts w:ascii="Times New Roman" w:cs="Times New Roman" w:eastAsia="Times New Roman" w:hAnsi="Times New Roman"/>
          <w:sz w:val="13"/>
          <w:szCs w:val="13"/>
          <w:color w:val="auto"/>
        </w:rPr>
        <w:t>(1)</w:t>
      </w:r>
    </w:p>
    <w:p>
      <w:pPr>
        <w:spacing w:after="0" w:line="215" w:lineRule="exact"/>
        <w:rPr>
          <w:sz w:val="20"/>
          <w:szCs w:val="20"/>
          <w:color w:val="auto"/>
        </w:rPr>
      </w:pPr>
    </w:p>
    <w:p>
      <w:pPr>
        <w:ind w:left="260" w:right="1440"/>
        <w:spacing w:after="0" w:line="419" w:lineRule="auto"/>
        <w:rPr>
          <w:sz w:val="20"/>
          <w:szCs w:val="20"/>
          <w:color w:val="auto"/>
        </w:rPr>
      </w:pPr>
      <w:r>
        <w:rPr>
          <w:rFonts w:ascii="Times New Roman" w:cs="Times New Roman" w:eastAsia="Times New Roman" w:hAnsi="Times New Roman"/>
          <w:sz w:val="14"/>
          <w:szCs w:val="14"/>
          <w:color w:val="auto"/>
        </w:rPr>
        <w:t xml:space="preserve">The total vesting date fair value of restricted stock units that vested during the fiscal years ended June 30, 2025 and 2024 was $2.6 million and $1.9 million, respectively. </w:t>
      </w:r>
      <w:r>
        <w:rPr>
          <w:rFonts w:ascii="Times New Roman" w:cs="Times New Roman" w:eastAsia="Times New Roman" w:hAnsi="Times New Roman"/>
          <w:sz w:val="14"/>
          <w:szCs w:val="14"/>
          <w:b w:val="1"/>
          <w:bCs w:val="1"/>
          <w:color w:val="auto"/>
        </w:rPr>
        <w:t>Performance Restricted Stock Units</w:t>
      </w: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During the fiscal years ended June 30, 2025 and 2024 , the Company awarded performance restricted stock units (the “FY 2025 PRSUs” and “FY 2024 PRSUs,” respectively) to certain employees (the “Recipients”). Each performance restricted stock unit represents a contingent right for the Recipients to receive a distribution of shares of common stock of the Company equal to 0% to 200% of the target number of performance restricted stock units subject to the award. The actual number of shares distributed will be based on the Company’s achievement of specified financial performance metrics. For FY 2025 PRSUs, the performance period for 50% of the FY 2025 PRSUs ended on June 30, 2025, the performance period for 30% of the FY 2025 PRSUs ends on June 30, 2026, and the performance period for the remaining 20% of the FY 2025 PRSUs ends on June 30, 2027. For FY 2024 PRSUs, the performance period for 50% of the FY 2024 PRSUs ended on June 30, 2024, the performance period for 30% of the FY 2024 PRSUs ended on June 30, 2025, and the performance period for the remaining 20% of the FY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0" w:right="339" w:bottom="1440" w:gutter="0" w:footer="0" w:header="0"/>
        </w:sectPr>
      </w:pPr>
    </w:p>
    <w:bookmarkStart w:id="81" w:name="page82"/>
    <w:bookmarkEnd w:id="81"/>
    <w:p>
      <w:pPr>
        <w:ind w:right="20"/>
        <w:spacing w:after="0" w:line="261" w:lineRule="auto"/>
        <w:rPr>
          <w:sz w:val="20"/>
          <w:szCs w:val="20"/>
          <w:color w:val="auto"/>
        </w:rPr>
      </w:pPr>
      <w:r>
        <w:rPr>
          <w:rFonts w:ascii="Times New Roman" w:cs="Times New Roman" w:eastAsia="Times New Roman" w:hAnsi="Times New Roman"/>
          <w:sz w:val="14"/>
          <w:szCs w:val="14"/>
          <w:color w:val="auto"/>
        </w:rPr>
        <w:t>2024 PRSUs ends on June 30, 2026. The financial performance metrics for the fiscal year ended June 30, 2025, were deemed achieved at the 200.00% achievement level. The financial performance metrics for the fiscal year ended June 30, 2024, were deemed achieved at the 0% achievement level. The FY 2025 PRSUs and FY 2024 PRSUs will vest only to the extent the specified financial performance criteria are achieved and subject to the Recipient’s continued service with the Company, as follows: (i) a portion of the earned award will vest on the first anniversary of the grant date and (ii) an additional portion of the earned award will vest thereafter in a series of quarterly installments. The fair values of the performance restricted stock units are based on the grant date fair value which is the closing price of the Company's common stock on the date of grant.</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performance restricted stock units activity during the fiscal years ended June 30,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0"/>
        </w:trPr>
        <w:tc>
          <w:tcPr>
            <w:tcW w:w="7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8"/>
                <w:szCs w:val="18"/>
                <w:color w:val="auto"/>
                <w:vertAlign w:val="superscript"/>
              </w:rPr>
              <w:t>(1)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Nonvested at June 30, 2024</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50"/>
        </w:trPr>
        <w:tc>
          <w:tcPr>
            <w:tcW w:w="7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June 30, 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ind w:left="980" w:hanging="393"/>
        <w:spacing w:after="0" w:line="218" w:lineRule="auto"/>
        <w:tabs>
          <w:tab w:leader="none" w:pos="980" w:val="left"/>
        </w:tabs>
        <w:numPr>
          <w:ilvl w:val="0"/>
          <w:numId w:val="36"/>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9"/>
          <w:szCs w:val="9"/>
          <w:color w:val="auto"/>
        </w:rPr>
        <w:t>Includes 77,706 shares of performance restricted stock units that were canceled in exchange for restricted stock awards on November 6, 2023.</w:t>
      </w:r>
    </w:p>
    <w:p>
      <w:pPr>
        <w:spacing w:after="0" w:line="60" w:lineRule="exact"/>
        <w:rPr>
          <w:rFonts w:ascii="Times New Roman" w:cs="Times New Roman" w:eastAsia="Times New Roman" w:hAnsi="Times New Roman"/>
          <w:sz w:val="25"/>
          <w:szCs w:val="25"/>
          <w:color w:val="auto"/>
          <w:vertAlign w:val="subscript"/>
        </w:rPr>
      </w:pPr>
    </w:p>
    <w:p>
      <w:pPr>
        <w:ind w:left="980" w:hanging="393"/>
        <w:spacing w:after="0" w:line="208" w:lineRule="auto"/>
        <w:tabs>
          <w:tab w:leader="none" w:pos="980" w:val="left"/>
        </w:tabs>
        <w:numPr>
          <w:ilvl w:val="0"/>
          <w:numId w:val="36"/>
        </w:numPr>
        <w:rPr>
          <w:rFonts w:ascii="Times New Roman" w:cs="Times New Roman" w:eastAsia="Times New Roman" w:hAnsi="Times New Roman"/>
          <w:sz w:val="11"/>
          <w:szCs w:val="11"/>
          <w:color w:val="auto"/>
          <w:vertAlign w:val="subscript"/>
        </w:rPr>
      </w:pPr>
      <w:r>
        <w:rPr>
          <w:rFonts w:ascii="Times New Roman" w:cs="Times New Roman" w:eastAsia="Times New Roman" w:hAnsi="Times New Roman"/>
          <w:sz w:val="6"/>
          <w:szCs w:val="6"/>
          <w:color w:val="auto"/>
        </w:rPr>
        <w:t>Includes shares added based on achievement of performance goals in excess of target.</w:t>
      </w:r>
    </w:p>
    <w:p>
      <w:pPr>
        <w:spacing w:after="0" w:line="255"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The total vesting date fair value of performance restricted stock units that vested during the fiscal years ended June 30, 2025 and 2024 was approximately $1.1 million and $1.6 million,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Other Expense, Net</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expense, net consists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tcBorders>
              <w:bottom w:val="single" w:sz="8" w:color="CCEEFF"/>
            </w:tcBorders>
          </w:tcPr>
          <w:p>
            <w:pPr>
              <w:spacing w:after="0"/>
              <w:rPr>
                <w:sz w:val="13"/>
                <w:szCs w:val="13"/>
                <w:color w:val="auto"/>
              </w:rPr>
            </w:pPr>
          </w:p>
        </w:tc>
        <w:tc>
          <w:tcPr>
            <w:tcW w:w="326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loss, net</w:t>
            </w:r>
          </w:p>
        </w:tc>
        <w:tc>
          <w:tcPr>
            <w:tcW w:w="3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2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expense, net</w:t>
            </w:r>
          </w:p>
        </w:tc>
        <w:tc>
          <w:tcPr>
            <w:tcW w:w="3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329"/>
              <w:spacing w:after="0"/>
              <w:rPr>
                <w:sz w:val="20"/>
                <w:szCs w:val="20"/>
                <w:color w:val="auto"/>
              </w:rPr>
            </w:pPr>
            <w:r>
              <w:rPr>
                <w:rFonts w:ascii="Times New Roman" w:cs="Times New Roman" w:eastAsia="Times New Roman" w:hAnsi="Times New Roman"/>
                <w:sz w:val="14"/>
                <w:szCs w:val="14"/>
                <w:color w:val="auto"/>
              </w:rPr>
              <w:t>82</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60" w:type="dxa"/>
            <w:vAlign w:val="bottom"/>
            <w:tcBorders>
              <w:bottom w:val="single" w:sz="8" w:color="9A9A9A"/>
            </w:tcBorders>
          </w:tcPr>
          <w:p>
            <w:pPr>
              <w:spacing w:after="0"/>
              <w:rPr>
                <w:sz w:val="7"/>
                <w:szCs w:val="7"/>
                <w:color w:val="auto"/>
              </w:rPr>
            </w:pPr>
          </w:p>
        </w:tc>
        <w:tc>
          <w:tcPr>
            <w:tcW w:w="3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Note 11 — Income Taxes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income tax expense for the fiscal years ended June 30, 2025 and 2024 consists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Domestic</w:t>
            </w:r>
          </w:p>
        </w:tc>
        <w:tc>
          <w:tcPr>
            <w:tcW w:w="292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10,397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International</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12,243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Current taxes:</w:t>
            </w:r>
          </w:p>
        </w:tc>
        <w:tc>
          <w:tcPr>
            <w:tcW w:w="2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292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income tax provision</w:t>
            </w:r>
          </w:p>
        </w:tc>
        <w:tc>
          <w:tcPr>
            <w:tcW w:w="2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taxes:</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2920" w:type="dxa"/>
            <w:vAlign w:val="bottom"/>
            <w:gridSpan w:val="3"/>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deferred income tax provision</w:t>
            </w:r>
          </w:p>
        </w:tc>
        <w:tc>
          <w:tcPr>
            <w:tcW w:w="2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tax provision</w:t>
            </w:r>
          </w:p>
        </w:tc>
        <w:tc>
          <w:tcPr>
            <w:tcW w:w="2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2,438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240" w:type="dxa"/>
            <w:vAlign w:val="bottom"/>
            <w:gridSpan w:val="8"/>
          </w:tcPr>
          <w:p>
            <w:pPr>
              <w:ind w:left="260"/>
              <w:spacing w:after="0"/>
              <w:rPr>
                <w:sz w:val="20"/>
                <w:szCs w:val="20"/>
                <w:color w:val="auto"/>
              </w:rPr>
            </w:pPr>
            <w:r>
              <w:rPr>
                <w:rFonts w:ascii="Times New Roman" w:cs="Times New Roman" w:eastAsia="Times New Roman" w:hAnsi="Times New Roman"/>
                <w:sz w:val="14"/>
                <w:szCs w:val="14"/>
                <w:color w:val="auto"/>
              </w:rPr>
              <w:t>The effective income tax rate for the fiscal years ended June 30, 2025 and 2024 differs from the U.S. Federal statutory income tax rate due to the following:</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62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income tax rate</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difference</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return to provision true-up</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 on future stock compensation due to 162(m)</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withholding tax</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differences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Revalue of deferred for change in federal tax rate</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differences: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stock-based compensation</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current year section 162(m) limitation</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foreign derived intangible income deduction</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tax credits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meals and entertainment</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removal of additional permanent reinvestment assertions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change in uncertain tax positions</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accrual for foreign tax audits</w:t>
            </w: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other permanent differences</w:t>
            </w: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3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tax provision</w:t>
            </w: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340" w:type="dxa"/>
            <w:vAlign w:val="bottom"/>
            <w:vMerge w:val="restart"/>
          </w:tcPr>
          <w:p>
            <w:pPr>
              <w:jc w:val="right"/>
              <w:ind w:right="1169"/>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6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2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3" w:name="page84"/>
    <w:bookmarkEnd w:id="83"/>
    <w:p>
      <w:pPr>
        <w:ind w:left="260"/>
        <w:spacing w:after="0"/>
        <w:rPr>
          <w:sz w:val="20"/>
          <w:szCs w:val="20"/>
          <w:color w:val="auto"/>
        </w:rPr>
      </w:pPr>
      <w:r>
        <w:rPr>
          <w:rFonts w:ascii="Times New Roman" w:cs="Times New Roman" w:eastAsia="Times New Roman" w:hAnsi="Times New Roman"/>
          <w:sz w:val="14"/>
          <w:szCs w:val="14"/>
          <w:color w:val="auto"/>
        </w:rPr>
        <w:t>The components of the deferred tax assets and liabilities as of June 30, 2025 and 2024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state, and foreign net operating loss carryovers</w:t>
            </w:r>
          </w:p>
        </w:tc>
        <w:tc>
          <w:tcPr>
            <w:tcW w:w="136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option compensation</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174 costs</w:t>
            </w:r>
          </w:p>
        </w:tc>
        <w:tc>
          <w:tcPr>
            <w:tcW w:w="1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liability</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Accrued vacation, allowance for returns, bonuses &amp; other</w:t>
            </w:r>
          </w:p>
        </w:tc>
        <w:tc>
          <w:tcPr>
            <w:tcW w:w="1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w:t>
            </w:r>
          </w:p>
        </w:tc>
      </w:tr>
      <w:tr>
        <w:trPr>
          <w:trHeight w:val="171"/>
        </w:trPr>
        <w:tc>
          <w:tcPr>
            <w:tcW w:w="7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Gross deferred tax asset</w:t>
            </w:r>
          </w:p>
        </w:tc>
        <w:tc>
          <w:tcPr>
            <w:tcW w:w="136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w:t>
            </w:r>
          </w:p>
        </w:tc>
      </w:tr>
      <w:tr>
        <w:trPr>
          <w:trHeight w:val="202"/>
        </w:trPr>
        <w:tc>
          <w:tcPr>
            <w:tcW w:w="7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Patents and trademarks</w:t>
            </w:r>
          </w:p>
        </w:tc>
        <w:tc>
          <w:tcPr>
            <w:tcW w:w="136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&amp; equipment</w:t>
            </w:r>
          </w:p>
        </w:tc>
        <w:tc>
          <w:tcPr>
            <w:tcW w:w="1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Right of use asset</w:t>
            </w:r>
          </w:p>
        </w:tc>
        <w:tc>
          <w:tcPr>
            <w:tcW w:w="1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w:t>
            </w: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71"/>
        </w:trPr>
        <w:tc>
          <w:tcPr>
            <w:tcW w:w="7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1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w:t>
            </w:r>
          </w:p>
        </w:tc>
      </w:tr>
      <w:tr>
        <w:trPr>
          <w:trHeight w:val="17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3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136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w:t>
            </w: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Company has adopted accounting guidance for uncertain tax positions (“UTPs”) which provides that in order to recognize an uncertain tax benefit, the taxpayer must be more likely than not of sustaining the position. The measurement of the benefit is calculated as the largest amount that is more than 50% likely to be realized upon recognition of the benefit.</w:t>
      </w:r>
    </w:p>
    <w:p>
      <w:pPr>
        <w:spacing w:after="0" w:line="71"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In the fiscal year ended June 30, 2024, the Company began recording a withholding tax obligation on certain rebalanced commission payments to the U.S. parent company it had not obtained treaty rates for. The withholding tax recorded in the fiscal year ended June 30, 2024 has been reversed during the fiscal year ended June 30, 2025 as the Company no longer expects to pay that liability.</w:t>
      </w:r>
    </w:p>
    <w:p>
      <w:pPr>
        <w:spacing w:after="0" w:line="83"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Company has been undergoing income tax audits in foreign jurisdictions. For the fiscal year ended June 30, 2025, the Company accrued a total $0.4 million related to foreign income tax audits. In fiscal year 2025, the Company made payments or deemed payments totaling $0.4 million related to these foreign income tax audits. The UTP related to foreign tax audits is now zero. The Company does not have any other foreign tax audits as of June 30, 2025.</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the liability for uncertain tax positions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4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r>
      <w:tr>
        <w:trPr>
          <w:trHeight w:val="154"/>
        </w:trPr>
        <w:tc>
          <w:tcPr>
            <w:tcW w:w="714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increases - tax positions in prior year</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decreases - tax positions in prior year</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increases - tax positions in current year</w:t>
            </w:r>
          </w:p>
        </w:tc>
        <w:tc>
          <w:tcPr>
            <w:tcW w:w="13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Currency adjustment</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520" w:firstLine="255"/>
        <w:spacing w:after="0" w:line="287" w:lineRule="auto"/>
        <w:rPr>
          <w:sz w:val="20"/>
          <w:szCs w:val="20"/>
          <w:color w:val="auto"/>
        </w:rPr>
      </w:pPr>
      <w:r>
        <w:rPr>
          <w:rFonts w:ascii="Times New Roman" w:cs="Times New Roman" w:eastAsia="Times New Roman" w:hAnsi="Times New Roman"/>
          <w:sz w:val="14"/>
          <w:szCs w:val="14"/>
          <w:color w:val="auto"/>
        </w:rPr>
        <w:t>In fiscal year 2022, the Company removed its permanent reinvestment assertion in Japan. In fiscal year 2024, the Company removed its permanent reinvestment assertions in Taiwan and Australia and recorded the tax effects of that change. In fiscal year 2025, the Company removed its permanent reinvestment assertion on all other entities.</w:t>
      </w:r>
    </w:p>
    <w:p>
      <w:pPr>
        <w:spacing w:after="0" w:line="7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tax years open for examination by the Internal Revenue Service (“IRS”) include returns for fiscal years June 30, 2021 through present and the open tax years by state tax authorities include returns for fiscal years June 30, 2020 through present. In addition, the IRS and state tax authorities may examine net operating losses (“NOLs”) for any previous years if utilized by the Company.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4" w:name="page85"/>
    <w:bookmarkEnd w:id="84"/>
    <w:p>
      <w:pPr>
        <w:ind w:left="260"/>
        <w:spacing w:after="0"/>
        <w:rPr>
          <w:sz w:val="20"/>
          <w:szCs w:val="20"/>
          <w:color w:val="auto"/>
        </w:rPr>
      </w:pPr>
      <w:r>
        <w:rPr>
          <w:rFonts w:ascii="Times New Roman" w:cs="Times New Roman" w:eastAsia="Times New Roman" w:hAnsi="Times New Roman"/>
          <w:sz w:val="14"/>
          <w:szCs w:val="14"/>
          <w:color w:val="auto"/>
        </w:rPr>
        <w:t>The change in the valuation allowance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Increases</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change in valuation allowance during the fiscal year ended June 30, 2025 related to current year income in entities with a full valuation allowance along with a change to the United States valuation allowance based on the Company converting from a blended rate to a state-by-state provision. During the fiscal year ended June 30, 2024, the change in valuation allowance related to current year income in entities with a full valuation allowance along with a change to the United States valuation allowance based on updated projections and changes to the blended rate.</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June 30, 2025, the Company had utilized all of its Federal NOL carry-forwards. As of June 30, 2025, state NOLs were $4.8 million and foreign NOLs were $0.4 million.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recognized tax benefit from settlement of stock-based awards for the fiscal years ended June 30, 2025 and 2024, was $0.8 million and $0.2 million, respectively.</w:t>
      </w:r>
    </w:p>
    <w:p>
      <w:pPr>
        <w:spacing w:after="0" w:line="125"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Company has reflected all changes in tax laws including the changes resulting from expiring Tax Cuts and Jobs Act provisions. The Company will reflect the changes from the One Big Beautiful Bill Act in fiscal year 2026, when the law was enacted.</w:t>
      </w:r>
    </w:p>
    <w:p>
      <w:pPr>
        <w:spacing w:after="0" w:line="6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Company conducts its business globally. As a result, the Company and its subsidiaries file income tax returns in the U.S. federal jurisdiction and various state and foreign jurisdictions, and are subject to examination for the open tax years of June 30, 2021 through June 30,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Leases</w:t>
      </w:r>
    </w:p>
    <w:p>
      <w:pPr>
        <w:spacing w:after="0" w:line="12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Company has operating leases for current corporate offices and certain equipment. These leases have remaining terms of approximately one to 6.5 years. As of June 30, 2025, the weighted average remaining lease term and weighted average discount rate for operating leases was 5.91 years and 3.17%, respectively. As of June 30, 2024, the weighted average remaining lease term and weighted average discount rate for operating leases was 6.90 years and 3.46%, respectively.</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lease expense for the fiscal years ended June 30, 2025 and 2024,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cost</w:t>
            </w:r>
          </w:p>
        </w:tc>
        <w:tc>
          <w:tcPr>
            <w:tcW w:w="1440" w:type="dxa"/>
            <w:vAlign w:val="bottom"/>
          </w:tcPr>
          <w:p>
            <w:pPr>
              <w:jc w:val="right"/>
              <w:ind w:right="12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Variable lease cost</w:t>
            </w: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Short-term lease cost</w:t>
            </w:r>
          </w:p>
        </w:tc>
        <w:tc>
          <w:tcPr>
            <w:tcW w:w="1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144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was as follows (in thousands):</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1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1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44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0" w:type="dxa"/>
            <w:vAlign w:val="bottom"/>
          </w:tcPr>
          <w:p>
            <w:pPr>
              <w:spacing w:after="0"/>
              <w:rPr>
                <w:sz w:val="1"/>
                <w:szCs w:val="1"/>
                <w:color w:val="auto"/>
              </w:rPr>
            </w:pPr>
          </w:p>
        </w:tc>
      </w:tr>
      <w:tr>
        <w:trPr>
          <w:trHeight w:val="184"/>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440" w:type="dxa"/>
            <w:vAlign w:val="bottom"/>
          </w:tcPr>
          <w:p>
            <w:pPr>
              <w:jc w:val="right"/>
              <w:ind w:right="12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Maturity of lease liabilities at June 30, 2025 are as follows (in thousands):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8"/>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440" w:type="dxa"/>
            <w:vAlign w:val="bottom"/>
          </w:tcPr>
          <w:p>
            <w:pPr>
              <w:spacing w:after="0"/>
              <w:rPr>
                <w:sz w:val="13"/>
                <w:szCs w:val="13"/>
                <w:color w:val="auto"/>
              </w:rPr>
            </w:pPr>
          </w:p>
        </w:tc>
        <w:tc>
          <w:tcPr>
            <w:tcW w:w="1580" w:type="dxa"/>
            <w:vAlign w:val="bottom"/>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0"/>
        </w:trPr>
        <w:tc>
          <w:tcPr>
            <w:tcW w:w="9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r>
      <w:tr>
        <w:trPr>
          <w:trHeight w:val="180"/>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r>
      <w:tr>
        <w:trPr>
          <w:trHeight w:val="18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r>
      <w:tr>
        <w:trPr>
          <w:trHeight w:val="180"/>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r>
      <w:tr>
        <w:trPr>
          <w:trHeight w:val="18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r>
      <w:tr>
        <w:trPr>
          <w:trHeight w:val="18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w:t>
            </w:r>
          </w:p>
        </w:tc>
      </w:tr>
      <w:tr>
        <w:trPr>
          <w:trHeight w:val="171"/>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12,876</w:t>
            </w:r>
          </w:p>
        </w:tc>
      </w:tr>
      <w:tr>
        <w:trPr>
          <w:trHeight w:val="18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w:t>
            </w:r>
          </w:p>
        </w:tc>
      </w:tr>
      <w:tr>
        <w:trPr>
          <w:trHeight w:val="19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Segment Information</w:t>
      </w:r>
    </w:p>
    <w:p>
      <w:pPr>
        <w:spacing w:after="0" w:line="1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Company operates in a single operating segment by selling products directly to customers through an international network of independent consultants that operates in an integrated manner from market to market. The Company manages its business primarily by managing its international network of independent consultants through similar commission plans. Most products available to customers in the United States are available to customers across all markets. These products are purchased through third-party manufacturers by the US Corporate office and sold to each international market. Pricing for all products is determined at the US Corporate office. Accordingly, for disclosure purposes, the Company has a single reporting segment, which is reported on the Company’s consolidated financial statements.</w:t>
      </w:r>
    </w:p>
    <w:p>
      <w:pPr>
        <w:spacing w:after="0" w:line="80"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Chief Operating Decision Maker (“CODM”) is the Company’s Chief Executive Officer. The CODM regularly reviews consolidated financial information and performance used to make decisions about the Company as a whole and without distinguishing or grouping of operations based on asset type, revenue, geographic location, tenant or other factors.</w:t>
      </w:r>
    </w:p>
    <w:p>
      <w:pPr>
        <w:spacing w:after="0" w:line="71"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The CODM evaluates performance through consolidated financial budget-to-actual variances on a monthly and quarterly basis and allocates resources based on net income as reported in the consolidated statements of operations. The measure of segment assets is reported on the balance sheet as total consolidated assets. Total expenditures for long-lived assets are reported on the consolidated statements of cash flows.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Company’s segment revenue and expenses and segment net income for the fiscal years ended June 30, 2025 and 2024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132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200,164</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(41,440)</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Consultant commissions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(95,920)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(80,900)</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Consultant incentives, promotions, and recognition</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 and benefits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(27,202)</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Events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card and bank processing fees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r>
      <w:tr>
        <w:trPr>
          <w:trHeight w:val="180"/>
        </w:trPr>
        <w:tc>
          <w:tcPr>
            <w:tcW w:w="71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(1)</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(24,449)</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9,805</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2,937</w:t>
            </w:r>
          </w:p>
        </w:tc>
      </w:tr>
      <w:tr>
        <w:trPr>
          <w:trHeight w:val="20"/>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580" w:right="3840" w:hanging="5575"/>
        <w:spacing w:after="0" w:line="920" w:lineRule="auto"/>
        <w:tabs>
          <w:tab w:leader="none" w:pos="2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general and administrative expenses include legal, professional services, rent, utilities, and other miscellaneous expenses.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3" w:right="339" w:bottom="1440" w:gutter="0" w:footer="0" w:header="0"/>
        </w:sectPr>
      </w:pPr>
    </w:p>
    <w:bookmarkStart w:id="86" w:name="page87"/>
    <w:bookmarkEnd w:id="86"/>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Company’s long-lived assets for its most significant geographic markets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19,216</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Japan</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r>
      <w:tr>
        <w:trPr>
          <w:trHeight w:val="18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foreign markets</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7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foreign markets</w:t>
            </w:r>
          </w:p>
        </w:tc>
        <w:tc>
          <w:tcPr>
            <w:tcW w:w="1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r>
      <w:tr>
        <w:trPr>
          <w:trHeight w:val="171"/>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long-lived assets</w:t>
            </w:r>
          </w:p>
        </w:tc>
        <w:tc>
          <w:tcPr>
            <w:tcW w:w="134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20,819</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21,753</w:t>
            </w:r>
          </w:p>
        </w:tc>
      </w:tr>
      <w:tr>
        <w:trPr>
          <w:trHeight w:val="20"/>
        </w:trPr>
        <w:tc>
          <w:tcPr>
            <w:tcW w:w="7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Company has identified two major markets with revenues exceeding 10% of consolidated total revenue: United States and Japan. There are 16 other markets, each of which individually is less than 10% of consolidated total revenue. Sales are recorded in the market in which the transaction occurred. The following table presents the Company’s revenue disaggregated by these markets (in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1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60" w:type="dxa"/>
            <w:vAlign w:val="bottom"/>
            <w:tcBorders>
              <w:bottom w:val="single" w:sz="8" w:color="auto"/>
            </w:tcBorders>
          </w:tcPr>
          <w:p>
            <w:pPr>
              <w:spacing w:after="0"/>
              <w:rPr>
                <w:sz w:val="13"/>
                <w:szCs w:val="13"/>
                <w:color w:val="auto"/>
              </w:rPr>
            </w:pPr>
          </w:p>
        </w:tc>
      </w:tr>
      <w:tr>
        <w:trPr>
          <w:trHeight w:val="154"/>
        </w:trPr>
        <w:tc>
          <w:tcPr>
            <w:tcW w:w="7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32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178,442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145,679</w:t>
            </w:r>
          </w:p>
        </w:tc>
      </w:tr>
      <w:tr>
        <w:trPr>
          <w:trHeight w:val="180"/>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Japan</w:t>
            </w:r>
          </w:p>
        </w:tc>
        <w:tc>
          <w:tcPr>
            <w:tcW w:w="1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26,989</w:t>
            </w:r>
          </w:p>
        </w:tc>
      </w:tr>
      <w:tr>
        <w:trPr>
          <w:trHeight w:val="18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foreign markets</w:t>
            </w:r>
          </w:p>
        </w:tc>
        <w:tc>
          <w:tcPr>
            <w:tcW w:w="1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24,694</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27,496</w:t>
            </w:r>
          </w:p>
        </w:tc>
      </w:tr>
      <w:tr>
        <w:trPr>
          <w:trHeight w:val="17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foreign markets</w:t>
            </w:r>
          </w:p>
        </w:tc>
        <w:tc>
          <w:tcPr>
            <w:tcW w:w="1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50,088</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54,485</w:t>
            </w:r>
          </w:p>
        </w:tc>
      </w:tr>
      <w:tr>
        <w:trPr>
          <w:trHeight w:val="171"/>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revenue, net</w:t>
            </w:r>
          </w:p>
        </w:tc>
        <w:tc>
          <w:tcPr>
            <w:tcW w:w="132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228,530</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200,164</w:t>
            </w:r>
          </w:p>
        </w:tc>
      </w:tr>
      <w:tr>
        <w:trPr>
          <w:trHeight w:val="20"/>
        </w:trPr>
        <w:tc>
          <w:tcPr>
            <w:tcW w:w="7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Major Products</w:t>
      </w:r>
    </w:p>
    <w:p>
      <w:pPr>
        <w:spacing w:after="0" w:line="125" w:lineRule="exact"/>
        <w:rPr>
          <w:sz w:val="20"/>
          <w:szCs w:val="20"/>
          <w:color w:val="auto"/>
        </w:rPr>
      </w:pPr>
    </w:p>
    <w:p>
      <w:pPr>
        <w:ind w:firstLine="255"/>
        <w:spacing w:after="0" w:line="227" w:lineRule="auto"/>
        <w:rPr>
          <w:sz w:val="20"/>
          <w:szCs w:val="20"/>
          <w:color w:val="auto"/>
        </w:rPr>
      </w:pPr>
      <w:r>
        <w:rPr>
          <w:rFonts w:ascii="Times New Roman" w:cs="Times New Roman" w:eastAsia="Times New Roman" w:hAnsi="Times New Roman"/>
          <w:sz w:val="14"/>
          <w:szCs w:val="14"/>
          <w:color w:val="auto"/>
        </w:rPr>
        <w:t>The Company’s revenue for the fiscal year ended June 30, 2025 is largely attributed to three product lines,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On a combined basis, these three product lines represent approximately 87.6% of the Company’s total net revenue for the fiscal year ended June 30, 2025. Total revenue for the fiscal year ended June 30, 2024 was largely attributed to two product lines, 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on a combined basis represented approximately 80.1% of total net revenue for that fiscal year. The following table shows revenue by product line for the fiscal years ended June 30, 2025 and 2024 (in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Years ended June 30,</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Protandim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104,135</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LifeVantage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15,675</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TrueScience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56,252</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AXIO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4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13,375</w:t>
            </w:r>
          </w:p>
        </w:tc>
        <w:tc>
          <w:tcPr>
            <w:tcW w:w="0" w:type="dxa"/>
            <w:vAlign w:val="bottom"/>
          </w:tcPr>
          <w:p>
            <w:pPr>
              <w:spacing w:after="0"/>
              <w:rPr>
                <w:sz w:val="1"/>
                <w:szCs w:val="1"/>
                <w:color w:val="auto"/>
              </w:rPr>
            </w:pPr>
          </w:p>
        </w:tc>
      </w:tr>
      <w:tr>
        <w:trPr>
          <w:trHeight w:val="35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PhysIQ</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480" w:type="dxa"/>
            <w:vAlign w:val="bottom"/>
            <w:shd w:val="clear" w:color="auto" w:fill="CCEEFF"/>
          </w:tcPr>
          <w:p>
            <w:pPr>
              <w:spacing w:after="0"/>
              <w:rPr>
                <w:sz w:val="24"/>
                <w:szCs w:val="2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0" w:type="dxa"/>
            <w:vAlign w:val="bottom"/>
          </w:tcPr>
          <w:p>
            <w:pPr>
              <w:spacing w:after="0"/>
              <w:rPr>
                <w:sz w:val="1"/>
                <w:szCs w:val="1"/>
                <w:color w:val="auto"/>
              </w:rPr>
            </w:pPr>
          </w:p>
        </w:tc>
      </w:tr>
      <w:tr>
        <w:trPr>
          <w:trHeight w:val="61"/>
        </w:trPr>
        <w:tc>
          <w:tcPr>
            <w:tcW w:w="7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Petandim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product line</w:t>
            </w:r>
          </w:p>
        </w:tc>
        <w:tc>
          <w:tcPr>
            <w:tcW w:w="48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0" w:type="dxa"/>
            <w:vAlign w:val="bottom"/>
          </w:tcPr>
          <w:p>
            <w:pPr>
              <w:spacing w:after="0"/>
              <w:rPr>
                <w:sz w:val="1"/>
                <w:szCs w:val="1"/>
                <w:color w:val="auto"/>
              </w:rPr>
            </w:pPr>
          </w:p>
        </w:tc>
      </w:tr>
      <w:tr>
        <w:trPr>
          <w:trHeight w:val="61"/>
        </w:trPr>
        <w:tc>
          <w:tcPr>
            <w:tcW w:w="7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4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0" w:type="dxa"/>
            <w:vAlign w:val="bottom"/>
          </w:tcPr>
          <w:p>
            <w:pPr>
              <w:spacing w:after="0"/>
              <w:rPr>
                <w:sz w:val="1"/>
                <w:szCs w:val="1"/>
                <w:color w:val="auto"/>
              </w:rPr>
            </w:pPr>
          </w:p>
        </w:tc>
      </w:tr>
      <w:tr>
        <w:trPr>
          <w:trHeight w:val="171"/>
        </w:trPr>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 net</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228,530</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200,164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Other revenue includes shipping and handling revenue, event related revenue, and other revenues impracticable to allocate to a specific product line.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w:t>
      </w:r>
    </w:p>
    <w:p>
      <w:pPr>
        <w:spacing w:after="0" w:line="125"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contingent liabilities in accordance with ASC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7" w:name="page88"/>
    <w:bookmarkEnd w:id="87"/>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2025, and based on the assessment there are no probable loss contingencies requiring accrual or disclosures within its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Accruals</w:t>
      </w:r>
    </w:p>
    <w:p>
      <w:pPr>
        <w:spacing w:after="0" w:line="12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2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Other Matters</w:t>
      </w:r>
      <w:r>
        <w:rPr>
          <w:rFonts w:ascii="Times New Roman" w:cs="Times New Roman" w:eastAsia="Times New Roman" w:hAnsi="Times New Roman"/>
          <w:sz w:val="14"/>
          <w:szCs w:val="14"/>
          <w:color w:val="auto"/>
        </w:rPr>
        <w:t>. The Company may become involved in other litigation and regulatory matters incidental to its business and the matters disclosed in this annual report on Form 10-K, including, but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Subsequent Events</w:t>
      </w:r>
    </w:p>
    <w:p>
      <w:pPr>
        <w:spacing w:after="0" w:line="127"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On September 3, 2025, the Company entered into an Asset Purchase Agreement to acquire critical assets of a Global Organics Merchants, LLC, dba LoveBiome. The transaction is expected to close by mid-October 2025, subject to satisfaction of customary closing conditions and regulatory requirements. The Company has not yet determined the accounting purchase price allocation of the purchase consideration described above, which includes evaluating the fair value of the acquired assets and the valuation of contingent consideration to be transferred.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260"/>
          </w:cols>
          <w:pgMar w:left="300" w:top="846" w:right="339" w:bottom="1440"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LIFEVANTAGE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forth below is a list of all subsidiaries of LifeVantage Corporation, a Delaware corporation, and the state or country of incorporation of each as of June 30, 2025.</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w w:val="99"/>
              </w:rPr>
              <w:t>State or Country of Incorporation</w:t>
            </w:r>
          </w:p>
        </w:tc>
      </w:tr>
      <w:tr>
        <w:trPr>
          <w:trHeight w:val="20"/>
        </w:trPr>
        <w:tc>
          <w:tcPr>
            <w:tcW w:w="3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188"/>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Dinng Creative, Inc.</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Utah</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Importadora LifeVantage S. de R.L. de C.V.</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LFVN Malaysia SDN. BHD.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Malaysia</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LifeLine Nutraceuticals Corporation</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Colorado</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Asia Pte.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Australia Pty.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Australia</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Canada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Canada</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de Mexico S. de R.L. de C.V.</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Hong Kong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Japan Kabushiki Kaisha (KK)</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Netherlands B.V.</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New Zealand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New Zealand</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Singapore Pte.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Taiwan Pte.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Taiwan</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Thailand Company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Thailand</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LifeVantage UK Limited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Protandum Philippines Corporation</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Philippines</w:t>
            </w:r>
          </w:p>
        </w:tc>
      </w:tr>
      <w:tr>
        <w:trPr>
          <w:trHeight w:val="184"/>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Puyoujian (Guangzhou) Technology Co., Ltd.</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China</w:t>
            </w:r>
          </w:p>
        </w:tc>
      </w:tr>
    </w:tbl>
    <w:p>
      <w:pPr>
        <w:sectPr>
          <w:pgSz w:w="11900" w:h="16838" w:orient="portrait"/>
          <w:cols w:equalWidth="0" w:num="1">
            <w:col w:w="11280"/>
          </w:cols>
          <w:pgMar w:left="300" w:top="738"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1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333-252013, 333-228627, 333-216957, 333-200363, 333-183461, 333-175104, 333-158704, and 333-144247 on Form S-8, and the Registration Statement No. 333-271061 on Form S-3 of our report dated September 4, 2025, relating to the financial statements of LifeVantage Corporation and the effectiveness of LifeVantage Corporation's internal control over financial reporting, appearing in the Annual Report on Form 10-K of LifeVantage Corporation for the year ended June 30,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4, 2025</w:t>
      </w:r>
    </w:p>
    <w:p>
      <w:pPr>
        <w:sectPr>
          <w:pgSz w:w="11900" w:h="16838" w:orient="portrait"/>
          <w:cols w:equalWidth="0" w:num="1">
            <w:col w:w="11280"/>
          </w:cols>
          <w:pgMar w:left="300" w:top="738"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SECURITIES EXCHANGE ACT RULES 13a-14(a) AND 15(d)-14(a)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Steven R. Fife, certify that:</w:t>
      </w:r>
    </w:p>
    <w:p>
      <w:pPr>
        <w:spacing w:after="0" w:line="200" w:lineRule="exact"/>
        <w:rPr>
          <w:sz w:val="20"/>
          <w:szCs w:val="20"/>
          <w:color w:val="auto"/>
        </w:rPr>
      </w:pPr>
    </w:p>
    <w:p>
      <w:pPr>
        <w:ind w:left="320" w:hanging="315"/>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LifeVantage Corporation;</w:t>
      </w:r>
    </w:p>
    <w:p>
      <w:pPr>
        <w:spacing w:after="0" w:line="210"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320" w:right="140" w:hanging="315"/>
        <w:spacing w:after="0" w:line="287" w:lineRule="auto"/>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4"/>
          <w:szCs w:val="14"/>
          <w:color w:val="auto"/>
        </w:rPr>
      </w:pPr>
    </w:p>
    <w:p>
      <w:pPr>
        <w:ind w:left="520" w:right="80" w:hanging="197"/>
        <w:spacing w:after="0" w:line="287" w:lineRule="auto"/>
        <w:tabs>
          <w:tab w:leader="none" w:pos="512"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ind w:left="520" w:right="500" w:hanging="197"/>
        <w:spacing w:after="0" w:line="287" w:lineRule="auto"/>
        <w:tabs>
          <w:tab w:leader="none" w:pos="52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4"/>
          <w:szCs w:val="14"/>
          <w:color w:val="auto"/>
        </w:rPr>
      </w:pPr>
    </w:p>
    <w:p>
      <w:pPr>
        <w:ind w:left="320" w:right="580" w:hanging="315"/>
        <w:spacing w:after="0" w:line="287" w:lineRule="auto"/>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right="360" w:hanging="197"/>
        <w:spacing w:after="0" w:line="287" w:lineRule="auto"/>
        <w:tabs>
          <w:tab w:leader="none" w:pos="512"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September 4, 2025</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Steven R. Fife</w:t>
            </w:r>
          </w:p>
        </w:tc>
      </w:tr>
      <w:tr>
        <w:trPr>
          <w:trHeight w:val="167"/>
        </w:trPr>
        <w:tc>
          <w:tcPr>
            <w:tcW w:w="65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Steven R. Fife</w:t>
            </w:r>
          </w:p>
        </w:tc>
      </w:tr>
      <w:tr>
        <w:trPr>
          <w:trHeight w:val="142"/>
        </w:trPr>
        <w:tc>
          <w:tcPr>
            <w:tcW w:w="6580" w:type="dxa"/>
            <w:vAlign w:val="bottom"/>
          </w:tcPr>
          <w:p>
            <w:pPr>
              <w:spacing w:after="0"/>
              <w:rPr>
                <w:sz w:val="12"/>
                <w:szCs w:val="12"/>
                <w:color w:val="auto"/>
              </w:rPr>
            </w:pPr>
          </w:p>
        </w:tc>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President &amp; Chief Executive Officer</w:t>
            </w:r>
          </w:p>
        </w:tc>
      </w:tr>
      <w:tr>
        <w:trPr>
          <w:trHeight w:val="184"/>
        </w:trPr>
        <w:tc>
          <w:tcPr>
            <w:tcW w:w="658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727"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SECURITIES EXCHANGE ACT RULES 13a-14(a) AND 15(d)-14(a) AS ADOPTED PURSUANT TO SECTION 302 OF THE SARBANES-OXLEY ACT OF 2002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Carl A. Aure, certify that:</w:t>
      </w:r>
    </w:p>
    <w:p>
      <w:pPr>
        <w:spacing w:after="0" w:line="136" w:lineRule="exact"/>
        <w:rPr>
          <w:sz w:val="20"/>
          <w:szCs w:val="20"/>
          <w:color w:val="auto"/>
        </w:rPr>
      </w:pPr>
    </w:p>
    <w:p>
      <w:pPr>
        <w:ind w:left="320" w:hanging="315"/>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LifeVantage Corporation;</w:t>
      </w:r>
    </w:p>
    <w:p>
      <w:pPr>
        <w:spacing w:after="0" w:line="136"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320" w:right="140" w:hanging="315"/>
        <w:spacing w:after="0" w:line="287" w:lineRule="auto"/>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320" w:right="80" w:hanging="315"/>
        <w:spacing w:after="0" w:line="287" w:lineRule="auto"/>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80" w:right="20" w:hanging="257"/>
        <w:spacing w:after="0" w:line="287" w:lineRule="auto"/>
        <w:tabs>
          <w:tab w:leader="none" w:pos="57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80" w:right="420" w:hanging="257"/>
        <w:spacing w:after="0" w:line="287" w:lineRule="auto"/>
        <w:tabs>
          <w:tab w:leader="none" w:pos="5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80" w:right="620" w:hanging="257"/>
        <w:spacing w:after="0" w:line="287" w:lineRule="auto"/>
        <w:tabs>
          <w:tab w:leader="none" w:pos="57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80" w:right="260" w:hanging="257"/>
        <w:spacing w:after="0" w:line="287" w:lineRule="auto"/>
        <w:tabs>
          <w:tab w:leader="none" w:pos="5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320" w:right="580" w:hanging="315"/>
        <w:spacing w:after="0" w:line="287" w:lineRule="auto"/>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840" w:right="40" w:hanging="326"/>
        <w:spacing w:after="0" w:line="287" w:lineRule="auto"/>
        <w:tabs>
          <w:tab w:leader="none" w:pos="832"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580" w:val="left"/>
        </w:tabs>
        <w:rPr>
          <w:sz w:val="20"/>
          <w:szCs w:val="20"/>
          <w:color w:val="auto"/>
        </w:rPr>
      </w:pPr>
      <w:r>
        <w:rPr>
          <w:rFonts w:ascii="Times New Roman" w:cs="Times New Roman" w:eastAsia="Times New Roman" w:hAnsi="Times New Roman"/>
          <w:sz w:val="14"/>
          <w:szCs w:val="14"/>
          <w:color w:val="auto"/>
        </w:rPr>
        <w:t>September 4, 2025</w:t>
      </w:r>
      <w:r>
        <w:rPr>
          <w:sz w:val="20"/>
          <w:szCs w:val="20"/>
          <w:color w:val="auto"/>
        </w:rPr>
        <w:tab/>
      </w:r>
      <w:r>
        <w:rPr>
          <w:rFonts w:ascii="Times New Roman" w:cs="Times New Roman" w:eastAsia="Times New Roman" w:hAnsi="Times New Roman"/>
          <w:sz w:val="14"/>
          <w:szCs w:val="14"/>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14605</wp:posOffset>
            </wp:positionV>
            <wp:extent cx="22098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Carl A. Aure</w:t>
      </w:r>
    </w:p>
    <w:p>
      <w:pPr>
        <w:ind w:left="6600"/>
        <w:spacing w:after="0" w:line="221" w:lineRule="auto"/>
        <w:rPr>
          <w:sz w:val="20"/>
          <w:szCs w:val="20"/>
          <w:color w:val="auto"/>
        </w:rPr>
      </w:pPr>
      <w:r>
        <w:rPr>
          <w:rFonts w:ascii="Times New Roman" w:cs="Times New Roman" w:eastAsia="Times New Roman" w:hAnsi="Times New Roman"/>
          <w:sz w:val="14"/>
          <w:szCs w:val="14"/>
          <w:color w:val="auto"/>
        </w:rPr>
        <w:t>Chief Financial Officer</w:t>
      </w:r>
    </w:p>
    <w:p>
      <w:pPr>
        <w:ind w:left="6600"/>
        <w:spacing w:after="0" w:line="206" w:lineRule="auto"/>
        <w:rPr>
          <w:sz w:val="20"/>
          <w:szCs w:val="20"/>
          <w:color w:val="auto"/>
        </w:rPr>
      </w:pPr>
      <w:r>
        <w:rPr>
          <w:rFonts w:ascii="Times New Roman" w:cs="Times New Roman" w:eastAsia="Times New Roman" w:hAnsi="Times New Roman"/>
          <w:sz w:val="14"/>
          <w:szCs w:val="14"/>
          <w:color w:val="auto"/>
        </w:rPr>
        <w:t>(Principal Financial Officer and Principal Accounting</w:t>
      </w:r>
    </w:p>
    <w:p>
      <w:pPr>
        <w:ind w:left="6600"/>
        <w:spacing w:after="0"/>
        <w:rPr>
          <w:sz w:val="20"/>
          <w:szCs w:val="20"/>
          <w:color w:val="auto"/>
        </w:rPr>
      </w:pPr>
      <w:r>
        <w:rPr>
          <w:rFonts w:ascii="Times New Roman" w:cs="Times New Roman" w:eastAsia="Times New Roman" w:hAnsi="Times New Roman"/>
          <w:sz w:val="14"/>
          <w:szCs w:val="14"/>
          <w:color w:val="auto"/>
        </w:rPr>
        <w:t>Officer)</w:t>
      </w:r>
    </w:p>
    <w:p>
      <w:pPr>
        <w:sectPr>
          <w:pgSz w:w="11900" w:h="16838" w:orient="portrait"/>
          <w:cols w:equalWidth="0" w:num="1">
            <w:col w:w="11280"/>
          </w:cols>
          <w:pgMar w:left="300" w:top="727" w:right="3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w:t>
      </w:r>
    </w:p>
    <w:p>
      <w:pPr>
        <w:spacing w:after="0" w:line="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22" w:lineRule="exact"/>
        <w:rPr>
          <w:sz w:val="20"/>
          <w:szCs w:val="20"/>
          <w:color w:val="auto"/>
        </w:rPr>
      </w:pPr>
    </w:p>
    <w:p>
      <w:pPr>
        <w:jc w:val="both"/>
        <w:ind w:right="640"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filing of this annual report on Form 10-K of LifeVantage Corporation (the “Company”) for the period ended June 30, 2025, with the Securities and Exchange Commission on the date hereof (the “Report”), I, Steven R. Fife, President and Chief Executive Officer of the Company, certify, pursuant to 18 U.S.C. Section 1350, as adopted pursuant to Section 906 of the Sarbanes-Oxley Act of 2002, that:</w:t>
      </w:r>
    </w:p>
    <w:p>
      <w:pPr>
        <w:spacing w:after="0" w:line="93"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4"/>
          <w:szCs w:val="14"/>
          <w:color w:val="auto"/>
        </w:rPr>
        <w:t>September 4, 2025</w:t>
      </w:r>
      <w:r>
        <w:rPr>
          <w:sz w:val="20"/>
          <w:szCs w:val="20"/>
          <w:color w:val="auto"/>
        </w:rPr>
        <w:tab/>
      </w:r>
      <w:r>
        <w:rPr>
          <w:rFonts w:ascii="Times New Roman" w:cs="Times New Roman" w:eastAsia="Times New Roman" w:hAnsi="Times New Roman"/>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2637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Steven R. Fife</w:t>
      </w:r>
    </w:p>
    <w:p>
      <w:pPr>
        <w:ind w:left="6680"/>
        <w:spacing w:after="0" w:line="205" w:lineRule="auto"/>
        <w:rPr>
          <w:sz w:val="20"/>
          <w:szCs w:val="20"/>
          <w:color w:val="auto"/>
        </w:rPr>
      </w:pPr>
      <w:r>
        <w:rPr>
          <w:rFonts w:ascii="Times New Roman" w:cs="Times New Roman" w:eastAsia="Times New Roman" w:hAnsi="Times New Roman"/>
          <w:sz w:val="14"/>
          <w:szCs w:val="14"/>
          <w:color w:val="auto"/>
        </w:rPr>
        <w:t>President &amp; Chief Executive Officer</w:t>
      </w:r>
    </w:p>
    <w:p>
      <w:pPr>
        <w:ind w:left="668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7"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w:t>
      </w:r>
    </w:p>
    <w:p>
      <w:pPr>
        <w:spacing w:after="0" w:line="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22" w:lineRule="exact"/>
        <w:rPr>
          <w:sz w:val="20"/>
          <w:szCs w:val="20"/>
          <w:color w:val="auto"/>
        </w:rPr>
      </w:pPr>
    </w:p>
    <w:p>
      <w:pPr>
        <w:ind w:right="500"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filing of this annual report on Form 10-K of LifeVantage Corporation (the “Company”) for the period ended June 30, 2025, with the Securities and Exchange Commission on the date hereof (the “Report”), I, Carl A. Aure, Chief Financial Officer of the Company, certify, pursuant to 18 U.S.C. Section 1350, as adopted pursuant to Section 906 of the Sarbanes-Oxley Act of 2002, that:</w:t>
      </w:r>
    </w:p>
    <w:p>
      <w:pPr>
        <w:spacing w:after="0" w:line="93"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4"/>
          <w:szCs w:val="14"/>
          <w:color w:val="auto"/>
        </w:rPr>
        <w:t>September 4, 2025</w:t>
      </w:r>
      <w:r>
        <w:rPr>
          <w:sz w:val="20"/>
          <w:szCs w:val="20"/>
          <w:color w:val="auto"/>
        </w:rPr>
        <w:tab/>
      </w:r>
      <w:r>
        <w:rPr>
          <w:rFonts w:ascii="Times New Roman" w:cs="Times New Roman" w:eastAsia="Times New Roman" w:hAnsi="Times New Roman"/>
          <w:sz w:val="14"/>
          <w:szCs w:val="14"/>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14605</wp:posOffset>
            </wp:positionV>
            <wp:extent cx="198056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1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color w:val="auto"/>
        </w:rPr>
        <w:t>Carl A. Aure</w:t>
      </w:r>
    </w:p>
    <w:p>
      <w:pPr>
        <w:ind w:left="6660"/>
        <w:spacing w:after="0" w:line="205" w:lineRule="auto"/>
        <w:rPr>
          <w:sz w:val="20"/>
          <w:szCs w:val="20"/>
          <w:color w:val="auto"/>
        </w:rPr>
      </w:pPr>
      <w:r>
        <w:rPr>
          <w:rFonts w:ascii="Times New Roman" w:cs="Times New Roman" w:eastAsia="Times New Roman" w:hAnsi="Times New Roman"/>
          <w:sz w:val="14"/>
          <w:szCs w:val="14"/>
          <w:color w:val="auto"/>
        </w:rPr>
        <w:t>Chief Financial Officer</w:t>
      </w:r>
    </w:p>
    <w:p>
      <w:pPr>
        <w:ind w:left="6660"/>
        <w:spacing w:after="0" w:line="222" w:lineRule="auto"/>
        <w:rPr>
          <w:sz w:val="20"/>
          <w:szCs w:val="20"/>
          <w:color w:val="auto"/>
        </w:rPr>
      </w:pPr>
      <w:r>
        <w:rPr>
          <w:rFonts w:ascii="Times New Roman" w:cs="Times New Roman" w:eastAsia="Times New Roman" w:hAnsi="Times New Roman"/>
          <w:sz w:val="14"/>
          <w:szCs w:val="14"/>
          <w:color w:val="auto"/>
        </w:rPr>
        <w:t>(Principal Financial Officer and Principal Accounting</w:t>
      </w:r>
    </w:p>
    <w:p>
      <w:pPr>
        <w:ind w:left="6660"/>
        <w:spacing w:after="0"/>
        <w:rPr>
          <w:sz w:val="20"/>
          <w:szCs w:val="20"/>
          <w:color w:val="auto"/>
        </w:rPr>
      </w:pPr>
      <w:r>
        <w:rPr>
          <w:rFonts w:ascii="Times New Roman" w:cs="Times New Roman" w:eastAsia="Times New Roman" w:hAnsi="Times New Roman"/>
          <w:sz w:val="14"/>
          <w:szCs w:val="14"/>
          <w:color w:val="auto"/>
        </w:rPr>
        <w:t>Officer)</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lvl w:ilvl="1">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0"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6" Type="http://schemas.openxmlformats.org/officeDocument/2006/relationships/image" Target="media/image70.png"/><Relationship Id="rId119"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72" Type="http://schemas.openxmlformats.org/officeDocument/2006/relationships/hyperlink" Target="https://www.sec.gov/Archives/edgar/data/849146/000084914618000046/ex31-certificateofincorpor.htm" TargetMode="External"/><Relationship Id="rId73" Type="http://schemas.openxmlformats.org/officeDocument/2006/relationships/hyperlink" Target="https://www.sec.gov/Archives/edgar/data/849146/000084914619000066/lifevantage-amendedandrest.htm" TargetMode="External"/><Relationship Id="rId74" Type="http://schemas.openxmlformats.org/officeDocument/2006/relationships/hyperlink" Target="https://www.sec.gov/Archives/edgar/data/849146/000084914623000114/lfvn-certificateofdesign.htm" TargetMode="External"/><Relationship Id="rId75" Type="http://schemas.openxmlformats.org/officeDocument/2006/relationships/hyperlink" Target="https://www.sec.gov/Archives/edgar/data/849146/000084914624000146/lfvn-certificateofterminat.htm" TargetMode="External"/><Relationship Id="rId76" Type="http://schemas.openxmlformats.org/officeDocument/2006/relationships/hyperlink" Target="https://www.sec.gov/Archives/edgar/data/849146/000084914618000046/exhibit41formofcommonsto.htm" TargetMode="External"/><Relationship Id="rId77" Type="http://schemas.openxmlformats.org/officeDocument/2006/relationships/hyperlink" Target="https://www.sec.gov/Archives/edgar/data/849146/000084914622000058/ex42descriptionofcapitalst.htm" TargetMode="External"/><Relationship Id="rId78" Type="http://schemas.openxmlformats.org/officeDocument/2006/relationships/hyperlink" Target="https://www.sec.gov/Archives/edgar/data/849146/000084914623000115/lifevantage-rightsplanfi.htm" TargetMode="External"/><Relationship Id="rId79" Type="http://schemas.openxmlformats.org/officeDocument/2006/relationships/hyperlink" Target="https://www.sec.gov/Archives/edgar/data/849146/000084914624000021/lfvn-cooperationagreemen.htm" TargetMode="External"/><Relationship Id="rId81" Type="http://schemas.openxmlformats.org/officeDocument/2006/relationships/hyperlink" Target="https://www.sec.gov/Archives/edgar/data/849146/000084914622000058/lifevantagesalescompensa.htm" TargetMode="External"/><Relationship Id="rId82" Type="http://schemas.openxmlformats.org/officeDocument/2006/relationships/hyperlink" Target="https://www.sec.gov/Archives/edgar/data/849146/000084914624000106/lfvnproxystatementfy2025.htm" TargetMode="External"/><Relationship Id="rId83" Type="http://schemas.openxmlformats.org/officeDocument/2006/relationships/hyperlink" Target="https://www.sec.gov/Archives/edgar/data/849146/000084914625000014/evolvecompensationplanus.htm" TargetMode="External"/><Relationship Id="rId86" Type="http://schemas.openxmlformats.org/officeDocument/2006/relationships/hyperlink" Target="https://www.sec.gov/Archives/edgar/data/849146/000084914625000014/evolvecompensationplanau.htm" TargetMode="External"/><Relationship Id="rId87" Type="http://schemas.openxmlformats.org/officeDocument/2006/relationships/hyperlink" Target="https://www.sec.gov/Archives/edgar/data/849146/000084914625000014/evolvecompensationplannz.htm" TargetMode="External"/><Relationship Id="rId88" Type="http://schemas.openxmlformats.org/officeDocument/2006/relationships/hyperlink" Target="https://www.sec.gov/Archives/edgar/data/849146/000084914625000014/evolvecompensationplanjp.htm" TargetMode="External"/><Relationship Id="rId89" Type="http://schemas.openxmlformats.org/officeDocument/2006/relationships/hyperlink" Target="https://www.sec.gov/Archives/edgar/data/849146/000084914625000014/evolvecompensationplanca.htm" TargetMode="External"/><Relationship Id="rId90" Type="http://schemas.openxmlformats.org/officeDocument/2006/relationships/hyperlink" Target="https://www.sec.gov/Archives/edgar/data/849146/000084914625000014/evolvecompensationplanmx.htm" TargetMode="External"/><Relationship Id="rId91" Type="http://schemas.openxmlformats.org/officeDocument/2006/relationships/hyperlink" Target="https://www.sec.gov/Archives/edgar/data/849146/000084914625000014/evolvecompensationplanuk.htm" TargetMode="External"/><Relationship Id="rId92" Type="http://schemas.openxmlformats.org/officeDocument/2006/relationships/hyperlink" Target="https://www.sec.gov/Archives/edgar/data/849146/000084914625000014/evolvecompensationplaneu.htm" TargetMode="External"/><Relationship Id="rId93" Type="http://schemas.openxmlformats.org/officeDocument/2006/relationships/hyperlink" Target="https://www.sec.gov/Archives/edgar/data/849146/000084914625000039/evolvecompensationplanph.htm" TargetMode="External"/><Relationship Id="rId94" Type="http://schemas.openxmlformats.org/officeDocument/2006/relationships/hyperlink" Target="https://www.sec.gov/Archives/edgar/data/849146/000084914625000039/evolvecompensationplantw.htm" TargetMode="External"/><Relationship Id="rId95" Type="http://schemas.openxmlformats.org/officeDocument/2006/relationships/hyperlink" Target="https://www.sec.gov/Archives/edgar/data/849146/000084914625000039/evolvecompensationplanhk.htm" TargetMode="External"/><Relationship Id="rId96" Type="http://schemas.openxmlformats.org/officeDocument/2006/relationships/hyperlink" Target="https://www.sec.gov/Archives/edgar/data/849146/000084914625000039/evolvecompensationplansg.htm" TargetMode="External"/><Relationship Id="rId97" Type="http://schemas.openxmlformats.org/officeDocument/2006/relationships/hyperlink" Target="https://www.sec.gov/Archives/edgar/data/849146/000084914617000064/ex992restrictedstockgranta.htm" TargetMode="External"/><Relationship Id="rId98" Type="http://schemas.openxmlformats.org/officeDocument/2006/relationships/hyperlink" Target="https://www.sec.gov/Archives/edgar/data/849146/000084914617000064/ex993stockunitagreement.htm" TargetMode="External"/><Relationship Id="rId99" Type="http://schemas.openxmlformats.org/officeDocument/2006/relationships/hyperlink" Target="https://www.sec.gov/Archives/edgar/data/849146/000084914618000046/ex991-indemnificationagree.htm" TargetMode="External"/><Relationship Id="rId100" Type="http://schemas.openxmlformats.org/officeDocument/2006/relationships/hyperlink" Target="https://www.sec.gov/Archives/edgar/data/849146/000084914621000047/lfvnstevefifeceoofferlet.htm" TargetMode="External"/><Relationship Id="rId103" Type="http://schemas.openxmlformats.org/officeDocument/2006/relationships/hyperlink" Target="https://www.sec.gov/Archives/edgar/data/849146/000084914624000073/ex109keyexecutivebenefit.htm" TargetMode="External"/><Relationship Id="rId104" Type="http://schemas.openxmlformats.org/officeDocument/2006/relationships/hyperlink" Target="https://www.sec.gov/Archives/edgar/data/849146/000084914624000039/loanagreement.htm" TargetMode="External"/><Relationship Id="rId105" Type="http://schemas.openxmlformats.org/officeDocument/2006/relationships/hyperlink" Target="https://www.sec.gov/Archives/edgar/data/849146/000084914624000039/continuinganduncondition.htm" TargetMode="External"/><Relationship Id="rId107" Type="http://schemas.openxmlformats.org/officeDocument/2006/relationships/hyperlink" Target="https://www.sec.gov/Archives/edgar/data/849146/000084914624000039/securityandpledgeagreeme.htm" TargetMode="External"/><Relationship Id="rId108" Type="http://schemas.openxmlformats.org/officeDocument/2006/relationships/hyperlink" Target="https://www.sec.gov/Archives/edgar/data/849146/000084914616000165/exhibit101zfnb-lifevantage.htm" TargetMode="External"/><Relationship Id="rId109" Type="http://schemas.openxmlformats.org/officeDocument/2006/relationships/hyperlink" Target="https://www.sec.gov/Archives/edgar/data/849146/000084914616000165/exhibit102zfnb-lifevantage.htm" TargetMode="External"/><Relationship Id="rId110" Type="http://schemas.openxmlformats.org/officeDocument/2006/relationships/hyperlink" Target="https://www.sec.gov/Archives/edgar/data/849146/000084914618000057/ex101-loanmodification.htm" TargetMode="External"/><Relationship Id="rId111" Type="http://schemas.openxmlformats.org/officeDocument/2006/relationships/hyperlink" Target="https://www.sec.gov/Archives/edgar/data/849146/000084914619000029/ex101loanmodification.htm" TargetMode="External"/><Relationship Id="rId112" Type="http://schemas.openxmlformats.org/officeDocument/2006/relationships/hyperlink" Target="https://www.sec.gov/Archives/edgar/data/849146/000084914621000047/loandocuments-lifevantag.htm" TargetMode="External"/><Relationship Id="rId113" Type="http://schemas.openxmlformats.org/officeDocument/2006/relationships/hyperlink" Target="https://www.sec.gov/Archives/edgar/data/849146/000084914622000076/a20220930-zionsrlocadden.htm" TargetMode="External"/><Relationship Id="rId114" Type="http://schemas.openxmlformats.org/officeDocument/2006/relationships/hyperlink" Target="https://www.sec.gov/Archives/edgar/data/849146/000084914620000040/lfvnleasetrciii.htm" TargetMode="External"/><Relationship Id="rId115" Type="http://schemas.openxmlformats.org/officeDocument/2006/relationships/hyperlink" Target="https://www.sec.gov/Archives/edgar/data/849146/000084914623000204/leaseagreementshinagawag.htm" TargetMode="External"/><Relationship Id="rId116" Type="http://schemas.openxmlformats.org/officeDocument/2006/relationships/hyperlink" Target="https://www.sec.gov/Archives/edgar/data/849146/000084914614000027/dlimanufacturingagreement.htm" TargetMode="External"/><Relationship Id="rId117" Type="http://schemas.openxmlformats.org/officeDocument/2006/relationships/hyperlink" Target="https://www.sec.gov/Archives/edgar/data/849146/000084914614000062/integracoreservicesagreeme.htm" TargetMode="External"/><Relationship Id="rId118" Type="http://schemas.openxmlformats.org/officeDocument/2006/relationships/hyperlink" Target="https://www.sec.gov/Archives/edgar/data/849146/000084914614000062/wasatchmanufagreement.htm" TargetMode="External"/><Relationship Id="rId120" Type="http://schemas.openxmlformats.org/officeDocument/2006/relationships/hyperlink" Target="https://www.sec.gov/Archives/edgar/data/849146/000084914624000073/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2025-09-04T15:26:43Z</dcterms:created>
  <dcterms:modified xsi:type="dcterms:W3CDTF">2025-09-04T15:26:43Z</dcterms:modified>
</cp:coreProperties>
</file>