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900"/>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9" w:lineRule="exact"/>
        <w:rPr>
          <w:sz w:val="24"/>
          <w:szCs w:val="24"/>
          <w:color w:val="auto"/>
        </w:rPr>
      </w:pPr>
    </w:p>
    <w:p>
      <w:pPr>
        <w:ind w:left="2900"/>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2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WASHINGTON, D.C. 20549</w:t>
      </w:r>
    </w:p>
    <w:p>
      <w:pPr>
        <w:spacing w:after="0" w:line="6" w:lineRule="exact"/>
        <w:rPr>
          <w:sz w:val="24"/>
          <w:szCs w:val="24"/>
          <w:color w:val="auto"/>
        </w:rPr>
      </w:pPr>
    </w:p>
    <w:p>
      <w:pPr>
        <w:ind w:left="3940"/>
        <w:spacing w:after="0"/>
        <w:rPr>
          <w:sz w:val="20"/>
          <w:szCs w:val="20"/>
          <w:color w:val="auto"/>
        </w:rPr>
      </w:pPr>
      <w:r>
        <w:rPr>
          <w:rFonts w:ascii="Times New Roman" w:cs="Times New Roman" w:eastAsia="Times New Roman" w:hAnsi="Times New Roman"/>
          <w:sz w:val="8"/>
          <w:szCs w:val="8"/>
          <w:b w:val="1"/>
          <w:bCs w:val="1"/>
          <w:color w:val="auto"/>
        </w:rPr>
        <w:t>________________________________________________________________________________</w:t>
      </w:r>
    </w:p>
    <w:p>
      <w:pPr>
        <w:spacing w:after="0" w:line="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FORM 10-K</w:t>
      </w:r>
    </w:p>
    <w:p>
      <w:pPr>
        <w:spacing w:after="0" w:line="19"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97" w:lineRule="exact"/>
        <w:rPr>
          <w:sz w:val="24"/>
          <w:szCs w:val="24"/>
          <w:color w:val="auto"/>
        </w:rPr>
      </w:pPr>
    </w:p>
    <w:p>
      <w:pPr>
        <w:ind w:left="500" w:right="3680" w:hanging="481"/>
        <w:spacing w:after="0" w:line="357" w:lineRule="auto"/>
        <w:tabs>
          <w:tab w:leader="none" w:pos="68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b w:val="1"/>
          <w:bCs w:val="1"/>
          <w:color w:val="auto"/>
        </w:rPr>
        <w:t>ANNUAL REPORT PURSUANT TO SECTION 13 OR 15(d) OF THE SECURITIES EXCHANGE ACT OF 1934 For the fiscal year ended June 30, 2024</w:t>
      </w:r>
    </w:p>
    <w:p>
      <w:pPr>
        <w:spacing w:after="0" w:line="30" w:lineRule="exact"/>
        <w:rPr>
          <w:sz w:val="24"/>
          <w:szCs w:val="24"/>
          <w:color w:val="auto"/>
        </w:rPr>
      </w:pPr>
    </w:p>
    <w:p>
      <w:pPr>
        <w:ind w:left="680" w:hanging="661"/>
        <w:spacing w:after="0"/>
        <w:tabs>
          <w:tab w:leader="none" w:pos="680" w:val="left"/>
        </w:tabs>
        <w:numPr>
          <w:ilvl w:val="0"/>
          <w:numId w:val="2"/>
        </w:numPr>
        <w:rPr>
          <w:rFonts w:ascii="MS PGothic" w:cs="MS PGothic" w:eastAsia="MS PGothic" w:hAnsi="MS PGothic"/>
          <w:sz w:val="14"/>
          <w:szCs w:val="14"/>
          <w:color w:val="auto"/>
        </w:rPr>
      </w:pPr>
      <w:r>
        <w:rPr>
          <w:rFonts w:ascii="Times New Roman" w:cs="Times New Roman" w:eastAsia="Times New Roman" w:hAnsi="Times New Roman"/>
          <w:sz w:val="14"/>
          <w:szCs w:val="14"/>
          <w:b w:val="1"/>
          <w:bCs w:val="1"/>
          <w:color w:val="auto"/>
        </w:rPr>
        <w:t>TRANSITION REPORT PURSUANT TO SECTION 13 OR 15(d) OF THE SECURITIES EXCHANGE ACT OF 1934</w:t>
      </w:r>
    </w:p>
    <w:p>
      <w:pPr>
        <w:spacing w:after="0" w:line="274" w:lineRule="exact"/>
        <w:rPr>
          <w:sz w:val="24"/>
          <w:szCs w:val="24"/>
          <w:color w:val="auto"/>
        </w:rPr>
      </w:pPr>
    </w:p>
    <w:tbl>
      <w:tblPr>
        <w:tblLayout w:type="fixed"/>
        <w:tblInd w:w="20" w:type="dxa"/>
        <w:tblCellMar>
          <w:top w:w="0" w:type="dxa"/>
          <w:left w:w="0" w:type="dxa"/>
          <w:bottom w:w="0" w:type="dxa"/>
          <w:right w:w="0" w:type="dxa"/>
        </w:tblCellMar>
      </w:tblPr>
      <w:tr>
        <w:trPr>
          <w:trHeight w:val="186"/>
        </w:trPr>
        <w:tc>
          <w:tcPr>
            <w:tcW w:w="29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500" w:type="dxa"/>
            <w:vAlign w:val="bottom"/>
            <w:gridSpan w:val="3"/>
          </w:tcPr>
          <w:p>
            <w:pPr>
              <w:ind w:left="280"/>
              <w:spacing w:after="0"/>
              <w:rPr>
                <w:sz w:val="20"/>
                <w:szCs w:val="20"/>
                <w:color w:val="auto"/>
              </w:rPr>
            </w:pPr>
            <w:r>
              <w:rPr>
                <w:rFonts w:ascii="Times New Roman" w:cs="Times New Roman" w:eastAsia="Times New Roman" w:hAnsi="Times New Roman"/>
                <w:sz w:val="14"/>
                <w:szCs w:val="14"/>
                <w:b w:val="1"/>
                <w:bCs w:val="1"/>
                <w:color w:val="auto"/>
              </w:rPr>
              <w:t>For the transition period from __________ to __________</w:t>
            </w:r>
          </w:p>
        </w:tc>
        <w:tc>
          <w:tcPr>
            <w:tcW w:w="2960" w:type="dxa"/>
            <w:vAlign w:val="bottom"/>
          </w:tcPr>
          <w:p>
            <w:pPr>
              <w:spacing w:after="0"/>
              <w:rPr>
                <w:sz w:val="16"/>
                <w:szCs w:val="16"/>
                <w:color w:val="auto"/>
              </w:rPr>
            </w:pPr>
          </w:p>
        </w:tc>
      </w:tr>
      <w:tr>
        <w:trPr>
          <w:trHeight w:val="254"/>
        </w:trPr>
        <w:tc>
          <w:tcPr>
            <w:tcW w:w="29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500" w:type="dxa"/>
            <w:vAlign w:val="bottom"/>
            <w:gridSpan w:val="3"/>
          </w:tcPr>
          <w:p>
            <w:pPr>
              <w:jc w:val="center"/>
              <w:ind w:right="800"/>
              <w:spacing w:after="0"/>
              <w:rPr>
                <w:sz w:val="20"/>
                <w:szCs w:val="20"/>
                <w:color w:val="auto"/>
              </w:rPr>
            </w:pPr>
            <w:r>
              <w:rPr>
                <w:rFonts w:ascii="Times New Roman" w:cs="Times New Roman" w:eastAsia="Times New Roman" w:hAnsi="Times New Roman"/>
                <w:sz w:val="14"/>
                <w:szCs w:val="14"/>
                <w:b w:val="1"/>
                <w:bCs w:val="1"/>
                <w:color w:val="auto"/>
              </w:rPr>
              <w:t>Commission file number 001-35647</w:t>
            </w:r>
          </w:p>
        </w:tc>
        <w:tc>
          <w:tcPr>
            <w:tcW w:w="2960" w:type="dxa"/>
            <w:vAlign w:val="bottom"/>
          </w:tcPr>
          <w:p>
            <w:pPr>
              <w:spacing w:after="0"/>
              <w:rPr>
                <w:sz w:val="22"/>
                <w:szCs w:val="22"/>
                <w:color w:val="auto"/>
              </w:rPr>
            </w:pPr>
          </w:p>
        </w:tc>
      </w:tr>
      <w:tr>
        <w:trPr>
          <w:trHeight w:val="110"/>
        </w:trPr>
        <w:tc>
          <w:tcPr>
            <w:tcW w:w="2980" w:type="dxa"/>
            <w:vAlign w:val="bottom"/>
          </w:tcPr>
          <w:p>
            <w:pPr>
              <w:spacing w:after="0"/>
              <w:rPr>
                <w:sz w:val="9"/>
                <w:szCs w:val="9"/>
                <w:color w:val="auto"/>
              </w:rPr>
            </w:pPr>
          </w:p>
        </w:tc>
        <w:tc>
          <w:tcPr>
            <w:tcW w:w="4480" w:type="dxa"/>
            <w:vAlign w:val="bottom"/>
            <w:gridSpan w:val="3"/>
          </w:tcPr>
          <w:p>
            <w:pPr>
              <w:jc w:val="center"/>
              <w:ind w:left="719"/>
              <w:spacing w:after="0"/>
              <w:rPr>
                <w:sz w:val="20"/>
                <w:szCs w:val="20"/>
                <w:color w:val="auto"/>
              </w:rPr>
            </w:pPr>
            <w:r>
              <w:rPr>
                <w:rFonts w:ascii="Times New Roman" w:cs="Times New Roman" w:eastAsia="Times New Roman" w:hAnsi="Times New Roman"/>
                <w:sz w:val="8"/>
                <w:szCs w:val="8"/>
                <w:b w:val="1"/>
                <w:bCs w:val="1"/>
                <w:color w:val="auto"/>
              </w:rPr>
              <w:t>________________________________________________________________________________</w:t>
            </w:r>
          </w:p>
        </w:tc>
        <w:tc>
          <w:tcPr>
            <w:tcW w:w="80" w:type="dxa"/>
            <w:vAlign w:val="bottom"/>
          </w:tcPr>
          <w:p>
            <w:pPr>
              <w:spacing w:after="0"/>
              <w:rPr>
                <w:sz w:val="9"/>
                <w:szCs w:val="9"/>
                <w:color w:val="auto"/>
              </w:rPr>
            </w:pPr>
          </w:p>
        </w:tc>
        <w:tc>
          <w:tcPr>
            <w:tcW w:w="740" w:type="dxa"/>
            <w:vAlign w:val="bottom"/>
          </w:tcPr>
          <w:p>
            <w:pPr>
              <w:spacing w:after="0"/>
              <w:rPr>
                <w:sz w:val="9"/>
                <w:szCs w:val="9"/>
                <w:color w:val="auto"/>
              </w:rPr>
            </w:pPr>
          </w:p>
        </w:tc>
        <w:tc>
          <w:tcPr>
            <w:tcW w:w="2960" w:type="dxa"/>
            <w:vAlign w:val="bottom"/>
          </w:tcPr>
          <w:p>
            <w:pPr>
              <w:spacing w:after="0"/>
              <w:rPr>
                <w:sz w:val="9"/>
                <w:szCs w:val="9"/>
                <w:color w:val="auto"/>
              </w:rPr>
            </w:pPr>
          </w:p>
        </w:tc>
      </w:tr>
      <w:tr>
        <w:trPr>
          <w:trHeight w:val="585"/>
        </w:trPr>
        <w:tc>
          <w:tcPr>
            <w:tcW w:w="2980" w:type="dxa"/>
            <w:vAlign w:val="bottom"/>
          </w:tcPr>
          <w:p>
            <w:pPr>
              <w:spacing w:after="0"/>
              <w:rPr>
                <w:sz w:val="24"/>
                <w:szCs w:val="24"/>
                <w:color w:val="auto"/>
              </w:rPr>
            </w:pPr>
          </w:p>
        </w:tc>
        <w:tc>
          <w:tcPr>
            <w:tcW w:w="5300" w:type="dxa"/>
            <w:vAlign w:val="bottom"/>
            <w:gridSpan w:val="5"/>
          </w:tcPr>
          <w:p>
            <w:pPr>
              <w:jc w:val="center"/>
              <w:spacing w:after="0"/>
              <w:rPr>
                <w:sz w:val="20"/>
                <w:szCs w:val="20"/>
                <w:color w:val="auto"/>
              </w:rPr>
            </w:pPr>
            <w:r>
              <w:rPr>
                <w:rFonts w:ascii="Times New Roman" w:cs="Times New Roman" w:eastAsia="Times New Roman" w:hAnsi="Times New Roman"/>
                <w:sz w:val="34"/>
                <w:szCs w:val="34"/>
                <w:b w:val="1"/>
                <w:bCs w:val="1"/>
                <w:color w:val="auto"/>
                <w:w w:val="97"/>
              </w:rPr>
              <w:t>LIFEVANTAGE CORPORATION</w:t>
            </w:r>
          </w:p>
        </w:tc>
        <w:tc>
          <w:tcPr>
            <w:tcW w:w="2960" w:type="dxa"/>
            <w:vAlign w:val="bottom"/>
          </w:tcPr>
          <w:p>
            <w:pPr>
              <w:spacing w:after="0"/>
              <w:rPr>
                <w:sz w:val="24"/>
                <w:szCs w:val="24"/>
                <w:color w:val="auto"/>
              </w:rPr>
            </w:pPr>
          </w:p>
        </w:tc>
      </w:tr>
      <w:tr>
        <w:trPr>
          <w:trHeight w:val="186"/>
        </w:trPr>
        <w:tc>
          <w:tcPr>
            <w:tcW w:w="29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500" w:type="dxa"/>
            <w:vAlign w:val="bottom"/>
            <w:gridSpan w:val="3"/>
          </w:tcPr>
          <w:p>
            <w:pPr>
              <w:jc w:val="center"/>
              <w:ind w:right="820"/>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tc>
        <w:tc>
          <w:tcPr>
            <w:tcW w:w="2960" w:type="dxa"/>
            <w:vAlign w:val="bottom"/>
          </w:tcPr>
          <w:p>
            <w:pPr>
              <w:spacing w:after="0"/>
              <w:rPr>
                <w:sz w:val="16"/>
                <w:szCs w:val="16"/>
                <w:color w:val="auto"/>
              </w:rPr>
            </w:pPr>
          </w:p>
        </w:tc>
      </w:tr>
      <w:tr>
        <w:trPr>
          <w:trHeight w:val="270"/>
        </w:trPr>
        <w:tc>
          <w:tcPr>
            <w:tcW w:w="2980" w:type="dxa"/>
            <w:vAlign w:val="bottom"/>
          </w:tcPr>
          <w:p>
            <w:pPr>
              <w:jc w:val="center"/>
              <w:ind w:left="1218"/>
              <w:spacing w:after="0"/>
              <w:rPr>
                <w:sz w:val="20"/>
                <w:szCs w:val="20"/>
                <w:color w:val="auto"/>
              </w:rPr>
            </w:pPr>
            <w:r>
              <w:rPr>
                <w:rFonts w:ascii="Times New Roman" w:cs="Times New Roman" w:eastAsia="Times New Roman" w:hAnsi="Times New Roman"/>
                <w:sz w:val="14"/>
                <w:szCs w:val="14"/>
                <w:b w:val="1"/>
                <w:bCs w:val="1"/>
                <w:color w:val="auto"/>
              </w:rPr>
              <w:t>Delaware</w:t>
            </w:r>
          </w:p>
        </w:tc>
        <w:tc>
          <w:tcPr>
            <w:tcW w:w="7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960" w:type="dxa"/>
            <w:vAlign w:val="bottom"/>
          </w:tcPr>
          <w:p>
            <w:pPr>
              <w:jc w:val="center"/>
              <w:ind w:right="1298"/>
              <w:spacing w:after="0"/>
              <w:rPr>
                <w:sz w:val="20"/>
                <w:szCs w:val="20"/>
                <w:color w:val="auto"/>
              </w:rPr>
            </w:pPr>
            <w:r>
              <w:rPr>
                <w:rFonts w:ascii="Times New Roman" w:cs="Times New Roman" w:eastAsia="Times New Roman" w:hAnsi="Times New Roman"/>
                <w:sz w:val="14"/>
                <w:szCs w:val="14"/>
                <w:b w:val="1"/>
                <w:bCs w:val="1"/>
                <w:color w:val="auto"/>
              </w:rPr>
              <w:t>90-0224471</w:t>
            </w:r>
          </w:p>
        </w:tc>
      </w:tr>
      <w:tr>
        <w:trPr>
          <w:trHeight w:val="117"/>
        </w:trPr>
        <w:tc>
          <w:tcPr>
            <w:tcW w:w="2980" w:type="dxa"/>
            <w:vAlign w:val="bottom"/>
          </w:tcPr>
          <w:p>
            <w:pPr>
              <w:jc w:val="center"/>
              <w:ind w:left="1218"/>
              <w:spacing w:after="0" w:line="117" w:lineRule="exact"/>
              <w:rPr>
                <w:sz w:val="20"/>
                <w:szCs w:val="20"/>
                <w:color w:val="auto"/>
              </w:rPr>
            </w:pPr>
            <w:r>
              <w:rPr>
                <w:rFonts w:ascii="Times New Roman" w:cs="Times New Roman" w:eastAsia="Times New Roman" w:hAnsi="Times New Roman"/>
                <w:sz w:val="11"/>
                <w:szCs w:val="11"/>
                <w:color w:val="auto"/>
              </w:rPr>
              <w:t>(State or Other Jurisdiction of</w:t>
            </w: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960" w:type="dxa"/>
            <w:vAlign w:val="bottom"/>
          </w:tcPr>
          <w:p>
            <w:pPr>
              <w:jc w:val="center"/>
              <w:ind w:right="1278"/>
              <w:spacing w:after="0" w:line="117" w:lineRule="exact"/>
              <w:rPr>
                <w:sz w:val="20"/>
                <w:szCs w:val="20"/>
                <w:color w:val="auto"/>
              </w:rPr>
            </w:pPr>
            <w:r>
              <w:rPr>
                <w:rFonts w:ascii="Times New Roman" w:cs="Times New Roman" w:eastAsia="Times New Roman" w:hAnsi="Times New Roman"/>
                <w:sz w:val="11"/>
                <w:szCs w:val="11"/>
                <w:color w:val="auto"/>
              </w:rPr>
              <w:t>(I.R.S. Employer</w:t>
            </w:r>
          </w:p>
        </w:tc>
      </w:tr>
      <w:tr>
        <w:trPr>
          <w:trHeight w:val="147"/>
        </w:trPr>
        <w:tc>
          <w:tcPr>
            <w:tcW w:w="2980" w:type="dxa"/>
            <w:vAlign w:val="bottom"/>
          </w:tcPr>
          <w:p>
            <w:pPr>
              <w:jc w:val="center"/>
              <w:ind w:left="1218"/>
              <w:spacing w:after="0"/>
              <w:rPr>
                <w:sz w:val="20"/>
                <w:szCs w:val="20"/>
                <w:color w:val="auto"/>
              </w:rPr>
            </w:pPr>
            <w:r>
              <w:rPr>
                <w:rFonts w:ascii="Times New Roman" w:cs="Times New Roman" w:eastAsia="Times New Roman" w:hAnsi="Times New Roman"/>
                <w:sz w:val="11"/>
                <w:szCs w:val="11"/>
                <w:color w:val="auto"/>
              </w:rPr>
              <w:t>Incorporation or Organization)</w:t>
            </w: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960" w:type="dxa"/>
            <w:vAlign w:val="bottom"/>
          </w:tcPr>
          <w:p>
            <w:pPr>
              <w:jc w:val="center"/>
              <w:ind w:right="1298"/>
              <w:spacing w:after="0"/>
              <w:rPr>
                <w:sz w:val="20"/>
                <w:szCs w:val="20"/>
                <w:color w:val="auto"/>
              </w:rPr>
            </w:pPr>
            <w:r>
              <w:rPr>
                <w:rFonts w:ascii="Times New Roman" w:cs="Times New Roman" w:eastAsia="Times New Roman" w:hAnsi="Times New Roman"/>
                <w:sz w:val="11"/>
                <w:szCs w:val="11"/>
                <w:color w:val="auto"/>
              </w:rPr>
              <w:t>Identification No.)</w:t>
            </w:r>
          </w:p>
        </w:tc>
      </w:tr>
      <w:tr>
        <w:trPr>
          <w:trHeight w:val="342"/>
        </w:trPr>
        <w:tc>
          <w:tcPr>
            <w:tcW w:w="29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500" w:type="dxa"/>
            <w:vAlign w:val="bottom"/>
            <w:gridSpan w:val="3"/>
          </w:tcPr>
          <w:p>
            <w:pPr>
              <w:jc w:val="center"/>
              <w:ind w:right="800"/>
              <w:spacing w:after="0"/>
              <w:rPr>
                <w:sz w:val="20"/>
                <w:szCs w:val="20"/>
                <w:color w:val="auto"/>
              </w:rPr>
            </w:pPr>
            <w:r>
              <w:rPr>
                <w:rFonts w:ascii="Times New Roman" w:cs="Times New Roman" w:eastAsia="Times New Roman" w:hAnsi="Times New Roman"/>
                <w:sz w:val="14"/>
                <w:szCs w:val="14"/>
                <w:b w:val="1"/>
                <w:bCs w:val="1"/>
                <w:color w:val="auto"/>
              </w:rPr>
              <w:t>3300 N. Triumph Blvd, Suite 700</w:t>
            </w:r>
          </w:p>
        </w:tc>
        <w:tc>
          <w:tcPr>
            <w:tcW w:w="2960" w:type="dxa"/>
            <w:vAlign w:val="bottom"/>
          </w:tcPr>
          <w:p>
            <w:pPr>
              <w:spacing w:after="0"/>
              <w:rPr>
                <w:sz w:val="24"/>
                <w:szCs w:val="24"/>
                <w:color w:val="auto"/>
              </w:rPr>
            </w:pPr>
          </w:p>
        </w:tc>
      </w:tr>
      <w:tr>
        <w:trPr>
          <w:trHeight w:val="169"/>
        </w:trPr>
        <w:tc>
          <w:tcPr>
            <w:tcW w:w="29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500" w:type="dxa"/>
            <w:vAlign w:val="bottom"/>
            <w:gridSpan w:val="3"/>
          </w:tcPr>
          <w:p>
            <w:pPr>
              <w:jc w:val="center"/>
              <w:ind w:right="820"/>
              <w:spacing w:after="0"/>
              <w:rPr>
                <w:sz w:val="20"/>
                <w:szCs w:val="20"/>
                <w:color w:val="auto"/>
              </w:rPr>
            </w:pPr>
            <w:r>
              <w:rPr>
                <w:rFonts w:ascii="Times New Roman" w:cs="Times New Roman" w:eastAsia="Times New Roman" w:hAnsi="Times New Roman"/>
                <w:sz w:val="14"/>
                <w:szCs w:val="14"/>
                <w:b w:val="1"/>
                <w:bCs w:val="1"/>
                <w:color w:val="auto"/>
              </w:rPr>
              <w:t>Lehi, Utah 84043</w:t>
            </w:r>
          </w:p>
        </w:tc>
        <w:tc>
          <w:tcPr>
            <w:tcW w:w="2960" w:type="dxa"/>
            <w:vAlign w:val="bottom"/>
          </w:tcPr>
          <w:p>
            <w:pPr>
              <w:spacing w:after="0"/>
              <w:rPr>
                <w:sz w:val="14"/>
                <w:szCs w:val="14"/>
                <w:color w:val="auto"/>
              </w:rPr>
            </w:pPr>
          </w:p>
        </w:tc>
      </w:tr>
      <w:tr>
        <w:trPr>
          <w:trHeight w:val="147"/>
        </w:trPr>
        <w:tc>
          <w:tcPr>
            <w:tcW w:w="29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500" w:type="dxa"/>
            <w:vAlign w:val="bottom"/>
            <w:gridSpan w:val="3"/>
          </w:tcPr>
          <w:p>
            <w:pPr>
              <w:jc w:val="center"/>
              <w:ind w:right="800"/>
              <w:spacing w:after="0"/>
              <w:rPr>
                <w:sz w:val="20"/>
                <w:szCs w:val="20"/>
                <w:color w:val="auto"/>
              </w:rPr>
            </w:pPr>
            <w:r>
              <w:rPr>
                <w:rFonts w:ascii="Times New Roman" w:cs="Times New Roman" w:eastAsia="Times New Roman" w:hAnsi="Times New Roman"/>
                <w:sz w:val="11"/>
                <w:szCs w:val="11"/>
                <w:color w:val="auto"/>
              </w:rPr>
              <w:t>(Address of Principal Executive Offices, including zip code)</w:t>
            </w:r>
          </w:p>
        </w:tc>
        <w:tc>
          <w:tcPr>
            <w:tcW w:w="2960" w:type="dxa"/>
            <w:vAlign w:val="bottom"/>
          </w:tcPr>
          <w:p>
            <w:pPr>
              <w:spacing w:after="0"/>
              <w:rPr>
                <w:sz w:val="12"/>
                <w:szCs w:val="12"/>
                <w:color w:val="auto"/>
              </w:rPr>
            </w:pPr>
          </w:p>
        </w:tc>
      </w:tr>
      <w:tr>
        <w:trPr>
          <w:trHeight w:val="352"/>
        </w:trPr>
        <w:tc>
          <w:tcPr>
            <w:tcW w:w="2980" w:type="dxa"/>
            <w:vAlign w:val="bottom"/>
          </w:tcPr>
          <w:p>
            <w:pPr>
              <w:spacing w:after="0"/>
              <w:rPr>
                <w:sz w:val="24"/>
                <w:szCs w:val="24"/>
                <w:color w:val="auto"/>
              </w:rPr>
            </w:pPr>
          </w:p>
        </w:tc>
        <w:tc>
          <w:tcPr>
            <w:tcW w:w="4480" w:type="dxa"/>
            <w:vAlign w:val="bottom"/>
            <w:gridSpan w:val="3"/>
          </w:tcPr>
          <w:p>
            <w:pPr>
              <w:jc w:val="center"/>
              <w:ind w:left="719"/>
              <w:spacing w:after="0"/>
              <w:rPr>
                <w:sz w:val="20"/>
                <w:szCs w:val="20"/>
                <w:color w:val="auto"/>
              </w:rPr>
            </w:pPr>
            <w:r>
              <w:rPr>
                <w:rFonts w:ascii="Times New Roman" w:cs="Times New Roman" w:eastAsia="Times New Roman" w:hAnsi="Times New Roman"/>
                <w:sz w:val="14"/>
                <w:szCs w:val="14"/>
                <w:b w:val="1"/>
                <w:bCs w:val="1"/>
                <w:color w:val="auto"/>
              </w:rPr>
              <w:t>(801) 432-9000</w:t>
            </w: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960" w:type="dxa"/>
            <w:vAlign w:val="bottom"/>
          </w:tcPr>
          <w:p>
            <w:pPr>
              <w:spacing w:after="0"/>
              <w:rPr>
                <w:sz w:val="24"/>
                <w:szCs w:val="24"/>
                <w:color w:val="auto"/>
              </w:rPr>
            </w:pPr>
          </w:p>
        </w:tc>
      </w:tr>
      <w:tr>
        <w:trPr>
          <w:trHeight w:val="147"/>
        </w:trPr>
        <w:tc>
          <w:tcPr>
            <w:tcW w:w="29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500" w:type="dxa"/>
            <w:vAlign w:val="bottom"/>
            <w:gridSpan w:val="3"/>
          </w:tcPr>
          <w:p>
            <w:pPr>
              <w:jc w:val="center"/>
              <w:ind w:right="800"/>
              <w:spacing w:after="0"/>
              <w:rPr>
                <w:sz w:val="20"/>
                <w:szCs w:val="20"/>
                <w:color w:val="auto"/>
              </w:rPr>
            </w:pPr>
            <w:r>
              <w:rPr>
                <w:rFonts w:ascii="Times New Roman" w:cs="Times New Roman" w:eastAsia="Times New Roman" w:hAnsi="Times New Roman"/>
                <w:sz w:val="11"/>
                <w:szCs w:val="11"/>
                <w:color w:val="auto"/>
              </w:rPr>
              <w:t>Registrant's telephone number, including area code</w:t>
            </w:r>
          </w:p>
        </w:tc>
        <w:tc>
          <w:tcPr>
            <w:tcW w:w="2960" w:type="dxa"/>
            <w:vAlign w:val="bottom"/>
          </w:tcPr>
          <w:p>
            <w:pPr>
              <w:spacing w:after="0"/>
              <w:rPr>
                <w:sz w:val="12"/>
                <w:szCs w:val="12"/>
                <w:color w:val="auto"/>
              </w:rPr>
            </w:pPr>
          </w:p>
        </w:tc>
      </w:tr>
      <w:tr>
        <w:trPr>
          <w:trHeight w:val="284"/>
        </w:trPr>
        <w:tc>
          <w:tcPr>
            <w:tcW w:w="29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500" w:type="dxa"/>
            <w:vAlign w:val="bottom"/>
            <w:gridSpan w:val="3"/>
          </w:tcPr>
          <w:p>
            <w:pPr>
              <w:jc w:val="center"/>
              <w:ind w:right="800"/>
              <w:spacing w:after="0"/>
              <w:rPr>
                <w:sz w:val="20"/>
                <w:szCs w:val="20"/>
                <w:color w:val="auto"/>
              </w:rPr>
            </w:pPr>
            <w:r>
              <w:rPr>
                <w:rFonts w:ascii="Times New Roman" w:cs="Times New Roman" w:eastAsia="Times New Roman" w:hAnsi="Times New Roman"/>
                <w:sz w:val="14"/>
                <w:szCs w:val="14"/>
                <w:b w:val="1"/>
                <w:bCs w:val="1"/>
                <w:color w:val="auto"/>
              </w:rPr>
              <w:t>Securities registered pursuant to Section 12(b) of the Act:</w:t>
            </w:r>
          </w:p>
        </w:tc>
        <w:tc>
          <w:tcPr>
            <w:tcW w:w="2960" w:type="dxa"/>
            <w:vAlign w:val="bottom"/>
          </w:tcPr>
          <w:p>
            <w:pPr>
              <w:spacing w:after="0"/>
              <w:rPr>
                <w:sz w:val="24"/>
                <w:szCs w:val="24"/>
                <w:color w:val="auto"/>
              </w:rPr>
            </w:pPr>
          </w:p>
        </w:tc>
      </w:tr>
      <w:tr>
        <w:trPr>
          <w:trHeight w:val="276"/>
        </w:trPr>
        <w:tc>
          <w:tcPr>
            <w:tcW w:w="2980" w:type="dxa"/>
            <w:vAlign w:val="bottom"/>
          </w:tcPr>
          <w:p>
            <w:pPr>
              <w:jc w:val="center"/>
              <w:ind w:left="638"/>
              <w:spacing w:after="0"/>
              <w:rPr>
                <w:sz w:val="20"/>
                <w:szCs w:val="20"/>
                <w:color w:val="auto"/>
              </w:rPr>
            </w:pPr>
            <w:r>
              <w:rPr>
                <w:rFonts w:ascii="Times New Roman" w:cs="Times New Roman" w:eastAsia="Times New Roman" w:hAnsi="Times New Roman"/>
                <w:sz w:val="14"/>
                <w:szCs w:val="14"/>
                <w:b w:val="1"/>
                <w:bCs w:val="1"/>
                <w:color w:val="auto"/>
              </w:rPr>
              <w:t>Common Stock, par value $0.0001</w:t>
            </w: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500" w:type="dxa"/>
            <w:vAlign w:val="bottom"/>
            <w:gridSpan w:val="3"/>
          </w:tcPr>
          <w:p>
            <w:pPr>
              <w:jc w:val="center"/>
              <w:ind w:right="840"/>
              <w:spacing w:after="0"/>
              <w:rPr>
                <w:sz w:val="20"/>
                <w:szCs w:val="20"/>
                <w:color w:val="auto"/>
              </w:rPr>
            </w:pPr>
            <w:r>
              <w:rPr>
                <w:rFonts w:ascii="Times New Roman" w:cs="Times New Roman" w:eastAsia="Times New Roman" w:hAnsi="Times New Roman"/>
                <w:sz w:val="14"/>
                <w:szCs w:val="14"/>
                <w:b w:val="1"/>
                <w:bCs w:val="1"/>
                <w:color w:val="auto"/>
                <w:w w:val="99"/>
              </w:rPr>
              <w:t>LFVN</w:t>
            </w:r>
          </w:p>
        </w:tc>
        <w:tc>
          <w:tcPr>
            <w:tcW w:w="2960" w:type="dxa"/>
            <w:vAlign w:val="bottom"/>
          </w:tcPr>
          <w:p>
            <w:pPr>
              <w:jc w:val="center"/>
              <w:ind w:right="658"/>
              <w:spacing w:after="0"/>
              <w:rPr>
                <w:sz w:val="20"/>
                <w:szCs w:val="20"/>
                <w:color w:val="auto"/>
              </w:rPr>
            </w:pPr>
            <w:r>
              <w:rPr>
                <w:rFonts w:ascii="Times New Roman" w:cs="Times New Roman" w:eastAsia="Times New Roman" w:hAnsi="Times New Roman"/>
                <w:sz w:val="14"/>
                <w:szCs w:val="14"/>
                <w:b w:val="1"/>
                <w:bCs w:val="1"/>
                <w:color w:val="auto"/>
              </w:rPr>
              <w:t>The Nasdaq Stock Market LLC</w:t>
            </w:r>
          </w:p>
        </w:tc>
      </w:tr>
      <w:tr>
        <w:trPr>
          <w:trHeight w:val="138"/>
        </w:trPr>
        <w:tc>
          <w:tcPr>
            <w:tcW w:w="2980" w:type="dxa"/>
            <w:vAlign w:val="bottom"/>
            <w:tcBorders>
              <w:top w:val="single" w:sz="8" w:color="auto"/>
            </w:tcBorders>
          </w:tcPr>
          <w:p>
            <w:pPr>
              <w:jc w:val="center"/>
              <w:ind w:left="638"/>
              <w:spacing w:after="0"/>
              <w:rPr>
                <w:sz w:val="20"/>
                <w:szCs w:val="20"/>
                <w:color w:val="auto"/>
              </w:rPr>
            </w:pPr>
            <w:r>
              <w:rPr>
                <w:rFonts w:ascii="Times New Roman" w:cs="Times New Roman" w:eastAsia="Times New Roman" w:hAnsi="Times New Roman"/>
                <w:sz w:val="11"/>
                <w:szCs w:val="11"/>
                <w:color w:val="auto"/>
              </w:rPr>
              <w:t>Title of each class</w:t>
            </w:r>
          </w:p>
        </w:tc>
        <w:tc>
          <w:tcPr>
            <w:tcW w:w="70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36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rPr>
              <w:t>Trading Symbol(s)</w:t>
            </w:r>
          </w:p>
        </w:tc>
        <w:tc>
          <w:tcPr>
            <w:tcW w:w="80" w:type="dxa"/>
            <w:vAlign w:val="bottom"/>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2960" w:type="dxa"/>
            <w:vAlign w:val="bottom"/>
            <w:tcBorders>
              <w:top w:val="single" w:sz="8" w:color="auto"/>
            </w:tcBorders>
          </w:tcPr>
          <w:p>
            <w:pPr>
              <w:jc w:val="center"/>
              <w:ind w:right="658"/>
              <w:spacing w:after="0"/>
              <w:rPr>
                <w:sz w:val="20"/>
                <w:szCs w:val="20"/>
                <w:color w:val="auto"/>
              </w:rPr>
            </w:pPr>
            <w:r>
              <w:rPr>
                <w:rFonts w:ascii="Times New Roman" w:cs="Times New Roman" w:eastAsia="Times New Roman" w:hAnsi="Times New Roman"/>
                <w:sz w:val="11"/>
                <w:szCs w:val="11"/>
                <w:color w:val="auto"/>
              </w:rPr>
              <w:t>Name of each exchange on which registered</w:t>
            </w:r>
          </w:p>
        </w:tc>
      </w:tr>
      <w:tr>
        <w:trPr>
          <w:trHeight w:val="351"/>
        </w:trPr>
        <w:tc>
          <w:tcPr>
            <w:tcW w:w="29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600" w:type="dxa"/>
            <w:vAlign w:val="bottom"/>
            <w:gridSpan w:val="4"/>
          </w:tcPr>
          <w:p>
            <w:pPr>
              <w:jc w:val="center"/>
              <w:ind w:right="720"/>
              <w:spacing w:after="0"/>
              <w:rPr>
                <w:sz w:val="20"/>
                <w:szCs w:val="20"/>
                <w:color w:val="auto"/>
              </w:rPr>
            </w:pPr>
            <w:r>
              <w:rPr>
                <w:rFonts w:ascii="Times New Roman" w:cs="Times New Roman" w:eastAsia="Times New Roman" w:hAnsi="Times New Roman"/>
                <w:sz w:val="14"/>
                <w:szCs w:val="14"/>
                <w:b w:val="1"/>
                <w:bCs w:val="1"/>
                <w:color w:val="auto"/>
              </w:rPr>
              <w:t>Securities registered pursuant to Section 12(g) of the Act: None</w:t>
            </w:r>
          </w:p>
        </w:tc>
        <w:tc>
          <w:tcPr>
            <w:tcW w:w="2960" w:type="dxa"/>
            <w:vAlign w:val="bottom"/>
          </w:tcPr>
          <w:p>
            <w:pPr>
              <w:spacing w:after="0"/>
              <w:rPr>
                <w:sz w:val="24"/>
                <w:szCs w:val="24"/>
                <w:color w:val="auto"/>
              </w:rPr>
            </w:pPr>
          </w:p>
        </w:tc>
      </w:tr>
      <w:tr>
        <w:trPr>
          <w:trHeight w:val="110"/>
        </w:trPr>
        <w:tc>
          <w:tcPr>
            <w:tcW w:w="2980" w:type="dxa"/>
            <w:vAlign w:val="bottom"/>
          </w:tcPr>
          <w:p>
            <w:pPr>
              <w:spacing w:after="0"/>
              <w:rPr>
                <w:sz w:val="9"/>
                <w:szCs w:val="9"/>
                <w:color w:val="auto"/>
              </w:rPr>
            </w:pPr>
          </w:p>
        </w:tc>
        <w:tc>
          <w:tcPr>
            <w:tcW w:w="4480" w:type="dxa"/>
            <w:vAlign w:val="bottom"/>
            <w:gridSpan w:val="3"/>
          </w:tcPr>
          <w:p>
            <w:pPr>
              <w:jc w:val="center"/>
              <w:ind w:left="719"/>
              <w:spacing w:after="0"/>
              <w:rPr>
                <w:sz w:val="20"/>
                <w:szCs w:val="20"/>
                <w:color w:val="auto"/>
              </w:rPr>
            </w:pPr>
            <w:r>
              <w:rPr>
                <w:rFonts w:ascii="Times New Roman" w:cs="Times New Roman" w:eastAsia="Times New Roman" w:hAnsi="Times New Roman"/>
                <w:sz w:val="8"/>
                <w:szCs w:val="8"/>
                <w:b w:val="1"/>
                <w:bCs w:val="1"/>
                <w:color w:val="auto"/>
              </w:rPr>
              <w:t>________________________________________________________________________________</w:t>
            </w:r>
          </w:p>
        </w:tc>
        <w:tc>
          <w:tcPr>
            <w:tcW w:w="80" w:type="dxa"/>
            <w:vAlign w:val="bottom"/>
          </w:tcPr>
          <w:p>
            <w:pPr>
              <w:spacing w:after="0"/>
              <w:rPr>
                <w:sz w:val="9"/>
                <w:szCs w:val="9"/>
                <w:color w:val="auto"/>
              </w:rPr>
            </w:pPr>
          </w:p>
        </w:tc>
        <w:tc>
          <w:tcPr>
            <w:tcW w:w="740" w:type="dxa"/>
            <w:vAlign w:val="bottom"/>
          </w:tcPr>
          <w:p>
            <w:pPr>
              <w:spacing w:after="0"/>
              <w:rPr>
                <w:sz w:val="9"/>
                <w:szCs w:val="9"/>
                <w:color w:val="auto"/>
              </w:rPr>
            </w:pPr>
          </w:p>
        </w:tc>
        <w:tc>
          <w:tcPr>
            <w:tcW w:w="2960" w:type="dxa"/>
            <w:vAlign w:val="bottom"/>
          </w:tcPr>
          <w:p>
            <w:pPr>
              <w:spacing w:after="0"/>
              <w:rPr>
                <w:sz w:val="9"/>
                <w:szCs w:val="9"/>
                <w:color w:val="auto"/>
              </w:rPr>
            </w:pPr>
          </w:p>
        </w:tc>
      </w:tr>
    </w:tbl>
    <w:p>
      <w:pPr>
        <w:spacing w:after="0" w:line="200" w:lineRule="exact"/>
        <w:rPr>
          <w:sz w:val="24"/>
          <w:szCs w:val="24"/>
          <w:color w:val="auto"/>
        </w:rPr>
      </w:pPr>
    </w:p>
    <w:p>
      <w:pPr>
        <w:sectPr>
          <w:pgSz w:w="11900" w:h="16838" w:orient="portrait"/>
          <w:cols w:equalWidth="0" w:num="1">
            <w:col w:w="11260"/>
          </w:cols>
          <w:pgMar w:left="300" w:top="834" w:right="339" w:bottom="1440" w:gutter="0" w:footer="0" w:header="0"/>
        </w:sectPr>
      </w:pPr>
    </w:p>
    <w:p>
      <w:pPr>
        <w:spacing w:after="0" w:line="175"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Indicate by check mark if the registrant is a well-known seasoned issuer, as defined in Rule 405 of the Securities Act. Yes</w:t>
      </w:r>
    </w:p>
    <w:p>
      <w:pPr>
        <w:spacing w:after="0" w:line="20" w:lineRule="exact"/>
        <w:rPr>
          <w:sz w:val="24"/>
          <w:szCs w:val="24"/>
          <w:color w:val="auto"/>
        </w:rPr>
      </w:pPr>
      <w:r>
        <w:rPr>
          <w:sz w:val="24"/>
          <w:szCs w:val="24"/>
          <w:color w:val="auto"/>
        </w:rPr>
        <w:br w:type="column"/>
      </w:r>
    </w:p>
    <w:p>
      <w:pPr>
        <w:spacing w:after="0" w:line="124"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spacing w:after="0" w:line="155"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No</w:t>
      </w:r>
    </w:p>
    <w:p>
      <w:pPr>
        <w:spacing w:after="0" w:line="20" w:lineRule="exact"/>
        <w:rPr>
          <w:sz w:val="24"/>
          <w:szCs w:val="24"/>
          <w:color w:val="auto"/>
        </w:rPr>
      </w:pPr>
      <w:r>
        <w:rPr>
          <w:sz w:val="24"/>
          <w:szCs w:val="24"/>
          <w:color w:val="auto"/>
        </w:rPr>
        <w:br w:type="column"/>
      </w:r>
    </w:p>
    <w:p>
      <w:pPr>
        <w:spacing w:after="0" w:line="124"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146" w:lineRule="exact"/>
        <w:rPr>
          <w:sz w:val="24"/>
          <w:szCs w:val="24"/>
          <w:color w:val="auto"/>
        </w:rPr>
      </w:pPr>
    </w:p>
    <w:p>
      <w:pPr>
        <w:sectPr>
          <w:pgSz w:w="11900" w:h="16838" w:orient="portrait"/>
          <w:cols w:equalWidth="0" w:num="4">
            <w:col w:w="6880" w:space="80"/>
            <w:col w:w="120" w:space="140"/>
            <w:col w:w="180" w:space="60"/>
            <w:col w:w="3800"/>
          </w:cols>
          <w:pgMar w:left="300" w:top="834" w:right="339" w:bottom="1440" w:gutter="0" w:footer="0" w:header="0"/>
          <w:type w:val="continuous"/>
        </w:sectPr>
      </w:pPr>
    </w:p>
    <w:p>
      <w:pPr>
        <w:spacing w:after="0" w:line="31"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Indicate by check mark if the registrant is not required to file reports pursuant to Section 13 or Section 15(d) of the Act. Yes</w:t>
      </w:r>
    </w:p>
    <w:p>
      <w:pPr>
        <w:spacing w:after="0" w:line="20" w:lineRule="exact"/>
        <w:rPr>
          <w:sz w:val="24"/>
          <w:szCs w:val="24"/>
          <w:color w:val="auto"/>
        </w:rPr>
      </w:pPr>
      <w:r>
        <w:rPr>
          <w:sz w:val="24"/>
          <w:szCs w:val="24"/>
          <w:color w:val="auto"/>
        </w:rPr>
        <w:br w:type="column"/>
      </w:r>
    </w:p>
    <w:p>
      <w:pPr>
        <w:spacing w:after="0" w:line="101" w:lineRule="exact"/>
        <w:rPr>
          <w:sz w:val="20"/>
          <w:szCs w:val="20"/>
          <w:color w:val="auto"/>
        </w:rPr>
      </w:pP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spacing w:after="0" w:line="11"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color w:val="auto"/>
        </w:rPr>
        <w:t>No</w:t>
      </w:r>
    </w:p>
    <w:p>
      <w:pPr>
        <w:spacing w:after="0" w:line="20" w:lineRule="exact"/>
        <w:rPr>
          <w:sz w:val="24"/>
          <w:szCs w:val="24"/>
          <w:color w:val="auto"/>
        </w:rPr>
      </w:pPr>
      <w:r>
        <w:rPr>
          <w:sz w:val="24"/>
          <w:szCs w:val="24"/>
          <w:color w:val="auto"/>
        </w:rPr>
        <w:br w:type="column"/>
      </w:r>
    </w:p>
    <w:p>
      <w:pPr>
        <w:spacing w:after="0" w:line="101" w:lineRule="exact"/>
        <w:rPr>
          <w:sz w:val="20"/>
          <w:szCs w:val="20"/>
          <w:color w:val="auto"/>
        </w:rPr>
      </w:pPr>
      <w:r>
        <w:rPr>
          <w:rFonts w:ascii="MS PGothic" w:cs="MS PGothic" w:eastAsia="MS PGothic" w:hAnsi="MS PGothic"/>
          <w:sz w:val="12"/>
          <w:szCs w:val="12"/>
          <w:color w:val="auto"/>
        </w:rPr>
        <w:t>☒</w:t>
      </w:r>
    </w:p>
    <w:p>
      <w:pPr>
        <w:spacing w:after="0" w:line="187" w:lineRule="exact"/>
        <w:rPr>
          <w:sz w:val="24"/>
          <w:szCs w:val="24"/>
          <w:color w:val="auto"/>
        </w:rPr>
      </w:pPr>
    </w:p>
    <w:p>
      <w:pPr>
        <w:sectPr>
          <w:pgSz w:w="11900" w:h="16838" w:orient="portrait"/>
          <w:cols w:equalWidth="0" w:num="4">
            <w:col w:w="7020" w:space="60"/>
            <w:col w:w="120" w:space="160"/>
            <w:col w:w="160" w:space="80"/>
            <w:col w:w="3660"/>
          </w:cols>
          <w:pgMar w:left="300" w:top="834" w:right="339" w:bottom="1440" w:gutter="0" w:footer="0" w:header="0"/>
          <w:type w:val="continuous"/>
        </w:sectPr>
      </w:pPr>
    </w:p>
    <w:p>
      <w:pPr>
        <w:ind w:right="140"/>
        <w:spacing w:after="0" w:line="188"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81" w:lineRule="exact"/>
        <w:rPr>
          <w:sz w:val="24"/>
          <w:szCs w:val="24"/>
          <w:color w:val="auto"/>
        </w:rPr>
      </w:pPr>
    </w:p>
    <w:p>
      <w:pPr>
        <w:ind w:right="420"/>
        <w:spacing w:after="0" w:line="188"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81" w:lineRule="exact"/>
        <w:rPr>
          <w:sz w:val="24"/>
          <w:szCs w:val="24"/>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9" w:lineRule="exact"/>
        <w:rPr>
          <w:sz w:val="24"/>
          <w:szCs w:val="24"/>
          <w:color w:val="auto"/>
        </w:rPr>
      </w:pPr>
    </w:p>
    <w:tbl>
      <w:tblPr>
        <w:tblLayout w:type="fixed"/>
        <w:tblInd w:w="20" w:type="dxa"/>
        <w:tblCellMar>
          <w:top w:w="0" w:type="dxa"/>
          <w:left w:w="0" w:type="dxa"/>
          <w:bottom w:w="0" w:type="dxa"/>
          <w:right w:w="0" w:type="dxa"/>
        </w:tblCellMar>
      </w:tblPr>
      <w:tr>
        <w:trPr>
          <w:trHeight w:val="180"/>
        </w:trPr>
        <w:tc>
          <w:tcPr>
            <w:tcW w:w="3220" w:type="dxa"/>
            <w:vAlign w:val="bottom"/>
          </w:tcPr>
          <w:p>
            <w:pPr>
              <w:spacing w:after="0"/>
              <w:rPr>
                <w:sz w:val="20"/>
                <w:szCs w:val="20"/>
                <w:color w:val="auto"/>
              </w:rPr>
            </w:pPr>
            <w:r>
              <w:rPr>
                <w:rFonts w:ascii="Times New Roman" w:cs="Times New Roman" w:eastAsia="Times New Roman" w:hAnsi="Times New Roman"/>
                <w:sz w:val="14"/>
                <w:szCs w:val="14"/>
                <w:color w:val="auto"/>
              </w:rPr>
              <w:t>Large accelerated filer</w:t>
            </w:r>
          </w:p>
        </w:tc>
        <w:tc>
          <w:tcPr>
            <w:tcW w:w="2320" w:type="dxa"/>
            <w:vAlign w:val="bottom"/>
          </w:tcPr>
          <w:p>
            <w:pPr>
              <w:ind w:left="1680"/>
              <w:spacing w:after="0" w:line="141" w:lineRule="exact"/>
              <w:rPr>
                <w:sz w:val="20"/>
                <w:szCs w:val="20"/>
                <w:color w:val="auto"/>
              </w:rPr>
            </w:pPr>
            <w:r>
              <w:rPr>
                <w:rFonts w:ascii="MS PGothic" w:cs="MS PGothic" w:eastAsia="MS PGothic" w:hAnsi="MS PGothic"/>
                <w:sz w:val="14"/>
                <w:szCs w:val="14"/>
                <w:color w:val="auto"/>
              </w:rPr>
              <w:t>☐</w:t>
            </w:r>
          </w:p>
        </w:tc>
        <w:tc>
          <w:tcPr>
            <w:tcW w:w="376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Accelerated filer</w:t>
            </w:r>
          </w:p>
        </w:tc>
        <w:tc>
          <w:tcPr>
            <w:tcW w:w="1800" w:type="dxa"/>
            <w:vAlign w:val="bottom"/>
          </w:tcPr>
          <w:p>
            <w:pPr>
              <w:ind w:left="168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180"/>
        </w:trPr>
        <w:tc>
          <w:tcPr>
            <w:tcW w:w="3220" w:type="dxa"/>
            <w:vAlign w:val="bottom"/>
          </w:tcPr>
          <w:p>
            <w:pPr>
              <w:spacing w:after="0"/>
              <w:rPr>
                <w:sz w:val="20"/>
                <w:szCs w:val="20"/>
                <w:color w:val="auto"/>
              </w:rPr>
            </w:pPr>
            <w:r>
              <w:rPr>
                <w:rFonts w:ascii="Times New Roman" w:cs="Times New Roman" w:eastAsia="Times New Roman" w:hAnsi="Times New Roman"/>
                <w:sz w:val="14"/>
                <w:szCs w:val="14"/>
                <w:color w:val="auto"/>
              </w:rPr>
              <w:t>Non-accelerated filer</w:t>
            </w:r>
          </w:p>
        </w:tc>
        <w:tc>
          <w:tcPr>
            <w:tcW w:w="2320" w:type="dxa"/>
            <w:vAlign w:val="bottom"/>
          </w:tcPr>
          <w:p>
            <w:pPr>
              <w:ind w:left="1680"/>
              <w:spacing w:after="0" w:line="141" w:lineRule="exact"/>
              <w:rPr>
                <w:sz w:val="20"/>
                <w:szCs w:val="20"/>
                <w:color w:val="auto"/>
              </w:rPr>
            </w:pPr>
            <w:r>
              <w:rPr>
                <w:rFonts w:ascii="MS PGothic" w:cs="MS PGothic" w:eastAsia="MS PGothic" w:hAnsi="MS PGothic"/>
                <w:sz w:val="14"/>
                <w:szCs w:val="14"/>
                <w:color w:val="auto"/>
              </w:rPr>
              <w:t>☒</w:t>
            </w:r>
          </w:p>
        </w:tc>
        <w:tc>
          <w:tcPr>
            <w:tcW w:w="376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Smaller reporting company</w:t>
            </w:r>
          </w:p>
        </w:tc>
        <w:tc>
          <w:tcPr>
            <w:tcW w:w="1800" w:type="dxa"/>
            <w:vAlign w:val="bottom"/>
          </w:tcPr>
          <w:p>
            <w:pPr>
              <w:ind w:left="168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37"/>
        </w:trPr>
        <w:tc>
          <w:tcPr>
            <w:tcW w:w="3220" w:type="dxa"/>
            <w:vAlign w:val="bottom"/>
          </w:tcPr>
          <w:p>
            <w:pPr>
              <w:spacing w:after="0"/>
              <w:rPr>
                <w:sz w:val="20"/>
                <w:szCs w:val="20"/>
                <w:color w:val="auto"/>
              </w:rPr>
            </w:pPr>
            <w:r>
              <w:rPr>
                <w:rFonts w:ascii="Times New Roman" w:cs="Times New Roman" w:eastAsia="Times New Roman" w:hAnsi="Times New Roman"/>
                <w:sz w:val="14"/>
                <w:szCs w:val="14"/>
                <w:color w:val="auto"/>
              </w:rPr>
              <w:t>Emerging growth company</w:t>
            </w:r>
          </w:p>
        </w:tc>
        <w:tc>
          <w:tcPr>
            <w:tcW w:w="2320" w:type="dxa"/>
            <w:vAlign w:val="bottom"/>
          </w:tcPr>
          <w:p>
            <w:pPr>
              <w:ind w:left="1680"/>
              <w:spacing w:after="0" w:line="141" w:lineRule="exact"/>
              <w:rPr>
                <w:sz w:val="20"/>
                <w:szCs w:val="20"/>
                <w:color w:val="auto"/>
              </w:rPr>
            </w:pPr>
            <w:r>
              <w:rPr>
                <w:rFonts w:ascii="MS PGothic" w:cs="MS PGothic" w:eastAsia="MS PGothic" w:hAnsi="MS PGothic"/>
                <w:sz w:val="14"/>
                <w:szCs w:val="14"/>
                <w:color w:val="auto"/>
              </w:rPr>
              <w:t>☐</w:t>
            </w:r>
          </w:p>
        </w:tc>
        <w:tc>
          <w:tcPr>
            <w:tcW w:w="3760" w:type="dxa"/>
            <w:vAlign w:val="bottom"/>
          </w:tcPr>
          <w:p>
            <w:pPr>
              <w:spacing w:after="0"/>
              <w:rPr>
                <w:sz w:val="20"/>
                <w:szCs w:val="20"/>
                <w:color w:val="auto"/>
              </w:rPr>
            </w:pPr>
          </w:p>
        </w:tc>
        <w:tc>
          <w:tcPr>
            <w:tcW w:w="1800" w:type="dxa"/>
            <w:vAlign w:val="bottom"/>
          </w:tcPr>
          <w:p>
            <w:pPr>
              <w:spacing w:after="0"/>
              <w:rPr>
                <w:sz w:val="20"/>
                <w:szCs w:val="20"/>
                <w:color w:val="auto"/>
              </w:rPr>
            </w:pPr>
          </w:p>
        </w:tc>
      </w:tr>
    </w:tbl>
    <w:p>
      <w:pPr>
        <w:spacing w:after="0" w:line="155" w:lineRule="exact"/>
        <w:rPr>
          <w:sz w:val="24"/>
          <w:szCs w:val="24"/>
          <w:color w:val="auto"/>
        </w:rPr>
      </w:pPr>
    </w:p>
    <w:p>
      <w:pPr>
        <w:ind w:right="200"/>
        <w:spacing w:after="0" w:line="188"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70" w:lineRule="exact"/>
        <w:rPr>
          <w:sz w:val="24"/>
          <w:szCs w:val="24"/>
          <w:color w:val="auto"/>
        </w:rPr>
      </w:pPr>
    </w:p>
    <w:p>
      <w:pPr>
        <w:ind w:right="260"/>
        <w:spacing w:after="0" w:line="188"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4"/>
          <w:szCs w:val="14"/>
          <w:color w:val="auto"/>
        </w:rPr>
        <w:t>☐</w:t>
      </w:r>
    </w:p>
    <w:p>
      <w:pPr>
        <w:spacing w:after="0" w:line="81" w:lineRule="exact"/>
        <w:rPr>
          <w:sz w:val="24"/>
          <w:szCs w:val="24"/>
          <w:color w:val="auto"/>
        </w:rPr>
      </w:pPr>
    </w:p>
    <w:p>
      <w:pPr>
        <w:ind w:right="340"/>
        <w:spacing w:after="0" w:line="188" w:lineRule="exact"/>
        <w:rPr>
          <w:sz w:val="20"/>
          <w:szCs w:val="20"/>
          <w:color w:val="auto"/>
        </w:rPr>
      </w:pPr>
      <w:r>
        <w:rPr>
          <w:rFonts w:ascii="Times New Roman" w:cs="Times New Roman" w:eastAsia="Times New Roman" w:hAnsi="Times New Roman"/>
          <w:sz w:val="14"/>
          <w:szCs w:val="14"/>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4"/>
          <w:szCs w:val="14"/>
          <w:color w:val="auto"/>
        </w:rPr>
        <w:t>☐</w:t>
      </w:r>
    </w:p>
    <w:p>
      <w:pPr>
        <w:spacing w:after="0" w:line="81" w:lineRule="exact"/>
        <w:rPr>
          <w:sz w:val="24"/>
          <w:szCs w:val="24"/>
          <w:color w:val="auto"/>
        </w:rPr>
      </w:pPr>
    </w:p>
    <w:p>
      <w:pPr>
        <w:ind w:right="20"/>
        <w:spacing w:after="0" w:line="188" w:lineRule="exact"/>
        <w:rPr>
          <w:sz w:val="20"/>
          <w:szCs w:val="20"/>
          <w:color w:val="auto"/>
        </w:rPr>
      </w:pPr>
      <w:r>
        <w:rPr>
          <w:rFonts w:ascii="Times New Roman" w:cs="Times New Roman" w:eastAsia="Times New Roman" w:hAnsi="Times New Roman"/>
          <w:sz w:val="14"/>
          <w:szCs w:val="14"/>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4"/>
          <w:szCs w:val="14"/>
          <w:color w:val="auto"/>
        </w:rPr>
        <w:t>☐</w:t>
      </w:r>
    </w:p>
    <w:p>
      <w:pPr>
        <w:spacing w:after="0" w:line="39" w:lineRule="exact"/>
        <w:rPr>
          <w:sz w:val="24"/>
          <w:szCs w:val="24"/>
          <w:color w:val="auto"/>
        </w:rPr>
      </w:pPr>
    </w:p>
    <w:p>
      <w:pPr>
        <w:spacing w:after="0" w:line="161" w:lineRule="exact"/>
        <w:tabs>
          <w:tab w:leader="none" w:pos="5960" w:val="left"/>
          <w:tab w:leader="none" w:pos="6500" w:val="left"/>
        </w:tabs>
        <w:rPr>
          <w:sz w:val="20"/>
          <w:szCs w:val="20"/>
          <w:color w:val="auto"/>
        </w:rPr>
      </w:pPr>
      <w:r>
        <w:rPr>
          <w:rFonts w:ascii="Times New Roman" w:cs="Times New Roman" w:eastAsia="Times New Roman" w:hAnsi="Times New Roman"/>
          <w:sz w:val="14"/>
          <w:szCs w:val="14"/>
          <w:color w:val="auto"/>
        </w:rPr>
        <w:t>Indicate by check mark whether the registrant is a shell company (as defined in Rule 12b-2 of the Act).</w:t>
        <w:tab/>
        <w:t xml:space="preserve">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ab/>
        <w:t xml:space="preserve">No </w:t>
      </w:r>
      <w:r>
        <w:rPr>
          <w:rFonts w:ascii="MS PGothic" w:cs="MS PGothic" w:eastAsia="MS PGothic" w:hAnsi="MS PGothic"/>
          <w:sz w:val="14"/>
          <w:szCs w:val="14"/>
          <w:color w:val="auto"/>
        </w:rPr>
        <w:t>☒</w:t>
      </w:r>
    </w:p>
    <w:p>
      <w:pPr>
        <w:spacing w:after="0" w:line="157" w:lineRule="exact"/>
        <w:rPr>
          <w:sz w:val="24"/>
          <w:szCs w:val="24"/>
          <w:color w:val="auto"/>
        </w:rPr>
      </w:pPr>
    </w:p>
    <w:p>
      <w:pPr>
        <w:ind w:right="200"/>
        <w:spacing w:after="0" w:line="287" w:lineRule="auto"/>
        <w:rPr>
          <w:sz w:val="20"/>
          <w:szCs w:val="20"/>
          <w:color w:val="auto"/>
        </w:rPr>
      </w:pPr>
      <w:r>
        <w:rPr>
          <w:rFonts w:ascii="Times New Roman" w:cs="Times New Roman" w:eastAsia="Times New Roman" w:hAnsi="Times New Roman"/>
          <w:sz w:val="14"/>
          <w:szCs w:val="14"/>
          <w:color w:val="auto"/>
        </w:rPr>
        <w:t>The aggregate market value of the registrant's common stock held by non-affiliates as of December 29, 2023, the last business day of the registrant's most recently completed second fiscal quarter, was approximately $68.1 million, based on a closing market price of $6.00 per share.</w:t>
      </w:r>
    </w:p>
    <w:p>
      <w:pPr>
        <w:spacing w:after="0" w:line="71"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The number of shares of common stock (par value $0.0001) outstanding as of August 27, 2024 was 12,479,185 shares.</w:t>
      </w:r>
    </w:p>
    <w:p>
      <w:pPr>
        <w:spacing w:after="0" w:line="118" w:lineRule="exact"/>
        <w:rPr>
          <w:sz w:val="24"/>
          <w:szCs w:val="24"/>
          <w:color w:val="auto"/>
        </w:rPr>
      </w:pPr>
    </w:p>
    <w:p>
      <w:pPr>
        <w:ind w:left="3940"/>
        <w:spacing w:after="0"/>
        <w:rPr>
          <w:sz w:val="20"/>
          <w:szCs w:val="20"/>
          <w:color w:val="auto"/>
        </w:rPr>
      </w:pPr>
      <w:r>
        <w:rPr>
          <w:rFonts w:ascii="Times New Roman" w:cs="Times New Roman" w:eastAsia="Times New Roman" w:hAnsi="Times New Roman"/>
          <w:sz w:val="8"/>
          <w:szCs w:val="8"/>
          <w:b w:val="1"/>
          <w:bCs w:val="1"/>
          <w:color w:val="auto"/>
        </w:rPr>
        <w:t>________________________________________________________________________________</w:t>
      </w:r>
    </w:p>
    <w:p>
      <w:pPr>
        <w:spacing w:after="0" w:line="200"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DOCUMENTS INCORPORATED BY REFERENCE</w:t>
      </w:r>
    </w:p>
    <w:p>
      <w:pPr>
        <w:spacing w:after="0" w:line="117" w:lineRule="exact"/>
        <w:rPr>
          <w:sz w:val="24"/>
          <w:szCs w:val="24"/>
          <w:color w:val="auto"/>
        </w:rPr>
      </w:pPr>
    </w:p>
    <w:p>
      <w:pPr>
        <w:ind w:right="100"/>
        <w:spacing w:after="0" w:line="270" w:lineRule="auto"/>
        <w:rPr>
          <w:sz w:val="20"/>
          <w:szCs w:val="20"/>
          <w:color w:val="auto"/>
        </w:rPr>
      </w:pPr>
      <w:r>
        <w:rPr>
          <w:rFonts w:ascii="Times New Roman" w:cs="Times New Roman" w:eastAsia="Times New Roman" w:hAnsi="Times New Roman"/>
          <w:sz w:val="14"/>
          <w:szCs w:val="14"/>
          <w:color w:val="auto"/>
        </w:rPr>
        <w:t>Portions of the registrant’s definitive proxy statement to be filed subsequent to the date hereof with the Securities and Exchange Commission pursuant to Regulation 14A in connection with the registrant’s fiscal year 2025 annual meeting of stockholders are incorporated by reference into Part III of this report. Such definitive proxy statement will be filed with the Commission not later than 120 days after the end of the registrant’s fiscal year ended June 30,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507365</wp:posOffset>
            </wp:positionV>
            <wp:extent cx="71869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834" w:right="33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14"/>
          <w:szCs w:val="14"/>
          <w:b w:val="1"/>
          <w:bCs w:val="1"/>
          <w:color w:val="auto"/>
        </w:rPr>
        <w:t>CAUTIONARY NOTE REGARDING FORWARD-LOOKING STATEMENTS</w:t>
      </w:r>
    </w:p>
    <w:p>
      <w:pPr>
        <w:spacing w:after="0" w:line="117" w:lineRule="exact"/>
        <w:rPr>
          <w:sz w:val="20"/>
          <w:szCs w:val="20"/>
          <w:color w:val="auto"/>
        </w:rPr>
      </w:pPr>
    </w:p>
    <w:p>
      <w:pPr>
        <w:ind w:firstLine="255"/>
        <w:spacing w:after="0" w:line="258" w:lineRule="auto"/>
        <w:rPr>
          <w:sz w:val="20"/>
          <w:szCs w:val="20"/>
          <w:color w:val="auto"/>
        </w:rPr>
      </w:pPr>
      <w:r>
        <w:rPr>
          <w:rFonts w:ascii="Times New Roman" w:cs="Times New Roman" w:eastAsia="Times New Roman" w:hAnsi="Times New Roman"/>
          <w:sz w:val="14"/>
          <w:szCs w:val="14"/>
          <w:color w:val="auto"/>
        </w:rPr>
        <w:t>Certain statements contained in this report and the information incorporated by reference herein may contain “forward-looking statements” (as such term is defined in Section 27A of the Securities Act of 1933, as amended, and Section 21E of the Securities Exchange Act of 1934, as amended (the "Exchange Act")). These statements, which involve risks and uncertainties, reflect our current expectations, intentions, or strategies regarding our possible future results of operations, performance, and achievements. Forward-looking statements include, without limitation: statements regarding future products or product development; statements regarding future selling, general and administrative costs and research and development spending; statements regarding the future performance of our network marketing efforts; statements regarding our expectations regarding ongoing litigation; statements regarding international growth; and statements regarding future financial performance, results of operations, capital expenditures and sufficiency of capital resources to fund our operating requirements. These forward-looking statements are made pursuant to the safe harbor provisions of the Private Securities Litigation Reform Act of 1995 and applicable rules of the Securities and Exchange Commission ("SEC") and common law.</w:t>
      </w:r>
    </w:p>
    <w:p>
      <w:pPr>
        <w:spacing w:after="0" w:line="94" w:lineRule="exact"/>
        <w:rPr>
          <w:sz w:val="20"/>
          <w:szCs w:val="20"/>
          <w:color w:val="auto"/>
        </w:rPr>
      </w:pPr>
    </w:p>
    <w:p>
      <w:pPr>
        <w:ind w:right="20" w:firstLine="255"/>
        <w:spacing w:after="0" w:line="264" w:lineRule="auto"/>
        <w:rPr>
          <w:sz w:val="20"/>
          <w:szCs w:val="20"/>
          <w:color w:val="auto"/>
        </w:rPr>
      </w:pPr>
      <w:r>
        <w:rPr>
          <w:rFonts w:ascii="Times New Roman" w:cs="Times New Roman" w:eastAsia="Times New Roman" w:hAnsi="Times New Roman"/>
          <w:sz w:val="14"/>
          <w:szCs w:val="14"/>
          <w:color w:val="auto"/>
        </w:rPr>
        <w:t>These forward-looking statements may be identified in this report and the information incorporated by reference by words such as “anticipate,” “believe,” “could,” “estimate,” “expect,” “intend,” “plan,” “predict,” “project,” “should” and similar terms and expressions, including references to assumptions and strategies. These statements reflect our current beliefs and are based on information currently available to us. Accordingly, these statements are subject to certain risks, uncertainties, and contingencies, which could cause our actual results, performance, or achievements to differ materially from those expressed in, or implied by, such statements.</w:t>
      </w:r>
    </w:p>
    <w:p>
      <w:pPr>
        <w:spacing w:after="0" w:line="8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following factors are among those that may cause actual results to differ materially from our forward-looking statements:</w:t>
      </w:r>
    </w:p>
    <w:p>
      <w:pPr>
        <w:spacing w:after="0" w:line="115" w:lineRule="exact"/>
        <w:rPr>
          <w:sz w:val="20"/>
          <w:szCs w:val="20"/>
          <w:color w:val="auto"/>
        </w:rPr>
      </w:pPr>
    </w:p>
    <w:p>
      <w:pPr>
        <w:ind w:left="520" w:right="560" w:hanging="260"/>
        <w:spacing w:after="0" w:line="287" w:lineRule="auto"/>
        <w:tabs>
          <w:tab w:leader="none" w:pos="516"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Inability to properly manage, motivate and retain our independent consultants (which we previously referred to as “distributors ” in our prior filings) or to attract new customers and independent consultants on an ongoing basis;</w:t>
      </w:r>
    </w:p>
    <w:p>
      <w:pPr>
        <w:spacing w:after="0" w:line="7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Non-compliance by our independent consultants with applicable legal requirements or our policies and procedures;</w:t>
      </w:r>
    </w:p>
    <w:p>
      <w:pPr>
        <w:spacing w:after="0" w:line="125"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to our independent consultant compensation plans;</w:t>
      </w:r>
    </w:p>
    <w:p>
      <w:pPr>
        <w:spacing w:after="0" w:line="114"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Dependence upon a few products for revenue;</w:t>
      </w:r>
    </w:p>
    <w:p>
      <w:pPr>
        <w:spacing w:after="0" w:line="125"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Dependence on third parties to manufacture our products;</w:t>
      </w:r>
    </w:p>
    <w:p>
      <w:pPr>
        <w:spacing w:after="0" w:line="125"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Sourcing and pricing of high quality materials for our products;</w:t>
      </w:r>
    </w:p>
    <w:p>
      <w:pPr>
        <w:spacing w:after="0" w:line="114"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Disruptions to the transportation channels used to distribute our products;</w:t>
      </w:r>
    </w:p>
    <w:p>
      <w:pPr>
        <w:spacing w:after="0" w:line="125"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Risk of being subject to a product recall;</w:t>
      </w:r>
    </w:p>
    <w:p>
      <w:pPr>
        <w:spacing w:after="0" w:line="125"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Product liability claims against us;</w:t>
      </w:r>
    </w:p>
    <w:p>
      <w:pPr>
        <w:spacing w:after="0" w:line="114"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Competition in the dietary supplement and personal care markets;</w:t>
      </w:r>
    </w:p>
    <w:p>
      <w:pPr>
        <w:spacing w:after="0" w:line="125"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Unfavorable publicity on our business or products;</w:t>
      </w:r>
    </w:p>
    <w:p>
      <w:pPr>
        <w:spacing w:after="0" w:line="125"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Actions by activist stockholders;</w:t>
      </w:r>
    </w:p>
    <w:p>
      <w:pPr>
        <w:spacing w:after="0" w:line="114"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Loss of or inability to attract key personnel;</w:t>
      </w:r>
    </w:p>
    <w:p>
      <w:pPr>
        <w:spacing w:after="0" w:line="125"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Risk of being held responsible for certain taxes or assessments and other obligations relating to the activity of our independent consultants;</w:t>
      </w:r>
    </w:p>
    <w:p>
      <w:pPr>
        <w:spacing w:after="0" w:line="114"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Risk related to Global Not For Resale program;</w:t>
      </w:r>
    </w:p>
    <w:p>
      <w:pPr>
        <w:spacing w:after="0" w:line="125"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Inability to comply with evolving laws, regulations, standards, policies, and contractual obligations related to data privacy and security, including cybersecurity;</w:t>
      </w:r>
    </w:p>
    <w:p>
      <w:pPr>
        <w:spacing w:after="0" w:line="125"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Inability to manage existing markets, open new international markets or expand our operations;</w:t>
      </w:r>
    </w:p>
    <w:p>
      <w:pPr>
        <w:spacing w:after="0" w:line="114"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Inability of new products and technological innovations to gain customer or independent consultant or market acceptance;</w:t>
      </w:r>
    </w:p>
    <w:p>
      <w:pPr>
        <w:spacing w:after="0" w:line="125"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Inability to execute our product launch process due to increased pressure on our supply chain, information systems and management;</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44" w:right="319" w:bottom="1440" w:gutter="0" w:footer="0" w:header="0"/>
        </w:sectPr>
      </w:pPr>
    </w:p>
    <w:bookmarkStart w:id="2" w:name="page3"/>
    <w:bookmarkEnd w:id="2"/>
    <w:p>
      <w:pPr>
        <w:ind w:left="520" w:hanging="260"/>
        <w:spacing w:after="0"/>
        <w:tabs>
          <w:tab w:leader="none" w:pos="5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Inability to appropriately manage our inventory;</w:t>
      </w:r>
    </w:p>
    <w:p>
      <w:pPr>
        <w:spacing w:after="0" w:line="114"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Disruptions in our information technology ("IT") systems, including as a result of cybersecurity incidents;</w:t>
      </w:r>
    </w:p>
    <w:p>
      <w:pPr>
        <w:spacing w:after="0" w:line="125"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Inability to comply with financial covenants imposed by our credit facility and the impact of debt service obligations and restrictive debt covenants;</w:t>
      </w:r>
    </w:p>
    <w:p>
      <w:pPr>
        <w:spacing w:after="0" w:line="125"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International trade or foreign exchange restrictions, increased tariffs, foreign currency exchange fluctuations;</w:t>
      </w:r>
    </w:p>
    <w:p>
      <w:pPr>
        <w:spacing w:after="0" w:line="114"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Inability to raise additional capital or complete desired acquisitions;</w:t>
      </w:r>
    </w:p>
    <w:p>
      <w:pPr>
        <w:spacing w:after="0" w:line="125"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Strict government regulations on our business;</w:t>
      </w:r>
    </w:p>
    <w:p>
      <w:pPr>
        <w:spacing w:after="0" w:line="125"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Regulations governing the production or marketing of our products;</w:t>
      </w:r>
    </w:p>
    <w:p>
      <w:pPr>
        <w:spacing w:after="0" w:line="114"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Risk of investigatory and enforcement action;</w:t>
      </w:r>
    </w:p>
    <w:p>
      <w:pPr>
        <w:spacing w:after="0" w:line="125"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Risk of our direct selling program being found non-compliant with current or newly adopted laws or regulations in various markets;</w:t>
      </w:r>
    </w:p>
    <w:p>
      <w:pPr>
        <w:spacing w:after="0" w:line="125"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Laws and regulations prohibiting or severely restricting direct selling;</w:t>
      </w:r>
    </w:p>
    <w:p>
      <w:pPr>
        <w:spacing w:after="0" w:line="114"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International regulatory and business risks, including failure to comply with anti-corruption laws;</w:t>
      </w:r>
    </w:p>
    <w:p>
      <w:pPr>
        <w:spacing w:after="0" w:line="125"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Inability to protect our intellectual property rights;</w:t>
      </w:r>
    </w:p>
    <w:p>
      <w:pPr>
        <w:spacing w:after="0" w:line="125"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Third party intellectual property infringement claims;</w:t>
      </w:r>
    </w:p>
    <w:p>
      <w:pPr>
        <w:spacing w:after="0" w:line="114"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Volatility of the market price of our common stock;</w:t>
      </w:r>
    </w:p>
    <w:p>
      <w:pPr>
        <w:spacing w:after="0" w:line="125"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Risk of substantial sales of shares negatively impacting the market price of our common stock;</w:t>
      </w:r>
    </w:p>
    <w:p>
      <w:pPr>
        <w:spacing w:after="0" w:line="125"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Inability of share repurchase program enhancing long-term stockholder value;</w:t>
      </w:r>
    </w:p>
    <w:p>
      <w:pPr>
        <w:spacing w:after="0" w:line="114"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Risk of additional shares issued diluting voting power of current outstanding common stock or causing decline in stock price;</w:t>
      </w:r>
    </w:p>
    <w:p>
      <w:pPr>
        <w:spacing w:after="0" w:line="125"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Potential delisting of our common stock due to non-compliance with Nasdaq's continued listing requirements;</w:t>
      </w:r>
    </w:p>
    <w:p>
      <w:pPr>
        <w:spacing w:after="0" w:line="114"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Risks related to being a smaller reporting company;</w:t>
      </w:r>
    </w:p>
    <w:p>
      <w:pPr>
        <w:spacing w:after="0" w:line="125"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Limitations for disputes, mergers, tender offers, or proxy contests under Delaware law;</w:t>
      </w:r>
    </w:p>
    <w:p>
      <w:pPr>
        <w:spacing w:after="0" w:line="125"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Expense and time consuming legal proceedings;</w:t>
      </w:r>
    </w:p>
    <w:p>
      <w:pPr>
        <w:spacing w:after="0" w:line="114"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Ineffectiveness of internal controls over financial reporting;</w:t>
      </w:r>
    </w:p>
    <w:p>
      <w:pPr>
        <w:spacing w:after="0" w:line="125"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Challenges to tax positions or transfer pricing policies or change in laws;</w:t>
      </w:r>
    </w:p>
    <w:p>
      <w:pPr>
        <w:spacing w:after="0" w:line="125"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Economic, political, foreign exchange and other risks associated with international operations, including consumer discretionary spending habits;</w:t>
      </w:r>
    </w:p>
    <w:p>
      <w:pPr>
        <w:spacing w:after="0" w:line="114"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Unfavorable global economic conditions;</w:t>
      </w:r>
    </w:p>
    <w:p>
      <w:pPr>
        <w:spacing w:after="0" w:line="125"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Securities class action litigation; and</w:t>
      </w:r>
    </w:p>
    <w:p>
      <w:pPr>
        <w:spacing w:after="0" w:line="125"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Securities or industry analysts ceasing coverage or publishing inaccurate or unfavorable research.</w:t>
      </w:r>
    </w:p>
    <w:p>
      <w:pPr>
        <w:spacing w:after="0" w:line="115" w:lineRule="exact"/>
        <w:rPr>
          <w:sz w:val="20"/>
          <w:szCs w:val="20"/>
          <w:color w:val="auto"/>
        </w:rPr>
      </w:pPr>
    </w:p>
    <w:p>
      <w:pPr>
        <w:ind w:firstLine="255"/>
        <w:spacing w:after="0" w:line="287" w:lineRule="auto"/>
        <w:rPr>
          <w:sz w:val="20"/>
          <w:szCs w:val="20"/>
          <w:color w:val="auto"/>
        </w:rPr>
      </w:pPr>
      <w:r>
        <w:rPr>
          <w:rFonts w:ascii="Times New Roman" w:cs="Times New Roman" w:eastAsia="Times New Roman" w:hAnsi="Times New Roman"/>
          <w:sz w:val="14"/>
          <w:szCs w:val="14"/>
          <w:color w:val="auto"/>
        </w:rPr>
        <w:t>When considering these forward-looking statements, you should keep in mind the cautionary statements in this report and the documents incorporated by reference. Except as required by law, we have no obligation and do not undertake to update or revise any such forward-looking statements to reflect events or circumstances after the date of this report.</w:t>
      </w:r>
    </w:p>
    <w:p>
      <w:pPr>
        <w:spacing w:after="0" w:line="69"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4"/>
          <w:szCs w:val="14"/>
          <w:b w:val="1"/>
          <w:bCs w:val="1"/>
          <w:color w:val="auto"/>
        </w:rPr>
        <w:t>SUMMARY OF RISKS ASSOCIATED WITH OUR BUSINESS</w:t>
      </w:r>
    </w:p>
    <w:p>
      <w:pPr>
        <w:spacing w:after="0" w:line="127" w:lineRule="exact"/>
        <w:rPr>
          <w:sz w:val="20"/>
          <w:szCs w:val="20"/>
          <w:color w:val="auto"/>
        </w:rPr>
      </w:pPr>
    </w:p>
    <w:p>
      <w:pPr>
        <w:ind w:right="60" w:firstLine="255"/>
        <w:spacing w:after="0" w:line="287" w:lineRule="auto"/>
        <w:rPr>
          <w:sz w:val="20"/>
          <w:szCs w:val="20"/>
          <w:color w:val="auto"/>
        </w:rPr>
      </w:pPr>
      <w:r>
        <w:rPr>
          <w:rFonts w:ascii="Times New Roman" w:cs="Times New Roman" w:eastAsia="Times New Roman" w:hAnsi="Times New Roman"/>
          <w:sz w:val="14"/>
          <w:szCs w:val="14"/>
          <w:color w:val="auto"/>
        </w:rPr>
        <w:t>We face risks and uncertainties associated with our business, many of which are beyond our control. Some of the more significant risks associated with our business that may cause actual results to differ materially from our forward-looking statements include the following:</w:t>
      </w:r>
    </w:p>
    <w:p>
      <w:pPr>
        <w:spacing w:after="0" w:line="61" w:lineRule="exact"/>
        <w:rPr>
          <w:sz w:val="20"/>
          <w:szCs w:val="20"/>
          <w:color w:val="auto"/>
        </w:rPr>
      </w:pPr>
    </w:p>
    <w:p>
      <w:pPr>
        <w:ind w:left="520" w:hanging="260"/>
        <w:spacing w:after="0"/>
        <w:tabs>
          <w:tab w:leader="none" w:pos="5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inability to properly motivate and incentivize sales from our independent consultants could harm our business.</w:t>
      </w:r>
    </w:p>
    <w:p>
      <w:pPr>
        <w:spacing w:after="0" w:line="200" w:lineRule="exact"/>
        <w:rPr>
          <w:rFonts w:ascii="Times New Roman" w:cs="Times New Roman" w:eastAsia="Times New Roman" w:hAnsi="Times New Roman"/>
          <w:sz w:val="14"/>
          <w:szCs w:val="14"/>
          <w:color w:val="auto"/>
        </w:rPr>
      </w:pPr>
    </w:p>
    <w:p>
      <w:pPr>
        <w:spacing w:after="0" w:line="360" w:lineRule="exact"/>
        <w:rPr>
          <w:rFonts w:ascii="Times New Roman" w:cs="Times New Roman" w:eastAsia="Times New Roman" w:hAnsi="Times New Roman"/>
          <w:sz w:val="14"/>
          <w:szCs w:val="14"/>
          <w:color w:val="auto"/>
        </w:rPr>
      </w:pPr>
    </w:p>
    <w:p>
      <w:pPr>
        <w:ind w:left="560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846" w:right="339" w:bottom="1440" w:gutter="0" w:footer="0" w:header="0"/>
        </w:sectPr>
      </w:pPr>
    </w:p>
    <w:bookmarkStart w:id="3" w:name="page4"/>
    <w:bookmarkEnd w:id="3"/>
    <w:p>
      <w:pPr>
        <w:ind w:left="260" w:right="340" w:hanging="260"/>
        <w:spacing w:after="0" w:line="287" w:lineRule="auto"/>
        <w:tabs>
          <w:tab w:leader="none" w:pos="257"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we are unable to retain our existing customers and independent consultants or attract additional customers and independent consultants, our revenue will not increase and may decline further.</w:t>
      </w:r>
    </w:p>
    <w:p>
      <w:pPr>
        <w:spacing w:after="0" w:line="60" w:lineRule="exact"/>
        <w:rPr>
          <w:rFonts w:ascii="Times New Roman" w:cs="Times New Roman" w:eastAsia="Times New Roman" w:hAnsi="Times New Roman"/>
          <w:sz w:val="14"/>
          <w:szCs w:val="14"/>
          <w:color w:val="auto"/>
        </w:rPr>
      </w:pPr>
    </w:p>
    <w:p>
      <w:pPr>
        <w:ind w:left="260" w:hanging="260"/>
        <w:spacing w:after="0"/>
        <w:tabs>
          <w:tab w:leader="none" w:pos="26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independent consultants could fail to comply with applicable legal requirements or our policies and procedures, which could result in claims against us that could harm our business.</w:t>
      </w:r>
    </w:p>
    <w:p>
      <w:pPr>
        <w:spacing w:after="0" w:line="125" w:lineRule="exact"/>
        <w:rPr>
          <w:rFonts w:ascii="Times New Roman" w:cs="Times New Roman" w:eastAsia="Times New Roman" w:hAnsi="Times New Roman"/>
          <w:sz w:val="14"/>
          <w:szCs w:val="14"/>
          <w:color w:val="auto"/>
        </w:rPr>
      </w:pPr>
    </w:p>
    <w:p>
      <w:pPr>
        <w:ind w:left="260" w:hanging="260"/>
        <w:spacing w:after="0"/>
        <w:tabs>
          <w:tab w:leader="none" w:pos="26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primarily depend on a few products for our revenue.</w:t>
      </w:r>
    </w:p>
    <w:p>
      <w:pPr>
        <w:spacing w:after="0" w:line="125" w:lineRule="exact"/>
        <w:rPr>
          <w:rFonts w:ascii="Times New Roman" w:cs="Times New Roman" w:eastAsia="Times New Roman" w:hAnsi="Times New Roman"/>
          <w:sz w:val="14"/>
          <w:szCs w:val="14"/>
          <w:color w:val="auto"/>
        </w:rPr>
      </w:pPr>
    </w:p>
    <w:p>
      <w:pPr>
        <w:ind w:left="260" w:hanging="260"/>
        <w:spacing w:after="0"/>
        <w:tabs>
          <w:tab w:leader="none" w:pos="26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are dependent upon third parties to manufacture our products.</w:t>
      </w:r>
    </w:p>
    <w:p>
      <w:pPr>
        <w:spacing w:after="0" w:line="114" w:lineRule="exact"/>
        <w:rPr>
          <w:rFonts w:ascii="Times New Roman" w:cs="Times New Roman" w:eastAsia="Times New Roman" w:hAnsi="Times New Roman"/>
          <w:sz w:val="14"/>
          <w:szCs w:val="14"/>
          <w:color w:val="auto"/>
        </w:rPr>
      </w:pPr>
    </w:p>
    <w:p>
      <w:pPr>
        <w:ind w:left="260" w:right="100" w:hanging="260"/>
        <w:spacing w:after="0" w:line="270" w:lineRule="auto"/>
        <w:tabs>
          <w:tab w:leader="none" w:pos="257"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are subject to evolving laws, policies, and contractual obligations related to data privacy and security, including cybersecurity, and our actual or perceived failure to comply with such obligations or the actual or perceived failure to maintain the integrity of our data could expose us to data loss or litigation, harm our reputation, subject us to significant fines and liability, or otherwise adversely affect our business, prospects, financial condition, and operating results.</w:t>
      </w:r>
    </w:p>
    <w:p>
      <w:pPr>
        <w:spacing w:after="0" w:line="82" w:lineRule="exact"/>
        <w:rPr>
          <w:rFonts w:ascii="Times New Roman" w:cs="Times New Roman" w:eastAsia="Times New Roman" w:hAnsi="Times New Roman"/>
          <w:sz w:val="14"/>
          <w:szCs w:val="14"/>
          <w:color w:val="auto"/>
        </w:rPr>
      </w:pPr>
    </w:p>
    <w:p>
      <w:pPr>
        <w:ind w:left="260" w:hanging="260"/>
        <w:spacing w:after="0"/>
        <w:tabs>
          <w:tab w:leader="none" w:pos="26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are subject to risks related to product recalls.</w:t>
      </w:r>
    </w:p>
    <w:p>
      <w:pPr>
        <w:spacing w:after="0" w:line="125" w:lineRule="exact"/>
        <w:rPr>
          <w:rFonts w:ascii="Times New Roman" w:cs="Times New Roman" w:eastAsia="Times New Roman" w:hAnsi="Times New Roman"/>
          <w:sz w:val="14"/>
          <w:szCs w:val="14"/>
          <w:color w:val="auto"/>
        </w:rPr>
      </w:pPr>
    </w:p>
    <w:p>
      <w:pPr>
        <w:ind w:left="260" w:hanging="260"/>
        <w:spacing w:after="0"/>
        <w:tabs>
          <w:tab w:leader="none" w:pos="26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business is susceptible to product liability claims.</w:t>
      </w:r>
    </w:p>
    <w:p>
      <w:pPr>
        <w:spacing w:after="0" w:line="114" w:lineRule="exact"/>
        <w:rPr>
          <w:rFonts w:ascii="Times New Roman" w:cs="Times New Roman" w:eastAsia="Times New Roman" w:hAnsi="Times New Roman"/>
          <w:sz w:val="14"/>
          <w:szCs w:val="14"/>
          <w:color w:val="auto"/>
        </w:rPr>
      </w:pPr>
    </w:p>
    <w:p>
      <w:pPr>
        <w:ind w:left="260" w:right="340" w:hanging="260"/>
        <w:spacing w:after="0" w:line="287" w:lineRule="auto"/>
        <w:tabs>
          <w:tab w:leader="none" w:pos="257"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Many of the markets in which we compete for business, including the dietary supplement and personal care markets, are highly competitive. We may not be able to compete effectively, which may have a material adverse effect on our results of operations and financial condition.</w:t>
      </w:r>
    </w:p>
    <w:p>
      <w:pPr>
        <w:spacing w:after="0" w:line="71" w:lineRule="exact"/>
        <w:rPr>
          <w:rFonts w:ascii="Times New Roman" w:cs="Times New Roman" w:eastAsia="Times New Roman" w:hAnsi="Times New Roman"/>
          <w:sz w:val="14"/>
          <w:szCs w:val="14"/>
          <w:color w:val="auto"/>
        </w:rPr>
      </w:pPr>
    </w:p>
    <w:p>
      <w:pPr>
        <w:ind w:left="260" w:hanging="260"/>
        <w:spacing w:after="0" w:line="287" w:lineRule="auto"/>
        <w:tabs>
          <w:tab w:leader="none" w:pos="257"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Actions of activist stockholders have, and could continue to, impact the pursuit of our business strategies, cause us to incur substantial costs, divert our management’s attention and resources, and adversely affect our business, results of operations, financial condition, and the trading price of our common stock.</w:t>
      </w:r>
    </w:p>
    <w:p>
      <w:pPr>
        <w:spacing w:after="0" w:line="71" w:lineRule="exact"/>
        <w:rPr>
          <w:rFonts w:ascii="Times New Roman" w:cs="Times New Roman" w:eastAsia="Times New Roman" w:hAnsi="Times New Roman"/>
          <w:sz w:val="14"/>
          <w:szCs w:val="14"/>
          <w:color w:val="auto"/>
        </w:rPr>
      </w:pPr>
    </w:p>
    <w:p>
      <w:pPr>
        <w:ind w:left="260" w:hanging="260"/>
        <w:spacing w:after="0"/>
        <w:tabs>
          <w:tab w:leader="none" w:pos="26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are subject to risks related to a Global Not For Resale Program.</w:t>
      </w:r>
    </w:p>
    <w:p>
      <w:pPr>
        <w:spacing w:after="0" w:line="114" w:lineRule="exact"/>
        <w:rPr>
          <w:rFonts w:ascii="Times New Roman" w:cs="Times New Roman" w:eastAsia="Times New Roman" w:hAnsi="Times New Roman"/>
          <w:sz w:val="14"/>
          <w:szCs w:val="14"/>
          <w:color w:val="auto"/>
        </w:rPr>
      </w:pPr>
    </w:p>
    <w:p>
      <w:pPr>
        <w:ind w:left="260" w:hanging="260"/>
        <w:spacing w:after="0"/>
        <w:tabs>
          <w:tab w:leader="none" w:pos="26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we are able to expand our operations, we may experience difficulties in managing our future growth, which could adversely affect our business.</w:t>
      </w:r>
    </w:p>
    <w:p>
      <w:pPr>
        <w:spacing w:after="0" w:line="125" w:lineRule="exact"/>
        <w:rPr>
          <w:rFonts w:ascii="Times New Roman" w:cs="Times New Roman" w:eastAsia="Times New Roman" w:hAnsi="Times New Roman"/>
          <w:sz w:val="14"/>
          <w:szCs w:val="14"/>
          <w:color w:val="auto"/>
        </w:rPr>
      </w:pPr>
    </w:p>
    <w:p>
      <w:pPr>
        <w:ind w:left="260" w:hanging="260"/>
        <w:spacing w:after="0"/>
        <w:tabs>
          <w:tab w:leader="none" w:pos="26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Inability of new products and technological innovations to gain market acceptance by customers and/or independent consultants could harm our business.</w:t>
      </w:r>
    </w:p>
    <w:p>
      <w:pPr>
        <w:spacing w:after="0" w:line="125" w:lineRule="exact"/>
        <w:rPr>
          <w:rFonts w:ascii="Times New Roman" w:cs="Times New Roman" w:eastAsia="Times New Roman" w:hAnsi="Times New Roman"/>
          <w:sz w:val="14"/>
          <w:szCs w:val="14"/>
          <w:color w:val="auto"/>
        </w:rPr>
      </w:pPr>
    </w:p>
    <w:p>
      <w:pPr>
        <w:ind w:left="260" w:hanging="260"/>
        <w:spacing w:after="0"/>
        <w:tabs>
          <w:tab w:leader="none" w:pos="26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business could be negatively impacted if we fail to execute our product launch process due to increased pressure on our supply chain, information systems and management.</w:t>
      </w:r>
    </w:p>
    <w:p>
      <w:pPr>
        <w:spacing w:after="0" w:line="114" w:lineRule="exact"/>
        <w:rPr>
          <w:rFonts w:ascii="Times New Roman" w:cs="Times New Roman" w:eastAsia="Times New Roman" w:hAnsi="Times New Roman"/>
          <w:sz w:val="14"/>
          <w:szCs w:val="14"/>
          <w:color w:val="auto"/>
        </w:rPr>
      </w:pPr>
    </w:p>
    <w:p>
      <w:pPr>
        <w:ind w:left="260" w:right="540" w:hanging="260"/>
        <w:spacing w:after="0" w:line="287" w:lineRule="auto"/>
        <w:tabs>
          <w:tab w:leader="none" w:pos="257"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rely on our IT systems to manage numerous aspects of our business, and a disruption in these systems, including as a result of cybersecurity incidents, could adversely affect our business.</w:t>
      </w:r>
    </w:p>
    <w:p>
      <w:pPr>
        <w:spacing w:after="0" w:line="71" w:lineRule="exact"/>
        <w:rPr>
          <w:rFonts w:ascii="Times New Roman" w:cs="Times New Roman" w:eastAsia="Times New Roman" w:hAnsi="Times New Roman"/>
          <w:sz w:val="14"/>
          <w:szCs w:val="14"/>
          <w:color w:val="auto"/>
        </w:rPr>
      </w:pPr>
    </w:p>
    <w:p>
      <w:pPr>
        <w:ind w:left="260" w:right="460" w:hanging="260"/>
        <w:spacing w:after="0" w:line="287" w:lineRule="auto"/>
        <w:tabs>
          <w:tab w:leader="none" w:pos="257"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substantial portion of our business is conducted in foreign markets, exposing us to the risks of trade or foreign exchange restrictions, increased tariffs, foreign currency fluctuations, disruptions or conflicts with our third-party importers and similar risks associated with foreign operations.</w:t>
      </w:r>
    </w:p>
    <w:p>
      <w:pPr>
        <w:spacing w:after="0" w:line="71" w:lineRule="exact"/>
        <w:rPr>
          <w:rFonts w:ascii="Times New Roman" w:cs="Times New Roman" w:eastAsia="Times New Roman" w:hAnsi="Times New Roman"/>
          <w:sz w:val="14"/>
          <w:szCs w:val="14"/>
          <w:color w:val="auto"/>
        </w:rPr>
      </w:pPr>
    </w:p>
    <w:p>
      <w:pPr>
        <w:ind w:left="260" w:hanging="260"/>
        <w:spacing w:after="0"/>
        <w:tabs>
          <w:tab w:leader="none" w:pos="26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business is subject to strict government regulations.</w:t>
      </w:r>
    </w:p>
    <w:p>
      <w:pPr>
        <w:spacing w:after="0" w:line="114" w:lineRule="exact"/>
        <w:rPr>
          <w:rFonts w:ascii="Times New Roman" w:cs="Times New Roman" w:eastAsia="Times New Roman" w:hAnsi="Times New Roman"/>
          <w:sz w:val="14"/>
          <w:szCs w:val="14"/>
          <w:color w:val="auto"/>
        </w:rPr>
      </w:pPr>
    </w:p>
    <w:p>
      <w:pPr>
        <w:ind w:left="260" w:right="240" w:hanging="260"/>
        <w:spacing w:after="0" w:line="287" w:lineRule="auto"/>
        <w:tabs>
          <w:tab w:leader="none" w:pos="257"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direct selling program could be found to be not in compliance with current or newly adopted laws or regulations in one or more markets, which could prevent us from conducting our business in these markets and harm our financial condition and operating results.</w:t>
      </w:r>
    </w:p>
    <w:p>
      <w:pPr>
        <w:spacing w:after="0" w:line="200" w:lineRule="exact"/>
        <w:rPr>
          <w:sz w:val="20"/>
          <w:szCs w:val="20"/>
          <w:color w:val="auto"/>
        </w:rPr>
      </w:pPr>
    </w:p>
    <w:p>
      <w:pPr>
        <w:spacing w:after="0" w:line="306" w:lineRule="exact"/>
        <w:rPr>
          <w:sz w:val="20"/>
          <w:szCs w:val="20"/>
          <w:color w:val="auto"/>
        </w:rPr>
      </w:pPr>
    </w:p>
    <w:p>
      <w:pPr>
        <w:jc w:val="center"/>
        <w:ind w:right="260"/>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-173990</wp:posOffset>
            </wp:positionH>
            <wp:positionV relativeFrom="paragraph">
              <wp:posOffset>55880</wp:posOffset>
            </wp:positionV>
            <wp:extent cx="7186930"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020"/>
          </w:cols>
          <w:pgMar w:left="560" w:top="846" w:right="31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940" w:type="dxa"/>
            <w:vAlign w:val="bottom"/>
            <w:gridSpan w:val="10"/>
          </w:tcPr>
          <w:p>
            <w:pPr>
              <w:jc w:val="center"/>
              <w:ind w:right="2260"/>
              <w:spacing w:after="0"/>
              <w:rPr>
                <w:sz w:val="20"/>
                <w:szCs w:val="20"/>
                <w:color w:val="auto"/>
              </w:rPr>
            </w:pPr>
            <w:r>
              <w:rPr>
                <w:rFonts w:ascii="Times New Roman" w:cs="Times New Roman" w:eastAsia="Times New Roman" w:hAnsi="Times New Roman"/>
                <w:sz w:val="14"/>
                <w:szCs w:val="14"/>
                <w:b w:val="1"/>
                <w:bCs w:val="1"/>
                <w:color w:val="auto"/>
              </w:rPr>
              <w:t>TABLE OF CONTENTS</w:t>
            </w:r>
          </w:p>
        </w:tc>
        <w:tc>
          <w:tcPr>
            <w:tcW w:w="19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244"/>
        </w:trPr>
        <w:tc>
          <w:tcPr>
            <w:tcW w:w="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940" w:type="dxa"/>
            <w:vAlign w:val="bottom"/>
          </w:tcPr>
          <w:p>
            <w:pPr>
              <w:spacing w:after="0"/>
              <w:rPr>
                <w:sz w:val="21"/>
                <w:szCs w:val="21"/>
                <w:color w:val="auto"/>
              </w:rPr>
            </w:pPr>
          </w:p>
        </w:tc>
        <w:tc>
          <w:tcPr>
            <w:tcW w:w="2540" w:type="dxa"/>
            <w:vAlign w:val="bottom"/>
            <w:gridSpan w:val="5"/>
          </w:tcPr>
          <w:p>
            <w:pPr>
              <w:jc w:val="right"/>
              <w:ind w:right="360"/>
              <w:spacing w:after="0"/>
              <w:rPr>
                <w:sz w:val="20"/>
                <w:szCs w:val="20"/>
                <w:color w:val="auto"/>
              </w:rPr>
            </w:pPr>
            <w:r>
              <w:rPr>
                <w:rFonts w:ascii="Times New Roman" w:cs="Times New Roman" w:eastAsia="Times New Roman" w:hAnsi="Times New Roman"/>
                <w:sz w:val="11"/>
                <w:szCs w:val="11"/>
                <w:b w:val="1"/>
                <w:bCs w:val="1"/>
                <w:color w:val="auto"/>
              </w:rPr>
              <w:t>Page</w:t>
            </w:r>
          </w:p>
        </w:tc>
      </w:tr>
      <w:tr>
        <w:trPr>
          <w:trHeight w:val="171"/>
        </w:trPr>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Borders>
              <w:bottom w:val="single" w:sz="8" w:color="0000FF"/>
            </w:tcBorders>
            <w:gridSpan w:val="2"/>
          </w:tcPr>
          <w:p>
            <w:pPr>
              <w:jc w:val="center"/>
              <w:spacing w:after="0"/>
              <w:rPr>
                <w:sz w:val="20"/>
                <w:szCs w:val="20"/>
                <w:color w:val="auto"/>
              </w:rPr>
            </w:pPr>
            <w:r>
              <w:rPr>
                <w:rFonts w:ascii="Times New Roman" w:cs="Times New Roman" w:eastAsia="Times New Roman" w:hAnsi="Times New Roman"/>
                <w:sz w:val="14"/>
                <w:szCs w:val="14"/>
                <w:color w:val="0000FF"/>
                <w:w w:val="95"/>
              </w:rPr>
              <w:t>PART I</w:t>
            </w:r>
          </w:p>
        </w:tc>
        <w:tc>
          <w:tcPr>
            <w:tcW w:w="2900" w:type="dxa"/>
            <w:vAlign w:val="bottom"/>
            <w:gridSpan w:val="5"/>
          </w:tcPr>
          <w:p>
            <w:pPr>
              <w:spacing w:after="0"/>
              <w:rPr>
                <w:sz w:val="14"/>
                <w:szCs w:val="14"/>
                <w:color w:val="auto"/>
              </w:rPr>
            </w:pPr>
          </w:p>
        </w:tc>
        <w:tc>
          <w:tcPr>
            <w:tcW w:w="194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60"/>
        </w:trPr>
        <w:tc>
          <w:tcPr>
            <w:tcW w:w="20" w:type="dxa"/>
            <w:vAlign w:val="bottom"/>
          </w:tcPr>
          <w:p>
            <w:pPr>
              <w:spacing w:after="0"/>
              <w:rPr>
                <w:sz w:val="13"/>
                <w:szCs w:val="13"/>
                <w:color w:val="auto"/>
              </w:rPr>
            </w:pPr>
          </w:p>
        </w:tc>
        <w:tc>
          <w:tcPr>
            <w:tcW w:w="940" w:type="dxa"/>
            <w:vAlign w:val="bottom"/>
            <w:gridSpan w:val="2"/>
          </w:tcPr>
          <w:p>
            <w:pPr>
              <w:spacing w:after="0"/>
              <w:rPr>
                <w:sz w:val="20"/>
                <w:szCs w:val="20"/>
                <w:color w:val="auto"/>
              </w:rPr>
            </w:pPr>
            <w:r>
              <w:rPr>
                <w:rFonts w:ascii="Times New Roman" w:cs="Times New Roman" w:eastAsia="Times New Roman" w:hAnsi="Times New Roman"/>
                <w:sz w:val="14"/>
                <w:szCs w:val="14"/>
                <w:color w:val="0000FF"/>
                <w:w w:val="98"/>
              </w:rPr>
              <w:t>Item 1. Business</w:t>
            </w:r>
          </w:p>
        </w:tc>
        <w:tc>
          <w:tcPr>
            <w:tcW w:w="7780" w:type="dxa"/>
            <w:vAlign w:val="bottom"/>
            <w:gridSpan w:val="24"/>
          </w:tcPr>
          <w:p>
            <w:pPr>
              <w:spacing w:after="0"/>
              <w:rPr>
                <w:sz w:val="13"/>
                <w:szCs w:val="13"/>
                <w:color w:val="auto"/>
              </w:rPr>
            </w:pPr>
          </w:p>
        </w:tc>
        <w:tc>
          <w:tcPr>
            <w:tcW w:w="2540" w:type="dxa"/>
            <w:vAlign w:val="bottom"/>
            <w:gridSpan w:val="5"/>
          </w:tcPr>
          <w:p>
            <w:pPr>
              <w:jc w:val="right"/>
              <w:ind w:right="60"/>
              <w:spacing w:after="0"/>
              <w:rPr>
                <w:sz w:val="20"/>
                <w:szCs w:val="20"/>
                <w:color w:val="auto"/>
              </w:rPr>
            </w:pPr>
            <w:r>
              <w:rPr>
                <w:rFonts w:ascii="Times New Roman" w:cs="Times New Roman" w:eastAsia="Times New Roman" w:hAnsi="Times New Roman"/>
                <w:sz w:val="14"/>
                <w:szCs w:val="14"/>
                <w:color w:val="0000FF"/>
              </w:rPr>
              <w:t>6</w:t>
            </w:r>
          </w:p>
        </w:tc>
      </w:tr>
      <w:tr>
        <w:trPr>
          <w:trHeight w:val="20"/>
        </w:trPr>
        <w:tc>
          <w:tcPr>
            <w:tcW w:w="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340" w:type="dxa"/>
            <w:vAlign w:val="bottom"/>
            <w:gridSpan w:val="3"/>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8720" w:type="dxa"/>
            <w:vAlign w:val="bottom"/>
            <w:gridSpan w:val="26"/>
          </w:tcPr>
          <w:p>
            <w:pPr>
              <w:spacing w:after="0"/>
              <w:rPr>
                <w:sz w:val="20"/>
                <w:szCs w:val="20"/>
                <w:color w:val="auto"/>
              </w:rPr>
            </w:pPr>
            <w:r>
              <w:rPr>
                <w:rFonts w:ascii="Times New Roman" w:cs="Times New Roman" w:eastAsia="Times New Roman" w:hAnsi="Times New Roman"/>
                <w:sz w:val="14"/>
                <w:szCs w:val="14"/>
                <w:color w:val="0000FF"/>
              </w:rPr>
              <w:t>Item 1A. Risk Factors</w:t>
            </w:r>
          </w:p>
        </w:tc>
        <w:tc>
          <w:tcPr>
            <w:tcW w:w="2540" w:type="dxa"/>
            <w:vAlign w:val="bottom"/>
            <w:gridSpan w:val="5"/>
          </w:tcPr>
          <w:p>
            <w:pPr>
              <w:jc w:val="right"/>
              <w:ind w:right="60"/>
              <w:spacing w:after="0"/>
              <w:rPr>
                <w:sz w:val="20"/>
                <w:szCs w:val="20"/>
                <w:color w:val="auto"/>
              </w:rPr>
            </w:pPr>
            <w:r>
              <w:rPr>
                <w:rFonts w:ascii="Times New Roman" w:cs="Times New Roman" w:eastAsia="Times New Roman" w:hAnsi="Times New Roman"/>
                <w:sz w:val="14"/>
                <w:szCs w:val="14"/>
                <w:color w:val="0000FF"/>
              </w:rPr>
              <w:t>24</w:t>
            </w:r>
          </w:p>
        </w:tc>
      </w:tr>
      <w:tr>
        <w:trPr>
          <w:trHeight w:val="20"/>
        </w:trPr>
        <w:tc>
          <w:tcPr>
            <w:tcW w:w="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340" w:type="dxa"/>
            <w:vAlign w:val="bottom"/>
            <w:gridSpan w:val="3"/>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2140" w:type="dxa"/>
            <w:vAlign w:val="bottom"/>
            <w:gridSpan w:val="10"/>
          </w:tcPr>
          <w:p>
            <w:pPr>
              <w:spacing w:after="0"/>
              <w:rPr>
                <w:sz w:val="20"/>
                <w:szCs w:val="20"/>
                <w:color w:val="auto"/>
              </w:rPr>
            </w:pPr>
            <w:r>
              <w:rPr>
                <w:rFonts w:ascii="Times New Roman" w:cs="Times New Roman" w:eastAsia="Times New Roman" w:hAnsi="Times New Roman"/>
                <w:sz w:val="14"/>
                <w:szCs w:val="14"/>
                <w:color w:val="0000FF"/>
              </w:rPr>
              <w:t>Item 1B. Unresolved Staff Comments</w:t>
            </w:r>
          </w:p>
        </w:tc>
        <w:tc>
          <w:tcPr>
            <w:tcW w:w="6580" w:type="dxa"/>
            <w:vAlign w:val="bottom"/>
            <w:gridSpan w:val="16"/>
          </w:tcPr>
          <w:p>
            <w:pPr>
              <w:spacing w:after="0"/>
              <w:rPr>
                <w:sz w:val="13"/>
                <w:szCs w:val="13"/>
                <w:color w:val="auto"/>
              </w:rPr>
            </w:pPr>
          </w:p>
        </w:tc>
        <w:tc>
          <w:tcPr>
            <w:tcW w:w="2340" w:type="dxa"/>
            <w:vAlign w:val="bottom"/>
            <w:gridSpan w:val="3"/>
          </w:tcPr>
          <w:p>
            <w:pPr>
              <w:spacing w:after="0"/>
              <w:rPr>
                <w:sz w:val="13"/>
                <w:szCs w:val="13"/>
                <w:color w:val="auto"/>
              </w:rPr>
            </w:pPr>
          </w:p>
        </w:tc>
        <w:tc>
          <w:tcPr>
            <w:tcW w:w="2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0000FF"/>
                <w:w w:val="85"/>
              </w:rPr>
              <w:t>42</w:t>
            </w:r>
          </w:p>
        </w:tc>
      </w:tr>
      <w:tr>
        <w:trPr>
          <w:trHeight w:val="20"/>
        </w:trPr>
        <w:tc>
          <w:tcPr>
            <w:tcW w:w="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360" w:type="dxa"/>
            <w:vAlign w:val="bottom"/>
            <w:tcBorders>
              <w:left w:val="single" w:sz="8" w:color="0000FF"/>
            </w:tcBorders>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340" w:type="dxa"/>
            <w:vAlign w:val="bottom"/>
            <w:gridSpan w:val="3"/>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2140" w:type="dxa"/>
            <w:vAlign w:val="bottom"/>
            <w:gridSpan w:val="10"/>
          </w:tcPr>
          <w:p>
            <w:pPr>
              <w:spacing w:after="0"/>
              <w:rPr>
                <w:sz w:val="20"/>
                <w:szCs w:val="20"/>
                <w:color w:val="auto"/>
              </w:rPr>
            </w:pPr>
            <w:r>
              <w:rPr>
                <w:rFonts w:ascii="Times New Roman" w:cs="Times New Roman" w:eastAsia="Times New Roman" w:hAnsi="Times New Roman"/>
                <w:sz w:val="14"/>
                <w:szCs w:val="14"/>
                <w:color w:val="0000FF"/>
              </w:rPr>
              <w:t>Item 1C. Cybersecurity</w:t>
            </w:r>
          </w:p>
        </w:tc>
        <w:tc>
          <w:tcPr>
            <w:tcW w:w="6580" w:type="dxa"/>
            <w:vAlign w:val="bottom"/>
            <w:gridSpan w:val="16"/>
          </w:tcPr>
          <w:p>
            <w:pPr>
              <w:spacing w:after="0"/>
              <w:rPr>
                <w:sz w:val="13"/>
                <w:szCs w:val="13"/>
                <w:color w:val="auto"/>
              </w:rPr>
            </w:pPr>
          </w:p>
        </w:tc>
        <w:tc>
          <w:tcPr>
            <w:tcW w:w="2340" w:type="dxa"/>
            <w:vAlign w:val="bottom"/>
            <w:gridSpan w:val="3"/>
          </w:tcPr>
          <w:p>
            <w:pPr>
              <w:spacing w:after="0"/>
              <w:rPr>
                <w:sz w:val="13"/>
                <w:szCs w:val="13"/>
                <w:color w:val="auto"/>
              </w:rPr>
            </w:pPr>
          </w:p>
        </w:tc>
        <w:tc>
          <w:tcPr>
            <w:tcW w:w="2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0000FF"/>
                <w:w w:val="85"/>
              </w:rPr>
              <w:t>42</w:t>
            </w:r>
          </w:p>
        </w:tc>
      </w:tr>
      <w:tr>
        <w:trPr>
          <w:trHeight w:val="20"/>
        </w:trPr>
        <w:tc>
          <w:tcPr>
            <w:tcW w:w="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360" w:type="dxa"/>
            <w:vAlign w:val="bottom"/>
            <w:tcBorders>
              <w:left w:val="single" w:sz="8" w:color="0000FF"/>
            </w:tcBorders>
            <w:gridSpan w:val="2"/>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340" w:type="dxa"/>
            <w:vAlign w:val="bottom"/>
            <w:gridSpan w:val="3"/>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1320" w:type="dxa"/>
            <w:vAlign w:val="bottom"/>
            <w:gridSpan w:val="5"/>
          </w:tcPr>
          <w:p>
            <w:pPr>
              <w:spacing w:after="0"/>
              <w:rPr>
                <w:sz w:val="20"/>
                <w:szCs w:val="20"/>
                <w:color w:val="auto"/>
              </w:rPr>
            </w:pPr>
            <w:r>
              <w:rPr>
                <w:rFonts w:ascii="Times New Roman" w:cs="Times New Roman" w:eastAsia="Times New Roman" w:hAnsi="Times New Roman"/>
                <w:sz w:val="14"/>
                <w:szCs w:val="14"/>
                <w:color w:val="0000FF"/>
              </w:rPr>
              <w:t>Item 2. Properties</w:t>
            </w:r>
          </w:p>
        </w:tc>
        <w:tc>
          <w:tcPr>
            <w:tcW w:w="7400" w:type="dxa"/>
            <w:vAlign w:val="bottom"/>
            <w:gridSpan w:val="21"/>
          </w:tcPr>
          <w:p>
            <w:pPr>
              <w:spacing w:after="0"/>
              <w:rPr>
                <w:sz w:val="13"/>
                <w:szCs w:val="13"/>
                <w:color w:val="auto"/>
              </w:rPr>
            </w:pPr>
          </w:p>
        </w:tc>
        <w:tc>
          <w:tcPr>
            <w:tcW w:w="2340" w:type="dxa"/>
            <w:vAlign w:val="bottom"/>
            <w:gridSpan w:val="3"/>
          </w:tcPr>
          <w:p>
            <w:pPr>
              <w:spacing w:after="0"/>
              <w:rPr>
                <w:sz w:val="13"/>
                <w:szCs w:val="13"/>
                <w:color w:val="auto"/>
              </w:rPr>
            </w:pPr>
          </w:p>
        </w:tc>
        <w:tc>
          <w:tcPr>
            <w:tcW w:w="2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0000FF"/>
                <w:w w:val="85"/>
              </w:rPr>
              <w:t>42</w:t>
            </w:r>
          </w:p>
        </w:tc>
      </w:tr>
      <w:tr>
        <w:trPr>
          <w:trHeight w:val="20"/>
        </w:trPr>
        <w:tc>
          <w:tcPr>
            <w:tcW w:w="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8720" w:type="dxa"/>
            <w:vAlign w:val="bottom"/>
            <w:gridSpan w:val="26"/>
          </w:tcPr>
          <w:p>
            <w:pPr>
              <w:spacing w:after="0"/>
              <w:rPr>
                <w:sz w:val="20"/>
                <w:szCs w:val="20"/>
                <w:color w:val="auto"/>
              </w:rPr>
            </w:pPr>
            <w:r>
              <w:rPr>
                <w:rFonts w:ascii="Times New Roman" w:cs="Times New Roman" w:eastAsia="Times New Roman" w:hAnsi="Times New Roman"/>
                <w:sz w:val="14"/>
                <w:szCs w:val="14"/>
                <w:color w:val="0000FF"/>
              </w:rPr>
              <w:t>Item 3. Legal Proceedings</w:t>
            </w:r>
          </w:p>
        </w:tc>
        <w:tc>
          <w:tcPr>
            <w:tcW w:w="2540" w:type="dxa"/>
            <w:vAlign w:val="bottom"/>
            <w:gridSpan w:val="5"/>
          </w:tcPr>
          <w:p>
            <w:pPr>
              <w:jc w:val="right"/>
              <w:ind w:right="60"/>
              <w:spacing w:after="0"/>
              <w:rPr>
                <w:sz w:val="20"/>
                <w:szCs w:val="20"/>
                <w:color w:val="auto"/>
              </w:rPr>
            </w:pPr>
            <w:r>
              <w:rPr>
                <w:rFonts w:ascii="Times New Roman" w:cs="Times New Roman" w:eastAsia="Times New Roman" w:hAnsi="Times New Roman"/>
                <w:sz w:val="14"/>
                <w:szCs w:val="14"/>
                <w:color w:val="0000FF"/>
              </w:rPr>
              <w:t>43</w:t>
            </w:r>
          </w:p>
        </w:tc>
      </w:tr>
      <w:tr>
        <w:trPr>
          <w:trHeight w:val="20"/>
        </w:trPr>
        <w:tc>
          <w:tcPr>
            <w:tcW w:w="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8720" w:type="dxa"/>
            <w:vAlign w:val="bottom"/>
            <w:gridSpan w:val="26"/>
          </w:tcPr>
          <w:p>
            <w:pPr>
              <w:spacing w:after="0"/>
              <w:rPr>
                <w:sz w:val="20"/>
                <w:szCs w:val="20"/>
                <w:color w:val="auto"/>
              </w:rPr>
            </w:pPr>
            <w:r>
              <w:rPr>
                <w:rFonts w:ascii="Times New Roman" w:cs="Times New Roman" w:eastAsia="Times New Roman" w:hAnsi="Times New Roman"/>
                <w:sz w:val="14"/>
                <w:szCs w:val="14"/>
                <w:color w:val="0000FF"/>
              </w:rPr>
              <w:t>Item 4. Mine Safety Disclosures</w:t>
            </w:r>
          </w:p>
        </w:tc>
        <w:tc>
          <w:tcPr>
            <w:tcW w:w="2540" w:type="dxa"/>
            <w:vAlign w:val="bottom"/>
            <w:gridSpan w:val="5"/>
          </w:tcPr>
          <w:p>
            <w:pPr>
              <w:jc w:val="right"/>
              <w:ind w:right="60"/>
              <w:spacing w:after="0"/>
              <w:rPr>
                <w:sz w:val="20"/>
                <w:szCs w:val="20"/>
                <w:color w:val="auto"/>
              </w:rPr>
            </w:pPr>
            <w:r>
              <w:rPr>
                <w:rFonts w:ascii="Times New Roman" w:cs="Times New Roman" w:eastAsia="Times New Roman" w:hAnsi="Times New Roman"/>
                <w:sz w:val="14"/>
                <w:szCs w:val="14"/>
                <w:color w:val="0000FF"/>
              </w:rPr>
              <w:t>43</w:t>
            </w:r>
          </w:p>
        </w:tc>
      </w:tr>
      <w:tr>
        <w:trPr>
          <w:trHeight w:val="160"/>
        </w:trPr>
        <w:tc>
          <w:tcPr>
            <w:tcW w:w="20" w:type="dxa"/>
            <w:vAlign w:val="bottom"/>
          </w:tcPr>
          <w:p>
            <w:pPr>
              <w:spacing w:after="0"/>
              <w:rPr>
                <w:sz w:val="13"/>
                <w:szCs w:val="13"/>
                <w:color w:val="auto"/>
              </w:rPr>
            </w:pPr>
          </w:p>
        </w:tc>
        <w:tc>
          <w:tcPr>
            <w:tcW w:w="600" w:type="dxa"/>
            <w:vAlign w:val="bottom"/>
            <w:tcBorders>
              <w:top w:val="single" w:sz="8" w:color="0000FF"/>
            </w:tcBorders>
          </w:tcPr>
          <w:p>
            <w:pPr>
              <w:spacing w:after="0"/>
              <w:rPr>
                <w:sz w:val="13"/>
                <w:szCs w:val="13"/>
                <w:color w:val="auto"/>
              </w:rPr>
            </w:pPr>
          </w:p>
        </w:tc>
        <w:tc>
          <w:tcPr>
            <w:tcW w:w="3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8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260" w:type="dxa"/>
            <w:vAlign w:val="bottom"/>
            <w:tcBorders>
              <w:top w:val="single" w:sz="8" w:color="0000FF"/>
            </w:tcBorders>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80" w:type="dxa"/>
            <w:vAlign w:val="bottom"/>
            <w:tcBorders>
              <w:bottom w:val="single" w:sz="8" w:color="0000FF"/>
            </w:tcBorders>
            <w:gridSpan w:val="4"/>
          </w:tcPr>
          <w:p>
            <w:pPr>
              <w:jc w:val="center"/>
              <w:spacing w:after="0"/>
              <w:rPr>
                <w:sz w:val="20"/>
                <w:szCs w:val="20"/>
                <w:color w:val="auto"/>
              </w:rPr>
            </w:pPr>
            <w:r>
              <w:rPr>
                <w:rFonts w:ascii="Times New Roman" w:cs="Times New Roman" w:eastAsia="Times New Roman" w:hAnsi="Times New Roman"/>
                <w:sz w:val="14"/>
                <w:szCs w:val="14"/>
                <w:color w:val="0000FF"/>
                <w:w w:val="98"/>
              </w:rPr>
              <w:t>PART II</w:t>
            </w:r>
          </w:p>
        </w:tc>
        <w:tc>
          <w:tcPr>
            <w:tcW w:w="2880" w:type="dxa"/>
            <w:vAlign w:val="bottom"/>
            <w:gridSpan w:val="4"/>
          </w:tcPr>
          <w:p>
            <w:pPr>
              <w:spacing w:after="0"/>
              <w:rPr>
                <w:sz w:val="13"/>
                <w:szCs w:val="13"/>
                <w:color w:val="auto"/>
              </w:rPr>
            </w:pPr>
          </w:p>
        </w:tc>
        <w:tc>
          <w:tcPr>
            <w:tcW w:w="19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60" w:type="dxa"/>
            <w:vAlign w:val="bottom"/>
          </w:tcPr>
          <w:p>
            <w:pPr>
              <w:spacing w:after="0"/>
              <w:rPr>
                <w:sz w:val="13"/>
                <w:szCs w:val="13"/>
                <w:color w:val="auto"/>
              </w:rPr>
            </w:pPr>
          </w:p>
        </w:tc>
      </w:tr>
      <w:tr>
        <w:trPr>
          <w:trHeight w:val="160"/>
        </w:trPr>
        <w:tc>
          <w:tcPr>
            <w:tcW w:w="20" w:type="dxa"/>
            <w:vAlign w:val="bottom"/>
          </w:tcPr>
          <w:p>
            <w:pPr>
              <w:spacing w:after="0"/>
              <w:rPr>
                <w:sz w:val="13"/>
                <w:szCs w:val="13"/>
                <w:color w:val="auto"/>
              </w:rPr>
            </w:pPr>
          </w:p>
        </w:tc>
        <w:tc>
          <w:tcPr>
            <w:tcW w:w="6780" w:type="dxa"/>
            <w:vAlign w:val="bottom"/>
            <w:gridSpan w:val="25"/>
          </w:tcPr>
          <w:p>
            <w:pPr>
              <w:spacing w:after="0"/>
              <w:rPr>
                <w:sz w:val="20"/>
                <w:szCs w:val="20"/>
                <w:color w:val="auto"/>
              </w:rPr>
            </w:pPr>
            <w:r>
              <w:rPr>
                <w:rFonts w:ascii="Times New Roman" w:cs="Times New Roman" w:eastAsia="Times New Roman" w:hAnsi="Times New Roman"/>
                <w:sz w:val="14"/>
                <w:szCs w:val="14"/>
                <w:color w:val="0000FF"/>
              </w:rPr>
              <w:t>Item 5. Market for Registrant’s Common Equity, Related Stockholder Matters and Issuer Purchases of Equity Securities</w:t>
            </w:r>
          </w:p>
        </w:tc>
        <w:tc>
          <w:tcPr>
            <w:tcW w:w="1940" w:type="dxa"/>
            <w:vAlign w:val="bottom"/>
          </w:tcPr>
          <w:p>
            <w:pPr>
              <w:spacing w:after="0"/>
              <w:rPr>
                <w:sz w:val="13"/>
                <w:szCs w:val="13"/>
                <w:color w:val="auto"/>
              </w:rPr>
            </w:pPr>
          </w:p>
        </w:tc>
        <w:tc>
          <w:tcPr>
            <w:tcW w:w="2340" w:type="dxa"/>
            <w:vAlign w:val="bottom"/>
            <w:gridSpan w:val="3"/>
          </w:tcPr>
          <w:p>
            <w:pPr>
              <w:spacing w:after="0"/>
              <w:rPr>
                <w:sz w:val="13"/>
                <w:szCs w:val="13"/>
                <w:color w:val="auto"/>
              </w:rPr>
            </w:pPr>
          </w:p>
        </w:tc>
        <w:tc>
          <w:tcPr>
            <w:tcW w:w="2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0000FF"/>
                <w:w w:val="85"/>
              </w:rPr>
              <w:t>43</w:t>
            </w:r>
          </w:p>
        </w:tc>
      </w:tr>
      <w:tr>
        <w:trPr>
          <w:trHeight w:val="20"/>
        </w:trPr>
        <w:tc>
          <w:tcPr>
            <w:tcW w:w="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600" w:type="dxa"/>
            <w:vAlign w:val="bottom"/>
            <w:tcBorders>
              <w:left w:val="single" w:sz="8" w:color="0000FF"/>
            </w:tcBorders>
            <w:gridSpan w:val="4"/>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86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60" w:type="dxa"/>
            <w:vAlign w:val="bottom"/>
            <w:gridSpan w:val="3"/>
            <w:shd w:val="clear" w:color="auto" w:fill="0000FF"/>
          </w:tcPr>
          <w:p>
            <w:pPr>
              <w:spacing w:after="0" w:line="20" w:lineRule="exact"/>
              <w:rPr>
                <w:sz w:val="1"/>
                <w:szCs w:val="1"/>
                <w:color w:val="auto"/>
              </w:rPr>
            </w:pPr>
          </w:p>
        </w:tc>
        <w:tc>
          <w:tcPr>
            <w:tcW w:w="360" w:type="dxa"/>
            <w:vAlign w:val="bottom"/>
            <w:tcBorders>
              <w:left w:val="single" w:sz="8" w:color="0000FF"/>
            </w:tcBorders>
            <w:gridSpan w:val="3"/>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340" w:type="dxa"/>
            <w:vAlign w:val="bottom"/>
            <w:gridSpan w:val="3"/>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6780" w:type="dxa"/>
            <w:vAlign w:val="bottom"/>
            <w:gridSpan w:val="25"/>
          </w:tcPr>
          <w:p>
            <w:pPr>
              <w:spacing w:after="0"/>
              <w:rPr>
                <w:sz w:val="20"/>
                <w:szCs w:val="20"/>
                <w:color w:val="auto"/>
              </w:rPr>
            </w:pPr>
            <w:r>
              <w:rPr>
                <w:rFonts w:ascii="Times New Roman" w:cs="Times New Roman" w:eastAsia="Times New Roman" w:hAnsi="Times New Roman"/>
                <w:sz w:val="14"/>
                <w:szCs w:val="14"/>
                <w:color w:val="0000FF"/>
              </w:rPr>
              <w:t>Item 6. Reserved</w:t>
            </w:r>
          </w:p>
        </w:tc>
        <w:tc>
          <w:tcPr>
            <w:tcW w:w="1940" w:type="dxa"/>
            <w:vAlign w:val="bottom"/>
          </w:tcPr>
          <w:p>
            <w:pPr>
              <w:spacing w:after="0"/>
              <w:rPr>
                <w:sz w:val="13"/>
                <w:szCs w:val="13"/>
                <w:color w:val="auto"/>
              </w:rPr>
            </w:pPr>
          </w:p>
        </w:tc>
        <w:tc>
          <w:tcPr>
            <w:tcW w:w="2340" w:type="dxa"/>
            <w:vAlign w:val="bottom"/>
            <w:gridSpan w:val="3"/>
          </w:tcPr>
          <w:p>
            <w:pPr>
              <w:spacing w:after="0"/>
              <w:rPr>
                <w:sz w:val="13"/>
                <w:szCs w:val="13"/>
                <w:color w:val="auto"/>
              </w:rPr>
            </w:pPr>
          </w:p>
        </w:tc>
        <w:tc>
          <w:tcPr>
            <w:tcW w:w="2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0000FF"/>
                <w:w w:val="85"/>
              </w:rPr>
              <w:t>44</w:t>
            </w:r>
          </w:p>
        </w:tc>
      </w:tr>
      <w:tr>
        <w:trPr>
          <w:trHeight w:val="20"/>
        </w:trPr>
        <w:tc>
          <w:tcPr>
            <w:tcW w:w="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600" w:type="dxa"/>
            <w:vAlign w:val="bottom"/>
            <w:gridSpan w:val="4"/>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80" w:type="dxa"/>
            <w:vAlign w:val="bottom"/>
            <w:gridSpan w:val="2"/>
          </w:tcPr>
          <w:p>
            <w:pPr>
              <w:spacing w:after="0" w:line="20" w:lineRule="exact"/>
              <w:rPr>
                <w:sz w:val="1"/>
                <w:szCs w:val="1"/>
                <w:color w:val="auto"/>
              </w:rPr>
            </w:pPr>
          </w:p>
        </w:tc>
        <w:tc>
          <w:tcPr>
            <w:tcW w:w="2340" w:type="dxa"/>
            <w:vAlign w:val="bottom"/>
            <w:gridSpan w:val="3"/>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8720" w:type="dxa"/>
            <w:vAlign w:val="bottom"/>
            <w:gridSpan w:val="26"/>
          </w:tcPr>
          <w:p>
            <w:pPr>
              <w:spacing w:after="0"/>
              <w:rPr>
                <w:sz w:val="20"/>
                <w:szCs w:val="20"/>
                <w:color w:val="auto"/>
              </w:rPr>
            </w:pPr>
            <w:r>
              <w:rPr>
                <w:rFonts w:ascii="Times New Roman" w:cs="Times New Roman" w:eastAsia="Times New Roman" w:hAnsi="Times New Roman"/>
                <w:sz w:val="14"/>
                <w:szCs w:val="14"/>
                <w:color w:val="0000FF"/>
              </w:rPr>
              <w:t>Item 7. Management’s Discussion and Analysis of Financial Condition and Results of Operations</w:t>
            </w:r>
          </w:p>
        </w:tc>
        <w:tc>
          <w:tcPr>
            <w:tcW w:w="2540" w:type="dxa"/>
            <w:vAlign w:val="bottom"/>
            <w:gridSpan w:val="5"/>
          </w:tcPr>
          <w:p>
            <w:pPr>
              <w:jc w:val="right"/>
              <w:ind w:right="60"/>
              <w:spacing w:after="0"/>
              <w:rPr>
                <w:sz w:val="20"/>
                <w:szCs w:val="20"/>
                <w:color w:val="auto"/>
              </w:rPr>
            </w:pPr>
            <w:r>
              <w:rPr>
                <w:rFonts w:ascii="Times New Roman" w:cs="Times New Roman" w:eastAsia="Times New Roman" w:hAnsi="Times New Roman"/>
                <w:sz w:val="14"/>
                <w:szCs w:val="14"/>
                <w:color w:val="0000FF"/>
              </w:rPr>
              <w:t>44</w:t>
            </w:r>
          </w:p>
        </w:tc>
      </w:tr>
      <w:tr>
        <w:trPr>
          <w:trHeight w:val="20"/>
        </w:trPr>
        <w:tc>
          <w:tcPr>
            <w:tcW w:w="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5500" w:type="dxa"/>
            <w:vAlign w:val="bottom"/>
            <w:gridSpan w:val="20"/>
          </w:tcPr>
          <w:p>
            <w:pPr>
              <w:spacing w:after="0"/>
              <w:rPr>
                <w:sz w:val="20"/>
                <w:szCs w:val="20"/>
                <w:color w:val="auto"/>
              </w:rPr>
            </w:pPr>
            <w:r>
              <w:rPr>
                <w:rFonts w:ascii="Times New Roman" w:cs="Times New Roman" w:eastAsia="Times New Roman" w:hAnsi="Times New Roman"/>
                <w:sz w:val="14"/>
                <w:szCs w:val="14"/>
                <w:color w:val="0000FF"/>
              </w:rPr>
              <w:t>Item 7A. Quantitative and Qualitative Disclosures About Market Risk</w:t>
            </w:r>
          </w:p>
        </w:tc>
        <w:tc>
          <w:tcPr>
            <w:tcW w:w="3220" w:type="dxa"/>
            <w:vAlign w:val="bottom"/>
            <w:gridSpan w:val="6"/>
          </w:tcPr>
          <w:p>
            <w:pPr>
              <w:spacing w:after="0"/>
              <w:rPr>
                <w:sz w:val="13"/>
                <w:szCs w:val="13"/>
                <w:color w:val="auto"/>
              </w:rPr>
            </w:pPr>
          </w:p>
        </w:tc>
        <w:tc>
          <w:tcPr>
            <w:tcW w:w="2340" w:type="dxa"/>
            <w:vAlign w:val="bottom"/>
            <w:gridSpan w:val="3"/>
          </w:tcPr>
          <w:p>
            <w:pPr>
              <w:spacing w:after="0"/>
              <w:rPr>
                <w:sz w:val="13"/>
                <w:szCs w:val="13"/>
                <w:color w:val="auto"/>
              </w:rPr>
            </w:pPr>
          </w:p>
        </w:tc>
        <w:tc>
          <w:tcPr>
            <w:tcW w:w="2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0000FF"/>
                <w:w w:val="85"/>
              </w:rPr>
              <w:t>54</w:t>
            </w:r>
          </w:p>
        </w:tc>
      </w:tr>
      <w:tr>
        <w:trPr>
          <w:trHeight w:val="20"/>
        </w:trPr>
        <w:tc>
          <w:tcPr>
            <w:tcW w:w="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960" w:type="dxa"/>
            <w:vAlign w:val="bottom"/>
            <w:gridSpan w:val="6"/>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86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80" w:type="dxa"/>
            <w:vAlign w:val="bottom"/>
            <w:gridSpan w:val="2"/>
          </w:tcPr>
          <w:p>
            <w:pPr>
              <w:spacing w:after="0" w:line="20" w:lineRule="exact"/>
              <w:rPr>
                <w:sz w:val="1"/>
                <w:szCs w:val="1"/>
                <w:color w:val="auto"/>
              </w:rPr>
            </w:pPr>
          </w:p>
        </w:tc>
        <w:tc>
          <w:tcPr>
            <w:tcW w:w="2340" w:type="dxa"/>
            <w:vAlign w:val="bottom"/>
            <w:gridSpan w:val="3"/>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3060" w:type="dxa"/>
            <w:vAlign w:val="bottom"/>
            <w:gridSpan w:val="12"/>
          </w:tcPr>
          <w:p>
            <w:pPr>
              <w:spacing w:after="0"/>
              <w:rPr>
                <w:sz w:val="20"/>
                <w:szCs w:val="20"/>
                <w:color w:val="auto"/>
              </w:rPr>
            </w:pPr>
            <w:r>
              <w:rPr>
                <w:rFonts w:ascii="Times New Roman" w:cs="Times New Roman" w:eastAsia="Times New Roman" w:hAnsi="Times New Roman"/>
                <w:sz w:val="14"/>
                <w:szCs w:val="14"/>
                <w:color w:val="0000FF"/>
              </w:rPr>
              <w:t>Item 8. Financial Statements and Supplementary Data</w:t>
            </w:r>
          </w:p>
        </w:tc>
        <w:tc>
          <w:tcPr>
            <w:tcW w:w="900" w:type="dxa"/>
            <w:vAlign w:val="bottom"/>
            <w:gridSpan w:val="2"/>
          </w:tcPr>
          <w:p>
            <w:pPr>
              <w:spacing w:after="0"/>
              <w:rPr>
                <w:sz w:val="13"/>
                <w:szCs w:val="13"/>
                <w:color w:val="auto"/>
              </w:rPr>
            </w:pPr>
          </w:p>
        </w:tc>
        <w:tc>
          <w:tcPr>
            <w:tcW w:w="4760" w:type="dxa"/>
            <w:vAlign w:val="bottom"/>
            <w:gridSpan w:val="12"/>
          </w:tcPr>
          <w:p>
            <w:pPr>
              <w:spacing w:after="0"/>
              <w:rPr>
                <w:sz w:val="13"/>
                <w:szCs w:val="13"/>
                <w:color w:val="auto"/>
              </w:rPr>
            </w:pPr>
          </w:p>
        </w:tc>
        <w:tc>
          <w:tcPr>
            <w:tcW w:w="2340" w:type="dxa"/>
            <w:vAlign w:val="bottom"/>
            <w:gridSpan w:val="3"/>
          </w:tcPr>
          <w:p>
            <w:pPr>
              <w:spacing w:after="0"/>
              <w:rPr>
                <w:sz w:val="13"/>
                <w:szCs w:val="13"/>
                <w:color w:val="auto"/>
              </w:rPr>
            </w:pPr>
          </w:p>
        </w:tc>
        <w:tc>
          <w:tcPr>
            <w:tcW w:w="2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0000FF"/>
                <w:w w:val="85"/>
              </w:rPr>
              <w:t>54</w:t>
            </w:r>
          </w:p>
        </w:tc>
      </w:tr>
      <w:tr>
        <w:trPr>
          <w:trHeight w:val="20"/>
        </w:trPr>
        <w:tc>
          <w:tcPr>
            <w:tcW w:w="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960" w:type="dxa"/>
            <w:vAlign w:val="bottom"/>
            <w:gridSpan w:val="6"/>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86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80" w:type="dxa"/>
            <w:vAlign w:val="bottom"/>
            <w:gridSpan w:val="2"/>
          </w:tcPr>
          <w:p>
            <w:pPr>
              <w:spacing w:after="0" w:line="20" w:lineRule="exact"/>
              <w:rPr>
                <w:sz w:val="1"/>
                <w:szCs w:val="1"/>
                <w:color w:val="auto"/>
              </w:rPr>
            </w:pPr>
          </w:p>
        </w:tc>
        <w:tc>
          <w:tcPr>
            <w:tcW w:w="2340" w:type="dxa"/>
            <w:vAlign w:val="bottom"/>
            <w:gridSpan w:val="3"/>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8720" w:type="dxa"/>
            <w:vAlign w:val="bottom"/>
            <w:gridSpan w:val="26"/>
          </w:tcPr>
          <w:p>
            <w:pPr>
              <w:spacing w:after="0"/>
              <w:rPr>
                <w:sz w:val="20"/>
                <w:szCs w:val="20"/>
                <w:color w:val="auto"/>
              </w:rPr>
            </w:pPr>
            <w:r>
              <w:rPr>
                <w:rFonts w:ascii="Times New Roman" w:cs="Times New Roman" w:eastAsia="Times New Roman" w:hAnsi="Times New Roman"/>
                <w:sz w:val="14"/>
                <w:szCs w:val="14"/>
                <w:color w:val="0000FF"/>
              </w:rPr>
              <w:t>Item 9. Changes in and Disagreements with Accountants on Accounting and Financial Disclosure</w:t>
            </w:r>
          </w:p>
        </w:tc>
        <w:tc>
          <w:tcPr>
            <w:tcW w:w="2540" w:type="dxa"/>
            <w:vAlign w:val="bottom"/>
            <w:gridSpan w:val="5"/>
          </w:tcPr>
          <w:p>
            <w:pPr>
              <w:jc w:val="right"/>
              <w:ind w:right="60"/>
              <w:spacing w:after="0"/>
              <w:rPr>
                <w:sz w:val="20"/>
                <w:szCs w:val="20"/>
                <w:color w:val="auto"/>
              </w:rPr>
            </w:pPr>
            <w:r>
              <w:rPr>
                <w:rFonts w:ascii="Times New Roman" w:cs="Times New Roman" w:eastAsia="Times New Roman" w:hAnsi="Times New Roman"/>
                <w:sz w:val="14"/>
                <w:szCs w:val="14"/>
                <w:color w:val="0000FF"/>
              </w:rPr>
              <w:t>54</w:t>
            </w:r>
          </w:p>
        </w:tc>
      </w:tr>
      <w:tr>
        <w:trPr>
          <w:trHeight w:val="20"/>
        </w:trPr>
        <w:tc>
          <w:tcPr>
            <w:tcW w:w="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1920" w:type="dxa"/>
            <w:vAlign w:val="bottom"/>
            <w:gridSpan w:val="9"/>
          </w:tcPr>
          <w:p>
            <w:pPr>
              <w:spacing w:after="0"/>
              <w:rPr>
                <w:sz w:val="20"/>
                <w:szCs w:val="20"/>
                <w:color w:val="auto"/>
              </w:rPr>
            </w:pPr>
            <w:r>
              <w:rPr>
                <w:rFonts w:ascii="Times New Roman" w:cs="Times New Roman" w:eastAsia="Times New Roman" w:hAnsi="Times New Roman"/>
                <w:sz w:val="14"/>
                <w:szCs w:val="14"/>
                <w:color w:val="0000FF"/>
                <w:w w:val="98"/>
              </w:rPr>
              <w:t>Item 9A. Controls and Procedures</w:t>
            </w:r>
          </w:p>
        </w:tc>
        <w:tc>
          <w:tcPr>
            <w:tcW w:w="3580" w:type="dxa"/>
            <w:vAlign w:val="bottom"/>
            <w:gridSpan w:val="11"/>
          </w:tcPr>
          <w:p>
            <w:pPr>
              <w:spacing w:after="0"/>
              <w:rPr>
                <w:sz w:val="13"/>
                <w:szCs w:val="13"/>
                <w:color w:val="auto"/>
              </w:rPr>
            </w:pPr>
          </w:p>
        </w:tc>
        <w:tc>
          <w:tcPr>
            <w:tcW w:w="3220" w:type="dxa"/>
            <w:vAlign w:val="bottom"/>
            <w:gridSpan w:val="6"/>
          </w:tcPr>
          <w:p>
            <w:pPr>
              <w:spacing w:after="0"/>
              <w:rPr>
                <w:sz w:val="13"/>
                <w:szCs w:val="13"/>
                <w:color w:val="auto"/>
              </w:rPr>
            </w:pPr>
          </w:p>
        </w:tc>
        <w:tc>
          <w:tcPr>
            <w:tcW w:w="2340" w:type="dxa"/>
            <w:vAlign w:val="bottom"/>
            <w:gridSpan w:val="3"/>
          </w:tcPr>
          <w:p>
            <w:pPr>
              <w:spacing w:after="0"/>
              <w:rPr>
                <w:sz w:val="13"/>
                <w:szCs w:val="13"/>
                <w:color w:val="auto"/>
              </w:rPr>
            </w:pPr>
          </w:p>
        </w:tc>
        <w:tc>
          <w:tcPr>
            <w:tcW w:w="2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0000FF"/>
                <w:w w:val="85"/>
              </w:rPr>
              <w:t>54</w:t>
            </w:r>
          </w:p>
        </w:tc>
      </w:tr>
      <w:tr>
        <w:trPr>
          <w:trHeight w:val="20"/>
        </w:trPr>
        <w:tc>
          <w:tcPr>
            <w:tcW w:w="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960" w:type="dxa"/>
            <w:vAlign w:val="bottom"/>
            <w:gridSpan w:val="6"/>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860" w:type="dxa"/>
            <w:vAlign w:val="bottom"/>
            <w:tcBorders>
              <w:left w:val="single" w:sz="8" w:color="0000FF"/>
            </w:tcBorders>
            <w:gridSpan w:val="2"/>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20" w:type="dxa"/>
            <w:vAlign w:val="bottom"/>
            <w:gridSpan w:val="6"/>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80" w:type="dxa"/>
            <w:vAlign w:val="bottom"/>
            <w:gridSpan w:val="2"/>
          </w:tcPr>
          <w:p>
            <w:pPr>
              <w:spacing w:after="0" w:line="20" w:lineRule="exact"/>
              <w:rPr>
                <w:sz w:val="1"/>
                <w:szCs w:val="1"/>
                <w:color w:val="auto"/>
              </w:rPr>
            </w:pPr>
          </w:p>
        </w:tc>
        <w:tc>
          <w:tcPr>
            <w:tcW w:w="2340" w:type="dxa"/>
            <w:vAlign w:val="bottom"/>
            <w:gridSpan w:val="3"/>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1920" w:type="dxa"/>
            <w:vAlign w:val="bottom"/>
            <w:gridSpan w:val="9"/>
          </w:tcPr>
          <w:p>
            <w:pPr>
              <w:spacing w:after="0"/>
              <w:rPr>
                <w:sz w:val="20"/>
                <w:szCs w:val="20"/>
                <w:color w:val="auto"/>
              </w:rPr>
            </w:pPr>
            <w:r>
              <w:rPr>
                <w:rFonts w:ascii="Times New Roman" w:cs="Times New Roman" w:eastAsia="Times New Roman" w:hAnsi="Times New Roman"/>
                <w:sz w:val="14"/>
                <w:szCs w:val="14"/>
                <w:color w:val="0000FF"/>
              </w:rPr>
              <w:t>Item 9B. Other Information</w:t>
            </w:r>
          </w:p>
        </w:tc>
        <w:tc>
          <w:tcPr>
            <w:tcW w:w="6800" w:type="dxa"/>
            <w:vAlign w:val="bottom"/>
            <w:gridSpan w:val="17"/>
          </w:tcPr>
          <w:p>
            <w:pPr>
              <w:spacing w:after="0"/>
              <w:rPr>
                <w:sz w:val="13"/>
                <w:szCs w:val="13"/>
                <w:color w:val="auto"/>
              </w:rPr>
            </w:pPr>
          </w:p>
        </w:tc>
        <w:tc>
          <w:tcPr>
            <w:tcW w:w="2340" w:type="dxa"/>
            <w:vAlign w:val="bottom"/>
            <w:gridSpan w:val="3"/>
          </w:tcPr>
          <w:p>
            <w:pPr>
              <w:spacing w:after="0"/>
              <w:rPr>
                <w:sz w:val="13"/>
                <w:szCs w:val="13"/>
                <w:color w:val="auto"/>
              </w:rPr>
            </w:pPr>
          </w:p>
        </w:tc>
        <w:tc>
          <w:tcPr>
            <w:tcW w:w="2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0000FF"/>
                <w:w w:val="85"/>
              </w:rPr>
              <w:t>55</w:t>
            </w:r>
          </w:p>
        </w:tc>
      </w:tr>
      <w:tr>
        <w:trPr>
          <w:trHeight w:val="20"/>
        </w:trPr>
        <w:tc>
          <w:tcPr>
            <w:tcW w:w="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960" w:type="dxa"/>
            <w:vAlign w:val="bottom"/>
            <w:gridSpan w:val="6"/>
            <w:shd w:val="clear" w:color="auto" w:fill="0000FF"/>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20" w:type="dxa"/>
            <w:vAlign w:val="bottom"/>
            <w:gridSpan w:val="6"/>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80" w:type="dxa"/>
            <w:vAlign w:val="bottom"/>
            <w:gridSpan w:val="2"/>
          </w:tcPr>
          <w:p>
            <w:pPr>
              <w:spacing w:after="0" w:line="20" w:lineRule="exact"/>
              <w:rPr>
                <w:sz w:val="1"/>
                <w:szCs w:val="1"/>
                <w:color w:val="auto"/>
              </w:rPr>
            </w:pPr>
          </w:p>
        </w:tc>
        <w:tc>
          <w:tcPr>
            <w:tcW w:w="2340" w:type="dxa"/>
            <w:vAlign w:val="bottom"/>
            <w:gridSpan w:val="3"/>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8720" w:type="dxa"/>
            <w:vAlign w:val="bottom"/>
            <w:gridSpan w:val="26"/>
          </w:tcPr>
          <w:p>
            <w:pPr>
              <w:spacing w:after="0"/>
              <w:rPr>
                <w:sz w:val="20"/>
                <w:szCs w:val="20"/>
                <w:color w:val="auto"/>
              </w:rPr>
            </w:pPr>
            <w:r>
              <w:rPr>
                <w:rFonts w:ascii="Times New Roman" w:cs="Times New Roman" w:eastAsia="Times New Roman" w:hAnsi="Times New Roman"/>
                <w:sz w:val="14"/>
                <w:szCs w:val="14"/>
                <w:color w:val="0000FF"/>
              </w:rPr>
              <w:t>Item 9C. Disclosure Regarding Foreign Jurisdictions that Prevent Inspections</w:t>
            </w:r>
          </w:p>
        </w:tc>
        <w:tc>
          <w:tcPr>
            <w:tcW w:w="2540" w:type="dxa"/>
            <w:vAlign w:val="bottom"/>
            <w:gridSpan w:val="5"/>
          </w:tcPr>
          <w:p>
            <w:pPr>
              <w:jc w:val="right"/>
              <w:ind w:right="60"/>
              <w:spacing w:after="0"/>
              <w:rPr>
                <w:sz w:val="20"/>
                <w:szCs w:val="20"/>
                <w:color w:val="auto"/>
              </w:rPr>
            </w:pPr>
            <w:r>
              <w:rPr>
                <w:rFonts w:ascii="Times New Roman" w:cs="Times New Roman" w:eastAsia="Times New Roman" w:hAnsi="Times New Roman"/>
                <w:sz w:val="14"/>
                <w:szCs w:val="14"/>
                <w:color w:val="0000FF"/>
              </w:rPr>
              <w:t>55</w:t>
            </w:r>
          </w:p>
        </w:tc>
      </w:tr>
      <w:tr>
        <w:trPr>
          <w:trHeight w:val="160"/>
        </w:trPr>
        <w:tc>
          <w:tcPr>
            <w:tcW w:w="20" w:type="dxa"/>
            <w:vAlign w:val="bottom"/>
          </w:tcPr>
          <w:p>
            <w:pPr>
              <w:spacing w:after="0"/>
              <w:rPr>
                <w:sz w:val="13"/>
                <w:szCs w:val="13"/>
                <w:color w:val="auto"/>
              </w:rPr>
            </w:pPr>
          </w:p>
        </w:tc>
        <w:tc>
          <w:tcPr>
            <w:tcW w:w="600" w:type="dxa"/>
            <w:vAlign w:val="bottom"/>
            <w:tcBorders>
              <w:top w:val="single" w:sz="8" w:color="0000FF"/>
            </w:tcBorders>
          </w:tcPr>
          <w:p>
            <w:pPr>
              <w:spacing w:after="0"/>
              <w:rPr>
                <w:sz w:val="13"/>
                <w:szCs w:val="13"/>
                <w:color w:val="auto"/>
              </w:rPr>
            </w:pPr>
          </w:p>
        </w:tc>
        <w:tc>
          <w:tcPr>
            <w:tcW w:w="3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8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26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640" w:type="dxa"/>
            <w:vAlign w:val="bottom"/>
            <w:tcBorders>
              <w:top w:val="single" w:sz="8" w:color="0000FF"/>
            </w:tcBorders>
          </w:tcPr>
          <w:p>
            <w:pPr>
              <w:spacing w:after="0"/>
              <w:rPr>
                <w:sz w:val="13"/>
                <w:szCs w:val="13"/>
                <w:color w:val="auto"/>
              </w:rPr>
            </w:pPr>
          </w:p>
        </w:tc>
        <w:tc>
          <w:tcPr>
            <w:tcW w:w="280" w:type="dxa"/>
            <w:vAlign w:val="bottom"/>
            <w:tcBorders>
              <w:top w:val="single" w:sz="8" w:color="0000FF"/>
            </w:tcBorders>
          </w:tcPr>
          <w:p>
            <w:pPr>
              <w:spacing w:after="0"/>
              <w:rPr>
                <w:sz w:val="13"/>
                <w:szCs w:val="13"/>
                <w:color w:val="auto"/>
              </w:rPr>
            </w:pPr>
          </w:p>
        </w:tc>
        <w:tc>
          <w:tcPr>
            <w:tcW w:w="660" w:type="dxa"/>
            <w:vAlign w:val="bottom"/>
            <w:tcBorders>
              <w:top w:val="single" w:sz="8" w:color="0000FF"/>
            </w:tcBorders>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420" w:type="dxa"/>
            <w:vAlign w:val="bottom"/>
            <w:tcBorders>
              <w:top w:val="single" w:sz="8" w:color="0000FF"/>
            </w:tcBorders>
          </w:tcPr>
          <w:p>
            <w:pPr>
              <w:spacing w:after="0"/>
              <w:rPr>
                <w:sz w:val="13"/>
                <w:szCs w:val="13"/>
                <w:color w:val="auto"/>
              </w:rPr>
            </w:pPr>
          </w:p>
        </w:tc>
        <w:tc>
          <w:tcPr>
            <w:tcW w:w="4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380" w:type="dxa"/>
            <w:vAlign w:val="bottom"/>
            <w:gridSpan w:val="9"/>
          </w:tcPr>
          <w:p>
            <w:pPr>
              <w:jc w:val="center"/>
              <w:ind w:right="2860"/>
              <w:spacing w:after="0"/>
              <w:rPr>
                <w:sz w:val="20"/>
                <w:szCs w:val="20"/>
                <w:color w:val="auto"/>
              </w:rPr>
            </w:pPr>
            <w:r>
              <w:rPr>
                <w:rFonts w:ascii="Times New Roman" w:cs="Times New Roman" w:eastAsia="Times New Roman" w:hAnsi="Times New Roman"/>
                <w:sz w:val="14"/>
                <w:szCs w:val="14"/>
                <w:color w:val="0000FF"/>
                <w:w w:val="97"/>
              </w:rPr>
              <w:t>PART III</w:t>
            </w:r>
          </w:p>
        </w:tc>
        <w:tc>
          <w:tcPr>
            <w:tcW w:w="19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60" w:type="dxa"/>
            <w:vAlign w:val="bottom"/>
          </w:tcPr>
          <w:p>
            <w:pPr>
              <w:spacing w:after="0"/>
              <w:rPr>
                <w:sz w:val="13"/>
                <w:szCs w:val="13"/>
                <w:color w:val="auto"/>
              </w:rPr>
            </w:pPr>
          </w:p>
        </w:tc>
      </w:tr>
      <w:tr>
        <w:trPr>
          <w:trHeight w:val="160"/>
        </w:trPr>
        <w:tc>
          <w:tcPr>
            <w:tcW w:w="20" w:type="dxa"/>
            <w:vAlign w:val="bottom"/>
          </w:tcPr>
          <w:p>
            <w:pPr>
              <w:spacing w:after="0"/>
              <w:rPr>
                <w:sz w:val="13"/>
                <w:szCs w:val="13"/>
                <w:color w:val="auto"/>
              </w:rPr>
            </w:pPr>
          </w:p>
        </w:tc>
        <w:tc>
          <w:tcPr>
            <w:tcW w:w="5340" w:type="dxa"/>
            <w:vAlign w:val="bottom"/>
            <w:gridSpan w:val="17"/>
          </w:tcPr>
          <w:p>
            <w:pPr>
              <w:spacing w:after="0"/>
              <w:rPr>
                <w:sz w:val="20"/>
                <w:szCs w:val="20"/>
                <w:color w:val="auto"/>
              </w:rPr>
            </w:pPr>
            <w:r>
              <w:rPr>
                <w:rFonts w:ascii="Times New Roman" w:cs="Times New Roman" w:eastAsia="Times New Roman" w:hAnsi="Times New Roman"/>
                <w:sz w:val="14"/>
                <w:szCs w:val="14"/>
                <w:color w:val="0000FF"/>
              </w:rPr>
              <w:t>Item 10. Directors, Executive Officers and Corporate Governance</w:t>
            </w:r>
          </w:p>
        </w:tc>
        <w:tc>
          <w:tcPr>
            <w:tcW w:w="520" w:type="dxa"/>
            <w:vAlign w:val="bottom"/>
            <w:tcBorders>
              <w:top w:val="single" w:sz="8" w:color="0000FF"/>
            </w:tcBorders>
            <w:gridSpan w:val="6"/>
          </w:tcPr>
          <w:p>
            <w:pPr>
              <w:spacing w:after="0"/>
              <w:rPr>
                <w:sz w:val="13"/>
                <w:szCs w:val="13"/>
                <w:color w:val="auto"/>
              </w:rPr>
            </w:pPr>
          </w:p>
        </w:tc>
        <w:tc>
          <w:tcPr>
            <w:tcW w:w="2860" w:type="dxa"/>
            <w:vAlign w:val="bottom"/>
            <w:gridSpan w:val="3"/>
          </w:tcPr>
          <w:p>
            <w:pPr>
              <w:spacing w:after="0"/>
              <w:rPr>
                <w:sz w:val="13"/>
                <w:szCs w:val="13"/>
                <w:color w:val="auto"/>
              </w:rPr>
            </w:pPr>
          </w:p>
        </w:tc>
        <w:tc>
          <w:tcPr>
            <w:tcW w:w="2540" w:type="dxa"/>
            <w:vAlign w:val="bottom"/>
            <w:gridSpan w:val="5"/>
          </w:tcPr>
          <w:p>
            <w:pPr>
              <w:jc w:val="right"/>
              <w:ind w:right="60"/>
              <w:spacing w:after="0"/>
              <w:rPr>
                <w:sz w:val="20"/>
                <w:szCs w:val="20"/>
                <w:color w:val="auto"/>
              </w:rPr>
            </w:pPr>
            <w:r>
              <w:rPr>
                <w:rFonts w:ascii="Times New Roman" w:cs="Times New Roman" w:eastAsia="Times New Roman" w:hAnsi="Times New Roman"/>
                <w:sz w:val="14"/>
                <w:szCs w:val="14"/>
                <w:color w:val="0000FF"/>
              </w:rPr>
              <w:t>55</w:t>
            </w:r>
          </w:p>
        </w:tc>
      </w:tr>
      <w:tr>
        <w:trPr>
          <w:trHeight w:val="20"/>
        </w:trPr>
        <w:tc>
          <w:tcPr>
            <w:tcW w:w="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1920" w:type="dxa"/>
            <w:vAlign w:val="bottom"/>
            <w:gridSpan w:val="9"/>
          </w:tcPr>
          <w:p>
            <w:pPr>
              <w:spacing w:after="0"/>
              <w:rPr>
                <w:sz w:val="20"/>
                <w:szCs w:val="20"/>
                <w:color w:val="auto"/>
              </w:rPr>
            </w:pPr>
            <w:r>
              <w:rPr>
                <w:rFonts w:ascii="Times New Roman" w:cs="Times New Roman" w:eastAsia="Times New Roman" w:hAnsi="Times New Roman"/>
                <w:sz w:val="14"/>
                <w:szCs w:val="14"/>
                <w:color w:val="0000FF"/>
                <w:w w:val="98"/>
              </w:rPr>
              <w:t>Item 11. Executive Compensation</w:t>
            </w:r>
          </w:p>
        </w:tc>
        <w:tc>
          <w:tcPr>
            <w:tcW w:w="1800" w:type="dxa"/>
            <w:vAlign w:val="bottom"/>
            <w:gridSpan w:val="4"/>
          </w:tcPr>
          <w:p>
            <w:pPr>
              <w:spacing w:after="0"/>
              <w:rPr>
                <w:sz w:val="13"/>
                <w:szCs w:val="13"/>
                <w:color w:val="auto"/>
              </w:rPr>
            </w:pPr>
          </w:p>
        </w:tc>
        <w:tc>
          <w:tcPr>
            <w:tcW w:w="5000" w:type="dxa"/>
            <w:vAlign w:val="bottom"/>
            <w:gridSpan w:val="13"/>
          </w:tcPr>
          <w:p>
            <w:pPr>
              <w:spacing w:after="0"/>
              <w:rPr>
                <w:sz w:val="13"/>
                <w:szCs w:val="13"/>
                <w:color w:val="auto"/>
              </w:rPr>
            </w:pPr>
          </w:p>
        </w:tc>
        <w:tc>
          <w:tcPr>
            <w:tcW w:w="2340" w:type="dxa"/>
            <w:vAlign w:val="bottom"/>
            <w:gridSpan w:val="3"/>
          </w:tcPr>
          <w:p>
            <w:pPr>
              <w:spacing w:after="0"/>
              <w:rPr>
                <w:sz w:val="13"/>
                <w:szCs w:val="13"/>
                <w:color w:val="auto"/>
              </w:rPr>
            </w:pPr>
          </w:p>
        </w:tc>
        <w:tc>
          <w:tcPr>
            <w:tcW w:w="2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0000FF"/>
                <w:w w:val="85"/>
              </w:rPr>
              <w:t>55</w:t>
            </w:r>
          </w:p>
        </w:tc>
      </w:tr>
      <w:tr>
        <w:trPr>
          <w:trHeight w:val="20"/>
        </w:trPr>
        <w:tc>
          <w:tcPr>
            <w:tcW w:w="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320" w:type="dxa"/>
            <w:vAlign w:val="bottom"/>
            <w:gridSpan w:val="8"/>
            <w:shd w:val="clear" w:color="auto" w:fill="0000FF"/>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2000" w:type="dxa"/>
            <w:vAlign w:val="bottom"/>
            <w:gridSpan w:val="5"/>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20" w:type="dxa"/>
            <w:vAlign w:val="bottom"/>
            <w:gridSpan w:val="6"/>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80" w:type="dxa"/>
            <w:vAlign w:val="bottom"/>
            <w:gridSpan w:val="2"/>
          </w:tcPr>
          <w:p>
            <w:pPr>
              <w:spacing w:after="0" w:line="20" w:lineRule="exact"/>
              <w:rPr>
                <w:sz w:val="1"/>
                <w:szCs w:val="1"/>
                <w:color w:val="auto"/>
              </w:rPr>
            </w:pPr>
          </w:p>
        </w:tc>
        <w:tc>
          <w:tcPr>
            <w:tcW w:w="2340" w:type="dxa"/>
            <w:vAlign w:val="bottom"/>
            <w:gridSpan w:val="3"/>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6240" w:type="dxa"/>
            <w:vAlign w:val="bottom"/>
            <w:gridSpan w:val="24"/>
          </w:tcPr>
          <w:p>
            <w:pPr>
              <w:spacing w:after="0"/>
              <w:rPr>
                <w:sz w:val="20"/>
                <w:szCs w:val="20"/>
                <w:color w:val="auto"/>
              </w:rPr>
            </w:pPr>
            <w:r>
              <w:rPr>
                <w:rFonts w:ascii="Times New Roman" w:cs="Times New Roman" w:eastAsia="Times New Roman" w:hAnsi="Times New Roman"/>
                <w:sz w:val="14"/>
                <w:szCs w:val="14"/>
                <w:color w:val="0000FF"/>
              </w:rPr>
              <w:t>Item 12. Security Ownership of Certain Beneficial Owners and Management and Related Stockholder Matters</w:t>
            </w:r>
          </w:p>
        </w:tc>
        <w:tc>
          <w:tcPr>
            <w:tcW w:w="2480" w:type="dxa"/>
            <w:vAlign w:val="bottom"/>
            <w:gridSpan w:val="2"/>
          </w:tcPr>
          <w:p>
            <w:pPr>
              <w:spacing w:after="0"/>
              <w:rPr>
                <w:sz w:val="13"/>
                <w:szCs w:val="13"/>
                <w:color w:val="auto"/>
              </w:rPr>
            </w:pPr>
          </w:p>
        </w:tc>
        <w:tc>
          <w:tcPr>
            <w:tcW w:w="2340" w:type="dxa"/>
            <w:vAlign w:val="bottom"/>
            <w:gridSpan w:val="3"/>
          </w:tcPr>
          <w:p>
            <w:pPr>
              <w:spacing w:after="0"/>
              <w:rPr>
                <w:sz w:val="13"/>
                <w:szCs w:val="13"/>
                <w:color w:val="auto"/>
              </w:rPr>
            </w:pPr>
          </w:p>
        </w:tc>
        <w:tc>
          <w:tcPr>
            <w:tcW w:w="2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0000FF"/>
                <w:w w:val="85"/>
              </w:rPr>
              <w:t>56</w:t>
            </w:r>
          </w:p>
        </w:tc>
      </w:tr>
      <w:tr>
        <w:trPr>
          <w:trHeight w:val="20"/>
        </w:trPr>
        <w:tc>
          <w:tcPr>
            <w:tcW w:w="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180" w:type="dxa"/>
            <w:vAlign w:val="bottom"/>
            <w:tcBorders>
              <w:right w:val="single" w:sz="8" w:color="0000FF"/>
            </w:tcBorders>
            <w:gridSpan w:val="10"/>
            <w:shd w:val="clear" w:color="auto" w:fill="0000FF"/>
          </w:tcPr>
          <w:p>
            <w:pPr>
              <w:spacing w:after="0" w:line="20" w:lineRule="exact"/>
              <w:rPr>
                <w:sz w:val="1"/>
                <w:szCs w:val="1"/>
                <w:color w:val="auto"/>
              </w:rPr>
            </w:pPr>
          </w:p>
        </w:tc>
        <w:tc>
          <w:tcPr>
            <w:tcW w:w="2000" w:type="dxa"/>
            <w:vAlign w:val="bottom"/>
            <w:gridSpan w:val="5"/>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520" w:type="dxa"/>
            <w:vAlign w:val="bottom"/>
            <w:gridSpan w:val="6"/>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480" w:type="dxa"/>
            <w:vAlign w:val="bottom"/>
            <w:gridSpan w:val="2"/>
          </w:tcPr>
          <w:p>
            <w:pPr>
              <w:spacing w:after="0" w:line="20" w:lineRule="exact"/>
              <w:rPr>
                <w:sz w:val="1"/>
                <w:szCs w:val="1"/>
                <w:color w:val="auto"/>
              </w:rPr>
            </w:pPr>
          </w:p>
        </w:tc>
        <w:tc>
          <w:tcPr>
            <w:tcW w:w="2340" w:type="dxa"/>
            <w:vAlign w:val="bottom"/>
            <w:gridSpan w:val="3"/>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6240" w:type="dxa"/>
            <w:vAlign w:val="bottom"/>
            <w:gridSpan w:val="24"/>
          </w:tcPr>
          <w:p>
            <w:pPr>
              <w:spacing w:after="0"/>
              <w:rPr>
                <w:sz w:val="20"/>
                <w:szCs w:val="20"/>
                <w:color w:val="auto"/>
              </w:rPr>
            </w:pPr>
            <w:r>
              <w:rPr>
                <w:rFonts w:ascii="Times New Roman" w:cs="Times New Roman" w:eastAsia="Times New Roman" w:hAnsi="Times New Roman"/>
                <w:sz w:val="14"/>
                <w:szCs w:val="14"/>
                <w:color w:val="0000FF"/>
              </w:rPr>
              <w:t>Item 13. Certain Relationships and Related Transactions, and Director Independence</w:t>
            </w:r>
          </w:p>
        </w:tc>
        <w:tc>
          <w:tcPr>
            <w:tcW w:w="2480" w:type="dxa"/>
            <w:vAlign w:val="bottom"/>
            <w:gridSpan w:val="2"/>
          </w:tcPr>
          <w:p>
            <w:pPr>
              <w:spacing w:after="0"/>
              <w:rPr>
                <w:sz w:val="13"/>
                <w:szCs w:val="13"/>
                <w:color w:val="auto"/>
              </w:rPr>
            </w:pPr>
          </w:p>
        </w:tc>
        <w:tc>
          <w:tcPr>
            <w:tcW w:w="2340" w:type="dxa"/>
            <w:vAlign w:val="bottom"/>
            <w:gridSpan w:val="3"/>
          </w:tcPr>
          <w:p>
            <w:pPr>
              <w:spacing w:after="0"/>
              <w:rPr>
                <w:sz w:val="13"/>
                <w:szCs w:val="13"/>
                <w:color w:val="auto"/>
              </w:rPr>
            </w:pPr>
          </w:p>
        </w:tc>
        <w:tc>
          <w:tcPr>
            <w:tcW w:w="2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0000FF"/>
                <w:w w:val="85"/>
              </w:rPr>
              <w:t>56</w:t>
            </w:r>
          </w:p>
        </w:tc>
      </w:tr>
      <w:tr>
        <w:trPr>
          <w:trHeight w:val="20"/>
        </w:trPr>
        <w:tc>
          <w:tcPr>
            <w:tcW w:w="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4780" w:type="dxa"/>
            <w:vAlign w:val="bottom"/>
            <w:gridSpan w:val="16"/>
          </w:tcPr>
          <w:p>
            <w:pPr>
              <w:spacing w:after="0"/>
              <w:rPr>
                <w:sz w:val="20"/>
                <w:szCs w:val="20"/>
                <w:color w:val="auto"/>
              </w:rPr>
            </w:pPr>
            <w:r>
              <w:rPr>
                <w:rFonts w:ascii="Times New Roman" w:cs="Times New Roman" w:eastAsia="Times New Roman" w:hAnsi="Times New Roman"/>
                <w:sz w:val="14"/>
                <w:szCs w:val="14"/>
                <w:color w:val="0000FF"/>
              </w:rPr>
              <w:t>Item 14. Principal Accountant Fees and Services</w:t>
            </w:r>
          </w:p>
        </w:tc>
        <w:tc>
          <w:tcPr>
            <w:tcW w:w="3940" w:type="dxa"/>
            <w:vAlign w:val="bottom"/>
            <w:gridSpan w:val="10"/>
          </w:tcPr>
          <w:p>
            <w:pPr>
              <w:spacing w:after="0"/>
              <w:rPr>
                <w:sz w:val="13"/>
                <w:szCs w:val="13"/>
                <w:color w:val="auto"/>
              </w:rPr>
            </w:pPr>
          </w:p>
        </w:tc>
        <w:tc>
          <w:tcPr>
            <w:tcW w:w="2340" w:type="dxa"/>
            <w:vAlign w:val="bottom"/>
            <w:gridSpan w:val="3"/>
          </w:tcPr>
          <w:p>
            <w:pPr>
              <w:spacing w:after="0"/>
              <w:rPr>
                <w:sz w:val="13"/>
                <w:szCs w:val="13"/>
                <w:color w:val="auto"/>
              </w:rPr>
            </w:pPr>
          </w:p>
        </w:tc>
        <w:tc>
          <w:tcPr>
            <w:tcW w:w="2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0000FF"/>
                <w:w w:val="85"/>
              </w:rPr>
              <w:t>56</w:t>
            </w:r>
          </w:p>
        </w:tc>
      </w:tr>
      <w:tr>
        <w:trPr>
          <w:trHeight w:val="160"/>
        </w:trPr>
        <w:tc>
          <w:tcPr>
            <w:tcW w:w="20" w:type="dxa"/>
            <w:vAlign w:val="bottom"/>
          </w:tcPr>
          <w:p>
            <w:pPr>
              <w:spacing w:after="0"/>
              <w:rPr>
                <w:sz w:val="13"/>
                <w:szCs w:val="13"/>
                <w:color w:val="auto"/>
              </w:rPr>
            </w:pPr>
          </w:p>
        </w:tc>
        <w:tc>
          <w:tcPr>
            <w:tcW w:w="600" w:type="dxa"/>
            <w:vAlign w:val="bottom"/>
            <w:tcBorders>
              <w:top w:val="single" w:sz="8" w:color="0000FF"/>
            </w:tcBorders>
          </w:tcPr>
          <w:p>
            <w:pPr>
              <w:spacing w:after="0"/>
              <w:rPr>
                <w:sz w:val="13"/>
                <w:szCs w:val="13"/>
                <w:color w:val="auto"/>
              </w:rPr>
            </w:pPr>
          </w:p>
        </w:tc>
        <w:tc>
          <w:tcPr>
            <w:tcW w:w="3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8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26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640" w:type="dxa"/>
            <w:vAlign w:val="bottom"/>
            <w:tcBorders>
              <w:top w:val="single" w:sz="8" w:color="0000FF"/>
            </w:tcBorders>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380" w:type="dxa"/>
            <w:vAlign w:val="bottom"/>
            <w:gridSpan w:val="9"/>
          </w:tcPr>
          <w:p>
            <w:pPr>
              <w:jc w:val="center"/>
              <w:ind w:right="2860"/>
              <w:spacing w:after="0"/>
              <w:rPr>
                <w:sz w:val="20"/>
                <w:szCs w:val="20"/>
                <w:color w:val="auto"/>
              </w:rPr>
            </w:pPr>
            <w:r>
              <w:rPr>
                <w:rFonts w:ascii="Times New Roman" w:cs="Times New Roman" w:eastAsia="Times New Roman" w:hAnsi="Times New Roman"/>
                <w:sz w:val="14"/>
                <w:szCs w:val="14"/>
                <w:color w:val="0000FF"/>
                <w:w w:val="96"/>
              </w:rPr>
              <w:t>PART IV</w:t>
            </w:r>
          </w:p>
        </w:tc>
        <w:tc>
          <w:tcPr>
            <w:tcW w:w="19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60" w:type="dxa"/>
            <w:vAlign w:val="bottom"/>
          </w:tcPr>
          <w:p>
            <w:pPr>
              <w:spacing w:after="0"/>
              <w:rPr>
                <w:sz w:val="13"/>
                <w:szCs w:val="13"/>
                <w:color w:val="auto"/>
              </w:rPr>
            </w:pPr>
          </w:p>
        </w:tc>
      </w:tr>
      <w:tr>
        <w:trPr>
          <w:trHeight w:val="160"/>
        </w:trPr>
        <w:tc>
          <w:tcPr>
            <w:tcW w:w="20" w:type="dxa"/>
            <w:vAlign w:val="bottom"/>
          </w:tcPr>
          <w:p>
            <w:pPr>
              <w:spacing w:after="0"/>
              <w:rPr>
                <w:sz w:val="13"/>
                <w:szCs w:val="13"/>
                <w:color w:val="auto"/>
              </w:rPr>
            </w:pPr>
          </w:p>
        </w:tc>
        <w:tc>
          <w:tcPr>
            <w:tcW w:w="5340" w:type="dxa"/>
            <w:vAlign w:val="bottom"/>
            <w:gridSpan w:val="17"/>
          </w:tcPr>
          <w:p>
            <w:pPr>
              <w:spacing w:after="0"/>
              <w:rPr>
                <w:sz w:val="20"/>
                <w:szCs w:val="20"/>
                <w:color w:val="auto"/>
              </w:rPr>
            </w:pPr>
            <w:r>
              <w:rPr>
                <w:rFonts w:ascii="Times New Roman" w:cs="Times New Roman" w:eastAsia="Times New Roman" w:hAnsi="Times New Roman"/>
                <w:sz w:val="14"/>
                <w:szCs w:val="14"/>
                <w:color w:val="0000FF"/>
              </w:rPr>
              <w:t>Item 15. Exhibits, Financial Statement Schedules</w:t>
            </w:r>
          </w:p>
        </w:tc>
        <w:tc>
          <w:tcPr>
            <w:tcW w:w="520" w:type="dxa"/>
            <w:vAlign w:val="bottom"/>
            <w:tcBorders>
              <w:top w:val="single" w:sz="8" w:color="0000FF"/>
            </w:tcBorders>
            <w:gridSpan w:val="6"/>
          </w:tcPr>
          <w:p>
            <w:pPr>
              <w:spacing w:after="0"/>
              <w:rPr>
                <w:sz w:val="13"/>
                <w:szCs w:val="13"/>
                <w:color w:val="auto"/>
              </w:rPr>
            </w:pPr>
          </w:p>
        </w:tc>
        <w:tc>
          <w:tcPr>
            <w:tcW w:w="2860" w:type="dxa"/>
            <w:vAlign w:val="bottom"/>
            <w:gridSpan w:val="3"/>
          </w:tcPr>
          <w:p>
            <w:pPr>
              <w:spacing w:after="0"/>
              <w:rPr>
                <w:sz w:val="13"/>
                <w:szCs w:val="13"/>
                <w:color w:val="auto"/>
              </w:rPr>
            </w:pPr>
          </w:p>
        </w:tc>
        <w:tc>
          <w:tcPr>
            <w:tcW w:w="2540" w:type="dxa"/>
            <w:vAlign w:val="bottom"/>
            <w:gridSpan w:val="5"/>
          </w:tcPr>
          <w:p>
            <w:pPr>
              <w:jc w:val="right"/>
              <w:ind w:right="60"/>
              <w:spacing w:after="0"/>
              <w:rPr>
                <w:sz w:val="20"/>
                <w:szCs w:val="20"/>
                <w:color w:val="auto"/>
              </w:rPr>
            </w:pPr>
            <w:r>
              <w:rPr>
                <w:rFonts w:ascii="Times New Roman" w:cs="Times New Roman" w:eastAsia="Times New Roman" w:hAnsi="Times New Roman"/>
                <w:sz w:val="14"/>
                <w:szCs w:val="14"/>
                <w:color w:val="0000FF"/>
              </w:rPr>
              <w:t>56</w:t>
            </w:r>
          </w:p>
        </w:tc>
      </w:tr>
      <w:tr>
        <w:trPr>
          <w:trHeight w:val="20"/>
        </w:trPr>
        <w:tc>
          <w:tcPr>
            <w:tcW w:w="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600" w:type="dxa"/>
            <w:vAlign w:val="bottom"/>
          </w:tcPr>
          <w:p>
            <w:pPr>
              <w:spacing w:after="0"/>
              <w:rPr>
                <w:sz w:val="20"/>
                <w:szCs w:val="20"/>
                <w:color w:val="auto"/>
              </w:rPr>
            </w:pPr>
            <w:r>
              <w:rPr>
                <w:rFonts w:ascii="Times New Roman" w:cs="Times New Roman" w:eastAsia="Times New Roman" w:hAnsi="Times New Roman"/>
                <w:sz w:val="14"/>
                <w:szCs w:val="14"/>
                <w:color w:val="0000FF"/>
                <w:w w:val="98"/>
              </w:rPr>
              <w:t>Signatures</w:t>
            </w:r>
          </w:p>
        </w:tc>
        <w:tc>
          <w:tcPr>
            <w:tcW w:w="2180" w:type="dxa"/>
            <w:vAlign w:val="bottom"/>
            <w:gridSpan w:val="10"/>
          </w:tcPr>
          <w:p>
            <w:pPr>
              <w:spacing w:after="0"/>
              <w:rPr>
                <w:sz w:val="13"/>
                <w:szCs w:val="13"/>
                <w:color w:val="auto"/>
              </w:rPr>
            </w:pPr>
          </w:p>
        </w:tc>
        <w:tc>
          <w:tcPr>
            <w:tcW w:w="5940" w:type="dxa"/>
            <w:vAlign w:val="bottom"/>
            <w:gridSpan w:val="15"/>
          </w:tcPr>
          <w:p>
            <w:pPr>
              <w:spacing w:after="0"/>
              <w:rPr>
                <w:sz w:val="13"/>
                <w:szCs w:val="13"/>
                <w:color w:val="auto"/>
              </w:rPr>
            </w:pPr>
          </w:p>
        </w:tc>
        <w:tc>
          <w:tcPr>
            <w:tcW w:w="2340" w:type="dxa"/>
            <w:vAlign w:val="bottom"/>
            <w:gridSpan w:val="3"/>
          </w:tcPr>
          <w:p>
            <w:pPr>
              <w:spacing w:after="0"/>
              <w:rPr>
                <w:sz w:val="13"/>
                <w:szCs w:val="13"/>
                <w:color w:val="auto"/>
              </w:rPr>
            </w:pPr>
          </w:p>
        </w:tc>
        <w:tc>
          <w:tcPr>
            <w:tcW w:w="2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0000FF"/>
                <w:w w:val="85"/>
              </w:rPr>
              <w:t>59</w:t>
            </w:r>
          </w:p>
        </w:tc>
      </w:tr>
      <w:tr>
        <w:trPr>
          <w:trHeight w:val="690"/>
        </w:trPr>
        <w:tc>
          <w:tcPr>
            <w:tcW w:w="20" w:type="dxa"/>
            <w:vAlign w:val="bottom"/>
          </w:tcPr>
          <w:p>
            <w:pPr>
              <w:spacing w:after="0"/>
              <w:rPr>
                <w:sz w:val="24"/>
                <w:szCs w:val="24"/>
                <w:color w:val="auto"/>
              </w:rPr>
            </w:pPr>
          </w:p>
        </w:tc>
        <w:tc>
          <w:tcPr>
            <w:tcW w:w="600" w:type="dxa"/>
            <w:vAlign w:val="bottom"/>
            <w:tcBorders>
              <w:top w:val="single" w:sz="8" w:color="0000FF"/>
            </w:tcBorders>
          </w:tcPr>
          <w:p>
            <w:pPr>
              <w:spacing w:after="0"/>
              <w:rPr>
                <w:sz w:val="24"/>
                <w:szCs w:val="24"/>
                <w:color w:val="auto"/>
              </w:rPr>
            </w:pPr>
          </w:p>
        </w:tc>
        <w:tc>
          <w:tcPr>
            <w:tcW w:w="5220" w:type="dxa"/>
            <w:vAlign w:val="bottom"/>
            <w:gridSpan w:val="20"/>
          </w:tcPr>
          <w:p>
            <w:pPr>
              <w:jc w:val="right"/>
              <w:ind w:right="160"/>
              <w:spacing w:after="0"/>
              <w:rPr>
                <w:sz w:val="20"/>
                <w:szCs w:val="20"/>
                <w:color w:val="auto"/>
              </w:rPr>
            </w:pPr>
            <w:r>
              <w:rPr>
                <w:rFonts w:ascii="Times New Roman" w:cs="Times New Roman" w:eastAsia="Times New Roman" w:hAnsi="Times New Roman"/>
                <w:sz w:val="14"/>
                <w:szCs w:val="14"/>
                <w:color w:val="auto"/>
              </w:rPr>
              <w:t>5</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60" w:type="dxa"/>
            <w:vAlign w:val="bottom"/>
          </w:tcPr>
          <w:p>
            <w:pPr>
              <w:spacing w:after="0"/>
              <w:rPr>
                <w:sz w:val="24"/>
                <w:szCs w:val="24"/>
                <w:color w:val="auto"/>
              </w:rPr>
            </w:pPr>
          </w:p>
        </w:tc>
      </w:tr>
      <w:tr>
        <w:trPr>
          <w:trHeight w:val="87"/>
        </w:trPr>
        <w:tc>
          <w:tcPr>
            <w:tcW w:w="2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34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8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280" w:type="dxa"/>
            <w:vAlign w:val="bottom"/>
            <w:tcBorders>
              <w:bottom w:val="single" w:sz="8" w:color="9A9A9A"/>
            </w:tcBorders>
          </w:tcPr>
          <w:p>
            <w:pPr>
              <w:spacing w:after="0"/>
              <w:rPr>
                <w:sz w:val="7"/>
                <w:szCs w:val="7"/>
                <w:color w:val="auto"/>
              </w:rPr>
            </w:pPr>
          </w:p>
        </w:tc>
        <w:tc>
          <w:tcPr>
            <w:tcW w:w="66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420" w:type="dxa"/>
            <w:vAlign w:val="bottom"/>
            <w:tcBorders>
              <w:bottom w:val="single" w:sz="8" w:color="9A9A9A"/>
            </w:tcBorders>
          </w:tcPr>
          <w:p>
            <w:pPr>
              <w:spacing w:after="0"/>
              <w:rPr>
                <w:sz w:val="7"/>
                <w:szCs w:val="7"/>
                <w:color w:val="auto"/>
              </w:rPr>
            </w:pPr>
          </w:p>
        </w:tc>
        <w:tc>
          <w:tcPr>
            <w:tcW w:w="40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3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380" w:type="dxa"/>
            <w:vAlign w:val="bottom"/>
            <w:tcBorders>
              <w:bottom w:val="single" w:sz="8" w:color="9A9A9A"/>
            </w:tcBorders>
          </w:tcPr>
          <w:p>
            <w:pPr>
              <w:spacing w:after="0"/>
              <w:rPr>
                <w:sz w:val="7"/>
                <w:szCs w:val="7"/>
                <w:color w:val="auto"/>
              </w:rPr>
            </w:pPr>
          </w:p>
        </w:tc>
        <w:tc>
          <w:tcPr>
            <w:tcW w:w="540" w:type="dxa"/>
            <w:vAlign w:val="bottom"/>
            <w:tcBorders>
              <w:bottom w:val="single" w:sz="8" w:color="9A9A9A"/>
            </w:tcBorders>
          </w:tcPr>
          <w:p>
            <w:pPr>
              <w:spacing w:after="0"/>
              <w:rPr>
                <w:sz w:val="7"/>
                <w:szCs w:val="7"/>
                <w:color w:val="auto"/>
              </w:rPr>
            </w:pPr>
          </w:p>
        </w:tc>
        <w:tc>
          <w:tcPr>
            <w:tcW w:w="1940" w:type="dxa"/>
            <w:vAlign w:val="bottom"/>
            <w:tcBorders>
              <w:bottom w:val="single" w:sz="8" w:color="9A9A9A"/>
            </w:tcBorders>
          </w:tcPr>
          <w:p>
            <w:pPr>
              <w:spacing w:after="0"/>
              <w:rPr>
                <w:sz w:val="7"/>
                <w:szCs w:val="7"/>
                <w:color w:val="auto"/>
              </w:rPr>
            </w:pPr>
          </w:p>
        </w:tc>
        <w:tc>
          <w:tcPr>
            <w:tcW w:w="194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844" w:right="319" w:bottom="1440" w:gutter="0" w:footer="0" w:header="0"/>
        </w:sectPr>
      </w:pPr>
    </w:p>
    <w:bookmarkStart w:id="5" w:name="page6"/>
    <w:bookmarkEnd w:id="5"/>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PART I</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 — BUSINESS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Overview</w:t>
      </w:r>
    </w:p>
    <w:p>
      <w:pPr>
        <w:spacing w:after="0" w:line="127" w:lineRule="exact"/>
        <w:rPr>
          <w:sz w:val="20"/>
          <w:szCs w:val="20"/>
          <w:color w:val="auto"/>
        </w:rPr>
      </w:pPr>
    </w:p>
    <w:p>
      <w:pPr>
        <w:ind w:right="120" w:firstLine="255"/>
        <w:spacing w:after="0" w:line="261" w:lineRule="auto"/>
        <w:rPr>
          <w:sz w:val="20"/>
          <w:szCs w:val="20"/>
          <w:color w:val="auto"/>
        </w:rPr>
      </w:pPr>
      <w:r>
        <w:rPr>
          <w:rFonts w:ascii="Times New Roman" w:cs="Times New Roman" w:eastAsia="Times New Roman" w:hAnsi="Times New Roman"/>
          <w:sz w:val="14"/>
          <w:szCs w:val="14"/>
          <w:color w:val="auto"/>
        </w:rPr>
        <w:t>LifeVantage Corporation (the "Company," "LifeVantage," "we," "us," or "our") is a company focused on nutrigenomics, the study of how nutrition and naturally occurring compounds affect human genes to support good health. LifeVantage is dedicated to helping people achieve their health, wellness and financial goals. We provide quality, scientifically validated products to customers and independent consultants as well as a financially rewarding commission-based direct sales opportunity to our independent consultants. We sell our products in the United States, Mexico, Japan, Australia, Hong Kong, Canada, Thailand, the United Kingdom, the Netherlands, Germany, Taiwan, Austria, Spain, Ireland, Belgium, New Zealand, Singapore, and the Philippines. We also sell our products in a number of countries to customers for personal consumption only.</w:t>
      </w:r>
    </w:p>
    <w:p>
      <w:pPr>
        <w:spacing w:after="0" w:line="80" w:lineRule="exact"/>
        <w:rPr>
          <w:sz w:val="20"/>
          <w:szCs w:val="20"/>
          <w:color w:val="auto"/>
        </w:rPr>
      </w:pPr>
    </w:p>
    <w:p>
      <w:pPr>
        <w:ind w:firstLine="255"/>
        <w:spacing w:after="0" w:line="233" w:lineRule="auto"/>
        <w:rPr>
          <w:sz w:val="20"/>
          <w:szCs w:val="20"/>
          <w:color w:val="auto"/>
        </w:rPr>
      </w:pPr>
      <w:r>
        <w:rPr>
          <w:rFonts w:ascii="Times New Roman" w:cs="Times New Roman" w:eastAsia="Times New Roman" w:hAnsi="Times New Roman"/>
          <w:sz w:val="14"/>
          <w:szCs w:val="14"/>
          <w:color w:val="auto"/>
        </w:rPr>
        <w:t>We engage in the identification, research, development, formulation and sale of advanced nutrigenomic activators, dietary supplements, nootropics, pre- and pro-biotics, weight management, and skin and hair care products. Our line of scientifically validated dietary supplements includes our flagship Protandim</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family of products, LifeVantage</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Omega+, ProBio, IC Bright</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Rise AM, Reset PM, D3+, Daily Wellness, and PhysIQ Fat Burn and Prebiotic dietary supplements. TrueScience</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is our line of skin and hair care products and Liquid Collagen. We also market and sell Petandim</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our companion pet supplement formulated to combat oxidative stress in dogs; and AXIO</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our nootropic energy drink mixes.</w:t>
      </w:r>
    </w:p>
    <w:p>
      <w:pPr>
        <w:spacing w:after="0" w:line="37" w:lineRule="exact"/>
        <w:rPr>
          <w:sz w:val="20"/>
          <w:szCs w:val="20"/>
          <w:color w:val="auto"/>
        </w:rPr>
      </w:pPr>
    </w:p>
    <w:p>
      <w:pPr>
        <w:ind w:firstLine="255"/>
        <w:spacing w:after="0" w:line="234" w:lineRule="auto"/>
        <w:rPr>
          <w:sz w:val="20"/>
          <w:szCs w:val="20"/>
          <w:color w:val="auto"/>
        </w:rPr>
      </w:pPr>
      <w:r>
        <w:rPr>
          <w:rFonts w:ascii="Times New Roman" w:cs="Times New Roman" w:eastAsia="Times New Roman" w:hAnsi="Times New Roman"/>
          <w:sz w:val="14"/>
          <w:szCs w:val="14"/>
          <w:color w:val="auto"/>
        </w:rPr>
        <w:t>We were incorporated in Colorado in June 1988 under the name Andraplex Corporation. We changed our corporate name to Yaak River Resources, Inc. in January 1992 and subsequently changed it again in October 2004 to Lifeline Therapeutics, Inc. In October 2004 and March 2005, we acquired all of the outstanding common stock of Lifeline Nutraceuticals Corporation. In November 2006, we changed our name to LifeVantage Corporation. From our fiscal year 2005 until our fiscal year 2009, we marketed and sold a single product, Protandim</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through traditional retail stores. In October 2008, we announced that we were transitioning our business model from a traditional retail model to a direct sales model in which Protandim</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would be sold primarily through a network of independent consultants. Since entering direct sales, we have increased our geographic reach by entering new international markets and increased our product offering by introducing additional scientifically validated products.</w:t>
      </w:r>
    </w:p>
    <w:p>
      <w:pPr>
        <w:spacing w:after="0" w:line="10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In 2018, we reincorporated from the State of Colorado to the State of Delaware.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Fiscal Year 2024 Highlights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New Product Offerings</w:t>
      </w:r>
    </w:p>
    <w:p>
      <w:pPr>
        <w:spacing w:after="0" w:line="13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In fiscal year 2024, we launched new products in our various markets with the most significant being the global introduction of our reformulated TrueScience</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Activated Skin Care products</w:t>
      </w:r>
    </w:p>
    <w:p>
      <w:pPr>
        <w:ind w:right="20"/>
        <w:spacing w:after="0" w:line="262" w:lineRule="auto"/>
        <w:rPr>
          <w:sz w:val="20"/>
          <w:szCs w:val="20"/>
          <w:color w:val="auto"/>
        </w:rPr>
      </w:pPr>
      <w:r>
        <w:rPr>
          <w:rFonts w:ascii="Times New Roman" w:cs="Times New Roman" w:eastAsia="Times New Roman" w:hAnsi="Times New Roman"/>
          <w:sz w:val="14"/>
          <w:szCs w:val="14"/>
          <w:color w:val="auto"/>
        </w:rPr>
        <w:t>consisting of TrueClean Refining Cleanser, TrueLift Illuminating Eye Cream, TrueHydrate Brightening Moisturizer and True Renew Daily Firming Complex</w:t>
      </w:r>
      <w:r>
        <w:rPr>
          <w:rFonts w:ascii="Times New Roman" w:cs="Times New Roman" w:eastAsia="Times New Roman" w:hAnsi="Times New Roman"/>
          <w:sz w:val="14"/>
          <w:szCs w:val="14"/>
          <w:color w:val="616060"/>
        </w:rPr>
        <w:t>.</w:t>
      </w:r>
      <w:r>
        <w:rPr>
          <w:rFonts w:ascii="Times New Roman" w:cs="Times New Roman" w:eastAsia="Times New Roman" w:hAnsi="Times New Roman"/>
          <w:sz w:val="14"/>
          <w:szCs w:val="14"/>
          <w:color w:val="auto"/>
        </w:rPr>
        <w:t xml:space="preserve"> With ingredients backed by science and formulas designed to target different visible benefits, TrueScience</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Activated Skin Care awakens the skin’s vitality to reveal natural, youthful radiance. In the United States, we also launched TrueScience</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True Protect Daily Mineral Sunstick, a limited-edition TrueScience</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TruePout Hydrating Lip Oil and Exfoliating Lip Scrub, and four new AXIO</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limited-edition flavors. In several of our international markets we also introduced TrueScience</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Liquid Collagen.</w:t>
      </w:r>
    </w:p>
    <w:p>
      <w:pPr>
        <w:spacing w:after="0" w:line="2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A summary of the various product introductions by market in fiscal year 2024 is as follows:</w:t>
      </w:r>
    </w:p>
    <w:p>
      <w:pPr>
        <w:spacing w:after="0" w:line="155" w:lineRule="exact"/>
        <w:rPr>
          <w:sz w:val="20"/>
          <w:szCs w:val="20"/>
          <w:color w:val="auto"/>
        </w:rPr>
      </w:pPr>
    </w:p>
    <w:p>
      <w:pPr>
        <w:ind w:left="520" w:right="240" w:hanging="260"/>
        <w:spacing w:after="0" w:line="232" w:lineRule="auto"/>
        <w:tabs>
          <w:tab w:leader="none" w:pos="516"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United States introduced TrueScience</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Activated Skin Care, TrueScience</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True Protect and, AXIO</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limited-edition flavors Green Apple, Decaf Orchard Pear, Cherry Limeade, and Decaf Peach Nectarine.</w:t>
      </w:r>
    </w:p>
    <w:p>
      <w:pPr>
        <w:spacing w:after="0" w:line="124"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Japan introduced TrueScience</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Activated Skin Care without TrueLift, but included TrueScience</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TrueTone Perfecting Lotion.</w:t>
      </w:r>
    </w:p>
    <w:p>
      <w:pPr>
        <w:spacing w:after="0" w:line="11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Australia, New Zealand, Taiwan, and Thailand introduced TrueScience</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Activated Skin Care.</w:t>
      </w:r>
    </w:p>
    <w:p>
      <w:pPr>
        <w:spacing w:after="0" w:line="11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Canada introduced TrueScience</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Activated Skin Care TrueScience</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Liquid Collagen and Protandim</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NAD Synergizer.</w:t>
      </w:r>
    </w:p>
    <w:p>
      <w:pPr>
        <w:spacing w:after="0" w:line="10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Mexico, Europe, and the Philippines introduced TrueScience</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Activated Skin Care and TrueScience</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Liquid Collagen.</w:t>
      </w:r>
    </w:p>
    <w:p>
      <w:pPr>
        <w:spacing w:after="0" w:line="11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Singapore and Hong Kong introduced TrueScience</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Activated Skin Care without TrueRenew.</w:t>
      </w:r>
    </w:p>
    <w:p>
      <w:pPr>
        <w:spacing w:after="0" w:line="200" w:lineRule="exact"/>
        <w:rPr>
          <w:sz w:val="20"/>
          <w:szCs w:val="20"/>
          <w:color w:val="auto"/>
        </w:rPr>
      </w:pPr>
    </w:p>
    <w:p>
      <w:pPr>
        <w:spacing w:after="0" w:line="3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844" w:right="35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4"/>
          <w:szCs w:val="14"/>
          <w:b w:val="1"/>
          <w:bCs w:val="1"/>
          <w:i w:val="1"/>
          <w:iCs w:val="1"/>
          <w:color w:val="auto"/>
        </w:rPr>
        <w:t>Technology Innovation</w:t>
      </w:r>
    </w:p>
    <w:p>
      <w:pPr>
        <w:spacing w:after="0" w:line="117" w:lineRule="exact"/>
        <w:rPr>
          <w:sz w:val="20"/>
          <w:szCs w:val="20"/>
          <w:color w:val="auto"/>
        </w:rPr>
      </w:pPr>
    </w:p>
    <w:p>
      <w:pPr>
        <w:ind w:right="100" w:firstLine="255"/>
        <w:spacing w:after="0" w:line="270" w:lineRule="auto"/>
        <w:rPr>
          <w:sz w:val="20"/>
          <w:szCs w:val="20"/>
          <w:color w:val="auto"/>
        </w:rPr>
      </w:pPr>
      <w:r>
        <w:rPr>
          <w:rFonts w:ascii="Times New Roman" w:cs="Times New Roman" w:eastAsia="Times New Roman" w:hAnsi="Times New Roman"/>
          <w:sz w:val="14"/>
          <w:szCs w:val="14"/>
          <w:color w:val="auto"/>
        </w:rPr>
        <w:t>We continued to develop, enhance and improve the LifeVantage experience using technology. We pioneered new ways to interact with our independent consultants that give us and our independent consultant leaders valuable insight into the activities of the broader independent consultant base. We provided independent consultants with tools and communications that help simplify business activities, by providing step-by-step instruction for starting their business, and ways to improve the prospecting of potential consultants and customers.</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Nutrigenomic Culture &amp; Activating Wellness</w:t>
      </w:r>
    </w:p>
    <w:p>
      <w:pPr>
        <w:spacing w:after="0" w:line="127" w:lineRule="exact"/>
        <w:rPr>
          <w:sz w:val="20"/>
          <w:szCs w:val="20"/>
          <w:color w:val="auto"/>
        </w:rPr>
      </w:pPr>
    </w:p>
    <w:p>
      <w:pPr>
        <w:ind w:firstLine="255"/>
        <w:spacing w:after="0" w:line="232" w:lineRule="auto"/>
        <w:rPr>
          <w:sz w:val="20"/>
          <w:szCs w:val="20"/>
          <w:color w:val="auto"/>
        </w:rPr>
      </w:pPr>
      <w:r>
        <w:rPr>
          <w:rFonts w:ascii="Times New Roman" w:cs="Times New Roman" w:eastAsia="Times New Roman" w:hAnsi="Times New Roman"/>
          <w:sz w:val="14"/>
          <w:szCs w:val="14"/>
          <w:color w:val="auto"/>
        </w:rPr>
        <w:t>We have continued to simplify our nutrigenomic story, emphasizing that it activates and empowers the body to work better by using nutrients to turn natural internal processes on or off and help support vibrant health at any age. Nutrigenomics and cellular activation are cutting-edge trends in our industry that support our unique position in the market and leverage our core competencies and existing products. Activation is the guiding principle of our culture and is the key underlying message for our independent consultants and customers. We continue capitalizing on this message by highlighting how LifeVantage has used the concept of activation and expanded it to every aspect of our business, with our brand message of “activating wellness.” By focusing on wellness, we are able to apply activation not only to our products, which support physical, mental, and emotional health, but also our business opportunity, which supports financial, social, and spiritual health. The “activating wellness” message is featured across our communications with our independent consultants and in our brand and marketing materials. In fiscal year 2024, the brand message of activation and “activating wellness” was strengthened by introducing the concepts of “activation synergies” and “inside-out” activation. At the forefront of “activating synergies” was our Healthy Glow Essentials Stack, which consists of Protandim</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Nrf2 Synergizer</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and TrueScience</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Liquid Collagen. Research on this stack revealed that when the activation benefits of Protandim</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Nrf2 Synergizer</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were combined with the activation benefits of TrueScience</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Liquid Collagen the products had a synergistic effect that activated additional health benefits. The pillars of “inside-out” activation come from the inner activation of Protandim</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Nrf2 Synergizer</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which offers benefits on the inside, to the inside-out activation of TrueScience</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Liquid Collagen, which offers benefits on the inside, but also visible on the outside, to the outside activation of TrueScience</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Activated Skin Care, which offers visible benefits on the outside. These concepts, as an expansion of our activation message, will continue to be a focus of additional marketing and media assets.</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Red Carpet Program</w:t>
      </w:r>
    </w:p>
    <w:p>
      <w:pPr>
        <w:spacing w:after="0" w:line="127" w:lineRule="exact"/>
        <w:rPr>
          <w:sz w:val="20"/>
          <w:szCs w:val="20"/>
          <w:color w:val="auto"/>
        </w:rPr>
      </w:pPr>
    </w:p>
    <w:p>
      <w:pPr>
        <w:ind w:right="40" w:firstLine="255"/>
        <w:spacing w:after="0" w:line="264" w:lineRule="auto"/>
        <w:rPr>
          <w:sz w:val="20"/>
          <w:szCs w:val="20"/>
          <w:color w:val="auto"/>
        </w:rPr>
      </w:pPr>
      <w:r>
        <w:rPr>
          <w:rFonts w:ascii="Times New Roman" w:cs="Times New Roman" w:eastAsia="Times New Roman" w:hAnsi="Times New Roman"/>
          <w:sz w:val="14"/>
          <w:szCs w:val="14"/>
          <w:color w:val="auto"/>
        </w:rPr>
        <w:t>In fiscal year 2024, we continued to grow through our red-carpet program, which is designed to attract and incentivize experienced direct selling sales leaders to join LifeVantage. Red carpet leaders are identified by our independent consultants who facilitate the relationship between the potential red carpet leader and LifeVantage. Our corporate team does not actively engage in recruiting leaders for the red carpet program. We remain optimistic that this program will help drive long term revenue growth for our business. We have increased red carpet leadership enrollments and hope to see improved retention and active independent consultant and customer counts as a result of this program.</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Rewards Circle Customer Loyalty Program</w:t>
      </w:r>
    </w:p>
    <w:p>
      <w:pPr>
        <w:spacing w:after="0" w:line="117"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In March 2023, we launched Rewards Circle, our first-ever customer loyalty program, in the United States, Australia, New Zealand, and Japan (the "Rewards Circle"). In February 2024, Rewards Circle was expanded to Canada, Europe, and Mexico. Rewards Circle rewards customer loyalty through subscription purchases with credits to redeem on future purchases. The program is focused on customer retention, supporting our independent consultants' efforts to grow and maintain their LifeVantage business.</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Our Competitive Advantages</w:t>
      </w:r>
    </w:p>
    <w:p>
      <w:pPr>
        <w:spacing w:after="0" w:line="12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We believe we have a competitive advantage in several key areas:</w:t>
      </w:r>
    </w:p>
    <w:p>
      <w:pPr>
        <w:spacing w:after="0" w:line="115" w:lineRule="exact"/>
        <w:rPr>
          <w:sz w:val="20"/>
          <w:szCs w:val="20"/>
          <w:color w:val="auto"/>
        </w:rPr>
      </w:pPr>
    </w:p>
    <w:p>
      <w:pPr>
        <w:ind w:left="520" w:hanging="260"/>
        <w:spacing w:after="0" w:line="257" w:lineRule="auto"/>
        <w:tabs>
          <w:tab w:leader="none" w:pos="516"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Our Sales Compensation</w:t>
      </w:r>
      <w:r>
        <w:rPr>
          <w:rFonts w:ascii="Times New Roman" w:cs="Times New Roman" w:eastAsia="Times New Roman" w:hAnsi="Times New Roman"/>
          <w:sz w:val="14"/>
          <w:szCs w:val="14"/>
          <w:color w:val="auto"/>
        </w:rPr>
        <w:t>: We believe our sales compensation plan engineered for our independent consultants is one of the more financially rewarding plans in the direct selling industry and in line with direct selling industry standards. Our sales compensation plan also enables independent consultants to earn compensation early and often as they sell our products. Some elements of our sales compensation plan are calculated and paid daily to eligible independent consultants and others are calculated and paid weekly or monthly, allowing new independent consultants to receive their sales commissions more quickly. We believe the ease of more frequent sales commission payments helps us attract and then retain new independent consultants by allowing them to receive their commission payments as soon as possible after making qualified product sales. We also offer a variety of incentives to our independent consultants for achieving specified product sales goals. We believe our sales compensation plan provides motivation for our independent consultants to sell our products to customers and share the business opportunity with those entrepreneurs seeking to begin their own sales business. In January 2023, we announced the adoption of a new compensation plan for our independent consultants, which became effective in March 2023, in our United States, Australia, New Zealand</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44" w:right="319" w:bottom="1440" w:gutter="0" w:footer="0" w:header="0"/>
        </w:sectPr>
      </w:pPr>
    </w:p>
    <w:bookmarkStart w:id="7" w:name="page8"/>
    <w:bookmarkEnd w:id="7"/>
    <w:p>
      <w:pPr>
        <w:ind w:left="260" w:right="220"/>
        <w:spacing w:after="0" w:line="287" w:lineRule="auto"/>
        <w:rPr>
          <w:sz w:val="20"/>
          <w:szCs w:val="20"/>
          <w:color w:val="auto"/>
        </w:rPr>
      </w:pPr>
      <w:r>
        <w:rPr>
          <w:rFonts w:ascii="Times New Roman" w:cs="Times New Roman" w:eastAsia="Times New Roman" w:hAnsi="Times New Roman"/>
          <w:sz w:val="14"/>
          <w:szCs w:val="14"/>
          <w:color w:val="auto"/>
        </w:rPr>
        <w:t>and Japan markets. The new compensation plan is known as our “Evolve Compensation Plan.” In February 2024, we launched the Evolve Compensation Plan in the Canada, Mexico, and Europe markets. We plan to roll out this new compensation plan to our remaining markets.</w:t>
      </w:r>
    </w:p>
    <w:p>
      <w:pPr>
        <w:spacing w:after="0" w:line="61" w:lineRule="exact"/>
        <w:rPr>
          <w:sz w:val="20"/>
          <w:szCs w:val="20"/>
          <w:color w:val="auto"/>
        </w:rPr>
      </w:pPr>
    </w:p>
    <w:p>
      <w:pPr>
        <w:ind w:left="260" w:right="20" w:hanging="260"/>
        <w:spacing w:after="0" w:line="210" w:lineRule="auto"/>
        <w:tabs>
          <w:tab w:leader="none" w:pos="257"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Our Products:</w:t>
      </w:r>
      <w:r>
        <w:rPr>
          <w:rFonts w:ascii="Times New Roman" w:cs="Times New Roman" w:eastAsia="Times New Roman" w:hAnsi="Times New Roman"/>
          <w:sz w:val="14"/>
          <w:szCs w:val="14"/>
          <w:color w:val="auto"/>
        </w:rPr>
        <w:t xml:space="preserve"> Our focus is on a differentiated approach to health activation through nutrigenomics and the study of how properly formulated and applied nutrition and naturally occurring compounds affect human genes to support good health. We have developed proprietary and exclusive scientifically validated activation products focused on helping individuals look, feel, and perform better. Our products are the Protandim</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line of scientifically validated dietary supplements; LifeVantage</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Omega+, ProBio, IC Bright®, Rise AM, Reset PM, D3+ and Daily Wellness dietary supplements; PhysIQ Fat Burn and Prebiotic dietary supplements; TrueScience</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our line of skin and hair care products and Liquid Collagen; Petandim</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our companion pet supplement formulated to combat oxidative stress in dogs; and AXIO</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our nootropic energy drink mixes. The Protandim</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product line includes Protandim</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NRF1 Synergizer</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Protandim</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Nrf2 Synergizer</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and Protandim</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NAD Synergizer</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The Protandim</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NRF1 Synergizer</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is formulated to increase cellular energy and performance by boosting mitochondria production to improve cellular repair and slow cellular aging. The Protandim</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Nrf2 Synergizer</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contains a proprietary blend of ingredients and has been shown to combat oxidative stress and enhance energy production by increasing the body’s natural antioxidant protection at the genetic level, inducing the production of naturally occurring protective antioxidant enzymes, including superoxide dismutase, catalase, and glutathione synthase. The Protandim</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NAD Synergizer</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was specifically formulated to target cell signaling pathways involved in the synthesis and recycling of a specific molecule called NAD (nicotinamide adenine dinucleotide), and it has been shown to double sirtuin activity, supporting increased health, focus, energy, mental clarity, and mood. Use of the three Protandim</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products together (marketed as the Protandim</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Tri-Synergizer) has been shown to produce "activation synergies" greater than using the individual products on their own. LifeVantage</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Omega+ is a dietary supplement that combines DHA and EPA omega-3 fatty acids, omega-7 fatty acids, and vitamin D3 to support cognitive health, cardiovascular health, skin health, and the immune system. LifeVantage</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ProBio is a dietary supplement designed to support optimal digestion and immune system function. LifeVantage</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Daily Wellness is a dietary supplement designed to support immune health. IC Bright</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is a supplement to help support eye and brain health, reduce eye fatigue and strain, support cognitive functions, and may help support normal sleep patterns. PhysIQ Fat Burn is a dietary supplement designed to support weight-management. PhysIQ Prebiotic is a dietary supplement designed to support a healthy digestive tract. Our TrueScience</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line of skin and hair care products includes TrueScience</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TrueClean Refining Cleanser, TrueScience</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TrueRenew Daily Firming Complex, TrueScience</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TrueLift Illuminating Eye Cream, TrueScience</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TrueHydrate Brightening Moisturizer, TrueScience</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TrueTone Perfecting Lotion, TrueScience</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TrueProtect Daily Mineral Sunstick SPF 30, TrueScience</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Perfecting Lotion, TrueScience</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Hand Cream, TrueScience</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Invigorating Shampoo, TrueScience</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Nourishing Conditioner, TrueScience</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Scalp Serum, and TrueScience</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Liquid Collagen. TrueScience</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Liquid Collagen activates, replenishes, and maintains collagen to support firmness and elasticity from within. It has been shown to have a synergistic effect with Protandim</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Nrf2 Synergizer</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helping to break the cellular stress that prevents cells throughout the body from performing optimally. Petandim</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is a supplement specially formulated to combat oxidative stress in dogs through Nrf2 activation. AXIO</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is our line of nootropic energy drink mixes formulated to promote alertness and support mental performance. We believe our significant number of customers who regularly and repeatedly purchase our products is a strong indicator of the health benefits of our products.</w:t>
      </w:r>
    </w:p>
    <w:p>
      <w:pPr>
        <w:spacing w:after="0" w:line="108" w:lineRule="exact"/>
        <w:rPr>
          <w:rFonts w:ascii="Times New Roman" w:cs="Times New Roman" w:eastAsia="Times New Roman" w:hAnsi="Times New Roman"/>
          <w:sz w:val="14"/>
          <w:szCs w:val="14"/>
          <w:color w:val="auto"/>
        </w:rPr>
      </w:pPr>
    </w:p>
    <w:p>
      <w:pPr>
        <w:ind w:left="260" w:hanging="260"/>
        <w:spacing w:after="0" w:line="258" w:lineRule="auto"/>
        <w:tabs>
          <w:tab w:leader="none" w:pos="257"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Technology-Enabled Consultant Training and Resources</w:t>
      </w:r>
      <w:r>
        <w:rPr>
          <w:rFonts w:ascii="Times New Roman" w:cs="Times New Roman" w:eastAsia="Times New Roman" w:hAnsi="Times New Roman"/>
          <w:sz w:val="14"/>
          <w:szCs w:val="14"/>
          <w:color w:val="auto"/>
        </w:rPr>
        <w:t>: We are committed to providing our independent consultants with resources and training designed to promote productivity and their opportunity for successful sales and resulting commissions. We are dedicated to using technology to facilitate a streamlined approach for independent consultants to manage their businesses and sell our products. The LifeVantage app, which is available for download on the Apple app store and Google Play store, is a custom-developed platform that provides new ways for us to interact with our independent consultants and gives us and our consultant leadership valuable insight into the sales activities of our consultant base. Ultimately, through artificial intelligence and machine learning, we expect that the app will be able to guide independent consultants on what to share, when to share it, and with whom to sell LifeVantage products. In addition, we provide other business and product training materials, and we encourage our independent consultants to participate in company-sponsored events, including conventions and sales promotions and incentives.</w:t>
      </w:r>
    </w:p>
    <w:p>
      <w:pPr>
        <w:spacing w:after="0" w:line="93" w:lineRule="exact"/>
        <w:rPr>
          <w:rFonts w:ascii="Times New Roman" w:cs="Times New Roman" w:eastAsia="Times New Roman" w:hAnsi="Times New Roman"/>
          <w:sz w:val="14"/>
          <w:szCs w:val="14"/>
          <w:color w:val="auto"/>
        </w:rPr>
      </w:pPr>
    </w:p>
    <w:p>
      <w:pPr>
        <w:ind w:left="260" w:right="80" w:hanging="260"/>
        <w:spacing w:after="0" w:line="261" w:lineRule="auto"/>
        <w:tabs>
          <w:tab w:leader="none" w:pos="257"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Our Culture</w:t>
      </w:r>
      <w:r>
        <w:rPr>
          <w:rFonts w:ascii="Times New Roman" w:cs="Times New Roman" w:eastAsia="Times New Roman" w:hAnsi="Times New Roman"/>
          <w:sz w:val="14"/>
          <w:szCs w:val="14"/>
          <w:color w:val="auto"/>
        </w:rPr>
        <w:t>: We are committed to creating a culture for our independent consultants, their customers and our employees that focuses on ethical, legal, and transparent business practices. At enrollment, our independent consultants agree to abide by their contract with us, which includes our policies and procedures. These policies and procedures, when followed, are designed to ensure that our independent consultants comply with applicable laws and regulations. Our consultant compliance department monitors the activities of our independent consultants as part of our effort to enforce our policies and procedures. Similarly, our code of business conduct and ethics sets forth guidelines and expectations for our employees. We believe our ethical, legal, and transparent culture attracts highly qualified employees and independent consultants who share our commitment to these principles.</w:t>
      </w:r>
    </w:p>
    <w:p>
      <w:pPr>
        <w:spacing w:after="0" w:line="200" w:lineRule="exact"/>
        <w:rPr>
          <w:sz w:val="20"/>
          <w:szCs w:val="20"/>
          <w:color w:val="auto"/>
        </w:rPr>
      </w:pPr>
    </w:p>
    <w:p>
      <w:pPr>
        <w:spacing w:after="0" w:line="315" w:lineRule="exact"/>
        <w:rPr>
          <w:sz w:val="20"/>
          <w:szCs w:val="20"/>
          <w:color w:val="auto"/>
        </w:rPr>
      </w:pPr>
    </w:p>
    <w:p>
      <w:pPr>
        <w:jc w:val="center"/>
        <w:ind w:right="260"/>
        <w:spacing w:after="0"/>
        <w:rPr>
          <w:sz w:val="20"/>
          <w:szCs w:val="20"/>
          <w:color w:val="auto"/>
        </w:rPr>
      </w:pPr>
      <w:r>
        <w:rPr>
          <w:rFonts w:ascii="Times New Roman" w:cs="Times New Roman" w:eastAsia="Times New Roman" w:hAnsi="Times New Roman"/>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-173990</wp:posOffset>
            </wp:positionH>
            <wp:positionV relativeFrom="paragraph">
              <wp:posOffset>55880</wp:posOffset>
            </wp:positionV>
            <wp:extent cx="7186930"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020"/>
          </w:cols>
          <w:pgMar w:left="560" w:top="846" w:right="319" w:bottom="1440" w:gutter="0" w:footer="0" w:header="0"/>
        </w:sectPr>
      </w:pPr>
    </w:p>
    <w:bookmarkStart w:id="8" w:name="page9"/>
    <w:bookmarkEnd w:id="8"/>
    <w:p>
      <w:pPr>
        <w:ind w:left="520" w:right="20" w:hanging="260"/>
        <w:spacing w:after="0" w:line="257" w:lineRule="auto"/>
        <w:tabs>
          <w:tab w:leader="none" w:pos="516"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Global Customer Acquisition</w:t>
      </w:r>
      <w:r>
        <w:rPr>
          <w:rFonts w:ascii="Times New Roman" w:cs="Times New Roman" w:eastAsia="Times New Roman" w:hAnsi="Times New Roman"/>
          <w:sz w:val="14"/>
          <w:szCs w:val="14"/>
          <w:color w:val="auto"/>
        </w:rPr>
        <w:t>: Our global customer acquisition program expands the number of countries where customers can purchase and use our products for personal consumption only. This program allows us to enter additional markets at low incremental cost and enables independent consultants to leverage customer sales through their international relationships outside of their home countries. The program initially launched in eight markets, many of which subsequently became fully open for business on-the-ground through a growing network of resident independent consultants. We have also entered into key strategic agreements with third parties based in the United States that helps customers ship LifeVantage products purchased in the U.S. throughout the world via their customer personal purchase and importation programs. We also expanded our Auto-Assigned Customer Program, which allows new customers to order directly through www.lifevantage.com without being required to go through an independent consultant on their initial order. At the initial order, new customers have an opportunity to be assigned to independent consultants, who may then benefit from the initial sale commission and are then incentivized to provide future product support and sales to the assigned customer. This program provides customers easier access to our innovative products while providing the opportunity of referrals to our independent consultant force.</w:t>
      </w:r>
    </w:p>
    <w:p>
      <w:pPr>
        <w:spacing w:after="0" w:line="85" w:lineRule="exact"/>
        <w:rPr>
          <w:rFonts w:ascii="Times New Roman" w:cs="Times New Roman" w:eastAsia="Times New Roman" w:hAnsi="Times New Roman"/>
          <w:sz w:val="14"/>
          <w:szCs w:val="14"/>
          <w:color w:val="auto"/>
        </w:rPr>
      </w:pPr>
    </w:p>
    <w:p>
      <w:pPr>
        <w:ind w:left="520" w:right="80" w:hanging="260"/>
        <w:spacing w:after="0" w:line="264" w:lineRule="auto"/>
        <w:tabs>
          <w:tab w:leader="none" w:pos="516"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Our Employees</w:t>
      </w:r>
      <w:r>
        <w:rPr>
          <w:rFonts w:ascii="Times New Roman" w:cs="Times New Roman" w:eastAsia="Times New Roman" w:hAnsi="Times New Roman"/>
          <w:sz w:val="14"/>
          <w:szCs w:val="14"/>
          <w:color w:val="auto"/>
        </w:rPr>
        <w:t>: We believe that our employees are an essential asset. We have a dedicated team of professionals that support our independent consultants, work to generate long-term value for our stockholders and contribute to the broader society through charitable programs, including the 501(c)(3) LifeVantage Legacy – an independent charitable organization focused on bettering the lives of children throughout the world. In turn, we offer competitive compensation and direct employee focus toward the short and long-term goals of our stockholders and independent consultants.</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Scientific Background</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The Normal Aging Process</w:t>
      </w:r>
    </w:p>
    <w:p>
      <w:pPr>
        <w:spacing w:after="0" w:line="117" w:lineRule="exact"/>
        <w:rPr>
          <w:sz w:val="20"/>
          <w:szCs w:val="20"/>
          <w:color w:val="auto"/>
        </w:rPr>
      </w:pPr>
    </w:p>
    <w:p>
      <w:pPr>
        <w:jc w:val="both"/>
        <w:ind w:right="320" w:firstLine="255"/>
        <w:spacing w:after="0" w:line="270" w:lineRule="auto"/>
        <w:rPr>
          <w:sz w:val="20"/>
          <w:szCs w:val="20"/>
          <w:color w:val="auto"/>
        </w:rPr>
      </w:pPr>
      <w:r>
        <w:rPr>
          <w:rFonts w:ascii="Times New Roman" w:cs="Times New Roman" w:eastAsia="Times New Roman" w:hAnsi="Times New Roman"/>
          <w:sz w:val="14"/>
          <w:szCs w:val="14"/>
          <w:color w:val="auto"/>
        </w:rPr>
        <w:t>Aging in humans is a complex process driven by diverse changes in genetic, molecular, biochemical, and cellular events. This multifactorial process is ultimately characterized by a gradual decline in physiological functions and in the effectiveness of the intricate network of internal cellular communication referred to as cellular signaling. Theories as to why humans age include the oxidative stress theory, the mitochondrial theory, and the sirtuin theory.</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Oxidative Stress Theory of Aging and the Nrf2 Pathway</w:t>
      </w:r>
    </w:p>
    <w:p>
      <w:pPr>
        <w:spacing w:after="0" w:line="12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oxidative stress theory of aging states that as humans age, we accumulate free radicals and other oxidants. If left unchecked, this oxidative stress can lead to serious consequences to the cell.</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Oxidative stress can ultimately lead to oxidative damage from attacks and damage to essential biological structures of the cell which results in compromised cellular function.</w:t>
      </w:r>
    </w:p>
    <w:p>
      <w:pPr>
        <w:spacing w:after="0" w:line="101" w:lineRule="exact"/>
        <w:rPr>
          <w:sz w:val="20"/>
          <w:szCs w:val="20"/>
          <w:color w:val="auto"/>
        </w:rPr>
      </w:pPr>
    </w:p>
    <w:p>
      <w:pPr>
        <w:ind w:right="60" w:firstLine="255"/>
        <w:spacing w:after="0" w:line="259" w:lineRule="auto"/>
        <w:rPr>
          <w:sz w:val="20"/>
          <w:szCs w:val="20"/>
          <w:color w:val="auto"/>
        </w:rPr>
      </w:pPr>
      <w:r>
        <w:rPr>
          <w:rFonts w:ascii="Times New Roman" w:cs="Times New Roman" w:eastAsia="Times New Roman" w:hAnsi="Times New Roman"/>
          <w:sz w:val="14"/>
          <w:szCs w:val="14"/>
          <w:color w:val="auto"/>
        </w:rPr>
        <w:t>Antioxidants are the cell’s primary defense against free radicals and other oxidants. There are two major classes of antioxidants: 1) dietary antioxidants obtained through food and nutritional supplements and 2) endogenous antioxidants produced by the body. A 2013 review of the scientific literature led by the United States National Institutes of Health’s National Center for Complementary and Integrative Health concluded that “rigorous trials of antioxidant supplements in large numbers of people have not found that high doses of antioxidant supplements prevent disease.” Thus, much attention has shifted to the body’s endogenous antioxidant and detoxification systems. Endogenous antioxidants are antioxidants made by the body and are the primary line of defense against oxidative stress. In general, endogenous antioxidants either prevent oxidants from being formed, or remove them from the body. Endogenous antioxidants form a complex network of antioxidant metabolites and enzymes. These networks work together, throughout the cell, to neutralize oxidants and protect important biological structures from oxidative damage.</w:t>
      </w:r>
    </w:p>
    <w:p>
      <w:pPr>
        <w:spacing w:after="0" w:line="93" w:lineRule="exact"/>
        <w:rPr>
          <w:sz w:val="20"/>
          <w:szCs w:val="20"/>
          <w:color w:val="auto"/>
        </w:rPr>
      </w:pPr>
    </w:p>
    <w:p>
      <w:pPr>
        <w:ind w:right="20" w:firstLine="255"/>
        <w:spacing w:after="0" w:line="270" w:lineRule="auto"/>
        <w:rPr>
          <w:sz w:val="20"/>
          <w:szCs w:val="20"/>
          <w:color w:val="auto"/>
        </w:rPr>
      </w:pPr>
      <w:r>
        <w:rPr>
          <w:rFonts w:ascii="Times New Roman" w:cs="Times New Roman" w:eastAsia="Times New Roman" w:hAnsi="Times New Roman"/>
          <w:sz w:val="14"/>
          <w:szCs w:val="14"/>
          <w:color w:val="auto"/>
        </w:rPr>
        <w:t>Endogenous antioxidants can also be upregulated in times of increasing oxidative stress. The Nrf2 cellular signaling pathway is the primary pathway for upregulating endogenous antioxidant and other detoxification pathways. With age, the activity of this Nrf2 cellular signaling pathway has been shown to decrease – both in its ability to sense oxidative threats and ultimately upregulate its target genes.</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Mitochondrial Theory of Aging and the NRF1 Pathway</w:t>
      </w:r>
    </w:p>
    <w:p>
      <w:pPr>
        <w:spacing w:after="0" w:line="117"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222222"/>
        </w:rPr>
        <w:t xml:space="preserve">Mitochondria are membrane-bound cellular organelles that generate most of the chemical energy needed to power the cell's biochemical reactions. </w:t>
      </w:r>
      <w:r>
        <w:rPr>
          <w:rFonts w:ascii="Times New Roman" w:cs="Times New Roman" w:eastAsia="Times New Roman" w:hAnsi="Times New Roman"/>
          <w:sz w:val="14"/>
          <w:szCs w:val="14"/>
          <w:color w:val="000000"/>
        </w:rPr>
        <w:t>The mitochondria produce energy by breaking</w:t>
      </w:r>
      <w:r>
        <w:rPr>
          <w:rFonts w:ascii="Times New Roman" w:cs="Times New Roman" w:eastAsia="Times New Roman" w:hAnsi="Times New Roman"/>
          <w:sz w:val="14"/>
          <w:szCs w:val="14"/>
          <w:color w:val="222222"/>
        </w:rPr>
        <w:t xml:space="preserve"> </w:t>
      </w:r>
      <w:r>
        <w:rPr>
          <w:rFonts w:ascii="Times New Roman" w:cs="Times New Roman" w:eastAsia="Times New Roman" w:hAnsi="Times New Roman"/>
          <w:sz w:val="14"/>
          <w:szCs w:val="14"/>
          <w:color w:val="000000"/>
        </w:rPr>
        <w:t>down food that has been ingested and capturing high-energy electrons in the process. When mitochondria are functioning properly, they harness the energy of these electrons to produce energy for the cell. At the end of this process, the mitochondria attach these electrons to molecular oxygen that</w:t>
      </w:r>
    </w:p>
    <w:p>
      <w:pPr>
        <w:spacing w:after="0" w:line="200" w:lineRule="exact"/>
        <w:rPr>
          <w:sz w:val="20"/>
          <w:szCs w:val="20"/>
          <w:color w:val="auto"/>
        </w:rPr>
      </w:pPr>
    </w:p>
    <w:p>
      <w:pPr>
        <w:spacing w:after="0" w:line="3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846" w:right="339" w:bottom="1440" w:gutter="0" w:footer="0" w:header="0"/>
        </w:sectPr>
      </w:pPr>
    </w:p>
    <w:bookmarkStart w:id="9" w:name="page10"/>
    <w:bookmarkEnd w:id="9"/>
    <w:p>
      <w:pPr>
        <w:jc w:val="center"/>
        <w:ind w:right="60"/>
        <w:spacing w:after="0"/>
        <w:rPr>
          <w:sz w:val="20"/>
          <w:szCs w:val="20"/>
          <w:color w:val="auto"/>
        </w:rPr>
      </w:pPr>
      <w:r>
        <w:rPr>
          <w:rFonts w:ascii="Times New Roman" w:cs="Times New Roman" w:eastAsia="Times New Roman" w:hAnsi="Times New Roman"/>
          <w:sz w:val="14"/>
          <w:szCs w:val="14"/>
          <w:color w:val="auto"/>
        </w:rPr>
        <w:t>ultimately get detoxified to water. However, this process is not perfectly efficient and, even in young, healthy mitochondria, electrons can escape, potentially forming free radicals and other oxidants.</w:t>
      </w:r>
    </w:p>
    <w:p>
      <w:pPr>
        <w:spacing w:after="0" w:line="115" w:lineRule="exact"/>
        <w:rPr>
          <w:sz w:val="20"/>
          <w:szCs w:val="20"/>
          <w:color w:val="auto"/>
        </w:rPr>
      </w:pPr>
    </w:p>
    <w:p>
      <w:pPr>
        <w:ind w:right="160" w:firstLine="255"/>
        <w:spacing w:after="0" w:line="264" w:lineRule="auto"/>
        <w:rPr>
          <w:sz w:val="20"/>
          <w:szCs w:val="20"/>
          <w:color w:val="auto"/>
        </w:rPr>
      </w:pPr>
      <w:r>
        <w:rPr>
          <w:rFonts w:ascii="Times New Roman" w:cs="Times New Roman" w:eastAsia="Times New Roman" w:hAnsi="Times New Roman"/>
          <w:sz w:val="14"/>
          <w:szCs w:val="14"/>
          <w:color w:val="auto"/>
        </w:rPr>
        <w:t>The mitochondrial theory of aging states that as humans age, mitochondria function less efficiently, producing less energy and more free radicals and other oxidants. The reduction in energy production compromises cellular function. The increase in free radicals and other oxidants in turn damage structures of the cell, including the mitochondria. This mitochondrial damage goes on to further compromise mitochondrial function leading to a downward spiral of decreased mitochondrial efficiency and increased production of free radicals and other oxidants. This process ultimately contributes to an increase in the overall cellular burden of oxidative stress and otherwise compromises cellular function through decreased energy production.</w:t>
      </w:r>
    </w:p>
    <w:p>
      <w:pPr>
        <w:spacing w:after="0" w:line="87" w:lineRule="exact"/>
        <w:rPr>
          <w:sz w:val="20"/>
          <w:szCs w:val="20"/>
          <w:color w:val="auto"/>
        </w:rPr>
      </w:pPr>
    </w:p>
    <w:p>
      <w:pPr>
        <w:ind w:firstLine="255"/>
        <w:spacing w:after="0" w:line="261" w:lineRule="auto"/>
        <w:rPr>
          <w:sz w:val="20"/>
          <w:szCs w:val="20"/>
          <w:color w:val="auto"/>
        </w:rPr>
      </w:pPr>
      <w:r>
        <w:rPr>
          <w:rFonts w:ascii="Times New Roman" w:cs="Times New Roman" w:eastAsia="Times New Roman" w:hAnsi="Times New Roman"/>
          <w:sz w:val="14"/>
          <w:szCs w:val="14"/>
          <w:color w:val="auto"/>
        </w:rPr>
        <w:t>A major cellular signaling pathway believed to be involved in mitochondrial health is NRF1 (nuclear factor erythroid 2-related factor 1). The NRF1 cellular signaling pathway, directly or indirectly, regulates a number of genes involved in mitochondrial health, turnover, and biogenesis. Nrf1 (Nuclear Respiratory Factor-1) is a protein believed to activate the expression of key genes involved in metabolism, cellular growth, energy production, and mitochondrial DNA transcription and replication. Together with Nrf2, Nrf1 also provides the essential function of coordinating gene expression between nuclear and mitochondrial genomes. An additional protein shown to support mitochondrial health is PGC1-alpha (peroxisome proliferator activated receptor gamma coactivator-1-alpha). PGC1-alpha has been shown to regulate energy metabolism and is the master regulator of mitochondrial biogenesis and turnover.</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Sirtuin Theory of Aging and the NAD Pathway</w:t>
      </w:r>
    </w:p>
    <w:p>
      <w:pPr>
        <w:spacing w:after="0" w:line="117" w:lineRule="exact"/>
        <w:rPr>
          <w:sz w:val="20"/>
          <w:szCs w:val="20"/>
          <w:color w:val="auto"/>
        </w:rPr>
      </w:pPr>
    </w:p>
    <w:p>
      <w:pPr>
        <w:ind w:right="20" w:firstLine="255"/>
        <w:spacing w:after="0" w:line="270" w:lineRule="auto"/>
        <w:rPr>
          <w:sz w:val="20"/>
          <w:szCs w:val="20"/>
          <w:color w:val="auto"/>
        </w:rPr>
      </w:pPr>
      <w:r>
        <w:rPr>
          <w:rFonts w:ascii="Times New Roman" w:cs="Times New Roman" w:eastAsia="Times New Roman" w:hAnsi="Times New Roman"/>
          <w:sz w:val="14"/>
          <w:szCs w:val="14"/>
          <w:color w:val="auto"/>
        </w:rPr>
        <w:t>The sirtuin theory of aging developed from studies examining the health benefits of caloric restriction. Caloric restriction is the process whereby caloric intake is restricted by as much as 40 to 60 percent. In numerous experimental models, animals put on calorically restricted diets experienced significant increases in maximum lifespan. Numerous studies have concluded that a family of proteins called the “sirtuins” are required for the increase in lifespan brought on by caloric restriction.</w:t>
      </w:r>
    </w:p>
    <w:p>
      <w:pPr>
        <w:spacing w:after="0" w:line="83" w:lineRule="exact"/>
        <w:rPr>
          <w:sz w:val="20"/>
          <w:szCs w:val="20"/>
          <w:color w:val="auto"/>
        </w:rPr>
      </w:pPr>
    </w:p>
    <w:p>
      <w:pPr>
        <w:jc w:val="both"/>
        <w:ind w:right="240" w:firstLine="255"/>
        <w:spacing w:after="0" w:line="237" w:lineRule="auto"/>
        <w:rPr>
          <w:sz w:val="20"/>
          <w:szCs w:val="20"/>
          <w:color w:val="auto"/>
        </w:rPr>
      </w:pPr>
      <w:r>
        <w:rPr>
          <w:rFonts w:ascii="Times New Roman" w:cs="Times New Roman" w:eastAsia="Times New Roman" w:hAnsi="Times New Roman"/>
          <w:sz w:val="14"/>
          <w:szCs w:val="14"/>
          <w:color w:val="auto"/>
        </w:rPr>
        <w:t>When the physiology of humans undergoing caloric restriction was examined, a number of health benefits were discovered. As researchers began to understand the molecular biology of these sirtuins, they found that the enzymatic activity for most of them required the molecule NAD</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(nicotinamide adenine dinucleotide). NAD</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is an essential molecule for many biochemical reactions, most notably metabolism of food for energy in the mitochondria.</w:t>
      </w:r>
    </w:p>
    <w:p>
      <w:pPr>
        <w:spacing w:after="0" w:line="101" w:lineRule="exact"/>
        <w:rPr>
          <w:sz w:val="20"/>
          <w:szCs w:val="20"/>
          <w:color w:val="auto"/>
        </w:rPr>
      </w:pPr>
    </w:p>
    <w:p>
      <w:pPr>
        <w:jc w:val="both"/>
        <w:ind w:right="20" w:firstLine="255"/>
        <w:spacing w:after="0" w:line="219" w:lineRule="auto"/>
        <w:rPr>
          <w:sz w:val="20"/>
          <w:szCs w:val="20"/>
          <w:color w:val="auto"/>
        </w:rPr>
      </w:pPr>
      <w:r>
        <w:rPr>
          <w:rFonts w:ascii="Times New Roman" w:cs="Times New Roman" w:eastAsia="Times New Roman" w:hAnsi="Times New Roman"/>
          <w:sz w:val="14"/>
          <w:szCs w:val="14"/>
          <w:color w:val="auto"/>
        </w:rPr>
        <w:t>Taken together, these findings are intriguing because they establish a direct link between metabolism and healthy longevity. When energy intake is normal, the primary role of NAD</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is for energy production. However, when NAD</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levels increase, either due to restricting calories or increasing the cellular production of NAD</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it becomes a signaling molecule to activate sirtuins and other health promoting mechanisms within the cell.</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Other Impacts of Aging - Collagen Depletion</w:t>
      </w:r>
    </w:p>
    <w:p>
      <w:pPr>
        <w:spacing w:after="0" w:line="127" w:lineRule="exact"/>
        <w:rPr>
          <w:sz w:val="20"/>
          <w:szCs w:val="20"/>
          <w:color w:val="auto"/>
        </w:rPr>
      </w:pPr>
    </w:p>
    <w:p>
      <w:pPr>
        <w:ind w:right="260" w:firstLine="255"/>
        <w:spacing w:after="0" w:line="270" w:lineRule="auto"/>
        <w:rPr>
          <w:sz w:val="20"/>
          <w:szCs w:val="20"/>
          <w:color w:val="auto"/>
        </w:rPr>
      </w:pPr>
      <w:r>
        <w:rPr>
          <w:rFonts w:ascii="Times New Roman" w:cs="Times New Roman" w:eastAsia="Times New Roman" w:hAnsi="Times New Roman"/>
          <w:sz w:val="14"/>
          <w:szCs w:val="14"/>
          <w:color w:val="auto"/>
        </w:rPr>
        <w:t>Collagen is a protein that serves as a key structural component in various connective tissues throughout the body. There are 28 types of collagens, but Type I represents 80%-90% of all skin collagen in healthy adults. Type I collagen is produced by a type of cell called fibroblasts. From early adulthood, fibroblast cells become less active and collagen production declines by about 1.0-1.5% a year. Studies show that collagen levels reach peak levels in an individual’s late 20’s to early 30’s, followed by a gradual decline that continues with age.</w:t>
      </w:r>
    </w:p>
    <w:p>
      <w:pPr>
        <w:spacing w:after="0" w:line="83" w:lineRule="exact"/>
        <w:rPr>
          <w:sz w:val="20"/>
          <w:szCs w:val="20"/>
          <w:color w:val="auto"/>
        </w:rPr>
      </w:pPr>
    </w:p>
    <w:p>
      <w:pPr>
        <w:ind w:right="60" w:firstLine="255"/>
        <w:spacing w:after="0" w:line="261" w:lineRule="auto"/>
        <w:rPr>
          <w:sz w:val="20"/>
          <w:szCs w:val="20"/>
          <w:color w:val="auto"/>
        </w:rPr>
      </w:pPr>
      <w:r>
        <w:rPr>
          <w:rFonts w:ascii="Times New Roman" w:cs="Times New Roman" w:eastAsia="Times New Roman" w:hAnsi="Times New Roman"/>
          <w:sz w:val="14"/>
          <w:szCs w:val="14"/>
          <w:color w:val="auto"/>
        </w:rPr>
        <w:t>This decline occurs as collagen fibers accumulate damage over time, decreasing their ability to function correctly. The density of the dermis is reduced as well, so it contains less collagen and elastin. The fibers that remain can become disorganized and abnormal in shape in aged skin compared to young and healthy skin. As a result, there is an upregulation of enzymes that break down and recycle collagen, contributing to declining levels. As collagen fibers become damaged and levels start to decline, collagen becomes more fragile and brittle, leading to a weakening of the skin’s structural support. The skin loses volume and firmness, and it starts to thin and wrinkle. Hydration, elasticity, and suppleness of the skin also begin to decline. These changes are characteristic hallmarks associated with the appearance of aging.</w:t>
      </w:r>
    </w:p>
    <w:p>
      <w:pPr>
        <w:spacing w:after="0" w:line="80" w:lineRule="exact"/>
        <w:rPr>
          <w:sz w:val="20"/>
          <w:szCs w:val="20"/>
          <w:color w:val="auto"/>
        </w:rPr>
      </w:pPr>
    </w:p>
    <w:p>
      <w:pPr>
        <w:jc w:val="both"/>
        <w:ind w:right="40" w:firstLine="255"/>
        <w:spacing w:after="0" w:line="270" w:lineRule="auto"/>
        <w:rPr>
          <w:sz w:val="20"/>
          <w:szCs w:val="20"/>
          <w:color w:val="auto"/>
        </w:rPr>
      </w:pPr>
      <w:r>
        <w:rPr>
          <w:rFonts w:ascii="Times New Roman" w:cs="Times New Roman" w:eastAsia="Times New Roman" w:hAnsi="Times New Roman"/>
          <w:sz w:val="14"/>
          <w:szCs w:val="14"/>
          <w:color w:val="auto"/>
        </w:rPr>
        <w:t>In order to holistically address the decline of collagen that impacts structural integrity of both the skin and connective tissue throughout the body, there are three approaches that need to be taken. First, production of new collagen fibers must be activated within the extracellular matrix. Second, the collagen that has been lost must be replenished through supplementation. Third, collagen fibers already present must be maintained through slowing their breakdown or degradation.</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Other Factors of Skin Aging</w:t>
      </w:r>
    </w:p>
    <w:p>
      <w:pPr>
        <w:spacing w:after="0" w:line="12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In addition to declines in collagen, other factors impact the appearance of skin as it ages. Such factors, include skin dullness, hyperpigmentation, and under-eye puffiness and dark circles.</w:t>
      </w: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46" w:right="319" w:bottom="1440" w:gutter="0" w:footer="0" w:header="0"/>
        </w:sectPr>
      </w:pPr>
    </w:p>
    <w:bookmarkStart w:id="10" w:name="page11"/>
    <w:bookmarkEnd w:id="10"/>
    <w:p>
      <w:pPr>
        <w:ind w:left="520" w:hanging="260"/>
        <w:spacing w:after="0"/>
        <w:tabs>
          <w:tab w:leader="none" w:pos="52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Skin dullness can be caused by a buildup of dead skin and impurities caused by the slowdown of skin cell turnover with age, typically beginning in the 30s and early 40s.</w:t>
      </w:r>
    </w:p>
    <w:p>
      <w:pPr>
        <w:spacing w:after="0" w:line="114" w:lineRule="exact"/>
        <w:rPr>
          <w:rFonts w:ascii="Times New Roman" w:cs="Times New Roman" w:eastAsia="Times New Roman" w:hAnsi="Times New Roman"/>
          <w:sz w:val="14"/>
          <w:szCs w:val="14"/>
          <w:color w:val="auto"/>
        </w:rPr>
      </w:pPr>
    </w:p>
    <w:p>
      <w:pPr>
        <w:ind w:left="520" w:right="260" w:hanging="260"/>
        <w:spacing w:after="0" w:line="287" w:lineRule="auto"/>
        <w:tabs>
          <w:tab w:leader="none" w:pos="516"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Hyperpigmentation is caused by excess melanin that can be triggered by factors like sun, pollution, stress, and hormones. Increased tyrosinase and signaling molecules like IL-6 and IL-8 from these factors ultimately lead to an increase of melanin and the appearance of age spots or uneven skin tone.</w:t>
      </w:r>
    </w:p>
    <w:p>
      <w:pPr>
        <w:spacing w:after="0" w:line="71" w:lineRule="exact"/>
        <w:rPr>
          <w:rFonts w:ascii="Times New Roman" w:cs="Times New Roman" w:eastAsia="Times New Roman" w:hAnsi="Times New Roman"/>
          <w:sz w:val="14"/>
          <w:szCs w:val="14"/>
          <w:color w:val="auto"/>
        </w:rPr>
      </w:pPr>
    </w:p>
    <w:p>
      <w:pPr>
        <w:ind w:left="520" w:hanging="260"/>
        <w:spacing w:after="0" w:line="287" w:lineRule="auto"/>
        <w:tabs>
          <w:tab w:leader="none" w:pos="516"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Under-eye dark circles are caused by excess blood vessels under the eye that are more easily visible due to collagen decline and resulting skin thinning under the eye, as well as an increase in vasculature under the eye (angiogenesis triggered by binding of VEGF (vascular endothelial growth factor) on its receptor at the surface of blood vessels).</w:t>
      </w:r>
    </w:p>
    <w:p>
      <w:pPr>
        <w:spacing w:after="0" w:line="7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Under-eye puffiness and bags are caused by fat accumulation from weakening tissues around the eye.</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All these factors lead to an aging appearance.</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Research and Development</w:t>
      </w:r>
    </w:p>
    <w:p>
      <w:pPr>
        <w:spacing w:after="0" w:line="125" w:lineRule="exact"/>
        <w:rPr>
          <w:sz w:val="20"/>
          <w:szCs w:val="20"/>
          <w:color w:val="auto"/>
        </w:rPr>
      </w:pPr>
    </w:p>
    <w:p>
      <w:pPr>
        <w:ind w:right="40" w:firstLine="255"/>
        <w:spacing w:after="0" w:line="237" w:lineRule="auto"/>
        <w:rPr>
          <w:sz w:val="20"/>
          <w:szCs w:val="20"/>
          <w:color w:val="auto"/>
        </w:rPr>
      </w:pPr>
      <w:r>
        <w:rPr>
          <w:rFonts w:ascii="Times New Roman" w:cs="Times New Roman" w:eastAsia="Times New Roman" w:hAnsi="Times New Roman"/>
          <w:sz w:val="14"/>
          <w:szCs w:val="14"/>
          <w:color w:val="auto"/>
        </w:rPr>
        <w:t>Historically, we have focused our research and development efforts on creating and supporting scientifically validated products under the LifeVantage</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Protandim</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TrueScience</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Petandim</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AXIO</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and PhysIQ federation of brands. We anticipate that our future research and development efforts will be focused on creating, developing, and evaluating new products that are consistent with our commitment to provide quality, scientifically validated products that activate and empower the body’s ability to work better. Through our lens of activation and nutrigenomics, we will explore what categories of products and benefits to target and research new ingredients and combinations thereof to develop new products. As we expand, we intend to build on our foundation of activation and nutrigenomics with products that either activate or support the activation of gene or cell pathways targeting specific benefit areas, provide real results, and are an essential and enjoyable part of everyday life. We also intend to continue exploring the synergies of our products to determine what, if any, enhanced or new benefits appear when multiple products are combined as well as ways to expand our product delivery systems. We remain committed to helping people look and feel healthy and vibrant at any age by combating sources of premature aging or declining health.</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Product Overview</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Protandim</w:t>
      </w:r>
      <w:r>
        <w:rPr>
          <w:rFonts w:ascii="Times New Roman" w:cs="Times New Roman" w:eastAsia="Times New Roman" w:hAnsi="Times New Roman"/>
          <w:sz w:val="18"/>
          <w:szCs w:val="18"/>
          <w:b w:val="1"/>
          <w:bCs w:val="1"/>
          <w:i w:val="1"/>
          <w:iCs w:val="1"/>
          <w:color w:val="auto"/>
          <w:vertAlign w:val="superscript"/>
        </w:rPr>
        <w:t>®</w:t>
      </w:r>
      <w:r>
        <w:rPr>
          <w:rFonts w:ascii="Times New Roman" w:cs="Times New Roman" w:eastAsia="Times New Roman" w:hAnsi="Times New Roman"/>
          <w:sz w:val="14"/>
          <w:szCs w:val="14"/>
          <w:b w:val="1"/>
          <w:bCs w:val="1"/>
          <w:i w:val="1"/>
          <w:iCs w:val="1"/>
          <w:color w:val="auto"/>
        </w:rPr>
        <w:t xml:space="preserve"> Nrf2 Synergizer</w:t>
      </w:r>
      <w:r>
        <w:rPr>
          <w:rFonts w:ascii="Times New Roman" w:cs="Times New Roman" w:eastAsia="Times New Roman" w:hAnsi="Times New Roman"/>
          <w:sz w:val="18"/>
          <w:szCs w:val="18"/>
          <w:b w:val="1"/>
          <w:bCs w:val="1"/>
          <w:i w:val="1"/>
          <w:iCs w:val="1"/>
          <w:color w:val="auto"/>
          <w:vertAlign w:val="superscript"/>
        </w:rPr>
        <w:t>®</w:t>
      </w:r>
    </w:p>
    <w:p>
      <w:pPr>
        <w:spacing w:after="0" w:line="79" w:lineRule="exact"/>
        <w:rPr>
          <w:sz w:val="20"/>
          <w:szCs w:val="20"/>
          <w:color w:val="auto"/>
        </w:rPr>
      </w:pPr>
    </w:p>
    <w:p>
      <w:pPr>
        <w:ind w:right="20" w:firstLine="255"/>
        <w:spacing w:after="0" w:line="233" w:lineRule="auto"/>
        <w:rPr>
          <w:sz w:val="20"/>
          <w:szCs w:val="20"/>
          <w:color w:val="auto"/>
        </w:rPr>
      </w:pPr>
      <w:r>
        <w:rPr>
          <w:rFonts w:ascii="Times New Roman" w:cs="Times New Roman" w:eastAsia="Times New Roman" w:hAnsi="Times New Roman"/>
          <w:sz w:val="14"/>
          <w:szCs w:val="14"/>
          <w:b w:val="1"/>
          <w:bCs w:val="1"/>
          <w:color w:val="auto"/>
        </w:rPr>
        <w:t>Protandim</w:t>
      </w:r>
      <w:r>
        <w:rPr>
          <w:rFonts w:ascii="Times New Roman" w:cs="Times New Roman" w:eastAsia="Times New Roman" w:hAnsi="Times New Roman"/>
          <w:sz w:val="18"/>
          <w:szCs w:val="18"/>
          <w:b w:val="1"/>
          <w:bCs w:val="1"/>
          <w:color w:val="auto"/>
          <w:vertAlign w:val="superscript"/>
        </w:rPr>
        <w:t>®</w:t>
      </w:r>
      <w:r>
        <w:rPr>
          <w:rFonts w:ascii="Times New Roman" w:cs="Times New Roman" w:eastAsia="Times New Roman" w:hAnsi="Times New Roman"/>
          <w:sz w:val="14"/>
          <w:szCs w:val="14"/>
          <w:b w:val="1"/>
          <w:bCs w:val="1"/>
          <w:color w:val="auto"/>
        </w:rPr>
        <w:t xml:space="preserve"> Nrf2 Synergizer</w:t>
      </w:r>
      <w:r>
        <w:rPr>
          <w:rFonts w:ascii="Times New Roman" w:cs="Times New Roman" w:eastAsia="Times New Roman" w:hAnsi="Times New Roman"/>
          <w:sz w:val="18"/>
          <w:szCs w:val="18"/>
          <w:b w:val="1"/>
          <w:bCs w:val="1"/>
          <w:color w:val="auto"/>
          <w:vertAlign w:val="superscript"/>
        </w:rPr>
        <w:t>®</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is a patented dietary supplement that has been shown in clinical trials to reduce the age-dependent increase in markers of oxidative stress and has also been shown</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to provide substantial benefits to combat the variety of negative health effects linked to oxidative stress.</w:t>
      </w:r>
    </w:p>
    <w:p>
      <w:pPr>
        <w:spacing w:after="0" w:line="93" w:lineRule="exact"/>
        <w:rPr>
          <w:sz w:val="20"/>
          <w:szCs w:val="20"/>
          <w:color w:val="auto"/>
        </w:rPr>
      </w:pPr>
    </w:p>
    <w:p>
      <w:pPr>
        <w:ind w:right="20" w:firstLine="255"/>
        <w:spacing w:after="0" w:line="226" w:lineRule="auto"/>
        <w:rPr>
          <w:sz w:val="20"/>
          <w:szCs w:val="20"/>
          <w:color w:val="auto"/>
        </w:rPr>
      </w:pPr>
      <w:r>
        <w:rPr>
          <w:rFonts w:ascii="Times New Roman" w:cs="Times New Roman" w:eastAsia="Times New Roman" w:hAnsi="Times New Roman"/>
          <w:sz w:val="14"/>
          <w:szCs w:val="14"/>
          <w:color w:val="auto"/>
        </w:rPr>
        <w:t>Protandim</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Nrf2 Synergizer</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combats oxidative stress by increasing the body’s natural antioxidant protection at the gene level. The unique blend of phytonutrients in Protandim</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Nrf2 Synergizer</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signals the activation of Nrf2 to increase production of antioxidant enzymes, specifically superoxide dismutase and catalase, and other cell-protective gene products. The body's internally produced antioxidant enzymes provide a better defense against oxidative stress than externally derived sources of antioxidants such as vitamin C and vitamin E. Unlike externally derived sources of antioxidants, these enzymes are “catalytic,” which means these enzymes are not used up upon neutralizing free radicals.</w:t>
      </w:r>
    </w:p>
    <w:p>
      <w:pPr>
        <w:spacing w:after="0" w:line="100" w:lineRule="exact"/>
        <w:rPr>
          <w:sz w:val="20"/>
          <w:szCs w:val="20"/>
          <w:color w:val="auto"/>
        </w:rPr>
      </w:pPr>
    </w:p>
    <w:p>
      <w:pPr>
        <w:ind w:right="160" w:firstLine="255"/>
        <w:spacing w:after="0" w:line="239" w:lineRule="auto"/>
        <w:rPr>
          <w:sz w:val="20"/>
          <w:szCs w:val="20"/>
          <w:color w:val="auto"/>
        </w:rPr>
      </w:pPr>
      <w:r>
        <w:rPr>
          <w:rFonts w:ascii="Times New Roman" w:cs="Times New Roman" w:eastAsia="Times New Roman" w:hAnsi="Times New Roman"/>
          <w:sz w:val="14"/>
          <w:szCs w:val="14"/>
          <w:color w:val="auto"/>
        </w:rPr>
        <w:t>We hold multiple U.S. patents related to Protandim</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Nrf2 Synergizer</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We believe these patents set Protandim</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apart from other dietary supplements and protect the original formula as well as certain formula modifications we could create to extend our Protandim</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product line. We sell Protandim</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Nrf2 Synergizer</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in three formulas around the world.</w:t>
      </w:r>
    </w:p>
    <w:p>
      <w:pPr>
        <w:spacing w:after="0" w:line="44" w:lineRule="exact"/>
        <w:rPr>
          <w:sz w:val="20"/>
          <w:szCs w:val="20"/>
          <w:color w:val="auto"/>
        </w:rPr>
      </w:pPr>
    </w:p>
    <w:p>
      <w:pPr>
        <w:ind w:right="20" w:firstLine="255"/>
        <w:spacing w:after="0" w:line="245" w:lineRule="auto"/>
        <w:rPr>
          <w:sz w:val="20"/>
          <w:szCs w:val="20"/>
          <w:color w:val="auto"/>
        </w:rPr>
      </w:pPr>
      <w:r>
        <w:rPr>
          <w:rFonts w:ascii="Times New Roman" w:cs="Times New Roman" w:eastAsia="Times New Roman" w:hAnsi="Times New Roman"/>
          <w:sz w:val="14"/>
          <w:szCs w:val="14"/>
          <w:color w:val="auto"/>
        </w:rPr>
        <w:t>Protandim</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Nrf2 Synergizer</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has been, and is expected to continue to be, the subject of numerous independent scientific studies at various universities and research facilities including Ohio State University, Louisiana State University, University of Colorado Denver, Virginia Commonwealth University, Colorado State University, Texas Tech University and the National Institute on Aging. The results of these studies have been published in a variety of peer-reviewed scientific journals, including </w:t>
      </w:r>
      <w:r>
        <w:rPr>
          <w:rFonts w:ascii="Times New Roman" w:cs="Times New Roman" w:eastAsia="Times New Roman" w:hAnsi="Times New Roman"/>
          <w:sz w:val="14"/>
          <w:szCs w:val="14"/>
          <w:i w:val="1"/>
          <w:iCs w:val="1"/>
          <w:color w:val="auto"/>
        </w:rPr>
        <w:t>Free Radical Biology &amp; Medicine, Enzyme Research, Circulation-the scientific journal of</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the American Heart Association, American Journal of Physiology-Lung Cellular and Molecular Physiology, PLoS One, Journal of Dietary Supplements, Molecular Aspects of Medicine, Oxidative Medicine and Cell Longevity, Exercise &amp; Sports Science Reviews</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 xml:space="preserve"> Clinical Pharmacology, the FASEB Journal, and the Journal of Applied Physiology.</w:t>
      </w:r>
    </w:p>
    <w:p>
      <w:pPr>
        <w:spacing w:after="0" w:line="89" w:lineRule="exact"/>
        <w:rPr>
          <w:sz w:val="20"/>
          <w:szCs w:val="20"/>
          <w:color w:val="auto"/>
        </w:rPr>
      </w:pPr>
    </w:p>
    <w:p>
      <w:pPr>
        <w:ind w:right="100" w:firstLine="255"/>
        <w:spacing w:after="0" w:line="220" w:lineRule="auto"/>
        <w:rPr>
          <w:sz w:val="20"/>
          <w:szCs w:val="20"/>
          <w:color w:val="auto"/>
        </w:rPr>
      </w:pPr>
      <w:r>
        <w:rPr>
          <w:rFonts w:ascii="Times New Roman" w:cs="Times New Roman" w:eastAsia="Times New Roman" w:hAnsi="Times New Roman"/>
          <w:sz w:val="14"/>
          <w:szCs w:val="14"/>
          <w:color w:val="auto"/>
        </w:rPr>
        <w:t>We also continue to perform our own research into Protandim</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Nrf2 Synergizer</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and the synergy with other products in our portfolio. In fiscal year 2023, we received a patent for the combination of Protandim</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Nrf2 Synergizer</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Protandim</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NRF1 Synergizer</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and Protandim</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NAD Synergizer</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(marketed as the Protandim</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Tri-Synergizer), continuing to show how our Protandim</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product line is differentiated and unique in the marketplace. We also filed a U.S. Patent application in fiscal year 2023 which, if granted, will protect the combined effects and synergistic benefits of the Protandim</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Nrf2 Synergizer</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and TrueScience</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Liquid Collagen products when used together.</w:t>
      </w: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46" w:right="31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4"/>
          <w:szCs w:val="14"/>
          <w:b w:val="1"/>
          <w:bCs w:val="1"/>
          <w:i w:val="1"/>
          <w:iCs w:val="1"/>
          <w:color w:val="auto"/>
        </w:rPr>
        <w:t>Protandim</w:t>
      </w:r>
      <w:r>
        <w:rPr>
          <w:rFonts w:ascii="Times New Roman" w:cs="Times New Roman" w:eastAsia="Times New Roman" w:hAnsi="Times New Roman"/>
          <w:sz w:val="18"/>
          <w:szCs w:val="18"/>
          <w:b w:val="1"/>
          <w:bCs w:val="1"/>
          <w:color w:val="auto"/>
          <w:vertAlign w:val="superscript"/>
        </w:rPr>
        <w:t>®</w:t>
      </w:r>
      <w:r>
        <w:rPr>
          <w:rFonts w:ascii="Times New Roman" w:cs="Times New Roman" w:eastAsia="Times New Roman" w:hAnsi="Times New Roman"/>
          <w:sz w:val="14"/>
          <w:szCs w:val="14"/>
          <w:b w:val="1"/>
          <w:bCs w:val="1"/>
          <w:i w:val="1"/>
          <w:iCs w:val="1"/>
          <w:color w:val="auto"/>
        </w:rPr>
        <w:t xml:space="preserve"> NRF1 Synergizer</w:t>
      </w:r>
      <w:r>
        <w:rPr>
          <w:rFonts w:ascii="Times New Roman" w:cs="Times New Roman" w:eastAsia="Times New Roman" w:hAnsi="Times New Roman"/>
          <w:sz w:val="18"/>
          <w:szCs w:val="18"/>
          <w:b w:val="1"/>
          <w:bCs w:val="1"/>
          <w:color w:val="auto"/>
          <w:vertAlign w:val="superscript"/>
        </w:rPr>
        <w:t>®</w:t>
      </w:r>
    </w:p>
    <w:p>
      <w:pPr>
        <w:spacing w:after="0" w:line="72" w:lineRule="exact"/>
        <w:rPr>
          <w:sz w:val="20"/>
          <w:szCs w:val="20"/>
          <w:color w:val="auto"/>
        </w:rPr>
      </w:pPr>
    </w:p>
    <w:p>
      <w:pPr>
        <w:ind w:firstLine="255"/>
        <w:spacing w:after="0" w:line="220" w:lineRule="auto"/>
        <w:rPr>
          <w:sz w:val="20"/>
          <w:szCs w:val="20"/>
          <w:color w:val="auto"/>
        </w:rPr>
      </w:pPr>
      <w:r>
        <w:rPr>
          <w:rFonts w:ascii="Times New Roman" w:cs="Times New Roman" w:eastAsia="Times New Roman" w:hAnsi="Times New Roman"/>
          <w:sz w:val="14"/>
          <w:szCs w:val="14"/>
          <w:b w:val="1"/>
          <w:bCs w:val="1"/>
          <w:color w:val="auto"/>
        </w:rPr>
        <w:t>Protandim</w:t>
      </w:r>
      <w:r>
        <w:rPr>
          <w:rFonts w:ascii="Times New Roman" w:cs="Times New Roman" w:eastAsia="Times New Roman" w:hAnsi="Times New Roman"/>
          <w:sz w:val="18"/>
          <w:szCs w:val="18"/>
          <w:b w:val="1"/>
          <w:bCs w:val="1"/>
          <w:color w:val="auto"/>
          <w:vertAlign w:val="superscript"/>
        </w:rPr>
        <w:t>®</w:t>
      </w:r>
      <w:r>
        <w:rPr>
          <w:rFonts w:ascii="Times New Roman" w:cs="Times New Roman" w:eastAsia="Times New Roman" w:hAnsi="Times New Roman"/>
          <w:sz w:val="14"/>
          <w:szCs w:val="14"/>
          <w:b w:val="1"/>
          <w:bCs w:val="1"/>
          <w:color w:val="auto"/>
        </w:rPr>
        <w:t xml:space="preserve"> NRF1 Synergizer</w:t>
      </w:r>
      <w:r>
        <w:rPr>
          <w:rFonts w:ascii="Times New Roman" w:cs="Times New Roman" w:eastAsia="Times New Roman" w:hAnsi="Times New Roman"/>
          <w:sz w:val="18"/>
          <w:szCs w:val="18"/>
          <w:b w:val="1"/>
          <w:bCs w:val="1"/>
          <w:color w:val="auto"/>
          <w:vertAlign w:val="superscript"/>
        </w:rPr>
        <w:t>®</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is a dietary supplement which was formulated to strengthen the mitochondria, the powerhouse of all cells, for better cellular health. It is designed to work in</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tandem with our flagship Protandim</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Nrf2 Synergizer</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and further enhance the body's internal ability to naturally produce antioxidants and reduce the effects of cellular stress. Protandim</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NRF1 Synergizer</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activates NRF1, a protein that regulates the expression of genes involved in mitochondrial DNA transcription, translation and repair. The unique blend of ingredients in Protandim</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NRF1 Synergizer</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supports the mitochondria to slow cellular aging and increase cellular energy.</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Protandim</w:t>
      </w:r>
      <w:r>
        <w:rPr>
          <w:rFonts w:ascii="Times New Roman" w:cs="Times New Roman" w:eastAsia="Times New Roman" w:hAnsi="Times New Roman"/>
          <w:sz w:val="18"/>
          <w:szCs w:val="18"/>
          <w:b w:val="1"/>
          <w:bCs w:val="1"/>
          <w:color w:val="auto"/>
          <w:vertAlign w:val="superscript"/>
        </w:rPr>
        <w:t>®</w:t>
      </w:r>
      <w:r>
        <w:rPr>
          <w:rFonts w:ascii="Times New Roman" w:cs="Times New Roman" w:eastAsia="Times New Roman" w:hAnsi="Times New Roman"/>
          <w:sz w:val="14"/>
          <w:szCs w:val="14"/>
          <w:b w:val="1"/>
          <w:bCs w:val="1"/>
          <w:i w:val="1"/>
          <w:iCs w:val="1"/>
          <w:color w:val="auto"/>
        </w:rPr>
        <w:t xml:space="preserve"> NAD Synergizer</w:t>
      </w:r>
      <w:r>
        <w:rPr>
          <w:rFonts w:ascii="Times New Roman" w:cs="Times New Roman" w:eastAsia="Times New Roman" w:hAnsi="Times New Roman"/>
          <w:sz w:val="18"/>
          <w:szCs w:val="18"/>
          <w:b w:val="1"/>
          <w:bCs w:val="1"/>
          <w:color w:val="auto"/>
          <w:vertAlign w:val="superscript"/>
        </w:rPr>
        <w:t>®</w:t>
      </w:r>
    </w:p>
    <w:p>
      <w:pPr>
        <w:spacing w:after="0" w:line="79" w:lineRule="exact"/>
        <w:rPr>
          <w:sz w:val="20"/>
          <w:szCs w:val="20"/>
          <w:color w:val="auto"/>
        </w:rPr>
      </w:pPr>
    </w:p>
    <w:p>
      <w:pPr>
        <w:ind w:right="120" w:firstLine="255"/>
        <w:spacing w:after="0" w:line="235" w:lineRule="auto"/>
        <w:rPr>
          <w:sz w:val="20"/>
          <w:szCs w:val="20"/>
          <w:color w:val="auto"/>
        </w:rPr>
      </w:pPr>
      <w:r>
        <w:rPr>
          <w:rFonts w:ascii="Times New Roman" w:cs="Times New Roman" w:eastAsia="Times New Roman" w:hAnsi="Times New Roman"/>
          <w:sz w:val="14"/>
          <w:szCs w:val="14"/>
          <w:b w:val="1"/>
          <w:bCs w:val="1"/>
          <w:color w:val="auto"/>
        </w:rPr>
        <w:t>Protandim</w:t>
      </w:r>
      <w:r>
        <w:rPr>
          <w:rFonts w:ascii="Times New Roman" w:cs="Times New Roman" w:eastAsia="Times New Roman" w:hAnsi="Times New Roman"/>
          <w:sz w:val="18"/>
          <w:szCs w:val="18"/>
          <w:b w:val="1"/>
          <w:bCs w:val="1"/>
          <w:color w:val="auto"/>
          <w:vertAlign w:val="superscript"/>
        </w:rPr>
        <w:t>®</w:t>
      </w:r>
      <w:r>
        <w:rPr>
          <w:rFonts w:ascii="Times New Roman" w:cs="Times New Roman" w:eastAsia="Times New Roman" w:hAnsi="Times New Roman"/>
          <w:sz w:val="14"/>
          <w:szCs w:val="14"/>
          <w:b w:val="1"/>
          <w:bCs w:val="1"/>
          <w:color w:val="auto"/>
        </w:rPr>
        <w:t xml:space="preserve"> NAD Synergizer</w:t>
      </w:r>
      <w:r>
        <w:rPr>
          <w:rFonts w:ascii="Times New Roman" w:cs="Times New Roman" w:eastAsia="Times New Roman" w:hAnsi="Times New Roman"/>
          <w:sz w:val="18"/>
          <w:szCs w:val="18"/>
          <w:b w:val="1"/>
          <w:bCs w:val="1"/>
          <w:color w:val="auto"/>
          <w:vertAlign w:val="superscript"/>
        </w:rPr>
        <w:t>®</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is a dietary supplement which was specifically formulated to target the biochemical pathways involved in the synthesis and recycling of a specific molecule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called NAD (nicotinamide adenine dinucleotide) and has been shown to double sirtuin activity in just 24 hours. Sirtuin activity naturally declines by as much as 60 percent as humans age. Research has long shown that sirtuin activity can be increased by as much as 94 percent through drastic caloric restriction. Sirtuin activity has been linked to multiple health benefits. In addition to being responsible for cellular autophagy (cellular cleanup and renewal process), sirtuins help improve mental focus and concentration, support positive mood and motivation, boost mental and physical energy, aid in maintaining cholesterol levels already in a healthy range, support a healthy vascular system, and promote healthy longevity. A study on the active ingredients in NAD Synergizer</w:t>
      </w:r>
      <w:r>
        <w:rPr>
          <w:rFonts w:ascii="Times New Roman" w:cs="Times New Roman" w:eastAsia="Times New Roman" w:hAnsi="Times New Roman"/>
          <w:sz w:val="18"/>
          <w:szCs w:val="18"/>
          <w:b w:val="1"/>
          <w:bCs w:val="1"/>
          <w:color w:val="auto"/>
          <w:vertAlign w:val="superscript"/>
        </w:rPr>
        <w:t>®</w:t>
      </w:r>
      <w:r>
        <w:rPr>
          <w:rFonts w:ascii="Times New Roman" w:cs="Times New Roman" w:eastAsia="Times New Roman" w:hAnsi="Times New Roman"/>
          <w:sz w:val="14"/>
          <w:szCs w:val="14"/>
          <w:color w:val="auto"/>
        </w:rPr>
        <w:t xml:space="preserve"> also demonstrated a significant increase in NAD+ associated metabolites.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LifeVantage</w:t>
      </w:r>
      <w:r>
        <w:rPr>
          <w:rFonts w:ascii="Times New Roman" w:cs="Times New Roman" w:eastAsia="Times New Roman" w:hAnsi="Times New Roman"/>
          <w:sz w:val="18"/>
          <w:szCs w:val="18"/>
          <w:b w:val="1"/>
          <w:bCs w:val="1"/>
          <w:i w:val="1"/>
          <w:iCs w:val="1"/>
          <w:color w:val="auto"/>
          <w:vertAlign w:val="superscript"/>
        </w:rPr>
        <w:t>®</w:t>
      </w:r>
      <w:r>
        <w:rPr>
          <w:rFonts w:ascii="Times New Roman" w:cs="Times New Roman" w:eastAsia="Times New Roman" w:hAnsi="Times New Roman"/>
          <w:sz w:val="14"/>
          <w:szCs w:val="14"/>
          <w:b w:val="1"/>
          <w:bCs w:val="1"/>
          <w:i w:val="1"/>
          <w:iCs w:val="1"/>
          <w:color w:val="auto"/>
        </w:rPr>
        <w:t xml:space="preserve"> Omega+</w:t>
      </w:r>
    </w:p>
    <w:p>
      <w:pPr>
        <w:spacing w:after="0" w:line="77" w:lineRule="exact"/>
        <w:rPr>
          <w:sz w:val="20"/>
          <w:szCs w:val="20"/>
          <w:color w:val="auto"/>
        </w:rPr>
      </w:pPr>
    </w:p>
    <w:p>
      <w:pPr>
        <w:ind w:right="220" w:firstLine="255"/>
        <w:spacing w:after="0" w:line="233" w:lineRule="auto"/>
        <w:rPr>
          <w:sz w:val="20"/>
          <w:szCs w:val="20"/>
          <w:color w:val="auto"/>
        </w:rPr>
      </w:pPr>
      <w:r>
        <w:rPr>
          <w:rFonts w:ascii="Times New Roman" w:cs="Times New Roman" w:eastAsia="Times New Roman" w:hAnsi="Times New Roman"/>
          <w:sz w:val="14"/>
          <w:szCs w:val="14"/>
          <w:b w:val="1"/>
          <w:bCs w:val="1"/>
          <w:color w:val="auto"/>
        </w:rPr>
        <w:t>LifeVantage</w:t>
      </w:r>
      <w:r>
        <w:rPr>
          <w:rFonts w:ascii="Times New Roman" w:cs="Times New Roman" w:eastAsia="Times New Roman" w:hAnsi="Times New Roman"/>
          <w:sz w:val="18"/>
          <w:szCs w:val="18"/>
          <w:b w:val="1"/>
          <w:bCs w:val="1"/>
          <w:color w:val="auto"/>
          <w:vertAlign w:val="superscript"/>
        </w:rPr>
        <w:t>®</w:t>
      </w:r>
      <w:r>
        <w:rPr>
          <w:rFonts w:ascii="Times New Roman" w:cs="Times New Roman" w:eastAsia="Times New Roman" w:hAnsi="Times New Roman"/>
          <w:sz w:val="14"/>
          <w:szCs w:val="14"/>
          <w:b w:val="1"/>
          <w:bCs w:val="1"/>
          <w:color w:val="auto"/>
        </w:rPr>
        <w:t xml:space="preserve"> Omega+ </w:t>
      </w:r>
      <w:r>
        <w:rPr>
          <w:rFonts w:ascii="Times New Roman" w:cs="Times New Roman" w:eastAsia="Times New Roman" w:hAnsi="Times New Roman"/>
          <w:sz w:val="14"/>
          <w:szCs w:val="14"/>
          <w:color w:val="auto"/>
        </w:rPr>
        <w:t>is a dietary supplement that combines DHA and EPA omega-3 fatty acids, omega-7 fatty acids, and vitamin D3 to support cognitive health, cardiovascular health, skin</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health, and the immune system.</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LifeVantage</w:t>
      </w:r>
      <w:r>
        <w:rPr>
          <w:rFonts w:ascii="Times New Roman" w:cs="Times New Roman" w:eastAsia="Times New Roman" w:hAnsi="Times New Roman"/>
          <w:sz w:val="18"/>
          <w:szCs w:val="18"/>
          <w:b w:val="1"/>
          <w:bCs w:val="1"/>
          <w:i w:val="1"/>
          <w:iCs w:val="1"/>
          <w:color w:val="auto"/>
          <w:vertAlign w:val="superscript"/>
        </w:rPr>
        <w:t>®</w:t>
      </w:r>
      <w:r>
        <w:rPr>
          <w:rFonts w:ascii="Times New Roman" w:cs="Times New Roman" w:eastAsia="Times New Roman" w:hAnsi="Times New Roman"/>
          <w:sz w:val="14"/>
          <w:szCs w:val="14"/>
          <w:b w:val="1"/>
          <w:bCs w:val="1"/>
          <w:i w:val="1"/>
          <w:iCs w:val="1"/>
          <w:color w:val="auto"/>
        </w:rPr>
        <w:t xml:space="preserve"> ProBio</w:t>
      </w:r>
    </w:p>
    <w:p>
      <w:pPr>
        <w:spacing w:after="0" w:line="7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color w:val="auto"/>
        </w:rPr>
        <w:t>LifeVantage</w:t>
      </w:r>
      <w:r>
        <w:rPr>
          <w:rFonts w:ascii="Times New Roman" w:cs="Times New Roman" w:eastAsia="Times New Roman" w:hAnsi="Times New Roman"/>
          <w:sz w:val="18"/>
          <w:szCs w:val="18"/>
          <w:b w:val="1"/>
          <w:bCs w:val="1"/>
          <w:color w:val="auto"/>
          <w:vertAlign w:val="superscript"/>
        </w:rPr>
        <w:t>®</w:t>
      </w:r>
      <w:r>
        <w:rPr>
          <w:rFonts w:ascii="Times New Roman" w:cs="Times New Roman" w:eastAsia="Times New Roman" w:hAnsi="Times New Roman"/>
          <w:sz w:val="14"/>
          <w:szCs w:val="14"/>
          <w:b w:val="1"/>
          <w:bCs w:val="1"/>
          <w:color w:val="auto"/>
        </w:rPr>
        <w:t xml:space="preserve"> ProBio </w:t>
      </w:r>
      <w:r>
        <w:rPr>
          <w:rFonts w:ascii="Times New Roman" w:cs="Times New Roman" w:eastAsia="Times New Roman" w:hAnsi="Times New Roman"/>
          <w:sz w:val="14"/>
          <w:szCs w:val="14"/>
          <w:color w:val="auto"/>
        </w:rPr>
        <w:t>is a dietary supplement designed to support long-term gut health by restoring healthy gut bacteria to support digestive system health.</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LifeVantage</w:t>
      </w:r>
      <w:r>
        <w:rPr>
          <w:rFonts w:ascii="Times New Roman" w:cs="Times New Roman" w:eastAsia="Times New Roman" w:hAnsi="Times New Roman"/>
          <w:sz w:val="18"/>
          <w:szCs w:val="18"/>
          <w:b w:val="1"/>
          <w:bCs w:val="1"/>
          <w:i w:val="1"/>
          <w:iCs w:val="1"/>
          <w:color w:val="auto"/>
          <w:vertAlign w:val="superscript"/>
        </w:rPr>
        <w:t>®</w:t>
      </w:r>
      <w:r>
        <w:rPr>
          <w:rFonts w:ascii="Times New Roman" w:cs="Times New Roman" w:eastAsia="Times New Roman" w:hAnsi="Times New Roman"/>
          <w:sz w:val="14"/>
          <w:szCs w:val="14"/>
          <w:b w:val="1"/>
          <w:bCs w:val="1"/>
          <w:i w:val="1"/>
          <w:iCs w:val="1"/>
          <w:color w:val="auto"/>
        </w:rPr>
        <w:t xml:space="preserve"> IC Bright</w:t>
      </w:r>
      <w:r>
        <w:rPr>
          <w:rFonts w:ascii="Times New Roman" w:cs="Times New Roman" w:eastAsia="Times New Roman" w:hAnsi="Times New Roman"/>
          <w:sz w:val="18"/>
          <w:szCs w:val="18"/>
          <w:b w:val="1"/>
          <w:bCs w:val="1"/>
          <w:i w:val="1"/>
          <w:iCs w:val="1"/>
          <w:color w:val="auto"/>
          <w:vertAlign w:val="superscript"/>
        </w:rPr>
        <w:t>®</w:t>
      </w:r>
    </w:p>
    <w:p>
      <w:pPr>
        <w:spacing w:after="0" w:line="111" w:lineRule="exact"/>
        <w:rPr>
          <w:sz w:val="20"/>
          <w:szCs w:val="20"/>
          <w:color w:val="auto"/>
        </w:rPr>
      </w:pPr>
    </w:p>
    <w:p>
      <w:pPr>
        <w:ind w:right="60" w:firstLine="255"/>
        <w:spacing w:after="0" w:line="233" w:lineRule="auto"/>
        <w:rPr>
          <w:sz w:val="20"/>
          <w:szCs w:val="20"/>
          <w:color w:val="auto"/>
        </w:rPr>
      </w:pPr>
      <w:r>
        <w:rPr>
          <w:rFonts w:ascii="Times New Roman" w:cs="Times New Roman" w:eastAsia="Times New Roman" w:hAnsi="Times New Roman"/>
          <w:sz w:val="14"/>
          <w:szCs w:val="14"/>
          <w:b w:val="1"/>
          <w:bCs w:val="1"/>
          <w:color w:val="auto"/>
        </w:rPr>
        <w:t>LifeVantage</w:t>
      </w:r>
      <w:r>
        <w:rPr>
          <w:rFonts w:ascii="Times New Roman" w:cs="Times New Roman" w:eastAsia="Times New Roman" w:hAnsi="Times New Roman"/>
          <w:sz w:val="18"/>
          <w:szCs w:val="18"/>
          <w:b w:val="1"/>
          <w:bCs w:val="1"/>
          <w:color w:val="auto"/>
          <w:vertAlign w:val="superscript"/>
        </w:rPr>
        <w:t>®</w:t>
      </w:r>
      <w:r>
        <w:rPr>
          <w:rFonts w:ascii="Times New Roman" w:cs="Times New Roman" w:eastAsia="Times New Roman" w:hAnsi="Times New Roman"/>
          <w:sz w:val="14"/>
          <w:szCs w:val="14"/>
          <w:b w:val="1"/>
          <w:bCs w:val="1"/>
          <w:color w:val="auto"/>
        </w:rPr>
        <w:t xml:space="preserve"> IC Bright</w:t>
      </w:r>
      <w:r>
        <w:rPr>
          <w:rFonts w:ascii="Times New Roman" w:cs="Times New Roman" w:eastAsia="Times New Roman" w:hAnsi="Times New Roman"/>
          <w:sz w:val="18"/>
          <w:szCs w:val="18"/>
          <w:b w:val="1"/>
          <w:bCs w:val="1"/>
          <w:color w:val="auto"/>
          <w:vertAlign w:val="superscript"/>
        </w:rPr>
        <w:t>®</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combines macular carotenoids with vitamins and key ingredients that effectively support eye and brain health. It helps reduce eye fatigue and strain from use of digital</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devices, helps promote healthy levels of essential proteins for the brain, and may help support normal sleep patterns, which can be disrupted by blue light exposure.</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LifeVantage</w:t>
      </w:r>
      <w:r>
        <w:rPr>
          <w:rFonts w:ascii="Times New Roman" w:cs="Times New Roman" w:eastAsia="Times New Roman" w:hAnsi="Times New Roman"/>
          <w:sz w:val="18"/>
          <w:szCs w:val="18"/>
          <w:b w:val="1"/>
          <w:bCs w:val="1"/>
          <w:i w:val="1"/>
          <w:iCs w:val="1"/>
          <w:color w:val="auto"/>
          <w:vertAlign w:val="superscript"/>
        </w:rPr>
        <w:t>®</w:t>
      </w:r>
      <w:r>
        <w:rPr>
          <w:rFonts w:ascii="Times New Roman" w:cs="Times New Roman" w:eastAsia="Times New Roman" w:hAnsi="Times New Roman"/>
          <w:sz w:val="14"/>
          <w:szCs w:val="14"/>
          <w:b w:val="1"/>
          <w:bCs w:val="1"/>
          <w:i w:val="1"/>
          <w:iCs w:val="1"/>
          <w:color w:val="auto"/>
        </w:rPr>
        <w:t xml:space="preserve"> Daily Wellness</w:t>
      </w:r>
    </w:p>
    <w:p>
      <w:pPr>
        <w:spacing w:after="0" w:line="77" w:lineRule="exact"/>
        <w:rPr>
          <w:sz w:val="20"/>
          <w:szCs w:val="20"/>
          <w:color w:val="auto"/>
        </w:rPr>
      </w:pPr>
    </w:p>
    <w:p>
      <w:pPr>
        <w:ind w:right="380" w:firstLine="255"/>
        <w:spacing w:after="0" w:line="233" w:lineRule="auto"/>
        <w:rPr>
          <w:sz w:val="20"/>
          <w:szCs w:val="20"/>
          <w:color w:val="auto"/>
        </w:rPr>
      </w:pPr>
      <w:r>
        <w:rPr>
          <w:rFonts w:ascii="Times New Roman" w:cs="Times New Roman" w:eastAsia="Times New Roman" w:hAnsi="Times New Roman"/>
          <w:sz w:val="14"/>
          <w:szCs w:val="14"/>
          <w:b w:val="1"/>
          <w:bCs w:val="1"/>
          <w:color w:val="auto"/>
        </w:rPr>
        <w:t>LifeVantage</w:t>
      </w:r>
      <w:r>
        <w:rPr>
          <w:rFonts w:ascii="Times New Roman" w:cs="Times New Roman" w:eastAsia="Times New Roman" w:hAnsi="Times New Roman"/>
          <w:sz w:val="18"/>
          <w:szCs w:val="18"/>
          <w:b w:val="1"/>
          <w:bCs w:val="1"/>
          <w:color w:val="auto"/>
          <w:vertAlign w:val="superscript"/>
        </w:rPr>
        <w:t>®</w:t>
      </w:r>
      <w:r>
        <w:rPr>
          <w:rFonts w:ascii="Times New Roman" w:cs="Times New Roman" w:eastAsia="Times New Roman" w:hAnsi="Times New Roman"/>
          <w:sz w:val="14"/>
          <w:szCs w:val="14"/>
          <w:b w:val="1"/>
          <w:bCs w:val="1"/>
          <w:color w:val="auto"/>
        </w:rPr>
        <w:t xml:space="preserve"> Daily Wellness </w:t>
      </w:r>
      <w:r>
        <w:rPr>
          <w:rFonts w:ascii="Times New Roman" w:cs="Times New Roman" w:eastAsia="Times New Roman" w:hAnsi="Times New Roman"/>
          <w:sz w:val="14"/>
          <w:szCs w:val="14"/>
          <w:color w:val="auto"/>
        </w:rPr>
        <w:t>is a dietary supplement designed to strengthen immune health by supporting and balancing the three essential roles of the immune system: barrier, innate and</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adaptive.</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LifeVantage</w:t>
      </w:r>
      <w:r>
        <w:rPr>
          <w:rFonts w:ascii="Times New Roman" w:cs="Times New Roman" w:eastAsia="Times New Roman" w:hAnsi="Times New Roman"/>
          <w:sz w:val="18"/>
          <w:szCs w:val="18"/>
          <w:b w:val="1"/>
          <w:bCs w:val="1"/>
          <w:i w:val="1"/>
          <w:iCs w:val="1"/>
          <w:color w:val="auto"/>
          <w:vertAlign w:val="superscript"/>
        </w:rPr>
        <w:t>®</w:t>
      </w:r>
      <w:r>
        <w:rPr>
          <w:rFonts w:ascii="Times New Roman" w:cs="Times New Roman" w:eastAsia="Times New Roman" w:hAnsi="Times New Roman"/>
          <w:sz w:val="14"/>
          <w:szCs w:val="14"/>
          <w:b w:val="1"/>
          <w:bCs w:val="1"/>
          <w:i w:val="1"/>
          <w:iCs w:val="1"/>
          <w:color w:val="auto"/>
        </w:rPr>
        <w:t xml:space="preserve"> Rise AM&amp; Reset PM System</w:t>
      </w:r>
      <w:r>
        <w:rPr>
          <w:rFonts w:ascii="Times New Roman" w:cs="Times New Roman" w:eastAsia="Times New Roman" w:hAnsi="Times New Roman"/>
          <w:sz w:val="18"/>
          <w:szCs w:val="18"/>
          <w:b w:val="1"/>
          <w:bCs w:val="1"/>
          <w:color w:val="auto"/>
          <w:vertAlign w:val="superscript"/>
        </w:rPr>
        <w:t>®</w:t>
      </w:r>
    </w:p>
    <w:p>
      <w:pPr>
        <w:spacing w:after="0" w:line="72" w:lineRule="exact"/>
        <w:rPr>
          <w:sz w:val="20"/>
          <w:szCs w:val="20"/>
          <w:color w:val="auto"/>
        </w:rPr>
      </w:pPr>
    </w:p>
    <w:p>
      <w:pPr>
        <w:jc w:val="both"/>
        <w:ind w:firstLine="255"/>
        <w:spacing w:after="0" w:line="219" w:lineRule="auto"/>
        <w:rPr>
          <w:sz w:val="20"/>
          <w:szCs w:val="20"/>
          <w:color w:val="auto"/>
        </w:rPr>
      </w:pPr>
      <w:r>
        <w:rPr>
          <w:rFonts w:ascii="Times New Roman" w:cs="Times New Roman" w:eastAsia="Times New Roman" w:hAnsi="Times New Roman"/>
          <w:sz w:val="14"/>
          <w:szCs w:val="14"/>
          <w:b w:val="1"/>
          <w:bCs w:val="1"/>
          <w:color w:val="auto"/>
        </w:rPr>
        <w:t>LifeVantage</w:t>
      </w:r>
      <w:r>
        <w:rPr>
          <w:rFonts w:ascii="Times New Roman" w:cs="Times New Roman" w:eastAsia="Times New Roman" w:hAnsi="Times New Roman"/>
          <w:sz w:val="18"/>
          <w:szCs w:val="18"/>
          <w:b w:val="1"/>
          <w:bCs w:val="1"/>
          <w:color w:val="auto"/>
          <w:vertAlign w:val="superscript"/>
        </w:rPr>
        <w:t>®</w:t>
      </w:r>
      <w:r>
        <w:rPr>
          <w:rFonts w:ascii="Times New Roman" w:cs="Times New Roman" w:eastAsia="Times New Roman" w:hAnsi="Times New Roman"/>
          <w:sz w:val="14"/>
          <w:szCs w:val="14"/>
          <w:b w:val="1"/>
          <w:bCs w:val="1"/>
          <w:color w:val="auto"/>
        </w:rPr>
        <w:t xml:space="preserve"> Rise AM &amp; Reset PM System</w:t>
      </w:r>
      <w:r>
        <w:rPr>
          <w:rFonts w:ascii="Times New Roman" w:cs="Times New Roman" w:eastAsia="Times New Roman" w:hAnsi="Times New Roman"/>
          <w:sz w:val="18"/>
          <w:szCs w:val="18"/>
          <w:b w:val="1"/>
          <w:bCs w:val="1"/>
          <w:color w:val="auto"/>
          <w:vertAlign w:val="superscript"/>
        </w:rPr>
        <w:t>®</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is an intelligent approach to a multivitamin that uses Timewise Nutrient Delivery</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to provide the body with the right nutrients in the right amounts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at the right time. Timewise Nutrient Delivery</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was developed in combination with experts in biochemistry, biophysics, and molecular biology and results in nutrition that allows your body to stay in sync with its natural rhythms, delivering energy and focus for a productive day and helping to calm the mind and body at night.</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LifeVantage</w:t>
      </w:r>
      <w:r>
        <w:rPr>
          <w:rFonts w:ascii="Times New Roman" w:cs="Times New Roman" w:eastAsia="Times New Roman" w:hAnsi="Times New Roman"/>
          <w:sz w:val="18"/>
          <w:szCs w:val="18"/>
          <w:b w:val="1"/>
          <w:bCs w:val="1"/>
          <w:i w:val="1"/>
          <w:iCs w:val="1"/>
          <w:color w:val="auto"/>
          <w:vertAlign w:val="superscript"/>
        </w:rPr>
        <w:t>®</w:t>
      </w:r>
      <w:r>
        <w:rPr>
          <w:rFonts w:ascii="Times New Roman" w:cs="Times New Roman" w:eastAsia="Times New Roman" w:hAnsi="Times New Roman"/>
          <w:sz w:val="14"/>
          <w:szCs w:val="14"/>
          <w:b w:val="1"/>
          <w:bCs w:val="1"/>
          <w:i w:val="1"/>
          <w:iCs w:val="1"/>
          <w:color w:val="auto"/>
        </w:rPr>
        <w:t xml:space="preserve"> D3</w:t>
      </w:r>
      <w:r>
        <w:rPr>
          <w:rFonts w:ascii="Times New Roman" w:cs="Times New Roman" w:eastAsia="Times New Roman" w:hAnsi="Times New Roman"/>
          <w:sz w:val="18"/>
          <w:szCs w:val="18"/>
          <w:b w:val="1"/>
          <w:bCs w:val="1"/>
          <w:i w:val="1"/>
          <w:iCs w:val="1"/>
          <w:color w:val="auto"/>
          <w:vertAlign w:val="superscript"/>
        </w:rPr>
        <w:t>+</w:t>
      </w:r>
    </w:p>
    <w:p>
      <w:pPr>
        <w:spacing w:after="0" w:line="79" w:lineRule="exact"/>
        <w:rPr>
          <w:sz w:val="20"/>
          <w:szCs w:val="20"/>
          <w:color w:val="auto"/>
        </w:rPr>
      </w:pPr>
    </w:p>
    <w:p>
      <w:pPr>
        <w:ind w:right="540" w:firstLine="255"/>
        <w:spacing w:after="0" w:line="233" w:lineRule="auto"/>
        <w:rPr>
          <w:sz w:val="20"/>
          <w:szCs w:val="20"/>
          <w:color w:val="auto"/>
        </w:rPr>
      </w:pPr>
      <w:r>
        <w:rPr>
          <w:rFonts w:ascii="Times New Roman" w:cs="Times New Roman" w:eastAsia="Times New Roman" w:hAnsi="Times New Roman"/>
          <w:sz w:val="14"/>
          <w:szCs w:val="14"/>
          <w:b w:val="1"/>
          <w:bCs w:val="1"/>
          <w:color w:val="auto"/>
        </w:rPr>
        <w:t>LifeVantage</w:t>
      </w:r>
      <w:r>
        <w:rPr>
          <w:rFonts w:ascii="Times New Roman" w:cs="Times New Roman" w:eastAsia="Times New Roman" w:hAnsi="Times New Roman"/>
          <w:sz w:val="18"/>
          <w:szCs w:val="18"/>
          <w:b w:val="1"/>
          <w:bCs w:val="1"/>
          <w:color w:val="auto"/>
          <w:vertAlign w:val="superscript"/>
        </w:rPr>
        <w:t>®</w:t>
      </w:r>
      <w:r>
        <w:rPr>
          <w:rFonts w:ascii="Times New Roman" w:cs="Times New Roman" w:eastAsia="Times New Roman" w:hAnsi="Times New Roman"/>
          <w:sz w:val="14"/>
          <w:szCs w:val="14"/>
          <w:b w:val="1"/>
          <w:bCs w:val="1"/>
          <w:color w:val="auto"/>
        </w:rPr>
        <w:t xml:space="preserve"> D3+ </w:t>
      </w:r>
      <w:r>
        <w:rPr>
          <w:rFonts w:ascii="Times New Roman" w:cs="Times New Roman" w:eastAsia="Times New Roman" w:hAnsi="Times New Roman"/>
          <w:sz w:val="14"/>
          <w:szCs w:val="14"/>
          <w:color w:val="auto"/>
        </w:rPr>
        <w:t>is a dietary supplement that provides vitamin D3, vitamin K2, magnesium, calcium, and other trace minerals to support a balanced immune system, strong bones, and</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cardiovascular health.</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PhysIQ Fat Burn</w:t>
      </w:r>
    </w:p>
    <w:p>
      <w:pPr>
        <w:spacing w:after="0" w:line="12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color w:val="auto"/>
        </w:rPr>
        <w:t xml:space="preserve">PhysIQ Fat Burn </w:t>
      </w:r>
      <w:r>
        <w:rPr>
          <w:rFonts w:ascii="Times New Roman" w:cs="Times New Roman" w:eastAsia="Times New Roman" w:hAnsi="Times New Roman"/>
          <w:sz w:val="14"/>
          <w:szCs w:val="14"/>
          <w:color w:val="auto"/>
        </w:rPr>
        <w:t>is a supplement containing naturally derived active ingredients to stimulate the breakdown of abdominal fat, increase energy and support long-term weight management.</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PhysIQ Prebiotic</w:t>
      </w:r>
    </w:p>
    <w:p>
      <w:pPr>
        <w:spacing w:after="0" w:line="11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color w:val="auto"/>
        </w:rPr>
        <w:t xml:space="preserve">PhysIQ Prebiotic </w:t>
      </w:r>
      <w:r>
        <w:rPr>
          <w:rFonts w:ascii="Times New Roman" w:cs="Times New Roman" w:eastAsia="Times New Roman" w:hAnsi="Times New Roman"/>
          <w:sz w:val="14"/>
          <w:szCs w:val="14"/>
          <w:color w:val="auto"/>
        </w:rPr>
        <w:t>is a dietary supplement designed to support the “good” bacteria in the gut and a healthy microbiome, resulting in a healthier digestive tract and a healthier metabolism.</w:t>
      </w: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41" w:right="31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4"/>
          <w:szCs w:val="14"/>
          <w:b w:val="1"/>
          <w:bCs w:val="1"/>
          <w:i w:val="1"/>
          <w:iCs w:val="1"/>
          <w:color w:val="auto"/>
        </w:rPr>
        <w:t>TrueScience</w:t>
      </w:r>
      <w:r>
        <w:rPr>
          <w:rFonts w:ascii="Times New Roman" w:cs="Times New Roman" w:eastAsia="Times New Roman" w:hAnsi="Times New Roman"/>
          <w:sz w:val="18"/>
          <w:szCs w:val="18"/>
          <w:b w:val="1"/>
          <w:bCs w:val="1"/>
          <w:i w:val="1"/>
          <w:iCs w:val="1"/>
          <w:color w:val="auto"/>
          <w:vertAlign w:val="superscript"/>
        </w:rPr>
        <w:t>®</w:t>
      </w:r>
      <w:r>
        <w:rPr>
          <w:rFonts w:ascii="Times New Roman" w:cs="Times New Roman" w:eastAsia="Times New Roman" w:hAnsi="Times New Roman"/>
          <w:sz w:val="14"/>
          <w:szCs w:val="14"/>
          <w:b w:val="1"/>
          <w:bCs w:val="1"/>
          <w:i w:val="1"/>
          <w:iCs w:val="1"/>
          <w:color w:val="auto"/>
        </w:rPr>
        <w:t xml:space="preserve"> Skin Care</w:t>
      </w:r>
    </w:p>
    <w:p>
      <w:pPr>
        <w:spacing w:after="0" w:line="7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Our line of activated anti-aging skin care products under our TrueScience</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brand, consists of:</w:t>
      </w:r>
    </w:p>
    <w:p>
      <w:pPr>
        <w:spacing w:after="0" w:line="75" w:lineRule="exact"/>
        <w:rPr>
          <w:sz w:val="20"/>
          <w:szCs w:val="20"/>
          <w:color w:val="auto"/>
        </w:rPr>
      </w:pPr>
    </w:p>
    <w:p>
      <w:pPr>
        <w:ind w:left="520" w:right="320" w:hanging="260"/>
        <w:spacing w:after="0" w:line="233" w:lineRule="auto"/>
        <w:tabs>
          <w:tab w:leader="none" w:pos="516"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TrueScience</w:t>
      </w:r>
      <w:r>
        <w:rPr>
          <w:rFonts w:ascii="Times New Roman" w:cs="Times New Roman" w:eastAsia="Times New Roman" w:hAnsi="Times New Roman"/>
          <w:sz w:val="18"/>
          <w:szCs w:val="18"/>
          <w:b w:val="1"/>
          <w:bCs w:val="1"/>
          <w:color w:val="auto"/>
          <w:vertAlign w:val="superscript"/>
        </w:rPr>
        <w:t>®</w:t>
      </w:r>
      <w:r>
        <w:rPr>
          <w:rFonts w:ascii="Times New Roman" w:cs="Times New Roman" w:eastAsia="Times New Roman" w:hAnsi="Times New Roman"/>
          <w:sz w:val="14"/>
          <w:szCs w:val="14"/>
          <w:b w:val="1"/>
          <w:bCs w:val="1"/>
          <w:color w:val="auto"/>
        </w:rPr>
        <w:t xml:space="preserve"> Liquid Collagen</w:t>
      </w:r>
      <w:r>
        <w:rPr>
          <w:rFonts w:ascii="Times New Roman" w:cs="Times New Roman" w:eastAsia="Times New Roman" w:hAnsi="Times New Roman"/>
          <w:sz w:val="14"/>
          <w:szCs w:val="14"/>
          <w:color w:val="auto"/>
        </w:rPr>
        <w:t>: our first digestible liquid supplement in fully recyclable glass bottles that activates, replenishes, and maintains the body’s production of collagen on the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cellular level to support skin firmness and elasticity for healthy, glowing skin.</w:t>
      </w:r>
    </w:p>
    <w:p>
      <w:pPr>
        <w:spacing w:after="0" w:line="98" w:lineRule="exact"/>
        <w:rPr>
          <w:rFonts w:ascii="Times New Roman" w:cs="Times New Roman" w:eastAsia="Times New Roman" w:hAnsi="Times New Roman"/>
          <w:sz w:val="14"/>
          <w:szCs w:val="14"/>
          <w:color w:val="auto"/>
        </w:rPr>
      </w:pPr>
    </w:p>
    <w:p>
      <w:pPr>
        <w:ind w:left="520" w:hanging="260"/>
        <w:spacing w:after="0" w:line="233" w:lineRule="auto"/>
        <w:tabs>
          <w:tab w:leader="none" w:pos="516"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TrueScience</w:t>
      </w:r>
      <w:r>
        <w:rPr>
          <w:rFonts w:ascii="Times New Roman" w:cs="Times New Roman" w:eastAsia="Times New Roman" w:hAnsi="Times New Roman"/>
          <w:sz w:val="18"/>
          <w:szCs w:val="18"/>
          <w:b w:val="1"/>
          <w:bCs w:val="1"/>
          <w:color w:val="auto"/>
          <w:vertAlign w:val="superscript"/>
        </w:rPr>
        <w:t>®</w:t>
      </w:r>
      <w:r>
        <w:rPr>
          <w:rFonts w:ascii="Times New Roman" w:cs="Times New Roman" w:eastAsia="Times New Roman" w:hAnsi="Times New Roman"/>
          <w:sz w:val="14"/>
          <w:szCs w:val="14"/>
          <w:b w:val="1"/>
          <w:bCs w:val="1"/>
          <w:color w:val="auto"/>
        </w:rPr>
        <w:t xml:space="preserve"> TrueRenew Daily Firming Complex</w:t>
      </w:r>
      <w:r>
        <w:rPr>
          <w:rFonts w:ascii="Times New Roman" w:cs="Times New Roman" w:eastAsia="Times New Roman" w:hAnsi="Times New Roman"/>
          <w:sz w:val="14"/>
          <w:szCs w:val="14"/>
          <w:color w:val="auto"/>
        </w:rPr>
        <w:t>: a high-performance cosmetic retinol alternative that targets 11 visible signs of aging, providing a more youthful and vibrant complexion</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in as little as three weeks—with continued enhancements at six weeks.</w:t>
      </w:r>
    </w:p>
    <w:p>
      <w:pPr>
        <w:spacing w:after="0" w:line="9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2"/>
        </w:numPr>
        <w:rPr>
          <w:rFonts w:ascii="Times New Roman" w:cs="Times New Roman" w:eastAsia="Times New Roman" w:hAnsi="Times New Roman"/>
          <w:sz w:val="14"/>
          <w:szCs w:val="14"/>
          <w:color w:val="616060"/>
        </w:rPr>
      </w:pPr>
      <w:r>
        <w:rPr>
          <w:rFonts w:ascii="Times New Roman" w:cs="Times New Roman" w:eastAsia="Times New Roman" w:hAnsi="Times New Roman"/>
          <w:sz w:val="14"/>
          <w:szCs w:val="14"/>
          <w:b w:val="1"/>
          <w:bCs w:val="1"/>
          <w:color w:val="auto"/>
        </w:rPr>
        <w:t>TrueScience</w:t>
      </w:r>
      <w:r>
        <w:rPr>
          <w:rFonts w:ascii="Times New Roman" w:cs="Times New Roman" w:eastAsia="Times New Roman" w:hAnsi="Times New Roman"/>
          <w:sz w:val="18"/>
          <w:szCs w:val="18"/>
          <w:b w:val="1"/>
          <w:bCs w:val="1"/>
          <w:color w:val="auto"/>
          <w:vertAlign w:val="superscript"/>
        </w:rPr>
        <w:t>®</w:t>
      </w:r>
      <w:r>
        <w:rPr>
          <w:rFonts w:ascii="Times New Roman" w:cs="Times New Roman" w:eastAsia="Times New Roman" w:hAnsi="Times New Roman"/>
          <w:sz w:val="14"/>
          <w:szCs w:val="14"/>
          <w:b w:val="1"/>
          <w:bCs w:val="1"/>
          <w:color w:val="auto"/>
        </w:rPr>
        <w:t xml:space="preserve"> TrueClean Refining Cleanser</w:t>
      </w:r>
      <w:r>
        <w:rPr>
          <w:rFonts w:ascii="Times New Roman" w:cs="Times New Roman" w:eastAsia="Times New Roman" w:hAnsi="Times New Roman"/>
          <w:sz w:val="14"/>
          <w:szCs w:val="14"/>
          <w:color w:val="auto"/>
        </w:rPr>
        <w:t>: a rich 2-in-1 facial cleanser</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2E3134"/>
        </w:rPr>
        <w:t>that cleanses and exfoliates leaving skin clean, soft, and smooth without making it feel tight or dry.</w:t>
      </w:r>
    </w:p>
    <w:p>
      <w:pPr>
        <w:spacing w:after="0" w:line="76" w:lineRule="exact"/>
        <w:rPr>
          <w:rFonts w:ascii="Times New Roman" w:cs="Times New Roman" w:eastAsia="Times New Roman" w:hAnsi="Times New Roman"/>
          <w:sz w:val="14"/>
          <w:szCs w:val="14"/>
          <w:color w:val="616060"/>
        </w:rPr>
      </w:pPr>
    </w:p>
    <w:p>
      <w:pPr>
        <w:ind w:left="520" w:right="260" w:hanging="260"/>
        <w:spacing w:after="0" w:line="233" w:lineRule="auto"/>
        <w:tabs>
          <w:tab w:leader="none" w:pos="516" w:val="left"/>
        </w:tabs>
        <w:numPr>
          <w:ilvl w:val="0"/>
          <w:numId w:val="12"/>
        </w:numPr>
        <w:rPr>
          <w:rFonts w:ascii="Times New Roman" w:cs="Times New Roman" w:eastAsia="Times New Roman" w:hAnsi="Times New Roman"/>
          <w:sz w:val="14"/>
          <w:szCs w:val="14"/>
          <w:color w:val="2E3134"/>
        </w:rPr>
      </w:pPr>
      <w:r>
        <w:rPr>
          <w:rFonts w:ascii="Times New Roman" w:cs="Times New Roman" w:eastAsia="Times New Roman" w:hAnsi="Times New Roman"/>
          <w:sz w:val="14"/>
          <w:szCs w:val="14"/>
          <w:b w:val="1"/>
          <w:bCs w:val="1"/>
          <w:color w:val="auto"/>
        </w:rPr>
        <w:t>TrueScience</w:t>
      </w:r>
      <w:r>
        <w:rPr>
          <w:rFonts w:ascii="Times New Roman" w:cs="Times New Roman" w:eastAsia="Times New Roman" w:hAnsi="Times New Roman"/>
          <w:sz w:val="18"/>
          <w:szCs w:val="18"/>
          <w:b w:val="1"/>
          <w:bCs w:val="1"/>
          <w:color w:val="auto"/>
          <w:vertAlign w:val="superscript"/>
        </w:rPr>
        <w:t>®</w:t>
      </w:r>
      <w:r>
        <w:rPr>
          <w:rFonts w:ascii="Times New Roman" w:cs="Times New Roman" w:eastAsia="Times New Roman" w:hAnsi="Times New Roman"/>
          <w:sz w:val="14"/>
          <w:szCs w:val="14"/>
          <w:b w:val="1"/>
          <w:bCs w:val="1"/>
          <w:color w:val="auto"/>
        </w:rPr>
        <w:t xml:space="preserve"> TrueLift Illuminating Eye Cream</w:t>
      </w:r>
      <w:r>
        <w:rPr>
          <w:rFonts w:ascii="Times New Roman" w:cs="Times New Roman" w:eastAsia="Times New Roman" w:hAnsi="Times New Roman"/>
          <w:sz w:val="14"/>
          <w:szCs w:val="14"/>
          <w:color w:val="auto"/>
        </w:rPr>
        <w:t>: a silky-smooth formula that targets dark circles and visibly lifts to reveal revitalized eyes. TrueLift supports the skin to improve seven</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visible signs of aging around the eyes, including dark circles, under eye bags, puffiness, fine lines, wrinkles, sagging eyelids, and crow’s feet.</w:t>
      </w:r>
    </w:p>
    <w:p>
      <w:pPr>
        <w:spacing w:after="0" w:line="98" w:lineRule="exact"/>
        <w:rPr>
          <w:rFonts w:ascii="Times New Roman" w:cs="Times New Roman" w:eastAsia="Times New Roman" w:hAnsi="Times New Roman"/>
          <w:sz w:val="14"/>
          <w:szCs w:val="14"/>
          <w:color w:val="2E3134"/>
        </w:rPr>
      </w:pPr>
    </w:p>
    <w:p>
      <w:pPr>
        <w:ind w:left="520" w:right="20" w:hanging="260"/>
        <w:spacing w:after="0" w:line="233" w:lineRule="auto"/>
        <w:tabs>
          <w:tab w:leader="none" w:pos="516"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TrueScience</w:t>
      </w:r>
      <w:r>
        <w:rPr>
          <w:rFonts w:ascii="Times New Roman" w:cs="Times New Roman" w:eastAsia="Times New Roman" w:hAnsi="Times New Roman"/>
          <w:sz w:val="18"/>
          <w:szCs w:val="18"/>
          <w:b w:val="1"/>
          <w:bCs w:val="1"/>
          <w:color w:val="auto"/>
          <w:vertAlign w:val="superscript"/>
        </w:rPr>
        <w:t>®</w:t>
      </w:r>
      <w:r>
        <w:rPr>
          <w:rFonts w:ascii="Times New Roman" w:cs="Times New Roman" w:eastAsia="Times New Roman" w:hAnsi="Times New Roman"/>
          <w:sz w:val="14"/>
          <w:szCs w:val="14"/>
          <w:b w:val="1"/>
          <w:bCs w:val="1"/>
          <w:color w:val="auto"/>
        </w:rPr>
        <w:t xml:space="preserve"> TrueHydrate Brightening Moisturizer</w:t>
      </w:r>
      <w:r>
        <w:rPr>
          <w:rFonts w:ascii="Times New Roman" w:cs="Times New Roman" w:eastAsia="Times New Roman" w:hAnsi="Times New Roman"/>
          <w:sz w:val="14"/>
          <w:szCs w:val="14"/>
          <w:color w:val="auto"/>
        </w:rPr>
        <w:t>: a moisturizing cream that provides hydration equivalent to two weeks’ use of hyaluronic acid, enhanced brightness in seven days and</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a more even skin tone and visibly faded age spots with continued use.</w:t>
      </w:r>
    </w:p>
    <w:p>
      <w:pPr>
        <w:spacing w:after="0" w:line="91" w:lineRule="exact"/>
        <w:rPr>
          <w:rFonts w:ascii="Times New Roman" w:cs="Times New Roman" w:eastAsia="Times New Roman" w:hAnsi="Times New Roman"/>
          <w:sz w:val="14"/>
          <w:szCs w:val="14"/>
          <w:color w:val="auto"/>
        </w:rPr>
      </w:pPr>
    </w:p>
    <w:p>
      <w:pPr>
        <w:ind w:left="520" w:right="420" w:hanging="260"/>
        <w:spacing w:after="0" w:line="232" w:lineRule="auto"/>
        <w:tabs>
          <w:tab w:leader="none" w:pos="516"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TrueScience</w:t>
      </w:r>
      <w:r>
        <w:rPr>
          <w:rFonts w:ascii="Times New Roman" w:cs="Times New Roman" w:eastAsia="Times New Roman" w:hAnsi="Times New Roman"/>
          <w:sz w:val="18"/>
          <w:szCs w:val="18"/>
          <w:b w:val="1"/>
          <w:bCs w:val="1"/>
          <w:color w:val="auto"/>
          <w:vertAlign w:val="superscript"/>
        </w:rPr>
        <w:t>®</w:t>
      </w:r>
      <w:r>
        <w:rPr>
          <w:rFonts w:ascii="Times New Roman" w:cs="Times New Roman" w:eastAsia="Times New Roman" w:hAnsi="Times New Roman"/>
          <w:sz w:val="14"/>
          <w:szCs w:val="14"/>
          <w:b w:val="1"/>
          <w:bCs w:val="1"/>
          <w:color w:val="auto"/>
        </w:rPr>
        <w:t xml:space="preserve"> TrueProtect Daily Mineral Sunstick SPF 30: </w:t>
      </w:r>
      <w:r>
        <w:rPr>
          <w:rFonts w:ascii="Times New Roman" w:cs="Times New Roman" w:eastAsia="Times New Roman" w:hAnsi="Times New Roman"/>
          <w:sz w:val="14"/>
          <w:szCs w:val="14"/>
          <w:color w:val="2E3134"/>
        </w:rPr>
        <w:t>A broad-spectrum mineral sunscreen that addresses the appearance of sun-induced hyperpigmentation and wrinkles as it</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2E3134"/>
        </w:rPr>
        <w:t>protects against future damage for younger-looking, radiant skin.</w:t>
      </w:r>
    </w:p>
    <w:p>
      <w:pPr>
        <w:spacing w:after="0" w:line="97" w:lineRule="exact"/>
        <w:rPr>
          <w:rFonts w:ascii="Times New Roman" w:cs="Times New Roman" w:eastAsia="Times New Roman" w:hAnsi="Times New Roman"/>
          <w:sz w:val="14"/>
          <w:szCs w:val="14"/>
          <w:color w:val="auto"/>
        </w:rPr>
      </w:pPr>
    </w:p>
    <w:p>
      <w:pPr>
        <w:ind w:left="520" w:right="20" w:hanging="260"/>
        <w:spacing w:after="0" w:line="233" w:lineRule="auto"/>
        <w:tabs>
          <w:tab w:leader="none" w:pos="516" w:val="left"/>
        </w:tabs>
        <w:numPr>
          <w:ilvl w:val="0"/>
          <w:numId w:val="12"/>
        </w:numPr>
        <w:rPr>
          <w:rFonts w:ascii="Times New Roman" w:cs="Times New Roman" w:eastAsia="Times New Roman" w:hAnsi="Times New Roman"/>
          <w:sz w:val="14"/>
          <w:szCs w:val="14"/>
          <w:color w:val="2E3134"/>
        </w:rPr>
      </w:pPr>
      <w:r>
        <w:rPr>
          <w:rFonts w:ascii="Times New Roman" w:cs="Times New Roman" w:eastAsia="Times New Roman" w:hAnsi="Times New Roman"/>
          <w:sz w:val="14"/>
          <w:szCs w:val="14"/>
          <w:b w:val="1"/>
          <w:bCs w:val="1"/>
          <w:color w:val="auto"/>
        </w:rPr>
        <w:t>TrueScience</w:t>
      </w:r>
      <w:r>
        <w:rPr>
          <w:rFonts w:ascii="Times New Roman" w:cs="Times New Roman" w:eastAsia="Times New Roman" w:hAnsi="Times New Roman"/>
          <w:sz w:val="18"/>
          <w:szCs w:val="18"/>
          <w:b w:val="1"/>
          <w:bCs w:val="1"/>
          <w:color w:val="auto"/>
          <w:vertAlign w:val="superscript"/>
        </w:rPr>
        <w:t>®</w:t>
      </w:r>
      <w:r>
        <w:rPr>
          <w:rFonts w:ascii="Times New Roman" w:cs="Times New Roman" w:eastAsia="Times New Roman" w:hAnsi="Times New Roman"/>
          <w:sz w:val="14"/>
          <w:szCs w:val="14"/>
          <w:b w:val="1"/>
          <w:bCs w:val="1"/>
          <w:color w:val="auto"/>
        </w:rPr>
        <w:t xml:space="preserve"> TrueTone Perfecting Lotion (Japan market only): </w:t>
      </w:r>
      <w:r>
        <w:rPr>
          <w:rFonts w:ascii="Times New Roman" w:cs="Times New Roman" w:eastAsia="Times New Roman" w:hAnsi="Times New Roman"/>
          <w:sz w:val="14"/>
          <w:szCs w:val="14"/>
          <w:color w:val="auto"/>
        </w:rPr>
        <w:t>a toning lotion developed to meet the needs and concerns of Japanese skin care consumers that moisturizes the skin while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minimizing the appearance of pores.</w:t>
      </w:r>
    </w:p>
    <w:p>
      <w:pPr>
        <w:spacing w:after="0" w:line="98" w:lineRule="exact"/>
        <w:rPr>
          <w:rFonts w:ascii="Times New Roman" w:cs="Times New Roman" w:eastAsia="Times New Roman" w:hAnsi="Times New Roman"/>
          <w:sz w:val="14"/>
          <w:szCs w:val="14"/>
          <w:color w:val="2E3134"/>
        </w:rPr>
      </w:pPr>
    </w:p>
    <w:p>
      <w:pPr>
        <w:ind w:left="520" w:hanging="260"/>
        <w:spacing w:after="0"/>
        <w:tabs>
          <w:tab w:leader="none" w:pos="52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TrueScience</w:t>
      </w:r>
      <w:r>
        <w:rPr>
          <w:rFonts w:ascii="Times New Roman" w:cs="Times New Roman" w:eastAsia="Times New Roman" w:hAnsi="Times New Roman"/>
          <w:sz w:val="18"/>
          <w:szCs w:val="18"/>
          <w:b w:val="1"/>
          <w:bCs w:val="1"/>
          <w:color w:val="auto"/>
          <w:vertAlign w:val="superscript"/>
        </w:rPr>
        <w:t>®</w:t>
      </w:r>
      <w:r>
        <w:rPr>
          <w:rFonts w:ascii="Times New Roman" w:cs="Times New Roman" w:eastAsia="Times New Roman" w:hAnsi="Times New Roman"/>
          <w:sz w:val="14"/>
          <w:szCs w:val="14"/>
          <w:b w:val="1"/>
          <w:bCs w:val="1"/>
          <w:color w:val="auto"/>
        </w:rPr>
        <w:t xml:space="preserve"> Perfecting Lotion: </w:t>
      </w:r>
      <w:r>
        <w:rPr>
          <w:rFonts w:ascii="Times New Roman" w:cs="Times New Roman" w:eastAsia="Times New Roman" w:hAnsi="Times New Roman"/>
          <w:sz w:val="14"/>
          <w:szCs w:val="14"/>
          <w:color w:val="auto"/>
        </w:rPr>
        <w:t>a hybrid lotion formulated for smoother, radiant, and brighter looking skin.</w:t>
      </w:r>
    </w:p>
    <w:p>
      <w:pPr>
        <w:spacing w:after="0" w:line="7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TrueScience</w:t>
      </w:r>
      <w:r>
        <w:rPr>
          <w:rFonts w:ascii="Times New Roman" w:cs="Times New Roman" w:eastAsia="Times New Roman" w:hAnsi="Times New Roman"/>
          <w:sz w:val="18"/>
          <w:szCs w:val="18"/>
          <w:b w:val="1"/>
          <w:bCs w:val="1"/>
          <w:color w:val="auto"/>
          <w:vertAlign w:val="superscript"/>
        </w:rPr>
        <w:t>®</w:t>
      </w:r>
      <w:r>
        <w:rPr>
          <w:rFonts w:ascii="Times New Roman" w:cs="Times New Roman" w:eastAsia="Times New Roman" w:hAnsi="Times New Roman"/>
          <w:sz w:val="14"/>
          <w:szCs w:val="14"/>
          <w:b w:val="1"/>
          <w:bCs w:val="1"/>
          <w:color w:val="auto"/>
        </w:rPr>
        <w:t xml:space="preserve"> Hand Cream: </w:t>
      </w:r>
      <w:r>
        <w:rPr>
          <w:rFonts w:ascii="Times New Roman" w:cs="Times New Roman" w:eastAsia="Times New Roman" w:hAnsi="Times New Roman"/>
          <w:sz w:val="14"/>
          <w:szCs w:val="14"/>
          <w:color w:val="auto"/>
        </w:rPr>
        <w:t>a cream formulated with Nrf2 ingredients to moisturize skin and decrease the visible signs of premature aging on the hands.</w:t>
      </w:r>
    </w:p>
    <w:p>
      <w:pPr>
        <w:spacing w:after="0" w:line="79" w:lineRule="exact"/>
        <w:rPr>
          <w:sz w:val="20"/>
          <w:szCs w:val="20"/>
          <w:color w:val="auto"/>
        </w:rPr>
      </w:pPr>
    </w:p>
    <w:p>
      <w:pPr>
        <w:jc w:val="both"/>
        <w:ind w:right="340" w:firstLine="255"/>
        <w:spacing w:after="0" w:line="225" w:lineRule="auto"/>
        <w:rPr>
          <w:sz w:val="20"/>
          <w:szCs w:val="20"/>
          <w:color w:val="auto"/>
        </w:rPr>
      </w:pPr>
      <w:r>
        <w:rPr>
          <w:rFonts w:ascii="Times New Roman" w:cs="Times New Roman" w:eastAsia="Times New Roman" w:hAnsi="Times New Roman"/>
          <w:sz w:val="14"/>
          <w:szCs w:val="14"/>
          <w:color w:val="auto"/>
        </w:rPr>
        <w:t>Our TrueScience</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Activated Skin Care Collection includes the following products in a TSA-compliant set: TrueClean Refining Cleanser, TrueScience</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TrueRenew Daily Firming Complex, TrueScience</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TrueLift Illuminating Eye Cream, and TrueHydrate Brightening Moisturizer. The system varies slightly in some markets and additional products such as TrueScience</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TrueProtect Daily Mineral Sunstick SPF 30 and TrueScience</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Perfecting Lotion are available outside of the Collection.</w:t>
      </w:r>
    </w:p>
    <w:p>
      <w:pPr>
        <w:spacing w:after="0" w:line="44" w:lineRule="exact"/>
        <w:rPr>
          <w:sz w:val="20"/>
          <w:szCs w:val="20"/>
          <w:color w:val="auto"/>
        </w:rPr>
      </w:pPr>
    </w:p>
    <w:p>
      <w:pPr>
        <w:ind w:right="120" w:firstLine="255"/>
        <w:spacing w:after="0" w:line="231" w:lineRule="auto"/>
        <w:rPr>
          <w:sz w:val="20"/>
          <w:szCs w:val="20"/>
          <w:color w:val="auto"/>
        </w:rPr>
      </w:pPr>
      <w:r>
        <w:rPr>
          <w:rFonts w:ascii="Times New Roman" w:cs="Times New Roman" w:eastAsia="Times New Roman" w:hAnsi="Times New Roman"/>
          <w:sz w:val="14"/>
          <w:szCs w:val="14"/>
          <w:color w:val="auto"/>
        </w:rPr>
        <w:t>We received two composition patents related to our LifeVantage TrueScience</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skin care products, which were tested in an independent third-party clinical study and shown to reduce the visible signs of aging by utilizing Nrf2 technology to mitigate the visible effects of skin damage caused by oxidative stress. We also filed a U.S. Patent application in fiscal year 2023 which, if granted, will protect the combined effects and synergistic benefits of the Protandim</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Nrf2 Synergizer</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and TrueScience</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Liquid Collagen products when used together. Our TrueScience</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skin care products leverage our research on Nrf2 activation and oxidative stress in combination with other clinically tested activating ingredients that work multi-mechanistically to target skin concerns at the source through activation.</w:t>
      </w:r>
    </w:p>
    <w:p>
      <w:pPr>
        <w:spacing w:after="0" w:line="94" w:lineRule="exact"/>
        <w:rPr>
          <w:sz w:val="20"/>
          <w:szCs w:val="20"/>
          <w:color w:val="auto"/>
        </w:rPr>
      </w:pPr>
    </w:p>
    <w:p>
      <w:pPr>
        <w:ind w:right="180" w:firstLine="255"/>
        <w:spacing w:after="0" w:line="230" w:lineRule="auto"/>
        <w:rPr>
          <w:sz w:val="20"/>
          <w:szCs w:val="20"/>
          <w:color w:val="auto"/>
        </w:rPr>
      </w:pPr>
      <w:r>
        <w:rPr>
          <w:rFonts w:ascii="Times New Roman" w:cs="Times New Roman" w:eastAsia="Times New Roman" w:hAnsi="Times New Roman"/>
          <w:sz w:val="14"/>
          <w:szCs w:val="14"/>
          <w:color w:val="auto"/>
        </w:rPr>
        <w:t>TrueScience</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TrueRenew Daily Firming Complex was also validated through a third-party clinical trial. Starting at three weeks and continuing over six weeks, subjects experienced significant improvements in 11 visible signs of aging.</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TrueScience</w:t>
      </w:r>
      <w:r>
        <w:rPr>
          <w:rFonts w:ascii="Times New Roman" w:cs="Times New Roman" w:eastAsia="Times New Roman" w:hAnsi="Times New Roman"/>
          <w:sz w:val="18"/>
          <w:szCs w:val="18"/>
          <w:b w:val="1"/>
          <w:bCs w:val="1"/>
          <w:i w:val="1"/>
          <w:iCs w:val="1"/>
          <w:color w:val="auto"/>
          <w:vertAlign w:val="superscript"/>
        </w:rPr>
        <w:t>®</w:t>
      </w:r>
      <w:r>
        <w:rPr>
          <w:rFonts w:ascii="Times New Roman" w:cs="Times New Roman" w:eastAsia="Times New Roman" w:hAnsi="Times New Roman"/>
          <w:sz w:val="14"/>
          <w:szCs w:val="14"/>
          <w:b w:val="1"/>
          <w:bCs w:val="1"/>
          <w:i w:val="1"/>
          <w:iCs w:val="1"/>
          <w:color w:val="auto"/>
        </w:rPr>
        <w:t xml:space="preserve"> Hair Care</w:t>
      </w:r>
    </w:p>
    <w:p>
      <w:pPr>
        <w:spacing w:after="0" w:line="8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Our line of hair care products under our TrueScience</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brand, consists of:</w:t>
      </w:r>
    </w:p>
    <w:p>
      <w:pPr>
        <w:spacing w:after="0" w:line="70" w:lineRule="exact"/>
        <w:rPr>
          <w:sz w:val="20"/>
          <w:szCs w:val="20"/>
          <w:color w:val="auto"/>
        </w:rPr>
      </w:pPr>
    </w:p>
    <w:p>
      <w:pPr>
        <w:ind w:left="520" w:hanging="260"/>
        <w:spacing w:after="0"/>
        <w:tabs>
          <w:tab w:leader="none" w:pos="52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TrueScience</w:t>
      </w:r>
      <w:r>
        <w:rPr>
          <w:rFonts w:ascii="Times New Roman" w:cs="Times New Roman" w:eastAsia="Times New Roman" w:hAnsi="Times New Roman"/>
          <w:sz w:val="18"/>
          <w:szCs w:val="18"/>
          <w:b w:val="1"/>
          <w:bCs w:val="1"/>
          <w:color w:val="auto"/>
          <w:vertAlign w:val="superscript"/>
        </w:rPr>
        <w:t>®</w:t>
      </w:r>
      <w:r>
        <w:rPr>
          <w:rFonts w:ascii="Times New Roman" w:cs="Times New Roman" w:eastAsia="Times New Roman" w:hAnsi="Times New Roman"/>
          <w:sz w:val="14"/>
          <w:szCs w:val="14"/>
          <w:b w:val="1"/>
          <w:bCs w:val="1"/>
          <w:color w:val="auto"/>
        </w:rPr>
        <w:t xml:space="preserve"> Invigorating Shampoo: </w:t>
      </w:r>
      <w:r>
        <w:rPr>
          <w:rFonts w:ascii="Times New Roman" w:cs="Times New Roman" w:eastAsia="Times New Roman" w:hAnsi="Times New Roman"/>
          <w:sz w:val="14"/>
          <w:szCs w:val="14"/>
          <w:color w:val="auto"/>
        </w:rPr>
        <w:t>Mild surfactant and added amino acid blend that cleans hair without drying out the scalp.</w:t>
      </w:r>
    </w:p>
    <w:p>
      <w:pPr>
        <w:spacing w:after="0" w:line="76"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TrueScience</w:t>
      </w:r>
      <w:r>
        <w:rPr>
          <w:rFonts w:ascii="Times New Roman" w:cs="Times New Roman" w:eastAsia="Times New Roman" w:hAnsi="Times New Roman"/>
          <w:sz w:val="18"/>
          <w:szCs w:val="18"/>
          <w:b w:val="1"/>
          <w:bCs w:val="1"/>
          <w:color w:val="auto"/>
          <w:vertAlign w:val="superscript"/>
        </w:rPr>
        <w:t>®</w:t>
      </w:r>
      <w:r>
        <w:rPr>
          <w:rFonts w:ascii="Times New Roman" w:cs="Times New Roman" w:eastAsia="Times New Roman" w:hAnsi="Times New Roman"/>
          <w:sz w:val="14"/>
          <w:szCs w:val="14"/>
          <w:b w:val="1"/>
          <w:bCs w:val="1"/>
          <w:color w:val="auto"/>
        </w:rPr>
        <w:t xml:space="preserve"> Nourishing Conditioner: </w:t>
      </w:r>
      <w:r>
        <w:rPr>
          <w:rFonts w:ascii="Times New Roman" w:cs="Times New Roman" w:eastAsia="Times New Roman" w:hAnsi="Times New Roman"/>
          <w:sz w:val="14"/>
          <w:szCs w:val="14"/>
          <w:color w:val="auto"/>
        </w:rPr>
        <w:t>Deeply nourishing weightless conditioner that helps hair feel soft and smooth and look fuller and thicker.</w:t>
      </w:r>
    </w:p>
    <w:p>
      <w:pPr>
        <w:spacing w:after="0" w:line="7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TrueScience</w:t>
      </w:r>
      <w:r>
        <w:rPr>
          <w:rFonts w:ascii="Times New Roman" w:cs="Times New Roman" w:eastAsia="Times New Roman" w:hAnsi="Times New Roman"/>
          <w:sz w:val="18"/>
          <w:szCs w:val="18"/>
          <w:b w:val="1"/>
          <w:bCs w:val="1"/>
          <w:color w:val="auto"/>
          <w:vertAlign w:val="superscript"/>
        </w:rPr>
        <w:t>®</w:t>
      </w:r>
      <w:r>
        <w:rPr>
          <w:rFonts w:ascii="Times New Roman" w:cs="Times New Roman" w:eastAsia="Times New Roman" w:hAnsi="Times New Roman"/>
          <w:sz w:val="14"/>
          <w:szCs w:val="14"/>
          <w:b w:val="1"/>
          <w:bCs w:val="1"/>
          <w:color w:val="auto"/>
        </w:rPr>
        <w:t xml:space="preserve"> Scalp Serum: </w:t>
      </w:r>
      <w:r>
        <w:rPr>
          <w:rFonts w:ascii="Times New Roman" w:cs="Times New Roman" w:eastAsia="Times New Roman" w:hAnsi="Times New Roman"/>
          <w:sz w:val="14"/>
          <w:szCs w:val="14"/>
          <w:color w:val="auto"/>
        </w:rPr>
        <w:t>A serum that nourishes the scalp to support normal hair growth while soothing all scalp types.</w:t>
      </w: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41" w:right="31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4"/>
          <w:szCs w:val="14"/>
          <w:b w:val="1"/>
          <w:bCs w:val="1"/>
          <w:i w:val="1"/>
          <w:iCs w:val="1"/>
          <w:color w:val="auto"/>
        </w:rPr>
        <w:t>Petandim</w:t>
      </w:r>
      <w:r>
        <w:rPr>
          <w:rFonts w:ascii="Times New Roman" w:cs="Times New Roman" w:eastAsia="Times New Roman" w:hAnsi="Times New Roman"/>
          <w:sz w:val="18"/>
          <w:szCs w:val="18"/>
          <w:b w:val="1"/>
          <w:bCs w:val="1"/>
          <w:i w:val="1"/>
          <w:iCs w:val="1"/>
          <w:color w:val="auto"/>
          <w:vertAlign w:val="superscript"/>
        </w:rPr>
        <w:t>®</w:t>
      </w:r>
    </w:p>
    <w:p>
      <w:pPr>
        <w:spacing w:after="0" w:line="74" w:lineRule="exact"/>
        <w:rPr>
          <w:sz w:val="20"/>
          <w:szCs w:val="20"/>
          <w:color w:val="auto"/>
        </w:rPr>
      </w:pPr>
    </w:p>
    <w:p>
      <w:pPr>
        <w:ind w:right="360" w:firstLine="255"/>
        <w:spacing w:after="0" w:line="244" w:lineRule="auto"/>
        <w:rPr>
          <w:sz w:val="20"/>
          <w:szCs w:val="20"/>
          <w:color w:val="auto"/>
        </w:rPr>
      </w:pPr>
      <w:r>
        <w:rPr>
          <w:rFonts w:ascii="Times New Roman" w:cs="Times New Roman" w:eastAsia="Times New Roman" w:hAnsi="Times New Roman"/>
          <w:sz w:val="14"/>
          <w:szCs w:val="14"/>
          <w:color w:val="auto"/>
        </w:rPr>
        <w:t>Petandim</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is a supplement specially formulated to combat oxidative stress in dogs through Nrf2 activation. Petandim</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builds upon the active ingredients in Protandim</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Nrf2 Synergizer</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to reduce oxidative stress and support joint function, mobility and flexibility in dogs. Petandim</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received the Quality Seal from the National Animal Supplement Council ("NASC").</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AXIO</w:t>
      </w:r>
      <w:r>
        <w:rPr>
          <w:rFonts w:ascii="Times New Roman" w:cs="Times New Roman" w:eastAsia="Times New Roman" w:hAnsi="Times New Roman"/>
          <w:sz w:val="18"/>
          <w:szCs w:val="18"/>
          <w:b w:val="1"/>
          <w:bCs w:val="1"/>
          <w:i w:val="1"/>
          <w:iCs w:val="1"/>
          <w:color w:val="auto"/>
          <w:vertAlign w:val="superscript"/>
        </w:rPr>
        <w:t>®</w:t>
      </w:r>
    </w:p>
    <w:p>
      <w:pPr>
        <w:spacing w:after="0" w:line="82" w:lineRule="exact"/>
        <w:rPr>
          <w:sz w:val="20"/>
          <w:szCs w:val="20"/>
          <w:color w:val="auto"/>
        </w:rPr>
      </w:pPr>
    </w:p>
    <w:p>
      <w:pPr>
        <w:ind w:right="440" w:firstLine="255"/>
        <w:spacing w:after="0" w:line="237" w:lineRule="auto"/>
        <w:rPr>
          <w:sz w:val="20"/>
          <w:szCs w:val="20"/>
          <w:color w:val="auto"/>
        </w:rPr>
      </w:pPr>
      <w:r>
        <w:rPr>
          <w:rFonts w:ascii="Times New Roman" w:cs="Times New Roman" w:eastAsia="Times New Roman" w:hAnsi="Times New Roman"/>
          <w:sz w:val="14"/>
          <w:szCs w:val="14"/>
          <w:color w:val="auto"/>
        </w:rPr>
        <w:t>AXIO</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is our line of energy drink mixes, formulated as a nootropic to promote alertness and support mental performance. These energy drink powders deliver sustained energy, as well as improved mental focus and promote a positive mood. Available in regular and decaf formulas, AXIO</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is derived from a unique combination of scientifically validated ingredients.</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Product Stacking</w:t>
      </w:r>
    </w:p>
    <w:p>
      <w:pPr>
        <w:spacing w:after="0" w:line="127" w:lineRule="exact"/>
        <w:rPr>
          <w:sz w:val="20"/>
          <w:szCs w:val="20"/>
          <w:color w:val="auto"/>
        </w:rPr>
      </w:pPr>
    </w:p>
    <w:p>
      <w:pPr>
        <w:jc w:val="both"/>
        <w:ind w:right="20" w:firstLine="255"/>
        <w:spacing w:after="0" w:line="270" w:lineRule="auto"/>
        <w:rPr>
          <w:sz w:val="20"/>
          <w:szCs w:val="20"/>
          <w:color w:val="auto"/>
        </w:rPr>
      </w:pPr>
      <w:r>
        <w:rPr>
          <w:rFonts w:ascii="Times New Roman" w:cs="Times New Roman" w:eastAsia="Times New Roman" w:hAnsi="Times New Roman"/>
          <w:sz w:val="14"/>
          <w:szCs w:val="14"/>
          <w:color w:val="auto"/>
        </w:rPr>
        <w:t>A stack consists of multiple products bundled together that are designed to achieve a specific result. By studying the effects of nutrients and natural compounds, we have developed scientifically backed nutrigenomics products that promote healthy aging on the cellular level. By stacking these products together, we have created a foundation for synergy from nutrigenomic products to promote a healthier life.</w:t>
      </w:r>
    </w:p>
    <w:p>
      <w:pPr>
        <w:spacing w:after="0" w:line="83" w:lineRule="exact"/>
        <w:rPr>
          <w:sz w:val="20"/>
          <w:szCs w:val="20"/>
          <w:color w:val="auto"/>
        </w:rPr>
      </w:pPr>
    </w:p>
    <w:p>
      <w:pPr>
        <w:ind w:right="200" w:firstLine="255"/>
        <w:spacing w:after="0" w:line="212" w:lineRule="auto"/>
        <w:rPr>
          <w:sz w:val="20"/>
          <w:szCs w:val="20"/>
          <w:color w:val="auto"/>
        </w:rPr>
      </w:pPr>
      <w:r>
        <w:rPr>
          <w:rFonts w:ascii="Times New Roman" w:cs="Times New Roman" w:eastAsia="Times New Roman" w:hAnsi="Times New Roman"/>
          <w:sz w:val="14"/>
          <w:szCs w:val="14"/>
          <w:color w:val="auto"/>
        </w:rPr>
        <w:t>In fiscal year 2024, our stack strategy evolved with a focus on the brand message of Activation with three stacks that tell the unique LifeVantage Activation story from an inside-out approach. This builds upon the synergistic benefits that were demonstrated in fiscal year 2023 with our Healthy Glow Essentials stack. The Inside-Out Activation Duo features Nrf2 Synergizer</w:t>
      </w:r>
      <w:r>
        <w:rPr>
          <w:rFonts w:ascii="Times New Roman" w:cs="Times New Roman" w:eastAsia="Times New Roman" w:hAnsi="Times New Roman"/>
          <w:sz w:val="18"/>
          <w:szCs w:val="18"/>
          <w:b w:val="1"/>
          <w:bCs w:val="1"/>
          <w:i w:val="1"/>
          <w:iCs w:val="1"/>
          <w:color w:val="auto"/>
          <w:vertAlign w:val="superscript"/>
        </w:rPr>
        <w:t>®</w:t>
      </w:r>
      <w:r>
        <w:rPr>
          <w:rFonts w:ascii="Times New Roman" w:cs="Times New Roman" w:eastAsia="Times New Roman" w:hAnsi="Times New Roman"/>
          <w:sz w:val="14"/>
          <w:szCs w:val="14"/>
          <w:color w:val="auto"/>
        </w:rPr>
        <w:t xml:space="preserve"> and TrueScience</w:t>
      </w:r>
      <w:r>
        <w:rPr>
          <w:rFonts w:ascii="Times New Roman" w:cs="Times New Roman" w:eastAsia="Times New Roman" w:hAnsi="Times New Roman"/>
          <w:sz w:val="18"/>
          <w:szCs w:val="18"/>
          <w:b w:val="1"/>
          <w:bCs w:val="1"/>
          <w:i w:val="1"/>
          <w:iCs w:val="1"/>
          <w:color w:val="auto"/>
          <w:vertAlign w:val="superscript"/>
        </w:rPr>
        <w:t>®</w:t>
      </w:r>
      <w:r>
        <w:rPr>
          <w:rFonts w:ascii="Times New Roman" w:cs="Times New Roman" w:eastAsia="Times New Roman" w:hAnsi="Times New Roman"/>
          <w:sz w:val="14"/>
          <w:szCs w:val="14"/>
          <w:color w:val="auto"/>
        </w:rPr>
        <w:t xml:space="preserve"> TrueRenew Daily Firming Complex. This duo activates antioxidants for good health on the inside and a cleaner, kinder retinol alternative for skin that looks and feels healthy and youthful on the outside. The LifeVantage Activation Essentials Stack contains Nrf2 Synergizer</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,TrueScience</w:t>
      </w:r>
      <w:r>
        <w:rPr>
          <w:rFonts w:ascii="Times New Roman" w:cs="Times New Roman" w:eastAsia="Times New Roman" w:hAnsi="Times New Roman"/>
          <w:sz w:val="18"/>
          <w:szCs w:val="18"/>
          <w:b w:val="1"/>
          <w:bCs w:val="1"/>
          <w:i w:val="1"/>
          <w:iCs w:val="1"/>
          <w:color w:val="auto"/>
          <w:vertAlign w:val="superscript"/>
        </w:rPr>
        <w:t>®</w:t>
      </w:r>
      <w:r>
        <w:rPr>
          <w:rFonts w:ascii="Times New Roman" w:cs="Times New Roman" w:eastAsia="Times New Roman" w:hAnsi="Times New Roman"/>
          <w:sz w:val="14"/>
          <w:szCs w:val="14"/>
          <w:color w:val="auto"/>
        </w:rPr>
        <w:t xml:space="preserve"> Liquid Collagen, and TrueScience</w:t>
      </w:r>
      <w:r>
        <w:rPr>
          <w:rFonts w:ascii="Times New Roman" w:cs="Times New Roman" w:eastAsia="Times New Roman" w:hAnsi="Times New Roman"/>
          <w:sz w:val="18"/>
          <w:szCs w:val="18"/>
          <w:b w:val="1"/>
          <w:bCs w:val="1"/>
          <w:i w:val="1"/>
          <w:iCs w:val="1"/>
          <w:color w:val="auto"/>
          <w:vertAlign w:val="superscript"/>
        </w:rPr>
        <w:t>®</w:t>
      </w:r>
      <w:r>
        <w:rPr>
          <w:rFonts w:ascii="Times New Roman" w:cs="Times New Roman" w:eastAsia="Times New Roman" w:hAnsi="Times New Roman"/>
          <w:sz w:val="14"/>
          <w:szCs w:val="14"/>
          <w:color w:val="auto"/>
        </w:rPr>
        <w:t xml:space="preserve"> TrueRenew Daily Firming Complex. This top-selling trio that boosts your inner wellness while giving you visibly smoother, more youthful skin. Finally, our Healthy Glow + Activated Skin Care Collection contains Nrf2 Synergizer</w:t>
      </w:r>
      <w:r>
        <w:rPr>
          <w:rFonts w:ascii="Times New Roman" w:cs="Times New Roman" w:eastAsia="Times New Roman" w:hAnsi="Times New Roman"/>
          <w:sz w:val="18"/>
          <w:szCs w:val="18"/>
          <w:b w:val="1"/>
          <w:bCs w:val="1"/>
          <w:i w:val="1"/>
          <w:iCs w:val="1"/>
          <w:color w:val="auto"/>
          <w:vertAlign w:val="superscript"/>
        </w:rPr>
        <w:t>®</w:t>
      </w:r>
      <w:r>
        <w:rPr>
          <w:rFonts w:ascii="Times New Roman" w:cs="Times New Roman" w:eastAsia="Times New Roman" w:hAnsi="Times New Roman"/>
          <w:sz w:val="14"/>
          <w:szCs w:val="14"/>
          <w:color w:val="auto"/>
        </w:rPr>
        <w:t>, TrueScience</w:t>
      </w:r>
      <w:r>
        <w:rPr>
          <w:rFonts w:ascii="Times New Roman" w:cs="Times New Roman" w:eastAsia="Times New Roman" w:hAnsi="Times New Roman"/>
          <w:sz w:val="18"/>
          <w:szCs w:val="18"/>
          <w:b w:val="1"/>
          <w:bCs w:val="1"/>
          <w:i w:val="1"/>
          <w:iCs w:val="1"/>
          <w:color w:val="auto"/>
          <w:vertAlign w:val="superscript"/>
        </w:rPr>
        <w:t>®</w:t>
      </w:r>
      <w:r>
        <w:rPr>
          <w:rFonts w:ascii="Times New Roman" w:cs="Times New Roman" w:eastAsia="Times New Roman" w:hAnsi="Times New Roman"/>
          <w:sz w:val="14"/>
          <w:szCs w:val="14"/>
          <w:color w:val="auto"/>
        </w:rPr>
        <w:t xml:space="preserve"> Liquid Collagen, and the full Activated Skin Care Collection. This selection of products complement one another with inner Activation power and external benefits you can see and feel.</w:t>
      </w:r>
    </w:p>
    <w:p>
      <w:pPr>
        <w:spacing w:after="0" w:line="96" w:lineRule="exact"/>
        <w:rPr>
          <w:sz w:val="20"/>
          <w:szCs w:val="20"/>
          <w:color w:val="auto"/>
        </w:rPr>
      </w:pPr>
    </w:p>
    <w:p>
      <w:pPr>
        <w:jc w:val="both"/>
        <w:ind w:firstLine="255"/>
        <w:spacing w:after="0" w:line="227" w:lineRule="auto"/>
        <w:rPr>
          <w:sz w:val="20"/>
          <w:szCs w:val="20"/>
          <w:color w:val="auto"/>
        </w:rPr>
      </w:pPr>
      <w:r>
        <w:rPr>
          <w:rFonts w:ascii="Times New Roman" w:cs="Times New Roman" w:eastAsia="Times New Roman" w:hAnsi="Times New Roman"/>
          <w:sz w:val="14"/>
          <w:szCs w:val="14"/>
          <w:color w:val="auto"/>
        </w:rPr>
        <w:t>We continue to offer other popular packs such as the Vitality Stack (Protandim</w:t>
      </w:r>
      <w:r>
        <w:rPr>
          <w:rFonts w:ascii="Times New Roman" w:cs="Times New Roman" w:eastAsia="Times New Roman" w:hAnsi="Times New Roman"/>
          <w:sz w:val="18"/>
          <w:szCs w:val="18"/>
          <w:b w:val="1"/>
          <w:bCs w:val="1"/>
          <w:i w:val="1"/>
          <w:iCs w:val="1"/>
          <w:color w:val="auto"/>
          <w:vertAlign w:val="superscript"/>
        </w:rPr>
        <w:t>®</w:t>
      </w:r>
      <w:r>
        <w:rPr>
          <w:rFonts w:ascii="Times New Roman" w:cs="Times New Roman" w:eastAsia="Times New Roman" w:hAnsi="Times New Roman"/>
          <w:sz w:val="14"/>
          <w:szCs w:val="14"/>
          <w:color w:val="auto"/>
        </w:rPr>
        <w:t xml:space="preserve"> NRF1 Synergizer</w:t>
      </w:r>
      <w:r>
        <w:rPr>
          <w:rFonts w:ascii="Times New Roman" w:cs="Times New Roman" w:eastAsia="Times New Roman" w:hAnsi="Times New Roman"/>
          <w:sz w:val="18"/>
          <w:szCs w:val="18"/>
          <w:b w:val="1"/>
          <w:bCs w:val="1"/>
          <w:i w:val="1"/>
          <w:iCs w:val="1"/>
          <w:color w:val="auto"/>
          <w:vertAlign w:val="superscript"/>
        </w:rPr>
        <w:t>®</w:t>
      </w:r>
      <w:r>
        <w:rPr>
          <w:rFonts w:ascii="Times New Roman" w:cs="Times New Roman" w:eastAsia="Times New Roman" w:hAnsi="Times New Roman"/>
          <w:sz w:val="14"/>
          <w:szCs w:val="14"/>
          <w:color w:val="auto"/>
        </w:rPr>
        <w:t>, Protandim</w:t>
      </w:r>
      <w:r>
        <w:rPr>
          <w:rFonts w:ascii="Times New Roman" w:cs="Times New Roman" w:eastAsia="Times New Roman" w:hAnsi="Times New Roman"/>
          <w:sz w:val="18"/>
          <w:szCs w:val="18"/>
          <w:b w:val="1"/>
          <w:bCs w:val="1"/>
          <w:i w:val="1"/>
          <w:iCs w:val="1"/>
          <w:color w:val="auto"/>
          <w:vertAlign w:val="superscript"/>
        </w:rPr>
        <w:t>®</w:t>
      </w:r>
      <w:r>
        <w:rPr>
          <w:rFonts w:ascii="Times New Roman" w:cs="Times New Roman" w:eastAsia="Times New Roman" w:hAnsi="Times New Roman"/>
          <w:sz w:val="14"/>
          <w:szCs w:val="14"/>
          <w:color w:val="auto"/>
        </w:rPr>
        <w:t xml:space="preserve"> Nrf2 Synergizer</w:t>
      </w:r>
      <w:r>
        <w:rPr>
          <w:rFonts w:ascii="Times New Roman" w:cs="Times New Roman" w:eastAsia="Times New Roman" w:hAnsi="Times New Roman"/>
          <w:sz w:val="18"/>
          <w:szCs w:val="18"/>
          <w:b w:val="1"/>
          <w:bCs w:val="1"/>
          <w:i w:val="1"/>
          <w:iCs w:val="1"/>
          <w:color w:val="auto"/>
          <w:vertAlign w:val="superscript"/>
        </w:rPr>
        <w:t>®</w:t>
      </w:r>
      <w:r>
        <w:rPr>
          <w:rFonts w:ascii="Times New Roman" w:cs="Times New Roman" w:eastAsia="Times New Roman" w:hAnsi="Times New Roman"/>
          <w:sz w:val="14"/>
          <w:szCs w:val="14"/>
          <w:color w:val="auto"/>
        </w:rPr>
        <w:t>, LifeVantage</w:t>
      </w:r>
      <w:r>
        <w:rPr>
          <w:rFonts w:ascii="Times New Roman" w:cs="Times New Roman" w:eastAsia="Times New Roman" w:hAnsi="Times New Roman"/>
          <w:sz w:val="18"/>
          <w:szCs w:val="18"/>
          <w:b w:val="1"/>
          <w:bCs w:val="1"/>
          <w:i w:val="1"/>
          <w:iCs w:val="1"/>
          <w:color w:val="auto"/>
          <w:vertAlign w:val="superscript"/>
        </w:rPr>
        <w:t>®</w:t>
      </w:r>
      <w:r>
        <w:rPr>
          <w:rFonts w:ascii="Times New Roman" w:cs="Times New Roman" w:eastAsia="Times New Roman" w:hAnsi="Times New Roman"/>
          <w:sz w:val="14"/>
          <w:szCs w:val="14"/>
          <w:color w:val="auto"/>
        </w:rPr>
        <w:t xml:space="preserve"> Omega+ and LifeVantage</w:t>
      </w:r>
      <w:r>
        <w:rPr>
          <w:rFonts w:ascii="Times New Roman" w:cs="Times New Roman" w:eastAsia="Times New Roman" w:hAnsi="Times New Roman"/>
          <w:sz w:val="18"/>
          <w:szCs w:val="18"/>
          <w:b w:val="1"/>
          <w:bCs w:val="1"/>
          <w:i w:val="1"/>
          <w:iCs w:val="1"/>
          <w:color w:val="auto"/>
          <w:vertAlign w:val="superscript"/>
        </w:rPr>
        <w:t>®</w:t>
      </w:r>
      <w:r>
        <w:rPr>
          <w:rFonts w:ascii="Times New Roman" w:cs="Times New Roman" w:eastAsia="Times New Roman" w:hAnsi="Times New Roman"/>
          <w:sz w:val="14"/>
          <w:szCs w:val="14"/>
          <w:color w:val="auto"/>
        </w:rPr>
        <w:t xml:space="preserve"> ProBio), the Ultimate Stack (Vitality Stack + Protandim</w:t>
      </w:r>
      <w:r>
        <w:rPr>
          <w:rFonts w:ascii="Times New Roman" w:cs="Times New Roman" w:eastAsia="Times New Roman" w:hAnsi="Times New Roman"/>
          <w:sz w:val="18"/>
          <w:szCs w:val="18"/>
          <w:b w:val="1"/>
          <w:bCs w:val="1"/>
          <w:i w:val="1"/>
          <w:iCs w:val="1"/>
          <w:color w:val="auto"/>
          <w:vertAlign w:val="superscript"/>
        </w:rPr>
        <w:t>®</w:t>
      </w:r>
      <w:r>
        <w:rPr>
          <w:rFonts w:ascii="Times New Roman" w:cs="Times New Roman" w:eastAsia="Times New Roman" w:hAnsi="Times New Roman"/>
          <w:sz w:val="14"/>
          <w:szCs w:val="14"/>
          <w:color w:val="auto"/>
        </w:rPr>
        <w:t xml:space="preserve"> NAD Synergizer</w:t>
      </w:r>
      <w:r>
        <w:rPr>
          <w:rFonts w:ascii="Times New Roman" w:cs="Times New Roman" w:eastAsia="Times New Roman" w:hAnsi="Times New Roman"/>
          <w:sz w:val="18"/>
          <w:szCs w:val="18"/>
          <w:b w:val="1"/>
          <w:bCs w:val="1"/>
          <w:i w:val="1"/>
          <w:iCs w:val="1"/>
          <w:color w:val="auto"/>
          <w:vertAlign w:val="superscript"/>
        </w:rPr>
        <w:t>®</w:t>
      </w:r>
      <w:r>
        <w:rPr>
          <w:rFonts w:ascii="Times New Roman" w:cs="Times New Roman" w:eastAsia="Times New Roman" w:hAnsi="Times New Roman"/>
          <w:sz w:val="14"/>
          <w:szCs w:val="14"/>
          <w:color w:val="auto"/>
        </w:rPr>
        <w:t xml:space="preserve"> and PhysIQ Prebiotic), the Protandim</w:t>
      </w:r>
      <w:r>
        <w:rPr>
          <w:rFonts w:ascii="Times New Roman" w:cs="Times New Roman" w:eastAsia="Times New Roman" w:hAnsi="Times New Roman"/>
          <w:sz w:val="18"/>
          <w:szCs w:val="18"/>
          <w:b w:val="1"/>
          <w:bCs w:val="1"/>
          <w:i w:val="1"/>
          <w:iCs w:val="1"/>
          <w:color w:val="auto"/>
          <w:vertAlign w:val="superscript"/>
        </w:rPr>
        <w:t>®</w:t>
      </w:r>
      <w:r>
        <w:rPr>
          <w:rFonts w:ascii="Times New Roman" w:cs="Times New Roman" w:eastAsia="Times New Roman" w:hAnsi="Times New Roman"/>
          <w:sz w:val="14"/>
          <w:szCs w:val="14"/>
          <w:color w:val="auto"/>
        </w:rPr>
        <w:t xml:space="preserve"> Tri-Synergizer™ (Protandim</w:t>
      </w:r>
      <w:r>
        <w:rPr>
          <w:rFonts w:ascii="Times New Roman" w:cs="Times New Roman" w:eastAsia="Times New Roman" w:hAnsi="Times New Roman"/>
          <w:sz w:val="18"/>
          <w:szCs w:val="18"/>
          <w:b w:val="1"/>
          <w:bCs w:val="1"/>
          <w:i w:val="1"/>
          <w:iCs w:val="1"/>
          <w:color w:val="auto"/>
          <w:vertAlign w:val="superscript"/>
        </w:rPr>
        <w:t>®</w:t>
      </w:r>
      <w:r>
        <w:rPr>
          <w:rFonts w:ascii="Times New Roman" w:cs="Times New Roman" w:eastAsia="Times New Roman" w:hAnsi="Times New Roman"/>
          <w:sz w:val="14"/>
          <w:szCs w:val="14"/>
          <w:color w:val="auto"/>
        </w:rPr>
        <w:t xml:space="preserve"> NRF1 Synergizer</w:t>
      </w:r>
      <w:r>
        <w:rPr>
          <w:rFonts w:ascii="Times New Roman" w:cs="Times New Roman" w:eastAsia="Times New Roman" w:hAnsi="Times New Roman"/>
          <w:sz w:val="18"/>
          <w:szCs w:val="18"/>
          <w:b w:val="1"/>
          <w:bCs w:val="1"/>
          <w:i w:val="1"/>
          <w:iCs w:val="1"/>
          <w:color w:val="auto"/>
          <w:vertAlign w:val="superscript"/>
        </w:rPr>
        <w:t>®</w:t>
      </w:r>
      <w:r>
        <w:rPr>
          <w:rFonts w:ascii="Times New Roman" w:cs="Times New Roman" w:eastAsia="Times New Roman" w:hAnsi="Times New Roman"/>
          <w:sz w:val="14"/>
          <w:szCs w:val="14"/>
          <w:color w:val="auto"/>
        </w:rPr>
        <w:t>, Protandim</w:t>
      </w:r>
      <w:r>
        <w:rPr>
          <w:rFonts w:ascii="Times New Roman" w:cs="Times New Roman" w:eastAsia="Times New Roman" w:hAnsi="Times New Roman"/>
          <w:sz w:val="18"/>
          <w:szCs w:val="18"/>
          <w:b w:val="1"/>
          <w:bCs w:val="1"/>
          <w:i w:val="1"/>
          <w:iCs w:val="1"/>
          <w:color w:val="auto"/>
          <w:vertAlign w:val="superscript"/>
        </w:rPr>
        <w:t>®</w:t>
      </w:r>
      <w:r>
        <w:rPr>
          <w:rFonts w:ascii="Times New Roman" w:cs="Times New Roman" w:eastAsia="Times New Roman" w:hAnsi="Times New Roman"/>
          <w:sz w:val="14"/>
          <w:szCs w:val="14"/>
          <w:color w:val="auto"/>
        </w:rPr>
        <w:t xml:space="preserve"> Nrf2 Synergizer</w:t>
      </w:r>
      <w:r>
        <w:rPr>
          <w:rFonts w:ascii="Times New Roman" w:cs="Times New Roman" w:eastAsia="Times New Roman" w:hAnsi="Times New Roman"/>
          <w:sz w:val="18"/>
          <w:szCs w:val="18"/>
          <w:b w:val="1"/>
          <w:bCs w:val="1"/>
          <w:i w:val="1"/>
          <w:iCs w:val="1"/>
          <w:color w:val="auto"/>
          <w:vertAlign w:val="superscript"/>
        </w:rPr>
        <w:t>®</w:t>
      </w:r>
      <w:r>
        <w:rPr>
          <w:rFonts w:ascii="Times New Roman" w:cs="Times New Roman" w:eastAsia="Times New Roman" w:hAnsi="Times New Roman"/>
          <w:sz w:val="14"/>
          <w:szCs w:val="14"/>
          <w:color w:val="auto"/>
        </w:rPr>
        <w:t>, and Protandim® NAD Synergizer</w:t>
      </w:r>
      <w:r>
        <w:rPr>
          <w:rFonts w:ascii="Times New Roman" w:cs="Times New Roman" w:eastAsia="Times New Roman" w:hAnsi="Times New Roman"/>
          <w:sz w:val="18"/>
          <w:szCs w:val="18"/>
          <w:b w:val="1"/>
          <w:bCs w:val="1"/>
          <w:i w:val="1"/>
          <w:iCs w:val="1"/>
          <w:color w:val="auto"/>
          <w:vertAlign w:val="superscript"/>
        </w:rPr>
        <w:t>®</w:t>
      </w:r>
      <w:r>
        <w:rPr>
          <w:rFonts w:ascii="Times New Roman" w:cs="Times New Roman" w:eastAsia="Times New Roman" w:hAnsi="Times New Roman"/>
          <w:sz w:val="14"/>
          <w:szCs w:val="14"/>
          <w:color w:val="auto"/>
        </w:rPr>
        <w:t>).</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Distribution of Products</w:t>
      </w:r>
    </w:p>
    <w:p>
      <w:pPr>
        <w:spacing w:after="0" w:line="127" w:lineRule="exact"/>
        <w:rPr>
          <w:sz w:val="20"/>
          <w:szCs w:val="20"/>
          <w:color w:val="auto"/>
        </w:rPr>
      </w:pPr>
    </w:p>
    <w:p>
      <w:pPr>
        <w:ind w:right="80" w:firstLine="255"/>
        <w:spacing w:after="0" w:line="270" w:lineRule="auto"/>
        <w:rPr>
          <w:sz w:val="20"/>
          <w:szCs w:val="20"/>
          <w:color w:val="auto"/>
        </w:rPr>
      </w:pPr>
      <w:r>
        <w:rPr>
          <w:rFonts w:ascii="Times New Roman" w:cs="Times New Roman" w:eastAsia="Times New Roman" w:hAnsi="Times New Roman"/>
          <w:sz w:val="14"/>
          <w:szCs w:val="14"/>
          <w:color w:val="auto"/>
        </w:rPr>
        <w:t>We believe our products are well suited for independent consultant to customer sales through our direct selling model. This model allows our independent consultants to educate our customers regarding the benefits of our unique products more thoroughly than other business models. Our direct selling model also allows our independent consultants to offer personalized customer service to our customers and encourage regular use of our products.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Product Return Policy</w:t>
      </w:r>
    </w:p>
    <w:p>
      <w:pPr>
        <w:spacing w:after="0" w:line="127" w:lineRule="exact"/>
        <w:rPr>
          <w:sz w:val="20"/>
          <w:szCs w:val="20"/>
          <w:color w:val="auto"/>
        </w:rPr>
      </w:pPr>
    </w:p>
    <w:p>
      <w:pPr>
        <w:ind w:right="200" w:firstLine="255"/>
        <w:spacing w:after="0" w:line="270" w:lineRule="auto"/>
        <w:rPr>
          <w:sz w:val="20"/>
          <w:szCs w:val="20"/>
          <w:color w:val="auto"/>
        </w:rPr>
      </w:pPr>
      <w:r>
        <w:rPr>
          <w:rFonts w:ascii="Times New Roman" w:cs="Times New Roman" w:eastAsia="Times New Roman" w:hAnsi="Times New Roman"/>
          <w:sz w:val="14"/>
          <w:szCs w:val="14"/>
          <w:color w:val="auto"/>
        </w:rPr>
        <w:t>All products purchased directly from us include a product guarantee. Subject to some exceptions based on local regulations, we will accept returns of opened and unopened products within 30 days of purchase for a full refund of the purchase price. In addition, our product return program allows independent consultants to return certain unopened, unexpired products for a refund of the purchase price less a 10% restocking fee and any paid commissions. The amount of inventory we will repurchase from an independent consultant is subject to specified policies and procedures.</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Accounts</w:t>
      </w:r>
    </w:p>
    <w:p>
      <w:pPr>
        <w:spacing w:after="0" w:line="11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We generally categorize accounts as either independent consultants or customers, both of which may be consumers of our products.</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Independent Consultants</w:t>
      </w:r>
    </w:p>
    <w:p>
      <w:pPr>
        <w:spacing w:after="0" w:line="127" w:lineRule="exact"/>
        <w:rPr>
          <w:sz w:val="20"/>
          <w:szCs w:val="20"/>
          <w:color w:val="auto"/>
        </w:rPr>
      </w:pPr>
    </w:p>
    <w:p>
      <w:pPr>
        <w:ind w:right="80" w:firstLine="255"/>
        <w:spacing w:after="0" w:line="264" w:lineRule="auto"/>
        <w:rPr>
          <w:sz w:val="20"/>
          <w:szCs w:val="20"/>
          <w:color w:val="auto"/>
        </w:rPr>
      </w:pPr>
      <w:r>
        <w:rPr>
          <w:rFonts w:ascii="Times New Roman" w:cs="Times New Roman" w:eastAsia="Times New Roman" w:hAnsi="Times New Roman"/>
          <w:sz w:val="14"/>
          <w:szCs w:val="14"/>
          <w:color w:val="auto"/>
        </w:rPr>
        <w:t>An independent consultant in our company is an independent contractor who participates in our direct sales opportunity by enrolling through the independent consultant contract process and selling our products. Independent consultants may purchase our products and sell them to others either directly or through our company. We believe our independent consultants are typically entrepreneurs, who believe in our products and desire to earn income through sales commissions and by building their own consulting business. Many of our independent consultants are attracted by the opportunity to sell unique, scientifically validated products without incurring significant start-up costs. Independent consultants sign a contract with us that includes a</w:t>
      </w:r>
    </w:p>
    <w:p>
      <w:pPr>
        <w:spacing w:after="0" w:line="200" w:lineRule="exact"/>
        <w:rPr>
          <w:sz w:val="20"/>
          <w:szCs w:val="20"/>
          <w:color w:val="auto"/>
        </w:rPr>
      </w:pPr>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841" w:right="339" w:bottom="1440" w:gutter="0" w:footer="0" w:header="0"/>
        </w:sectPr>
      </w:pPr>
    </w:p>
    <w:bookmarkStart w:id="14" w:name="page15"/>
    <w:bookmarkEnd w:id="14"/>
    <w:p>
      <w:pPr>
        <w:ind w:right="220"/>
        <w:spacing w:after="0" w:line="287" w:lineRule="auto"/>
        <w:rPr>
          <w:sz w:val="20"/>
          <w:szCs w:val="20"/>
          <w:color w:val="auto"/>
        </w:rPr>
      </w:pPr>
      <w:r>
        <w:rPr>
          <w:rFonts w:ascii="Times New Roman" w:cs="Times New Roman" w:eastAsia="Times New Roman" w:hAnsi="Times New Roman"/>
          <w:sz w:val="14"/>
          <w:szCs w:val="14"/>
          <w:color w:val="auto"/>
        </w:rPr>
        <w:t>requirement that they adhere to strict policies and procedures. Independent consultants may purchase product from us for individual and family consumption and for demonstrations, samples and retailing opportunities.</w:t>
      </w:r>
    </w:p>
    <w:p>
      <w:pPr>
        <w:spacing w:after="0" w:line="61" w:lineRule="exact"/>
        <w:rPr>
          <w:sz w:val="20"/>
          <w:szCs w:val="20"/>
          <w:color w:val="auto"/>
        </w:rPr>
      </w:pPr>
    </w:p>
    <w:p>
      <w:pPr>
        <w:ind w:right="20" w:firstLine="255"/>
        <w:spacing w:after="0" w:line="259" w:lineRule="auto"/>
        <w:rPr>
          <w:sz w:val="20"/>
          <w:szCs w:val="20"/>
          <w:color w:val="auto"/>
        </w:rPr>
      </w:pPr>
      <w:r>
        <w:rPr>
          <w:rFonts w:ascii="Times New Roman" w:cs="Times New Roman" w:eastAsia="Times New Roman" w:hAnsi="Times New Roman"/>
          <w:sz w:val="14"/>
          <w:szCs w:val="14"/>
          <w:color w:val="auto"/>
        </w:rPr>
        <w:t>While we provide product development, shipping and logistics support, brochures, magazines, a website, the LifeVantage app and other sales and marketing materials, independent consultants are primarily responsible for their sales to customers and for attracting, enrolling, and educating new independent consultants about the benefits of our products and sales compensation plan. An independent consultant creates multiple levels of compensation by selling our products and enrolling new independent consultants who sell our products. These newly enrolled independent consultants form a “downline” or “group” for the independent consultant who enrolled them. If downline independent consultants enroll new independent consultants or customers who purchase our products, they create additional levels of compensation, and their downline independent consultants remain in the same downline network as the original enrolling independent consultant We pay commissions only upon the sale of our products. We do not pay commissions for enrolling independent consultants.</w:t>
      </w:r>
    </w:p>
    <w:p>
      <w:pPr>
        <w:spacing w:after="0" w:line="93" w:lineRule="exact"/>
        <w:rPr>
          <w:sz w:val="20"/>
          <w:szCs w:val="20"/>
          <w:color w:val="auto"/>
        </w:rPr>
      </w:pPr>
    </w:p>
    <w:p>
      <w:pPr>
        <w:ind w:firstLine="255"/>
        <w:spacing w:after="0" w:line="287" w:lineRule="auto"/>
        <w:rPr>
          <w:sz w:val="20"/>
          <w:szCs w:val="20"/>
          <w:color w:val="auto"/>
        </w:rPr>
      </w:pPr>
      <w:r>
        <w:rPr>
          <w:rFonts w:ascii="Times New Roman" w:cs="Times New Roman" w:eastAsia="Times New Roman" w:hAnsi="Times New Roman"/>
          <w:sz w:val="14"/>
          <w:szCs w:val="14"/>
          <w:color w:val="auto"/>
        </w:rPr>
        <w:t>We define “active independent consultants” as those independent consultants who have purchased product from us for retail sales or personal consumption during the prior three months. We had approximately 49,000 and 54,000 active independent consultants as of each of the fiscal years ended June 30, 2024 and 2023, respectively.</w:t>
      </w:r>
    </w:p>
    <w:p>
      <w:pPr>
        <w:spacing w:after="0" w:line="6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color w:val="auto"/>
        </w:rPr>
        <w:t>Independent Consultant Compensation</w:t>
      </w:r>
    </w:p>
    <w:p>
      <w:pPr>
        <w:spacing w:after="0" w:line="117" w:lineRule="exact"/>
        <w:rPr>
          <w:sz w:val="20"/>
          <w:szCs w:val="20"/>
          <w:color w:val="auto"/>
        </w:rPr>
      </w:pPr>
    </w:p>
    <w:p>
      <w:pPr>
        <w:ind w:firstLine="255"/>
        <w:spacing w:after="0" w:line="270" w:lineRule="auto"/>
        <w:rPr>
          <w:sz w:val="20"/>
          <w:szCs w:val="20"/>
          <w:color w:val="auto"/>
        </w:rPr>
      </w:pPr>
      <w:r>
        <w:rPr>
          <w:rFonts w:ascii="Times New Roman" w:cs="Times New Roman" w:eastAsia="Times New Roman" w:hAnsi="Times New Roman"/>
          <w:sz w:val="14"/>
          <w:szCs w:val="14"/>
          <w:color w:val="auto"/>
        </w:rPr>
        <w:t>In February 2024, we launched the Evolve Compensation Plan for our independent consultants in our Mexico, Canada, and European markets, which continued our roll out of the new Evolve Compensation Plan. In March 2023, we launched the Evolve Compensation Plan for our independent consultants in our United States, Australia, New Zealand and Japan markets. We plan to roll out this new compensation plan to our remaining markets.</w:t>
      </w:r>
    </w:p>
    <w:p>
      <w:pPr>
        <w:spacing w:after="0" w:line="83" w:lineRule="exact"/>
        <w:rPr>
          <w:sz w:val="20"/>
          <w:szCs w:val="20"/>
          <w:color w:val="auto"/>
        </w:rPr>
      </w:pPr>
    </w:p>
    <w:p>
      <w:pPr>
        <w:ind w:right="260" w:firstLine="255"/>
        <w:spacing w:after="0" w:line="257" w:lineRule="auto"/>
        <w:rPr>
          <w:sz w:val="20"/>
          <w:szCs w:val="20"/>
          <w:color w:val="auto"/>
        </w:rPr>
      </w:pPr>
      <w:r>
        <w:rPr>
          <w:rFonts w:ascii="Times New Roman" w:cs="Times New Roman" w:eastAsia="Times New Roman" w:hAnsi="Times New Roman"/>
          <w:sz w:val="14"/>
          <w:szCs w:val="14"/>
          <w:color w:val="auto"/>
        </w:rPr>
        <w:t>We believe our sales compensation plan is one of the more financially rewarding in the direct selling industry and in line with direct selling industry standards. Some elements of our sales compensation plan are paid daily, to eligible independent consultants, and others are paid weekly or monthly. We believe this gives us a competitive advantage and helps retain new independent consultants by allowing them to receive some sales commissions in a more timely manner from their sales efforts. Our sales compensation plan is intended to appeal to a broad cross-section of people, including those seeking to supplement family income, start a home-based business or pursue entrepreneurial opportunities full- or part-time. Through the Evolve Compensation Plan our independent consultants earn bonuses specifically for the sale of products to customers and by growing a customer subscription-based business, creating greater opportunities for independent consultants who are not interested in enrolling other consultants to sell products. Our independent consultants earn sales commissions on product sales to their personally enrolled customers and independent consultants and the product sales to customers and independent consultants within their sales organization, or "downline." Our independent consultants can also earn money by purchasing product from us and selling that product to others at their chosen retail price. We pay sales commissions in the local currency of the independent consultant’s home country.</w:t>
      </w:r>
    </w:p>
    <w:p>
      <w:pPr>
        <w:spacing w:after="0" w:line="9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color w:val="auto"/>
        </w:rPr>
        <w:t>Independent Consultant Motivation and Training</w:t>
      </w:r>
    </w:p>
    <w:p>
      <w:pPr>
        <w:spacing w:after="0" w:line="117" w:lineRule="exact"/>
        <w:rPr>
          <w:sz w:val="20"/>
          <w:szCs w:val="20"/>
          <w:color w:val="auto"/>
        </w:rPr>
      </w:pPr>
    </w:p>
    <w:p>
      <w:pPr>
        <w:ind w:right="260" w:firstLine="255"/>
        <w:spacing w:after="0" w:line="287" w:lineRule="auto"/>
        <w:rPr>
          <w:sz w:val="20"/>
          <w:szCs w:val="20"/>
          <w:color w:val="auto"/>
        </w:rPr>
      </w:pPr>
      <w:r>
        <w:rPr>
          <w:rFonts w:ascii="Times New Roman" w:cs="Times New Roman" w:eastAsia="Times New Roman" w:hAnsi="Times New Roman"/>
          <w:sz w:val="14"/>
          <w:szCs w:val="14"/>
          <w:color w:val="auto"/>
        </w:rPr>
        <w:t>Our revenue depends on the sales success and productivity of our independent consultants. We provide tools, training and technology designed to increase our independent consultants' sales productivity and increase their potential for sales success. We offer training and business development opportunities to our independent consultants, including the opportunities listed below.</w:t>
      </w:r>
    </w:p>
    <w:p>
      <w:pPr>
        <w:spacing w:after="0" w:line="71" w:lineRule="exact"/>
        <w:rPr>
          <w:sz w:val="20"/>
          <w:szCs w:val="20"/>
          <w:color w:val="auto"/>
        </w:rPr>
      </w:pPr>
    </w:p>
    <w:p>
      <w:pPr>
        <w:ind w:left="520" w:right="120" w:hanging="260"/>
        <w:spacing w:after="0" w:line="287" w:lineRule="auto"/>
        <w:tabs>
          <w:tab w:leader="none" w:pos="516"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Consultant Communications Hub:</w:t>
      </w:r>
      <w:r>
        <w:rPr>
          <w:rFonts w:ascii="Times New Roman" w:cs="Times New Roman" w:eastAsia="Times New Roman" w:hAnsi="Times New Roman"/>
          <w:sz w:val="14"/>
          <w:szCs w:val="14"/>
          <w:color w:val="auto"/>
        </w:rPr>
        <w:t xml:space="preserve"> A consultant-specific website that has all the latest details on promotions, product launches, and onboarding to help each consultant build a LifeVantage business. Since the launch in October 2023, this site has been widely adopted as a centralized resource for our independent consultants.</w:t>
      </w:r>
    </w:p>
    <w:p>
      <w:pPr>
        <w:spacing w:after="0" w:line="71" w:lineRule="exact"/>
        <w:rPr>
          <w:rFonts w:ascii="Times New Roman" w:cs="Times New Roman" w:eastAsia="Times New Roman" w:hAnsi="Times New Roman"/>
          <w:sz w:val="14"/>
          <w:szCs w:val="14"/>
          <w:color w:val="auto"/>
        </w:rPr>
      </w:pPr>
    </w:p>
    <w:p>
      <w:pPr>
        <w:ind w:left="520" w:right="380" w:hanging="260"/>
        <w:spacing w:after="0" w:line="287" w:lineRule="auto"/>
        <w:tabs>
          <w:tab w:leader="none" w:pos="516"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Momentum Academy, Global Convention, and other Company-Sponsored Training</w:t>
      </w:r>
      <w:r>
        <w:rPr>
          <w:rFonts w:ascii="Times New Roman" w:cs="Times New Roman" w:eastAsia="Times New Roman" w:hAnsi="Times New Roman"/>
          <w:sz w:val="14"/>
          <w:szCs w:val="14"/>
          <w:color w:val="auto"/>
        </w:rPr>
        <w:t>: We hold regularly occurring live and virtual company-sponsored events intended to provide sales training and motivation to our independent consultants, in addition to twice-weekly virtual consultant trainings.</w:t>
      </w:r>
    </w:p>
    <w:p>
      <w:pPr>
        <w:spacing w:after="0" w:line="60" w:lineRule="exact"/>
        <w:rPr>
          <w:rFonts w:ascii="Times New Roman" w:cs="Times New Roman" w:eastAsia="Times New Roman" w:hAnsi="Times New Roman"/>
          <w:sz w:val="14"/>
          <w:szCs w:val="14"/>
          <w:color w:val="auto"/>
        </w:rPr>
      </w:pPr>
    </w:p>
    <w:p>
      <w:pPr>
        <w:ind w:left="520" w:right="80" w:hanging="260"/>
        <w:spacing w:after="0" w:line="287" w:lineRule="auto"/>
        <w:tabs>
          <w:tab w:leader="none" w:pos="516"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Promotions and Incentive Trips</w:t>
      </w:r>
      <w:r>
        <w:rPr>
          <w:rFonts w:ascii="Times New Roman" w:cs="Times New Roman" w:eastAsia="Times New Roman" w:hAnsi="Times New Roman"/>
          <w:sz w:val="14"/>
          <w:szCs w:val="14"/>
          <w:color w:val="auto"/>
        </w:rPr>
        <w:t>: We hold special sales promotions, business incentives and incentive trips from time to time in order to motivate our independent consultants to accomplish specific sales goals.</w:t>
      </w:r>
    </w:p>
    <w:p>
      <w:pPr>
        <w:spacing w:after="0" w:line="71" w:lineRule="exact"/>
        <w:rPr>
          <w:rFonts w:ascii="Times New Roman" w:cs="Times New Roman" w:eastAsia="Times New Roman" w:hAnsi="Times New Roman"/>
          <w:sz w:val="14"/>
          <w:szCs w:val="14"/>
          <w:color w:val="auto"/>
        </w:rPr>
      </w:pPr>
    </w:p>
    <w:p>
      <w:pPr>
        <w:ind w:left="520" w:right="100" w:hanging="260"/>
        <w:spacing w:after="0" w:line="287" w:lineRule="auto"/>
        <w:tabs>
          <w:tab w:leader="none" w:pos="516"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Mobile Application</w:t>
      </w:r>
      <w:r>
        <w:rPr>
          <w:rFonts w:ascii="Times New Roman" w:cs="Times New Roman" w:eastAsia="Times New Roman" w:hAnsi="Times New Roman"/>
          <w:sz w:val="14"/>
          <w:szCs w:val="14"/>
          <w:color w:val="auto"/>
        </w:rPr>
        <w:t>: The LifeVantage app was designed to allow users to conduct their business on a single platform from anywhere in the world. Ultimately, through artificial intelligence and machine learning, we expect that the app will be able to guide users on what to share, when to share it, and with whom to maximize their sales potential.</w:t>
      </w:r>
    </w:p>
    <w:p>
      <w:pPr>
        <w:spacing w:after="0" w:line="71" w:lineRule="exact"/>
        <w:rPr>
          <w:rFonts w:ascii="Times New Roman" w:cs="Times New Roman" w:eastAsia="Times New Roman" w:hAnsi="Times New Roman"/>
          <w:sz w:val="14"/>
          <w:szCs w:val="14"/>
          <w:color w:val="auto"/>
        </w:rPr>
      </w:pPr>
    </w:p>
    <w:p>
      <w:pPr>
        <w:ind w:left="520" w:right="220" w:hanging="260"/>
        <w:spacing w:after="0" w:line="287" w:lineRule="auto"/>
        <w:tabs>
          <w:tab w:leader="none" w:pos="516"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Online Social Media Groups</w:t>
      </w:r>
      <w:r>
        <w:rPr>
          <w:rFonts w:ascii="Times New Roman" w:cs="Times New Roman" w:eastAsia="Times New Roman" w:hAnsi="Times New Roman"/>
          <w:sz w:val="14"/>
          <w:szCs w:val="14"/>
          <w:color w:val="auto"/>
        </w:rPr>
        <w:t>: Through the use of social media platforms, we host online groups to support the success of our independent consultants. Important announcements, weekly trainings, calls, and documentation are also shared</w:t>
      </w:r>
    </w:p>
    <w:p>
      <w:pPr>
        <w:spacing w:after="0" w:line="200" w:lineRule="exact"/>
        <w:rPr>
          <w:sz w:val="20"/>
          <w:szCs w:val="20"/>
          <w:color w:val="auto"/>
        </w:rPr>
      </w:pPr>
    </w:p>
    <w:p>
      <w:pPr>
        <w:spacing w:after="0" w:line="29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00"/>
          </w:cols>
          <w:pgMar w:left="300" w:top="846" w:right="399" w:bottom="1440" w:gutter="0" w:footer="0" w:header="0"/>
        </w:sectPr>
      </w:pPr>
    </w:p>
    <w:bookmarkStart w:id="15" w:name="page16"/>
    <w:bookmarkEnd w:id="15"/>
    <w:p>
      <w:pPr>
        <w:ind w:left="520"/>
        <w:spacing w:after="0"/>
        <w:rPr>
          <w:sz w:val="20"/>
          <w:szCs w:val="20"/>
          <w:color w:val="auto"/>
        </w:rPr>
      </w:pPr>
      <w:r>
        <w:rPr>
          <w:rFonts w:ascii="Times New Roman" w:cs="Times New Roman" w:eastAsia="Times New Roman" w:hAnsi="Times New Roman"/>
          <w:sz w:val="14"/>
          <w:szCs w:val="14"/>
          <w:color w:val="auto"/>
        </w:rPr>
        <w:t>through our social media groups to provide our independent consultants many opportunities to find the training and support.</w:t>
      </w:r>
    </w:p>
    <w:p>
      <w:pPr>
        <w:spacing w:after="0" w:line="115" w:lineRule="exact"/>
        <w:rPr>
          <w:sz w:val="20"/>
          <w:szCs w:val="20"/>
          <w:color w:val="auto"/>
        </w:rPr>
      </w:pPr>
    </w:p>
    <w:p>
      <w:pPr>
        <w:ind w:left="520" w:right="560" w:hanging="260"/>
        <w:spacing w:after="0" w:line="287" w:lineRule="auto"/>
        <w:tabs>
          <w:tab w:leader="none" w:pos="516"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Corporate Support Team</w:t>
      </w:r>
      <w:r>
        <w:rPr>
          <w:rFonts w:ascii="Times New Roman" w:cs="Times New Roman" w:eastAsia="Times New Roman" w:hAnsi="Times New Roman"/>
          <w:sz w:val="14"/>
          <w:szCs w:val="14"/>
          <w:color w:val="auto"/>
        </w:rPr>
        <w:t>: The LifeVantage contact center, VIP Lines, and sales support team are designed to provide support, motivation, training, and resources to our independent consultants through their business journey. As independent consultants advance through the titles in our consultant path, they continue to receive more personalized support.</w:t>
      </w:r>
    </w:p>
    <w:p>
      <w:pPr>
        <w:spacing w:after="0" w:line="7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We continue to evaluate new ways in which to incorporate new technology and sales training opportunities to improve consultant product sales.</w:t>
      </w:r>
    </w:p>
    <w:p>
      <w:pPr>
        <w:spacing w:after="0" w:line="12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color w:val="auto"/>
        </w:rPr>
        <w:t>Independent Consultant Compliance Activities</w:t>
      </w:r>
    </w:p>
    <w:p>
      <w:pPr>
        <w:spacing w:after="0" w:line="117" w:lineRule="exact"/>
        <w:rPr>
          <w:sz w:val="20"/>
          <w:szCs w:val="20"/>
          <w:color w:val="auto"/>
        </w:rPr>
      </w:pPr>
    </w:p>
    <w:p>
      <w:pPr>
        <w:ind w:right="80" w:firstLine="255"/>
        <w:spacing w:after="0" w:line="264" w:lineRule="auto"/>
        <w:rPr>
          <w:sz w:val="20"/>
          <w:szCs w:val="20"/>
          <w:color w:val="auto"/>
        </w:rPr>
      </w:pPr>
      <w:r>
        <w:rPr>
          <w:rFonts w:ascii="Times New Roman" w:cs="Times New Roman" w:eastAsia="Times New Roman" w:hAnsi="Times New Roman"/>
          <w:sz w:val="14"/>
          <w:szCs w:val="14"/>
          <w:color w:val="auto"/>
        </w:rPr>
        <w:t>Given that our independent consultants are independent contractors, we do not control or direct their promotional efforts. We do, however, require that our independent consultants abide by policies and procedures that require them to act in an ethical manner and in compliance with applicable laws and regulations. As a member of the United States Direct Selling Association ("US DSA") and similar organizations in many of the markets where we do business, we are also subject to the ethical business practices and consumer service standards required by the industry's code of ethics.</w:t>
      </w:r>
    </w:p>
    <w:p>
      <w:pPr>
        <w:spacing w:after="0" w:line="87" w:lineRule="exact"/>
        <w:rPr>
          <w:sz w:val="20"/>
          <w:szCs w:val="20"/>
          <w:color w:val="auto"/>
        </w:rPr>
      </w:pPr>
    </w:p>
    <w:p>
      <w:pPr>
        <w:ind w:right="200" w:firstLine="255"/>
        <w:spacing w:after="0" w:line="270" w:lineRule="auto"/>
        <w:rPr>
          <w:sz w:val="20"/>
          <w:szCs w:val="20"/>
          <w:color w:val="auto"/>
        </w:rPr>
      </w:pPr>
      <w:r>
        <w:rPr>
          <w:rFonts w:ascii="Times New Roman" w:cs="Times New Roman" w:eastAsia="Times New Roman" w:hAnsi="Times New Roman"/>
          <w:sz w:val="14"/>
          <w:szCs w:val="14"/>
          <w:color w:val="auto"/>
        </w:rPr>
        <w:t>Independent consultants represent to us that their receipt of sales commissions is based on their product sales and by product sales of other LifeVantage consultants in their personal marketing organization. We must produce or pre-approve all sales aids used by independent consultants, such as brochures and online materials. Products may be promoted only through sales materials produced or approved by us. Independent consultants may not use our trademarks or other intellectual property without our written consent.</w:t>
      </w:r>
    </w:p>
    <w:p>
      <w:pPr>
        <w:spacing w:after="0" w:line="83" w:lineRule="exact"/>
        <w:rPr>
          <w:sz w:val="20"/>
          <w:szCs w:val="20"/>
          <w:color w:val="auto"/>
        </w:rPr>
      </w:pPr>
    </w:p>
    <w:p>
      <w:pPr>
        <w:ind w:right="160" w:firstLine="255"/>
        <w:spacing w:after="0" w:line="261" w:lineRule="auto"/>
        <w:rPr>
          <w:sz w:val="20"/>
          <w:szCs w:val="20"/>
          <w:color w:val="auto"/>
        </w:rPr>
      </w:pPr>
      <w:r>
        <w:rPr>
          <w:rFonts w:ascii="Times New Roman" w:cs="Times New Roman" w:eastAsia="Times New Roman" w:hAnsi="Times New Roman"/>
          <w:sz w:val="14"/>
          <w:szCs w:val="14"/>
          <w:color w:val="auto"/>
        </w:rPr>
        <w:t>We monitor and systematically review alleged independent consultant misbehavior through our internal consultant compliance department. If we determine one of our independent consultants has violated any of our policies and procedures, we first attempt to educate, but may discipline or terminate the independent consultant’s rights to sell or distribute our products when appropriate. When necessary, we have brought legal action against independent consultants, or former consultants, to enforce our policies and procedures. Short of termination or legal action, and in addition to educating, we may impose sanctions against independent consultants whose actions are in violation of our policies and procedures. Such sanctions may include warnings, probation, withdrawal or denial of an award, suspension of privileges of a consultantship, fines and/or withholding of commissions until specified conditions are satisfied, or other appropriate injunctive relief.</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Customers</w:t>
      </w:r>
    </w:p>
    <w:p>
      <w:pPr>
        <w:spacing w:after="0" w:line="127" w:lineRule="exact"/>
        <w:rPr>
          <w:sz w:val="20"/>
          <w:szCs w:val="20"/>
          <w:color w:val="auto"/>
        </w:rPr>
      </w:pPr>
    </w:p>
    <w:p>
      <w:pPr>
        <w:ind w:firstLine="255"/>
        <w:spacing w:after="0" w:line="264" w:lineRule="auto"/>
        <w:rPr>
          <w:sz w:val="20"/>
          <w:szCs w:val="20"/>
          <w:color w:val="auto"/>
        </w:rPr>
      </w:pPr>
      <w:r>
        <w:rPr>
          <w:rFonts w:ascii="Times New Roman" w:cs="Times New Roman" w:eastAsia="Times New Roman" w:hAnsi="Times New Roman"/>
          <w:sz w:val="14"/>
          <w:szCs w:val="14"/>
          <w:color w:val="auto"/>
        </w:rPr>
        <w:t>Customers purchase products directly from us at either our retail (list) pricing for one-time purchases or our subscription price on a monthly subscription basis for personal consumption, without the ability to resell or earn commissions from the purchase or sale of such products. Customers who order their items on a subscription also automatically join our Rewards Circle loyalty program, a program that rewards customer loyalty through subscription purchases. A customer may decide to enroll as an independent consultant at any time if they become interested in selling our products. We believe our customers are a great source of word-of-mouth advertising for our products. We also believe our large base of customers validates the health benefits of our products.</w:t>
      </w:r>
    </w:p>
    <w:p>
      <w:pPr>
        <w:spacing w:after="0" w:line="87" w:lineRule="exact"/>
        <w:rPr>
          <w:sz w:val="20"/>
          <w:szCs w:val="20"/>
          <w:color w:val="auto"/>
        </w:rPr>
      </w:pPr>
    </w:p>
    <w:p>
      <w:pPr>
        <w:ind w:right="120" w:firstLine="255"/>
        <w:spacing w:after="0" w:line="287" w:lineRule="auto"/>
        <w:rPr>
          <w:sz w:val="20"/>
          <w:szCs w:val="20"/>
          <w:color w:val="auto"/>
        </w:rPr>
      </w:pPr>
      <w:r>
        <w:rPr>
          <w:rFonts w:ascii="Times New Roman" w:cs="Times New Roman" w:eastAsia="Times New Roman" w:hAnsi="Times New Roman"/>
          <w:sz w:val="14"/>
          <w:szCs w:val="14"/>
          <w:color w:val="auto"/>
        </w:rPr>
        <w:t>We define an “active customer” as a customer who has purchased product from us within the prior three months. As of June 30, 2024 and 2023, we had approximately 79,000 and 89,000 active customers, respectively.</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Sales of Our Products</w:t>
      </w:r>
    </w:p>
    <w:p>
      <w:pPr>
        <w:spacing w:after="0" w:line="127" w:lineRule="exact"/>
        <w:rPr>
          <w:sz w:val="20"/>
          <w:szCs w:val="20"/>
          <w:color w:val="auto"/>
        </w:rPr>
      </w:pPr>
    </w:p>
    <w:p>
      <w:pPr>
        <w:ind w:right="380" w:firstLine="255"/>
        <w:spacing w:after="0" w:line="287" w:lineRule="auto"/>
        <w:rPr>
          <w:sz w:val="20"/>
          <w:szCs w:val="20"/>
          <w:color w:val="auto"/>
        </w:rPr>
      </w:pPr>
      <w:r>
        <w:rPr>
          <w:rFonts w:ascii="Times New Roman" w:cs="Times New Roman" w:eastAsia="Times New Roman" w:hAnsi="Times New Roman"/>
          <w:sz w:val="14"/>
          <w:szCs w:val="14"/>
          <w:color w:val="auto"/>
        </w:rPr>
        <w:t>We accept orders for our products through our website at www.lifevantage.com and through personalized websites we provide to our independent consultants, which we refer to as “Virtual Offices.” Orders placed through Virtual Offices and through our website are processed daily at our fulfillment centers, where orders are shipped directly to the consumer.</w:t>
      </w:r>
    </w:p>
    <w:p>
      <w:pPr>
        <w:spacing w:after="0" w:line="71" w:lineRule="exact"/>
        <w:rPr>
          <w:sz w:val="20"/>
          <w:szCs w:val="20"/>
          <w:color w:val="auto"/>
        </w:rPr>
      </w:pPr>
    </w:p>
    <w:p>
      <w:pPr>
        <w:ind w:right="140" w:firstLine="255"/>
        <w:spacing w:after="0" w:line="270" w:lineRule="auto"/>
        <w:rPr>
          <w:sz w:val="20"/>
          <w:szCs w:val="20"/>
          <w:color w:val="auto"/>
        </w:rPr>
      </w:pPr>
      <w:r>
        <w:rPr>
          <w:rFonts w:ascii="Times New Roman" w:cs="Times New Roman" w:eastAsia="Times New Roman" w:hAnsi="Times New Roman"/>
          <w:sz w:val="14"/>
          <w:szCs w:val="14"/>
          <w:color w:val="auto"/>
        </w:rPr>
        <w:t>We offer toll-free numbers for our independent consultants and our customers to order product or ask questions. Our customer service representatives assist customers in placing orders through our web order processing system, answering questions, tracking packages, and initiating refunds. The customer service representatives receive extensive training about our products and our direct selling business model. LifeVantage customers and independent consultants generally pay for products by credit card, prior to shipment, and as a result, we carry minimal accounts receivable.</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Seasonality</w:t>
      </w:r>
    </w:p>
    <w:p>
      <w:pPr>
        <w:spacing w:after="0" w:line="127" w:lineRule="exact"/>
        <w:rPr>
          <w:sz w:val="20"/>
          <w:szCs w:val="20"/>
          <w:color w:val="auto"/>
        </w:rPr>
      </w:pPr>
    </w:p>
    <w:p>
      <w:pPr>
        <w:ind w:right="40" w:firstLine="255"/>
        <w:spacing w:after="0" w:line="287" w:lineRule="auto"/>
        <w:rPr>
          <w:sz w:val="20"/>
          <w:szCs w:val="20"/>
          <w:color w:val="auto"/>
        </w:rPr>
      </w:pPr>
      <w:r>
        <w:rPr>
          <w:rFonts w:ascii="Times New Roman" w:cs="Times New Roman" w:eastAsia="Times New Roman" w:hAnsi="Times New Roman"/>
          <w:sz w:val="14"/>
          <w:szCs w:val="14"/>
          <w:color w:val="auto"/>
        </w:rPr>
        <w:t>In addition to general economic factors, we are impacted by seasonal factors and trends such as major cultural events and vacation patterns. We believe that direct selling in the United States and Japan is also generally negatively impacted during our</w:t>
      </w:r>
    </w:p>
    <w:p>
      <w:pPr>
        <w:spacing w:after="0" w:line="200" w:lineRule="exact"/>
        <w:rPr>
          <w:sz w:val="20"/>
          <w:szCs w:val="20"/>
          <w:color w:val="auto"/>
        </w:rPr>
      </w:pPr>
    </w:p>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846" w:right="339" w:bottom="1440" w:gutter="0" w:footer="0" w:header="0"/>
        </w:sectPr>
      </w:pPr>
    </w:p>
    <w:bookmarkStart w:id="16" w:name="page17"/>
    <w:bookmarkEnd w:id="16"/>
    <w:p>
      <w:pPr>
        <w:ind w:right="360"/>
        <w:spacing w:after="0" w:line="287" w:lineRule="auto"/>
        <w:rPr>
          <w:sz w:val="20"/>
          <w:szCs w:val="20"/>
          <w:color w:val="auto"/>
        </w:rPr>
      </w:pPr>
      <w:r>
        <w:rPr>
          <w:rFonts w:ascii="Times New Roman" w:cs="Times New Roman" w:eastAsia="Times New Roman" w:hAnsi="Times New Roman"/>
          <w:sz w:val="14"/>
          <w:szCs w:val="14"/>
          <w:color w:val="auto"/>
        </w:rPr>
        <w:t>first fiscal quarter, from July 1 through September 30, when many individuals, including our independent consultants, traditionally take vacations. The timing and size of our training events and incentive trips can also cause revenue and expense to fluctuate in the periods that they are held.</w:t>
      </w:r>
    </w:p>
    <w:p>
      <w:pPr>
        <w:spacing w:after="0" w:line="61" w:lineRule="exact"/>
        <w:rPr>
          <w:sz w:val="20"/>
          <w:szCs w:val="20"/>
          <w:color w:val="auto"/>
        </w:rPr>
      </w:pPr>
    </w:p>
    <w:p>
      <w:pPr>
        <w:ind w:right="120" w:firstLine="255"/>
        <w:spacing w:after="0" w:line="264" w:lineRule="auto"/>
        <w:rPr>
          <w:sz w:val="20"/>
          <w:szCs w:val="20"/>
          <w:color w:val="auto"/>
        </w:rPr>
      </w:pPr>
      <w:r>
        <w:rPr>
          <w:rFonts w:ascii="Times New Roman" w:cs="Times New Roman" w:eastAsia="Times New Roman" w:hAnsi="Times New Roman"/>
          <w:sz w:val="14"/>
          <w:szCs w:val="14"/>
          <w:color w:val="auto"/>
        </w:rPr>
        <w:t>Although our product launch process may vary by market, we may introduce new products to our customers and independent consultants through limited-time offers and promotions. The limited-time offers and promotions typically generate significant activity and a high level of sales and purchasing, which may result in a higher-than-normal increase in revenue during the quarter of the limited-time offer and skew year-over-year and sequential comparisons. Similarly, company events for independent consultants typically generate a higher-than-normal increase in revenue. The timing of these events can also skew year-over-year and sequential comparisons.</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Marketing</w:t>
      </w:r>
    </w:p>
    <w:p>
      <w:pPr>
        <w:spacing w:after="0" w:line="127" w:lineRule="exact"/>
        <w:rPr>
          <w:sz w:val="20"/>
          <w:szCs w:val="20"/>
          <w:color w:val="auto"/>
        </w:rPr>
      </w:pPr>
    </w:p>
    <w:p>
      <w:pPr>
        <w:ind w:right="200" w:firstLine="255"/>
        <w:spacing w:after="0" w:line="264" w:lineRule="auto"/>
        <w:rPr>
          <w:sz w:val="20"/>
          <w:szCs w:val="20"/>
          <w:color w:val="auto"/>
        </w:rPr>
      </w:pPr>
      <w:r>
        <w:rPr>
          <w:rFonts w:ascii="Times New Roman" w:cs="Times New Roman" w:eastAsia="Times New Roman" w:hAnsi="Times New Roman"/>
          <w:sz w:val="14"/>
          <w:szCs w:val="14"/>
          <w:color w:val="auto"/>
        </w:rPr>
        <w:t>We utilize our network of independent consultants located throughout the United States, Mexico, Japan, Australia, Hong Kong, Canada, Thailand, the United Kingdom, the Netherlands, Germany, Taiwan, Austria, Spain, Ireland, Belgium, New Zealand, Singapore, and the Philippines to market and sell our products. We also have in-house sales, marketing, IT, and customer service groups dedicated to supporting our independent consultants. Support includes training and education, personalized assistance, in-person and digital events, recognition, incentives and promotions, digital and social media content, press coverage, regular communications, as well as a full suite of marketing assets, including content for their websites.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Raw Materials and Manufacturing</w:t>
      </w:r>
    </w:p>
    <w:p>
      <w:pPr>
        <w:spacing w:after="0" w:line="127" w:lineRule="exact"/>
        <w:rPr>
          <w:sz w:val="20"/>
          <w:szCs w:val="20"/>
          <w:color w:val="auto"/>
        </w:rPr>
      </w:pPr>
    </w:p>
    <w:p>
      <w:pPr>
        <w:ind w:right="180" w:firstLine="255"/>
        <w:spacing w:after="0" w:line="287" w:lineRule="auto"/>
        <w:rPr>
          <w:sz w:val="20"/>
          <w:szCs w:val="20"/>
          <w:color w:val="auto"/>
        </w:rPr>
      </w:pPr>
      <w:r>
        <w:rPr>
          <w:rFonts w:ascii="Times New Roman" w:cs="Times New Roman" w:eastAsia="Times New Roman" w:hAnsi="Times New Roman"/>
          <w:sz w:val="14"/>
          <w:szCs w:val="14"/>
          <w:color w:val="auto"/>
        </w:rPr>
        <w:t>We outsource the primary manufacturing, fulfillment, and shipping components of our business to third-party companies we believe possess a high degree of expertise. We believe outsourcing provides us access to advanced manufacturing process capabilities and expertise without incurring fixed costs associated with manufacturing our own products in house.</w:t>
      </w:r>
    </w:p>
    <w:p>
      <w:pPr>
        <w:spacing w:after="0" w:line="71" w:lineRule="exact"/>
        <w:rPr>
          <w:sz w:val="20"/>
          <w:szCs w:val="20"/>
          <w:color w:val="auto"/>
        </w:rPr>
      </w:pPr>
    </w:p>
    <w:p>
      <w:pPr>
        <w:ind w:right="40" w:firstLine="255"/>
        <w:spacing w:after="0" w:line="258" w:lineRule="auto"/>
        <w:rPr>
          <w:sz w:val="20"/>
          <w:szCs w:val="20"/>
          <w:color w:val="auto"/>
        </w:rPr>
      </w:pPr>
      <w:r>
        <w:rPr>
          <w:rFonts w:ascii="Times New Roman" w:cs="Times New Roman" w:eastAsia="Times New Roman" w:hAnsi="Times New Roman"/>
          <w:sz w:val="14"/>
          <w:szCs w:val="14"/>
          <w:color w:val="auto"/>
        </w:rPr>
        <w:t>We currently outsource the manufacture of our products to multiple third-party contract manufacturers. Our contract manufacturers have a legal obligation to comply with the current Good Manufacturing Practices ("GMP") regulations that are applicable to those who manufacture, package, label and hold dietary supplements and personal care products. Additionally, we are subject to regulations that, among other things, obligate us to know what and how manufacturing activities are performed so that we can make decisions related to whether the packaged and labeled product conforms to our established specifications and whether to approve and release product for distribution to consumers. We maintain and qualify alternative manufacturing options in order to keep our costs low, maintain the quality of our products, and prepare for unanticipated spikes in demand or manufacturing failure. Our contract manufacturers deliver products to our fulfillment centers based on our purchase orders. We also have a Vendor Code of Conduct that we expect our contract manufacturers and/or vendors to adhere to. This Vendor Code of Conduct requires contract manufacturers and vendors to abide by certain human rights, labor rights, protection of the environment and fight against corruption standards outlined under the United Nations Global Compact.</w:t>
      </w:r>
    </w:p>
    <w:p>
      <w:pPr>
        <w:spacing w:after="0" w:line="83" w:lineRule="exact"/>
        <w:rPr>
          <w:sz w:val="20"/>
          <w:szCs w:val="20"/>
          <w:color w:val="auto"/>
        </w:rPr>
      </w:pPr>
    </w:p>
    <w:p>
      <w:pPr>
        <w:jc w:val="both"/>
        <w:ind w:right="20" w:firstLine="255"/>
        <w:spacing w:after="0" w:line="270" w:lineRule="auto"/>
        <w:rPr>
          <w:sz w:val="20"/>
          <w:szCs w:val="20"/>
          <w:color w:val="auto"/>
        </w:rPr>
      </w:pPr>
      <w:r>
        <w:rPr>
          <w:rFonts w:ascii="Times New Roman" w:cs="Times New Roman" w:eastAsia="Times New Roman" w:hAnsi="Times New Roman"/>
          <w:sz w:val="14"/>
          <w:szCs w:val="14"/>
          <w:color w:val="auto"/>
        </w:rPr>
        <w:t>We acquire raw materials for our products from third-party suppliers. Although we generally have good relationships with our suppliers, we believe we could replace any of our current suppliers without great difficulty or significant increase to our cost of goods sold. We also have ongoing relationships with secondary and tertiary suppliers. Please refer to "</w:t>
      </w:r>
      <w:r>
        <w:rPr>
          <w:rFonts w:ascii="Times New Roman" w:cs="Times New Roman" w:eastAsia="Times New Roman" w:hAnsi="Times New Roman"/>
          <w:sz w:val="14"/>
          <w:szCs w:val="14"/>
          <w:i w:val="1"/>
          <w:iCs w:val="1"/>
          <w:color w:val="auto"/>
        </w:rPr>
        <w:t>Risk Factors - High quality material</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for our products may be difficult to obtain or expensive</w:t>
      </w:r>
      <w:r>
        <w:rPr>
          <w:rFonts w:ascii="Times New Roman" w:cs="Times New Roman" w:eastAsia="Times New Roman" w:hAnsi="Times New Roman"/>
          <w:sz w:val="14"/>
          <w:szCs w:val="14"/>
          <w:color w:val="auto"/>
        </w:rPr>
        <w:t>" for a discussion of the risks and uncertainties associated with our sourcing of raw materials.</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Geographic Information</w:t>
      </w:r>
    </w:p>
    <w:p>
      <w:pPr>
        <w:spacing w:after="0" w:line="127" w:lineRule="exact"/>
        <w:rPr>
          <w:sz w:val="20"/>
          <w:szCs w:val="20"/>
          <w:color w:val="auto"/>
        </w:rPr>
      </w:pPr>
    </w:p>
    <w:p>
      <w:pPr>
        <w:ind w:right="140" w:firstLine="255"/>
        <w:spacing w:after="0" w:line="261" w:lineRule="auto"/>
        <w:rPr>
          <w:sz w:val="20"/>
          <w:szCs w:val="20"/>
          <w:color w:val="auto"/>
        </w:rPr>
      </w:pPr>
      <w:r>
        <w:rPr>
          <w:rFonts w:ascii="Times New Roman" w:cs="Times New Roman" w:eastAsia="Times New Roman" w:hAnsi="Times New Roman"/>
          <w:sz w:val="14"/>
          <w:szCs w:val="14"/>
          <w:color w:val="auto"/>
        </w:rPr>
        <w:t>We sell our products in the United States, Mexico, Japan, Australia, Hong Kong, Canada, Thailand, the United Kingdom, the Netherlands, Germany, Taiwan, Austria, Spain, Ireland, Belgium, New Zealand, Singapore, and the Philippines. We also sell our products in a number of countries to customers for personal consumption only. In addition, we sold our products in China through our approved e-commerce business model until March 2023, at which time we closed our e-commerce business in China. In fiscal year 2024, revenue generated in the United States accounted for approximately 73% of our total revenue and revenue generated from Japan accounted for approximately 13% of our total revenue. For reporting purposes, we generally divide our markets into two geographic regions: the Americas region and the Asia/Pacific and Europe region. The following table sets forth net revenue information by region for the periods indicated (in thousands):</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4340" w:type="dxa"/>
            <w:vAlign w:val="bottom"/>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2220" w:type="dxa"/>
            <w:vAlign w:val="bottom"/>
            <w:tcBorders>
              <w:bottom w:val="single" w:sz="8" w:color="auto"/>
            </w:tcBorders>
            <w:gridSpan w:val="3"/>
          </w:tcPr>
          <w:p>
            <w:pPr>
              <w:jc w:val="right"/>
              <w:ind w:right="69"/>
              <w:spacing w:after="0"/>
              <w:rPr>
                <w:sz w:val="20"/>
                <w:szCs w:val="20"/>
                <w:color w:val="auto"/>
              </w:rPr>
            </w:pPr>
            <w:r>
              <w:rPr>
                <w:rFonts w:ascii="Times New Roman" w:cs="Times New Roman" w:eastAsia="Times New Roman" w:hAnsi="Times New Roman"/>
                <w:sz w:val="11"/>
                <w:szCs w:val="11"/>
                <w:b w:val="1"/>
                <w:bCs w:val="1"/>
                <w:color w:val="auto"/>
              </w:rPr>
              <w:t>For the fiscal years ended June 30,</w:t>
            </w:r>
          </w:p>
        </w:tc>
        <w:tc>
          <w:tcPr>
            <w:tcW w:w="64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72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r>
      <w:tr>
        <w:trPr>
          <w:trHeight w:val="154"/>
        </w:trPr>
        <w:tc>
          <w:tcPr>
            <w:tcW w:w="4340" w:type="dxa"/>
            <w:vAlign w:val="bottom"/>
            <w:tcBorders>
              <w:bottom w:val="single" w:sz="8" w:color="CCEEFF"/>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1640" w:type="dxa"/>
            <w:vAlign w:val="bottom"/>
            <w:tcBorders>
              <w:bottom w:val="single" w:sz="8" w:color="auto"/>
            </w:tcBorders>
            <w:gridSpan w:val="3"/>
          </w:tcPr>
          <w:p>
            <w:pPr>
              <w:jc w:val="right"/>
              <w:ind w:right="400"/>
              <w:spacing w:after="0"/>
              <w:rPr>
                <w:sz w:val="20"/>
                <w:szCs w:val="20"/>
                <w:color w:val="auto"/>
              </w:rPr>
            </w:pPr>
            <w:r>
              <w:rPr>
                <w:rFonts w:ascii="Times New Roman" w:cs="Times New Roman" w:eastAsia="Times New Roman" w:hAnsi="Times New Roman"/>
                <w:sz w:val="11"/>
                <w:szCs w:val="11"/>
                <w:b w:val="1"/>
                <w:bCs w:val="1"/>
                <w:color w:val="auto"/>
              </w:rPr>
              <w:t>2024</w:t>
            </w:r>
          </w:p>
        </w:tc>
        <w:tc>
          <w:tcPr>
            <w:tcW w:w="120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1840" w:type="dxa"/>
            <w:vAlign w:val="bottom"/>
            <w:tcBorders>
              <w:bottom w:val="single" w:sz="8" w:color="auto"/>
            </w:tcBorders>
            <w:gridSpan w:val="3"/>
          </w:tcPr>
          <w:p>
            <w:pPr>
              <w:jc w:val="right"/>
              <w:ind w:right="1529"/>
              <w:spacing w:after="0"/>
              <w:rPr>
                <w:sz w:val="20"/>
                <w:szCs w:val="20"/>
                <w:color w:val="auto"/>
              </w:rPr>
            </w:pPr>
            <w:r>
              <w:rPr>
                <w:rFonts w:ascii="Times New Roman" w:cs="Times New Roman" w:eastAsia="Times New Roman" w:hAnsi="Times New Roman"/>
                <w:sz w:val="11"/>
                <w:szCs w:val="11"/>
                <w:b w:val="1"/>
                <w:bCs w:val="1"/>
                <w:color w:val="auto"/>
                <w:w w:val="99"/>
              </w:rPr>
              <w:t>2023</w:t>
            </w:r>
          </w:p>
        </w:tc>
        <w:tc>
          <w:tcPr>
            <w:tcW w:w="20" w:type="dxa"/>
            <w:vAlign w:val="bottom"/>
          </w:tcPr>
          <w:p>
            <w:pPr>
              <w:spacing w:after="0"/>
              <w:rPr>
                <w:sz w:val="13"/>
                <w:szCs w:val="13"/>
                <w:color w:val="auto"/>
              </w:rPr>
            </w:pPr>
          </w:p>
        </w:tc>
      </w:tr>
      <w:tr>
        <w:trPr>
          <w:trHeight w:val="176"/>
        </w:trPr>
        <w:tc>
          <w:tcPr>
            <w:tcW w:w="4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Americas</w:t>
            </w:r>
          </w:p>
        </w:tc>
        <w:tc>
          <w:tcPr>
            <w:tcW w:w="580" w:type="dxa"/>
            <w:vAlign w:val="bottom"/>
            <w:shd w:val="clear" w:color="auto" w:fill="CCEEFF"/>
          </w:tcPr>
          <w:p>
            <w:pPr>
              <w:jc w:val="right"/>
              <w:ind w:right="42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152,907</w:t>
            </w: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76.4 %</w:t>
            </w:r>
          </w:p>
        </w:tc>
        <w:tc>
          <w:tcPr>
            <w:tcW w:w="80" w:type="dxa"/>
            <w:vAlign w:val="bottom"/>
            <w:shd w:val="clear" w:color="auto" w:fill="CCEEFF"/>
          </w:tcPr>
          <w:p>
            <w:pPr>
              <w:spacing w:after="0"/>
              <w:rPr>
                <w:sz w:val="15"/>
                <w:szCs w:val="15"/>
                <w:color w:val="auto"/>
              </w:rPr>
            </w:pPr>
          </w:p>
        </w:tc>
        <w:tc>
          <w:tcPr>
            <w:tcW w:w="940" w:type="dxa"/>
            <w:vAlign w:val="bottom"/>
            <w:shd w:val="clear" w:color="auto" w:fill="CCEEFF"/>
          </w:tcPr>
          <w:p>
            <w:pPr>
              <w:jc w:val="right"/>
              <w:ind w:right="769"/>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155,361</w:t>
            </w:r>
          </w:p>
        </w:tc>
        <w:tc>
          <w:tcPr>
            <w:tcW w:w="18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72.8 %</w:t>
            </w:r>
          </w:p>
        </w:tc>
        <w:tc>
          <w:tcPr>
            <w:tcW w:w="20" w:type="dxa"/>
            <w:vAlign w:val="bottom"/>
          </w:tcPr>
          <w:p>
            <w:pPr>
              <w:spacing w:after="0"/>
              <w:rPr>
                <w:sz w:val="15"/>
                <w:szCs w:val="15"/>
                <w:color w:val="auto"/>
              </w:rPr>
            </w:pPr>
          </w:p>
        </w:tc>
      </w:tr>
      <w:tr>
        <w:trPr>
          <w:trHeight w:val="180"/>
        </w:trPr>
        <w:tc>
          <w:tcPr>
            <w:tcW w:w="43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Asia/Pacific &amp; Europe</w:t>
            </w:r>
          </w:p>
        </w:tc>
        <w:tc>
          <w:tcPr>
            <w:tcW w:w="58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47,257</w:t>
            </w: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23.6 %</w:t>
            </w:r>
          </w:p>
        </w:tc>
        <w:tc>
          <w:tcPr>
            <w:tcW w:w="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58,037</w:t>
            </w:r>
          </w:p>
        </w:tc>
        <w:tc>
          <w:tcPr>
            <w:tcW w:w="18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27.2 %</w:t>
            </w:r>
          </w:p>
        </w:tc>
        <w:tc>
          <w:tcPr>
            <w:tcW w:w="20" w:type="dxa"/>
            <w:vAlign w:val="bottom"/>
          </w:tcPr>
          <w:p>
            <w:pPr>
              <w:spacing w:after="0"/>
              <w:rPr>
                <w:sz w:val="15"/>
                <w:szCs w:val="15"/>
                <w:color w:val="auto"/>
              </w:rPr>
            </w:pPr>
          </w:p>
        </w:tc>
      </w:tr>
      <w:tr>
        <w:trPr>
          <w:trHeight w:val="196"/>
        </w:trPr>
        <w:tc>
          <w:tcPr>
            <w:tcW w:w="4340" w:type="dxa"/>
            <w:vAlign w:val="bottom"/>
            <w:tcBorders>
              <w:top w:val="single" w:sz="8" w:color="CCEEFF"/>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Total</w:t>
            </w:r>
          </w:p>
        </w:tc>
        <w:tc>
          <w:tcPr>
            <w:tcW w:w="580" w:type="dxa"/>
            <w:vAlign w:val="bottom"/>
            <w:tcBorders>
              <w:top w:val="single" w:sz="8" w:color="auto"/>
              <w:bottom w:val="single" w:sz="8" w:color="auto"/>
            </w:tcBorders>
            <w:shd w:val="clear" w:color="auto" w:fill="CCEEFF"/>
          </w:tcPr>
          <w:p>
            <w:pPr>
              <w:jc w:val="right"/>
              <w:ind w:right="42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200,164</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520" w:type="dxa"/>
            <w:vAlign w:val="bottom"/>
            <w:tcBorders>
              <w:top w:val="single" w:sz="8" w:color="auto"/>
              <w:bottom w:val="single" w:sz="8" w:color="auto"/>
            </w:tcBorders>
            <w:shd w:val="clear" w:color="auto" w:fill="CCEEFF"/>
          </w:tcPr>
          <w:p>
            <w:pPr>
              <w:spacing w:after="0"/>
              <w:rPr>
                <w:sz w:val="16"/>
                <w:szCs w:val="16"/>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100.0 %</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940" w:type="dxa"/>
            <w:vAlign w:val="bottom"/>
            <w:tcBorders>
              <w:top w:val="single" w:sz="8" w:color="auto"/>
              <w:bottom w:val="single" w:sz="8" w:color="auto"/>
            </w:tcBorders>
            <w:shd w:val="clear" w:color="auto" w:fill="CCEEFF"/>
          </w:tcPr>
          <w:p>
            <w:pPr>
              <w:jc w:val="right"/>
              <w:ind w:right="769"/>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213,398</w:t>
            </w:r>
          </w:p>
        </w:tc>
        <w:tc>
          <w:tcPr>
            <w:tcW w:w="20" w:type="dxa"/>
            <w:vAlign w:val="bottom"/>
            <w:tcBorders>
              <w:top w:val="single" w:sz="8" w:color="auto"/>
              <w:bottom w:val="single" w:sz="8" w:color="auto"/>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100.0 %</w:t>
            </w:r>
          </w:p>
        </w:tc>
        <w:tc>
          <w:tcPr>
            <w:tcW w:w="20" w:type="dxa"/>
            <w:vAlign w:val="bottom"/>
          </w:tcPr>
          <w:p>
            <w:pPr>
              <w:spacing w:after="0"/>
              <w:rPr>
                <w:sz w:val="16"/>
                <w:szCs w:val="16"/>
                <w:color w:val="auto"/>
              </w:rPr>
            </w:pPr>
          </w:p>
        </w:tc>
      </w:tr>
      <w:tr>
        <w:trPr>
          <w:trHeight w:val="20"/>
        </w:trPr>
        <w:tc>
          <w:tcPr>
            <w:tcW w:w="434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758"/>
        </w:trPr>
        <w:tc>
          <w:tcPr>
            <w:tcW w:w="4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20" w:type="dxa"/>
            <w:vAlign w:val="bottom"/>
          </w:tcPr>
          <w:p>
            <w:pPr>
              <w:jc w:val="right"/>
              <w:ind w:right="152"/>
              <w:spacing w:after="0"/>
              <w:rPr>
                <w:sz w:val="20"/>
                <w:szCs w:val="20"/>
                <w:color w:val="auto"/>
              </w:rPr>
            </w:pPr>
            <w:r>
              <w:rPr>
                <w:rFonts w:ascii="Times New Roman" w:cs="Times New Roman" w:eastAsia="Times New Roman" w:hAnsi="Times New Roman"/>
                <w:sz w:val="14"/>
                <w:szCs w:val="14"/>
                <w:color w:val="auto"/>
              </w:rPr>
              <w:t>17</w:t>
            </w: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87"/>
        </w:trPr>
        <w:tc>
          <w:tcPr>
            <w:tcW w:w="4340" w:type="dxa"/>
            <w:vAlign w:val="bottom"/>
            <w:tcBorders>
              <w:bottom w:val="single" w:sz="8" w:color="9A9A9A"/>
            </w:tcBorders>
          </w:tcPr>
          <w:p>
            <w:pPr>
              <w:spacing w:after="0"/>
              <w:rPr>
                <w:sz w:val="7"/>
                <w:szCs w:val="7"/>
                <w:color w:val="auto"/>
              </w:rPr>
            </w:pPr>
          </w:p>
        </w:tc>
        <w:tc>
          <w:tcPr>
            <w:tcW w:w="580" w:type="dxa"/>
            <w:vAlign w:val="bottom"/>
            <w:tcBorders>
              <w:bottom w:val="single" w:sz="8" w:color="9A9A9A"/>
            </w:tcBorders>
          </w:tcPr>
          <w:p>
            <w:pPr>
              <w:spacing w:after="0"/>
              <w:rPr>
                <w:sz w:val="7"/>
                <w:szCs w:val="7"/>
                <w:color w:val="auto"/>
              </w:rPr>
            </w:pPr>
          </w:p>
        </w:tc>
        <w:tc>
          <w:tcPr>
            <w:tcW w:w="102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520" w:type="dxa"/>
            <w:vAlign w:val="bottom"/>
            <w:tcBorders>
              <w:bottom w:val="single" w:sz="8" w:color="9A9A9A"/>
            </w:tcBorders>
          </w:tcPr>
          <w:p>
            <w:pPr>
              <w:spacing w:after="0"/>
              <w:rPr>
                <w:sz w:val="7"/>
                <w:szCs w:val="7"/>
                <w:color w:val="auto"/>
              </w:rPr>
            </w:pPr>
          </w:p>
        </w:tc>
        <w:tc>
          <w:tcPr>
            <w:tcW w:w="120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940" w:type="dxa"/>
            <w:vAlign w:val="bottom"/>
            <w:tcBorders>
              <w:bottom w:val="single" w:sz="8" w:color="9A9A9A"/>
            </w:tcBorders>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17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846" w:right="319" w:bottom="1440" w:gutter="0" w:footer="0" w:header="0"/>
        </w:sectPr>
      </w:pPr>
    </w:p>
    <w:bookmarkStart w:id="17" w:name="page18"/>
    <w:bookmarkEnd w:id="17"/>
    <w:p>
      <w:pPr>
        <w:ind w:right="980" w:firstLine="255"/>
        <w:spacing w:after="0" w:line="420" w:lineRule="auto"/>
        <w:rPr>
          <w:sz w:val="20"/>
          <w:szCs w:val="20"/>
          <w:color w:val="auto"/>
        </w:rPr>
      </w:pPr>
      <w:r>
        <w:rPr>
          <w:rFonts w:ascii="Times New Roman" w:cs="Times New Roman" w:eastAsia="Times New Roman" w:hAnsi="Times New Roman"/>
          <w:sz w:val="14"/>
          <w:szCs w:val="14"/>
          <w:color w:val="auto"/>
        </w:rPr>
        <w:t>Additional comparative revenue and related financial information is presented in the section captioned "</w:t>
      </w:r>
      <w:r>
        <w:rPr>
          <w:rFonts w:ascii="Times New Roman" w:cs="Times New Roman" w:eastAsia="Times New Roman" w:hAnsi="Times New Roman"/>
          <w:sz w:val="14"/>
          <w:szCs w:val="14"/>
          <w:i w:val="1"/>
          <w:iCs w:val="1"/>
          <w:color w:val="auto"/>
        </w:rPr>
        <w:t>Segment Information"</w:t>
      </w:r>
      <w:r>
        <w:rPr>
          <w:rFonts w:ascii="Times New Roman" w:cs="Times New Roman" w:eastAsia="Times New Roman" w:hAnsi="Times New Roman"/>
          <w:sz w:val="14"/>
          <w:szCs w:val="14"/>
          <w:color w:val="auto"/>
        </w:rPr>
        <w:t xml:space="preserve"> in Note 2 to our consolidated financial statements. </w:t>
      </w:r>
      <w:r>
        <w:rPr>
          <w:rFonts w:ascii="Times New Roman" w:cs="Times New Roman" w:eastAsia="Times New Roman" w:hAnsi="Times New Roman"/>
          <w:sz w:val="14"/>
          <w:szCs w:val="14"/>
          <w:b w:val="1"/>
          <w:bCs w:val="1"/>
          <w:color w:val="auto"/>
        </w:rPr>
        <w:t>Product Liability and Other Insurance</w:t>
      </w:r>
    </w:p>
    <w:p>
      <w:pPr>
        <w:spacing w:after="0" w:line="1" w:lineRule="exact"/>
        <w:rPr>
          <w:sz w:val="20"/>
          <w:szCs w:val="20"/>
          <w:color w:val="auto"/>
        </w:rPr>
      </w:pPr>
    </w:p>
    <w:p>
      <w:pPr>
        <w:ind w:right="280" w:firstLine="255"/>
        <w:spacing w:after="0" w:line="287" w:lineRule="auto"/>
        <w:rPr>
          <w:sz w:val="20"/>
          <w:szCs w:val="20"/>
          <w:color w:val="auto"/>
        </w:rPr>
      </w:pPr>
      <w:r>
        <w:rPr>
          <w:rFonts w:ascii="Times New Roman" w:cs="Times New Roman" w:eastAsia="Times New Roman" w:hAnsi="Times New Roman"/>
          <w:sz w:val="14"/>
          <w:szCs w:val="14"/>
          <w:color w:val="auto"/>
        </w:rPr>
        <w:t>We have product liability insurance coverage for our products that we believe is adequate for our needs. We also maintain commercial property and liability coverage, directors’ and officers’ liability insurance, workers compensation coverage and cyber information security risk insurance policies as well as foreign and other miscellaneous coverage.</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Intellectual Property</w:t>
      </w:r>
    </w:p>
    <w:p>
      <w:pPr>
        <w:spacing w:after="0" w:line="117" w:lineRule="exact"/>
        <w:rPr>
          <w:sz w:val="20"/>
          <w:szCs w:val="20"/>
          <w:color w:val="auto"/>
        </w:rPr>
      </w:pPr>
    </w:p>
    <w:p>
      <w:pPr>
        <w:ind w:right="280" w:firstLine="255"/>
        <w:spacing w:after="0" w:line="287" w:lineRule="auto"/>
        <w:rPr>
          <w:sz w:val="20"/>
          <w:szCs w:val="20"/>
          <w:color w:val="auto"/>
        </w:rPr>
      </w:pPr>
      <w:r>
        <w:rPr>
          <w:rFonts w:ascii="Times New Roman" w:cs="Times New Roman" w:eastAsia="Times New Roman" w:hAnsi="Times New Roman"/>
          <w:sz w:val="14"/>
          <w:szCs w:val="14"/>
          <w:color w:val="auto"/>
        </w:rPr>
        <w:t>We use commercially reasonable efforts to protect our intellectual property through patent protection, trademarks, and trade secrets, licensed rights, and contractual protections, and intend to continue to develop a strong brand identity for our company and our products.</w:t>
      </w:r>
    </w:p>
    <w:p>
      <w:pPr>
        <w:spacing w:after="0" w:line="68" w:lineRule="exact"/>
        <w:rPr>
          <w:sz w:val="20"/>
          <w:szCs w:val="20"/>
          <w:color w:val="auto"/>
        </w:rPr>
      </w:pPr>
    </w:p>
    <w:p>
      <w:pPr>
        <w:ind w:right="160" w:firstLine="255"/>
        <w:spacing w:after="0" w:line="222" w:lineRule="auto"/>
        <w:rPr>
          <w:sz w:val="20"/>
          <w:szCs w:val="20"/>
          <w:color w:val="auto"/>
        </w:rPr>
      </w:pPr>
      <w:r>
        <w:rPr>
          <w:rFonts w:ascii="Times New Roman" w:cs="Times New Roman" w:eastAsia="Times New Roman" w:hAnsi="Times New Roman"/>
          <w:sz w:val="14"/>
          <w:szCs w:val="14"/>
          <w:color w:val="auto"/>
        </w:rPr>
        <w:t>Protandim</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Nrf2 Synergizer</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is a proprietary, patented dietary supplement formulation for enhancing antioxidant enzymes including superoxide dismutase and catalase. The patents and patent applications protecting its formulations are held by LifeVantage Corporation or our wholly owned subsidiary, Lifeline Nutraceuticals Corporation. Our intellectual property is covered, in part, by many issued U.S. patents. Our patents and patent applications claim the benefit of priority of multiple U.S. provisional patent applications, the earliest of which was filed on March 23, 2004, and relate to compositions, methods of use, and methods of manufacture of various compositions, including those embodied by the Protandim</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Nrf2 Synergizer</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formulation. The expected duration of our patent protection via some granted patents for Protandim</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Nrf2 Synergizer</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is at least through approximately March 2025, and we continue to research and file new composition and method patents in the U.S. for enhanced and improved product formulations that will extend our patent protection for a variety of product formulations and methods. During fiscal year 2018, we received other patents for personal care or skin care products. These patents expire approximately February 2036. In fiscal year 2023, we received a patent for the combination of Protandim</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Nrf2 Synergizer</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Protandim</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NRF1 Synergizer</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and Protandim</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NAD Synergizer</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collectively called the Tri-Synergizer™ pack. In fiscal year 2023, we filed for a U.S. patent application which, if granted, will protect the combined synergistic effects and benefits of the Protandim</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Nrf2 Synergizer</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and TrueScience</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Liquid Collagen products when these two products are used together.</w:t>
      </w:r>
    </w:p>
    <w:p>
      <w:pPr>
        <w:spacing w:after="0" w:line="49" w:lineRule="exact"/>
        <w:rPr>
          <w:sz w:val="20"/>
          <w:szCs w:val="20"/>
          <w:color w:val="auto"/>
        </w:rPr>
      </w:pPr>
    </w:p>
    <w:p>
      <w:pPr>
        <w:jc w:val="both"/>
        <w:ind w:right="20" w:firstLine="255"/>
        <w:spacing w:after="0" w:line="219" w:lineRule="auto"/>
        <w:rPr>
          <w:sz w:val="20"/>
          <w:szCs w:val="20"/>
          <w:color w:val="auto"/>
        </w:rPr>
      </w:pPr>
      <w:r>
        <w:rPr>
          <w:rFonts w:ascii="Times New Roman" w:cs="Times New Roman" w:eastAsia="Times New Roman" w:hAnsi="Times New Roman"/>
          <w:sz w:val="14"/>
          <w:szCs w:val="14"/>
          <w:color w:val="auto"/>
        </w:rPr>
        <w:t>We continue to protect our products and brands using trademarks. We have filed and successfully procured registered trademarks for our key brands consisting of Protandim</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LifeVantage</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and TrueScience</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in many countries around the world, and we have pending trademark applications for these and other marks in many other countries. We anticipate seeking protection in other countries, as we deem appropriate.</w:t>
      </w:r>
    </w:p>
    <w:p>
      <w:pPr>
        <w:spacing w:after="0" w:line="94" w:lineRule="exact"/>
        <w:rPr>
          <w:sz w:val="20"/>
          <w:szCs w:val="20"/>
          <w:color w:val="auto"/>
        </w:rPr>
      </w:pPr>
    </w:p>
    <w:p>
      <w:pPr>
        <w:ind w:right="240" w:firstLine="255"/>
        <w:spacing w:after="0" w:line="287" w:lineRule="auto"/>
        <w:rPr>
          <w:sz w:val="20"/>
          <w:szCs w:val="20"/>
          <w:color w:val="auto"/>
        </w:rPr>
      </w:pPr>
      <w:r>
        <w:rPr>
          <w:rFonts w:ascii="Times New Roman" w:cs="Times New Roman" w:eastAsia="Times New Roman" w:hAnsi="Times New Roman"/>
          <w:sz w:val="14"/>
          <w:szCs w:val="14"/>
          <w:color w:val="auto"/>
        </w:rPr>
        <w:t>In order to protect the confidentiality of our intellectual property, including trade secrets, know-how and other proprietary technical and business information, it is our policy to limit access to such information to those who require access in order to perform their functions and to enter into agreements with employees, consultants and vendors to contractually protect such information.</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Competition</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Direct Selling Companies</w:t>
      </w:r>
    </w:p>
    <w:p>
      <w:pPr>
        <w:spacing w:after="0" w:line="117" w:lineRule="exact"/>
        <w:rPr>
          <w:sz w:val="20"/>
          <w:szCs w:val="20"/>
          <w:color w:val="auto"/>
        </w:rPr>
      </w:pPr>
    </w:p>
    <w:p>
      <w:pPr>
        <w:ind w:firstLine="255"/>
        <w:spacing w:after="0" w:line="261" w:lineRule="auto"/>
        <w:rPr>
          <w:sz w:val="20"/>
          <w:szCs w:val="20"/>
          <w:color w:val="auto"/>
        </w:rPr>
      </w:pPr>
      <w:r>
        <w:rPr>
          <w:rFonts w:ascii="Times New Roman" w:cs="Times New Roman" w:eastAsia="Times New Roman" w:hAnsi="Times New Roman"/>
          <w:sz w:val="14"/>
          <w:szCs w:val="14"/>
          <w:color w:val="auto"/>
        </w:rPr>
        <w:t>We compete with other direct selling companies, many of which have longer operating histories and greater visibility, name recognition and financial resources than we do. We also compete with newer direct selling companies that may attempt to solicit our independent consultants by offering the possibility of a more financially rewarding opportunity or by being among the company's early consultant base. We compete for new consultants with these companies on the basis of our business opportunity, product offerings, sales compensation plan, management and operations. In order to successfully compete in the direct selling industry and attract and retain quality consultants, we must maintain the attractiveness of our business opportunity, product offerings and sales compensation plan.</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Dietary Supplement Market</w:t>
      </w:r>
    </w:p>
    <w:p>
      <w:pPr>
        <w:spacing w:after="0" w:line="127" w:lineRule="exact"/>
        <w:rPr>
          <w:sz w:val="20"/>
          <w:szCs w:val="20"/>
          <w:color w:val="auto"/>
        </w:rPr>
      </w:pPr>
    </w:p>
    <w:p>
      <w:pPr>
        <w:ind w:right="180" w:firstLine="255"/>
        <w:spacing w:after="0" w:line="261" w:lineRule="auto"/>
        <w:rPr>
          <w:sz w:val="20"/>
          <w:szCs w:val="20"/>
          <w:color w:val="auto"/>
        </w:rPr>
      </w:pPr>
      <w:r>
        <w:rPr>
          <w:rFonts w:ascii="Times New Roman" w:cs="Times New Roman" w:eastAsia="Times New Roman" w:hAnsi="Times New Roman"/>
          <w:sz w:val="14"/>
          <w:szCs w:val="14"/>
          <w:color w:val="auto"/>
        </w:rPr>
        <w:t>We compete with other companies that sell dietary supplements. We believe the dietary supplement market is highly fragmented and competitive. We believe competition in the dietary supplement market is based primarily on quality, price, efficacy, brand name, and recognition of product benefits. In the dietary supplement industry, our competition includes numerous nutritional supplement companies, pharmaceutical companies and packaged food and beverage companies. Many of these companies have broader product lines, larger sales volumes, and greater financial resources than we do. Additionally, some of these companies are able to compete more effectively due to greater vertical integration. Increased competition in the dietary supplement market could have a material adverse effect on our results of operations and financial condition.</w:t>
      </w:r>
    </w:p>
    <w:p>
      <w:pPr>
        <w:spacing w:after="0" w:line="200" w:lineRule="exact"/>
        <w:rPr>
          <w:sz w:val="20"/>
          <w:szCs w:val="20"/>
          <w:color w:val="auto"/>
        </w:rPr>
      </w:pPr>
    </w:p>
    <w:p>
      <w:pPr>
        <w:spacing w:after="0" w:line="31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844" w:right="339" w:bottom="1440" w:gutter="0" w:footer="0" w:header="0"/>
        </w:sectPr>
      </w:pPr>
    </w:p>
    <w:bookmarkStart w:id="18" w:name="page19"/>
    <w:bookmarkEnd w:id="18"/>
    <w:p>
      <w:pPr>
        <w:ind w:left="260"/>
        <w:spacing w:after="0"/>
        <w:rPr>
          <w:sz w:val="20"/>
          <w:szCs w:val="20"/>
          <w:color w:val="auto"/>
        </w:rPr>
      </w:pPr>
      <w:r>
        <w:rPr>
          <w:rFonts w:ascii="Times New Roman" w:cs="Times New Roman" w:eastAsia="Times New Roman" w:hAnsi="Times New Roman"/>
          <w:sz w:val="14"/>
          <w:szCs w:val="14"/>
          <w:b w:val="1"/>
          <w:bCs w:val="1"/>
          <w:color w:val="auto"/>
        </w:rPr>
        <w:t>Nrf2 Activators</w:t>
      </w:r>
    </w:p>
    <w:p>
      <w:pPr>
        <w:spacing w:after="0" w:line="117" w:lineRule="exact"/>
        <w:rPr>
          <w:sz w:val="20"/>
          <w:szCs w:val="20"/>
          <w:color w:val="auto"/>
        </w:rPr>
      </w:pPr>
    </w:p>
    <w:p>
      <w:pPr>
        <w:ind w:right="100" w:firstLine="255"/>
        <w:spacing w:after="0" w:line="287" w:lineRule="auto"/>
        <w:rPr>
          <w:sz w:val="20"/>
          <w:szCs w:val="20"/>
          <w:color w:val="auto"/>
        </w:rPr>
      </w:pPr>
      <w:r>
        <w:rPr>
          <w:rFonts w:ascii="Times New Roman" w:cs="Times New Roman" w:eastAsia="Times New Roman" w:hAnsi="Times New Roman"/>
          <w:sz w:val="14"/>
          <w:szCs w:val="14"/>
          <w:color w:val="auto"/>
        </w:rPr>
        <w:t>In the last few years, we have seen the number of products marketed as Nrf2 activators increase. We anticipate the number of products that claim to activate Nrf2 will continue to increase as the technology becomes more popular and more broadly accepted.</w:t>
      </w:r>
    </w:p>
    <w:p>
      <w:pPr>
        <w:spacing w:after="0" w:line="6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color w:val="auto"/>
        </w:rPr>
        <w:t>Direct Antioxidants</w:t>
      </w:r>
    </w:p>
    <w:p>
      <w:pPr>
        <w:spacing w:after="0" w:line="125" w:lineRule="exact"/>
        <w:rPr>
          <w:sz w:val="20"/>
          <w:szCs w:val="20"/>
          <w:color w:val="auto"/>
        </w:rPr>
      </w:pPr>
    </w:p>
    <w:p>
      <w:pPr>
        <w:ind w:firstLine="255"/>
        <w:spacing w:after="0" w:line="213" w:lineRule="auto"/>
        <w:rPr>
          <w:sz w:val="20"/>
          <w:szCs w:val="20"/>
          <w:color w:val="auto"/>
        </w:rPr>
      </w:pPr>
      <w:r>
        <w:rPr>
          <w:rFonts w:ascii="Times New Roman" w:cs="Times New Roman" w:eastAsia="Times New Roman" w:hAnsi="Times New Roman"/>
          <w:sz w:val="14"/>
          <w:szCs w:val="14"/>
          <w:color w:val="auto"/>
        </w:rPr>
        <w:t>Vitamin C, vitamin E, other vitamin/mineral antioxidants, and other sources of externally derived antioxidants may be considered competitors of Protandim</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Nrf2 Synergizer</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but they are mechanistically distinct from Protandim</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Nrf2 Synergizer</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These other sources of antioxidants do not increase the body’s elimination of oxidants using internal antioxidant enzymes. Our research indicates that Protandim</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Nrf2 Synergizer</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increases production of anti-fibrotic gene products, including antioxidant enzymes, such as superoxide dismutase and catalase, within the cells of the body. We believe that the body’s internally produced antioxidant enzymes provide a better defense against oxidative stress than externally derived sources of antioxidants.</w:t>
      </w:r>
    </w:p>
    <w:p>
      <w:pPr>
        <w:spacing w:after="0" w:line="9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color w:val="auto"/>
        </w:rPr>
        <w:t>Oral Superoxide Dismutase and Catalase</w:t>
      </w:r>
    </w:p>
    <w:p>
      <w:pPr>
        <w:spacing w:after="0" w:line="125" w:lineRule="exact"/>
        <w:rPr>
          <w:sz w:val="20"/>
          <w:szCs w:val="20"/>
          <w:color w:val="auto"/>
        </w:rPr>
      </w:pPr>
    </w:p>
    <w:p>
      <w:pPr>
        <w:ind w:firstLine="255"/>
        <w:spacing w:after="0" w:line="225" w:lineRule="auto"/>
        <w:rPr>
          <w:sz w:val="20"/>
          <w:szCs w:val="20"/>
          <w:color w:val="auto"/>
        </w:rPr>
      </w:pPr>
      <w:r>
        <w:rPr>
          <w:rFonts w:ascii="Times New Roman" w:cs="Times New Roman" w:eastAsia="Times New Roman" w:hAnsi="Times New Roman"/>
          <w:sz w:val="14"/>
          <w:szCs w:val="14"/>
          <w:color w:val="auto"/>
        </w:rPr>
        <w:t>There are many companies performing research into antioxidants. Several companies sell oral forms of superoxide dismutase and catalase. Although we believe Protandim</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Nrf2 Synergizer</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is a superior alternative to oral forms of superoxide dismutase and catalase, these products do compete with Protandim</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Nrf2 Synergizer</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in the marketplace. We anticipate additional companies will likely develop, purchase or in-license products that are competitive with Protandim</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Nrf2 Synergizer</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w:t>
      </w:r>
    </w:p>
    <w:p>
      <w:pPr>
        <w:spacing w:after="0" w:line="4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color w:val="auto"/>
        </w:rPr>
        <w:t>Omega Fatty Acid Products</w:t>
      </w:r>
    </w:p>
    <w:p>
      <w:pPr>
        <w:spacing w:after="0" w:line="117" w:lineRule="exact"/>
        <w:rPr>
          <w:sz w:val="20"/>
          <w:szCs w:val="20"/>
          <w:color w:val="auto"/>
        </w:rPr>
      </w:pPr>
    </w:p>
    <w:p>
      <w:pPr>
        <w:ind w:right="80" w:firstLine="255"/>
        <w:spacing w:after="0" w:line="247" w:lineRule="auto"/>
        <w:rPr>
          <w:sz w:val="20"/>
          <w:szCs w:val="20"/>
          <w:color w:val="auto"/>
        </w:rPr>
      </w:pPr>
      <w:r>
        <w:rPr>
          <w:rFonts w:ascii="Times New Roman" w:cs="Times New Roman" w:eastAsia="Times New Roman" w:hAnsi="Times New Roman"/>
          <w:sz w:val="14"/>
          <w:szCs w:val="14"/>
          <w:color w:val="auto"/>
        </w:rPr>
        <w:t>There are many companies that market omega supplements, including omega-3. Although LifeVantage</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Omega+ contains a unique combination of DHA and EPA omega-3 fatty acids, omega-7 fatty acids, and vitamin D3, we anticipate additional companies will likely develop products that are competitive with LifeVantage</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Omega+.</w:t>
      </w:r>
    </w:p>
    <w:p>
      <w:pPr>
        <w:spacing w:after="0" w:line="2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color w:val="auto"/>
        </w:rPr>
        <w:t>Probiotic Products</w:t>
      </w:r>
    </w:p>
    <w:p>
      <w:pPr>
        <w:spacing w:after="0" w:line="125" w:lineRule="exact"/>
        <w:rPr>
          <w:sz w:val="20"/>
          <w:szCs w:val="20"/>
          <w:color w:val="auto"/>
        </w:rPr>
      </w:pPr>
    </w:p>
    <w:p>
      <w:pPr>
        <w:ind w:right="440" w:firstLine="255"/>
        <w:spacing w:after="0" w:line="232" w:lineRule="auto"/>
        <w:rPr>
          <w:sz w:val="20"/>
          <w:szCs w:val="20"/>
          <w:color w:val="auto"/>
        </w:rPr>
      </w:pPr>
      <w:r>
        <w:rPr>
          <w:rFonts w:ascii="Times New Roman" w:cs="Times New Roman" w:eastAsia="Times New Roman" w:hAnsi="Times New Roman"/>
          <w:sz w:val="14"/>
          <w:szCs w:val="14"/>
          <w:color w:val="auto"/>
        </w:rPr>
        <w:t>There are many companies that market probiotic supplements, and we anticipate additional companies will likely continue to develop products that compete with our LifeVantage</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ProBio supplement.</w:t>
      </w:r>
    </w:p>
    <w:p>
      <w:pPr>
        <w:spacing w:after="0" w:line="9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color w:val="auto"/>
        </w:rPr>
        <w:t>Eye Health and Vitamin Products</w:t>
      </w:r>
    </w:p>
    <w:p>
      <w:pPr>
        <w:spacing w:after="0" w:line="127" w:lineRule="exact"/>
        <w:rPr>
          <w:sz w:val="20"/>
          <w:szCs w:val="20"/>
          <w:color w:val="auto"/>
        </w:rPr>
      </w:pPr>
    </w:p>
    <w:p>
      <w:pPr>
        <w:ind w:right="220" w:firstLine="255"/>
        <w:spacing w:after="0" w:line="288" w:lineRule="auto"/>
        <w:rPr>
          <w:sz w:val="20"/>
          <w:szCs w:val="20"/>
          <w:color w:val="auto"/>
        </w:rPr>
      </w:pPr>
      <w:r>
        <w:rPr>
          <w:rFonts w:ascii="Times New Roman" w:cs="Times New Roman" w:eastAsia="Times New Roman" w:hAnsi="Times New Roman"/>
          <w:sz w:val="14"/>
          <w:szCs w:val="14"/>
          <w:color w:val="auto"/>
        </w:rPr>
        <w:t>There are many companies that market eye health and other vitamin/mineral supplements and we anticipate additional companies will likely continue to develop products that are competitive with our IC Bright</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b w:val="1"/>
          <w:bCs w:val="1"/>
          <w:i w:val="1"/>
          <w:iCs w:val="1"/>
          <w:color w:val="auto"/>
        </w:rPr>
        <w:t>,</w:t>
      </w:r>
      <w:r>
        <w:rPr>
          <w:rFonts w:ascii="Times New Roman" w:cs="Times New Roman" w:eastAsia="Times New Roman" w:hAnsi="Times New Roman"/>
          <w:sz w:val="14"/>
          <w:szCs w:val="14"/>
          <w:color w:val="auto"/>
        </w:rPr>
        <w:t xml:space="preserve"> LifeVantage</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Daily Wellness, LifeVantage</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Rise AM &amp; Reset PM System</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and LifeVantage</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D3+.</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Personal Skin Care Market</w:t>
      </w:r>
    </w:p>
    <w:p>
      <w:pPr>
        <w:spacing w:after="0" w:line="117" w:lineRule="exact"/>
        <w:rPr>
          <w:sz w:val="20"/>
          <w:szCs w:val="20"/>
          <w:color w:val="auto"/>
        </w:rPr>
      </w:pPr>
    </w:p>
    <w:p>
      <w:pPr>
        <w:ind w:right="80" w:firstLine="255"/>
        <w:spacing w:after="0" w:line="245" w:lineRule="auto"/>
        <w:rPr>
          <w:sz w:val="20"/>
          <w:szCs w:val="20"/>
          <w:color w:val="auto"/>
        </w:rPr>
      </w:pPr>
      <w:r>
        <w:rPr>
          <w:rFonts w:ascii="Times New Roman" w:cs="Times New Roman" w:eastAsia="Times New Roman" w:hAnsi="Times New Roman"/>
          <w:sz w:val="14"/>
          <w:szCs w:val="14"/>
          <w:color w:val="auto"/>
        </w:rPr>
        <w:t>In the personal skin care market, we compete principally with large, well-known cosmetics companies that manufacture and sell broad product lines through retail establishments. Many of these competitors have greater financial resources and brand recognition than we do. We believe, however, we can compete with these larger companies by leveraging our direct selling model and emphasizing our unique, science-based, Nrf2 formulas in our personal care products. We also now compete in the growing global liquid collagen market and believe we can compete with our triple-action formula that has been shown to deliver visible results in only 30 days as it activates, replenishes, and maintains collagen levels. Our TrueScience</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Liquid Collagen product is a unique blend featuring sustainably sourced, hydrolyzed fish collagen that delivers 10 different types of peptides–significantly more than most competitive products–plus a unique red quinoa extract that has been shown to up regulate genes associated with collagen production and down regulate those that produce enzymes that break down collagen.</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Personal Hair Care Market</w:t>
      </w:r>
    </w:p>
    <w:p>
      <w:pPr>
        <w:spacing w:after="0" w:line="127" w:lineRule="exact"/>
        <w:rPr>
          <w:sz w:val="20"/>
          <w:szCs w:val="20"/>
          <w:color w:val="auto"/>
        </w:rPr>
      </w:pPr>
    </w:p>
    <w:p>
      <w:pPr>
        <w:ind w:right="160" w:firstLine="255"/>
        <w:spacing w:after="0" w:line="270" w:lineRule="auto"/>
        <w:rPr>
          <w:sz w:val="20"/>
          <w:szCs w:val="20"/>
          <w:color w:val="auto"/>
        </w:rPr>
      </w:pPr>
      <w:r>
        <w:rPr>
          <w:rFonts w:ascii="Times New Roman" w:cs="Times New Roman" w:eastAsia="Times New Roman" w:hAnsi="Times New Roman"/>
          <w:sz w:val="14"/>
          <w:szCs w:val="14"/>
          <w:color w:val="auto"/>
        </w:rPr>
        <w:t>In the personal hair care market, we compete principally with large, well-known hair care companies that manufacture and sell broad product lines through retail establishments. Many of these competitors have greater financial resources and brand recognition than we do. We believe, however, we can compete with these larger companies by leveraging our direct selling model and emphasizing our unique, science-based hair care products.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Animal Supplement Market</w:t>
      </w:r>
    </w:p>
    <w:p>
      <w:pPr>
        <w:spacing w:after="0" w:line="127" w:lineRule="exact"/>
        <w:rPr>
          <w:sz w:val="20"/>
          <w:szCs w:val="20"/>
          <w:color w:val="auto"/>
        </w:rPr>
      </w:pPr>
    </w:p>
    <w:p>
      <w:pPr>
        <w:ind w:right="180" w:firstLine="255"/>
        <w:spacing w:after="0" w:line="287" w:lineRule="auto"/>
        <w:rPr>
          <w:sz w:val="20"/>
          <w:szCs w:val="20"/>
          <w:color w:val="auto"/>
        </w:rPr>
      </w:pPr>
      <w:r>
        <w:rPr>
          <w:rFonts w:ascii="Times New Roman" w:cs="Times New Roman" w:eastAsia="Times New Roman" w:hAnsi="Times New Roman"/>
          <w:sz w:val="14"/>
          <w:szCs w:val="14"/>
          <w:color w:val="auto"/>
        </w:rPr>
        <w:t>We compete principally with large, well-known companies in the animal supplement market. Most of the companies we compete with in the animal supplement market have broad distribution channels that include retail establishments. Many of</w:t>
      </w:r>
    </w:p>
    <w:p>
      <w:pPr>
        <w:spacing w:after="0" w:line="200" w:lineRule="exact"/>
        <w:rPr>
          <w:sz w:val="20"/>
          <w:szCs w:val="20"/>
          <w:color w:val="auto"/>
        </w:rPr>
      </w:pPr>
    </w:p>
    <w:p>
      <w:pPr>
        <w:spacing w:after="0" w:line="2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844" w:right="339" w:bottom="1440" w:gutter="0" w:footer="0" w:header="0"/>
        </w:sectPr>
      </w:pPr>
    </w:p>
    <w:bookmarkStart w:id="19" w:name="page20"/>
    <w:bookmarkEnd w:id="19"/>
    <w:p>
      <w:pPr>
        <w:ind w:right="240"/>
        <w:spacing w:after="0" w:line="287" w:lineRule="auto"/>
        <w:rPr>
          <w:sz w:val="20"/>
          <w:szCs w:val="20"/>
          <w:color w:val="auto"/>
        </w:rPr>
      </w:pPr>
      <w:r>
        <w:rPr>
          <w:rFonts w:ascii="Times New Roman" w:cs="Times New Roman" w:eastAsia="Times New Roman" w:hAnsi="Times New Roman"/>
          <w:sz w:val="14"/>
          <w:szCs w:val="14"/>
          <w:color w:val="auto"/>
        </w:rPr>
        <w:t>these competitors have greater financial resources and brand recognition than we do. We believe, however, that we can compete with these larger companies by leveraging our direct selling model and emphasizing our unique, science-based animal supplement product.</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Energy Drink Market</w:t>
      </w:r>
    </w:p>
    <w:p>
      <w:pPr>
        <w:spacing w:after="0" w:line="127" w:lineRule="exact"/>
        <w:rPr>
          <w:sz w:val="20"/>
          <w:szCs w:val="20"/>
          <w:color w:val="auto"/>
        </w:rPr>
      </w:pPr>
    </w:p>
    <w:p>
      <w:pPr>
        <w:ind w:right="120" w:firstLine="255"/>
        <w:spacing w:after="0" w:line="272" w:lineRule="auto"/>
        <w:rPr>
          <w:sz w:val="20"/>
          <w:szCs w:val="20"/>
          <w:color w:val="auto"/>
        </w:rPr>
      </w:pPr>
      <w:r>
        <w:rPr>
          <w:rFonts w:ascii="Times New Roman" w:cs="Times New Roman" w:eastAsia="Times New Roman" w:hAnsi="Times New Roman"/>
          <w:sz w:val="14"/>
          <w:szCs w:val="14"/>
          <w:color w:val="auto"/>
        </w:rPr>
        <w:t>We compete with large, well-known companies in the energy drink market. Most of the companies we compete with in the energy drink market have broad distribution channels that include big box retail establishments. Many of these competitors have greater financial resources and brand recognition than we do. We intend to compete with these larger companies by leveraging our direct selling model and emphasizing our unique, science-based energy drink product. AXIO</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is a no sugar, low-carbohydrate and low-calorie energy drink that is also non-GMO, gluten-free and vegan.</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Weight Management Market</w:t>
      </w:r>
    </w:p>
    <w:p>
      <w:pPr>
        <w:spacing w:after="0" w:line="117" w:lineRule="exact"/>
        <w:rPr>
          <w:sz w:val="20"/>
          <w:szCs w:val="20"/>
          <w:color w:val="auto"/>
        </w:rPr>
      </w:pPr>
    </w:p>
    <w:p>
      <w:pPr>
        <w:ind w:right="180" w:firstLine="255"/>
        <w:spacing w:after="0" w:line="270" w:lineRule="auto"/>
        <w:rPr>
          <w:sz w:val="20"/>
          <w:szCs w:val="20"/>
          <w:color w:val="auto"/>
        </w:rPr>
      </w:pPr>
      <w:r>
        <w:rPr>
          <w:rFonts w:ascii="Times New Roman" w:cs="Times New Roman" w:eastAsia="Times New Roman" w:hAnsi="Times New Roman"/>
          <w:sz w:val="14"/>
          <w:szCs w:val="14"/>
          <w:color w:val="auto"/>
        </w:rPr>
        <w:t>We compete with large, well-known companies in the weight management market. Most of the companies we compete with in the weight management market have broad distribution channels that include big box retail establishments. Many of these competitors have greater financial resources and brand recognition than we do. We intend to compete with these larger companies by leveraging our direct selling model and emphasizing our unique, science-based weight management products.</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Regulatory Environment</w:t>
      </w:r>
    </w:p>
    <w:p>
      <w:pPr>
        <w:spacing w:after="0" w:line="127" w:lineRule="exact"/>
        <w:rPr>
          <w:sz w:val="20"/>
          <w:szCs w:val="20"/>
          <w:color w:val="auto"/>
        </w:rPr>
      </w:pPr>
    </w:p>
    <w:p>
      <w:pPr>
        <w:ind w:right="20" w:firstLine="255"/>
        <w:spacing w:after="0" w:line="287" w:lineRule="auto"/>
        <w:rPr>
          <w:sz w:val="20"/>
          <w:szCs w:val="20"/>
          <w:color w:val="auto"/>
        </w:rPr>
      </w:pPr>
      <w:r>
        <w:rPr>
          <w:rFonts w:ascii="Times New Roman" w:cs="Times New Roman" w:eastAsia="Times New Roman" w:hAnsi="Times New Roman"/>
          <w:sz w:val="14"/>
          <w:szCs w:val="14"/>
          <w:color w:val="auto"/>
        </w:rPr>
        <w:t>The formulation, manufacturing, packaging, labeling, and advertising of our products in the United States are subject to regulation by the Food and Drug Administration (“FDA”) and the Federal Trade Commission (“FTC”), as well as comparable state laws.</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FDA Regulations and DSHEA</w:t>
      </w:r>
    </w:p>
    <w:p>
      <w:pPr>
        <w:spacing w:after="0" w:line="125" w:lineRule="exact"/>
        <w:rPr>
          <w:sz w:val="20"/>
          <w:szCs w:val="20"/>
          <w:color w:val="auto"/>
        </w:rPr>
      </w:pPr>
    </w:p>
    <w:p>
      <w:pPr>
        <w:ind w:firstLine="255"/>
        <w:spacing w:after="0" w:line="244" w:lineRule="auto"/>
        <w:rPr>
          <w:sz w:val="20"/>
          <w:szCs w:val="20"/>
          <w:color w:val="auto"/>
        </w:rPr>
      </w:pPr>
      <w:r>
        <w:rPr>
          <w:rFonts w:ascii="Times New Roman" w:cs="Times New Roman" w:eastAsia="Times New Roman" w:hAnsi="Times New Roman"/>
          <w:sz w:val="14"/>
          <w:szCs w:val="14"/>
          <w:color w:val="auto"/>
        </w:rPr>
        <w:t>We market our Protandim</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products as “dietary supplements” as defined in the Dietary Supplement Health and Education Act of 1994 ("DSHEA"). DSHEA is intended to promote access to safe, quality dietary supplements, and information about dietary supplements. DSHEA established a new framework governing the composition and labeling of dietary supplements. DSHEA does not apply to animal supplements like Petandim</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We are not required to obtain FDA pre-market approval to sell our products in the United States under current laws.</w:t>
      </w:r>
    </w:p>
    <w:p>
      <w:pPr>
        <w:spacing w:after="0" w:line="44" w:lineRule="exact"/>
        <w:rPr>
          <w:sz w:val="20"/>
          <w:szCs w:val="20"/>
          <w:color w:val="auto"/>
        </w:rPr>
      </w:pPr>
    </w:p>
    <w:p>
      <w:pPr>
        <w:ind w:firstLine="255"/>
        <w:spacing w:after="0" w:line="259" w:lineRule="auto"/>
        <w:rPr>
          <w:sz w:val="20"/>
          <w:szCs w:val="20"/>
          <w:color w:val="auto"/>
        </w:rPr>
      </w:pPr>
      <w:r>
        <w:rPr>
          <w:rFonts w:ascii="Times New Roman" w:cs="Times New Roman" w:eastAsia="Times New Roman" w:hAnsi="Times New Roman"/>
          <w:sz w:val="14"/>
          <w:szCs w:val="14"/>
          <w:color w:val="auto"/>
        </w:rPr>
        <w:t>DSHEA permits statements of nutritional support, called “structure-function” statements, to be included in labeling for dietary supplements without FDA marketing approval. Such statements may claim a benefit related to a classical nutrient deficiency disease and disclose the prevalence of such disease in the United States, describe the role of a nutrient or dietary ingredient intended to affect the structure or function in humans, characterize the documented mechanism by which a nutrient or dietary ingredient acts to maintain such structure or function, or describe general well-being from consumption of a nutrient or dietary ingredient. Such statements may not expressly or impliedly claim that a dietary supplement is intended to diagnose, cure, mitigate, treat, or prevent a disease. A company that uses a structure-function statement in labeling must possess evidence substantiating that the statement is truthful and not misleading and is supported by competent and reliable scientific evidence.</w:t>
      </w:r>
    </w:p>
    <w:p>
      <w:pPr>
        <w:spacing w:after="0" w:line="82" w:lineRule="exact"/>
        <w:rPr>
          <w:sz w:val="20"/>
          <w:szCs w:val="20"/>
          <w:color w:val="auto"/>
        </w:rPr>
      </w:pPr>
    </w:p>
    <w:p>
      <w:pPr>
        <w:ind w:right="20" w:firstLine="255"/>
        <w:spacing w:after="0" w:line="270" w:lineRule="auto"/>
        <w:rPr>
          <w:sz w:val="20"/>
          <w:szCs w:val="20"/>
          <w:color w:val="auto"/>
        </w:rPr>
      </w:pPr>
      <w:r>
        <w:rPr>
          <w:rFonts w:ascii="Times New Roman" w:cs="Times New Roman" w:eastAsia="Times New Roman" w:hAnsi="Times New Roman"/>
          <w:sz w:val="14"/>
          <w:szCs w:val="14"/>
          <w:color w:val="auto"/>
        </w:rPr>
        <w:t>The FDA may assert that a particular structure-function statement that a company is using is an illegal claim; that assertion, normally, is in the form of a warning letter to that company. We have a duty to send to the FDA a notice that lists each new structure-function statement made by us; we are obligated to send that notice within 30 days after the first marketing of a supplement with such a statement.</w:t>
      </w:r>
    </w:p>
    <w:p>
      <w:pPr>
        <w:spacing w:after="0" w:line="83" w:lineRule="exact"/>
        <w:rPr>
          <w:sz w:val="20"/>
          <w:szCs w:val="20"/>
          <w:color w:val="auto"/>
        </w:rPr>
      </w:pPr>
    </w:p>
    <w:p>
      <w:pPr>
        <w:ind w:right="300" w:firstLine="255"/>
        <w:spacing w:after="0" w:line="270" w:lineRule="auto"/>
        <w:rPr>
          <w:sz w:val="20"/>
          <w:szCs w:val="20"/>
          <w:color w:val="auto"/>
        </w:rPr>
      </w:pPr>
      <w:r>
        <w:rPr>
          <w:rFonts w:ascii="Times New Roman" w:cs="Times New Roman" w:eastAsia="Times New Roman" w:hAnsi="Times New Roman"/>
          <w:sz w:val="14"/>
          <w:szCs w:val="14"/>
          <w:color w:val="auto"/>
        </w:rPr>
        <w:t>DSHEA also permits certain scientific literature, for example a reprint of a peer-reviewed scientific publication, to be used in connection with the sale of a dietary supplement to consumers without the literature being subject to regulation as labeling. However, such literature must not be false or misleading, the literature may not promote a particular manufacturer or brand of dietary supplement and it must include a balanced view of the available scientific information on the subject matter, among other requirements.</w:t>
      </w:r>
    </w:p>
    <w:p>
      <w:pPr>
        <w:spacing w:after="0" w:line="83" w:lineRule="exact"/>
        <w:rPr>
          <w:sz w:val="20"/>
          <w:szCs w:val="20"/>
          <w:color w:val="auto"/>
        </w:rPr>
      </w:pPr>
    </w:p>
    <w:p>
      <w:pPr>
        <w:jc w:val="both"/>
        <w:ind w:right="180" w:firstLine="255"/>
        <w:spacing w:after="0" w:line="242" w:lineRule="auto"/>
        <w:rPr>
          <w:sz w:val="20"/>
          <w:szCs w:val="20"/>
          <w:color w:val="auto"/>
        </w:rPr>
      </w:pPr>
      <w:r>
        <w:rPr>
          <w:rFonts w:ascii="Times New Roman" w:cs="Times New Roman" w:eastAsia="Times New Roman" w:hAnsi="Times New Roman"/>
          <w:sz w:val="14"/>
          <w:szCs w:val="14"/>
          <w:color w:val="auto"/>
        </w:rPr>
        <w:t>The FDA's Center for Veterinary Medicine (“CVM”) is responsible for enforcing the portion of the Federal Food, Drug, and Cosmetic Act (the “FFDCA”), that relates to animal supplements, like our Petandim</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product. CVM's primary responsibility in enforcing the FFDCA is to ensure that animal supplements are safe, effective, and can be manufactured to a consistent standard. CVM has taken the position that DSHEA does not apply to products intended for animals, but it is clear that products like Petandim</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are under FDA jurisdiction.</w:t>
      </w:r>
    </w:p>
    <w:p>
      <w:pPr>
        <w:spacing w:after="0" w:line="3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Our Petandim</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product follows the labeling rules of the NASC of which LifeVantage is a member. Under the NASC rules, Petandim</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is classified as a dosage form animal health product.</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46" w:right="319" w:bottom="1440" w:gutter="0" w:footer="0" w:header="0"/>
        </w:sectPr>
      </w:pPr>
    </w:p>
    <w:bookmarkStart w:id="20" w:name="page21"/>
    <w:bookmarkEnd w:id="20"/>
    <w:p>
      <w:pPr>
        <w:ind w:right="40" w:firstLine="255"/>
        <w:spacing w:after="0" w:line="257" w:lineRule="auto"/>
        <w:rPr>
          <w:sz w:val="20"/>
          <w:szCs w:val="20"/>
          <w:color w:val="auto"/>
        </w:rPr>
      </w:pPr>
      <w:r>
        <w:rPr>
          <w:rFonts w:ascii="Times New Roman" w:cs="Times New Roman" w:eastAsia="Times New Roman" w:hAnsi="Times New Roman"/>
          <w:sz w:val="14"/>
          <w:szCs w:val="14"/>
          <w:color w:val="auto"/>
        </w:rPr>
        <w:t>While we exercise care in our formulation, manufacturing, packaging, labeling, and advertising of our products, we cannot guarantee the FDA will never inform us that the FDA believes some violation of law has occurred either by us or by our independent consultants. Any allegations of our non-compliance may result in time-consuming and expensive defense of our activities. The FDA’s normal course of action is to issue a warning letter if it believes that a product is misbranded or adulterated. The responsive action requested by the FDA differs depending upon the nature of the product and claims in question. Typically, the FDA expects a written response within 15 working days of the receipt of a warning letter. The warning letter is public information posted on the FDA’s web site. That information could affect our relationships with our customers/consumers, investors, independent consultants, vendors, and employees. Warning letters also often spark private class action litigation under state consumer protection statutes. The FDA could also order compliance activities, such as an inspection of our facilities and products, and could file a civil lawsuit in which an arrest warrant (seizure) could be issued as to some or all of our products. In extraordinary cases, we could be named a defendant and sued for declaratory and injunctive relief. There were no open letters from the FDA to us as of June 30, 2024.</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FTC Regulations</w:t>
      </w:r>
    </w:p>
    <w:p>
      <w:pPr>
        <w:spacing w:after="0" w:line="127" w:lineRule="exact"/>
        <w:rPr>
          <w:sz w:val="20"/>
          <w:szCs w:val="20"/>
          <w:color w:val="auto"/>
        </w:rPr>
      </w:pPr>
    </w:p>
    <w:p>
      <w:pPr>
        <w:ind w:firstLine="255"/>
        <w:spacing w:after="0" w:line="256" w:lineRule="auto"/>
        <w:rPr>
          <w:sz w:val="20"/>
          <w:szCs w:val="20"/>
          <w:color w:val="auto"/>
        </w:rPr>
      </w:pPr>
      <w:r>
        <w:rPr>
          <w:rFonts w:ascii="Times New Roman" w:cs="Times New Roman" w:eastAsia="Times New Roman" w:hAnsi="Times New Roman"/>
          <w:sz w:val="14"/>
          <w:szCs w:val="14"/>
          <w:color w:val="auto"/>
        </w:rPr>
        <w:t>Advertising and marketing of our products in the United States are also subject to regulation by the FTC under the Federal Trade Commission Act (“FTC Act”). Among other things, the FTC Act prohibits unfair methods of competition and unfair false or deceptive acts or practices in or affecting commerce. The FTC Act also makes it illegal to disseminate or cause to be disseminated any false advertisement for “food, drugs, devices, services, or cosmetics." The FTC Act provides that disseminating any false advertisement pertaining to foods, which would include dietary supplements, is an unfair or deceptive act or practice. An advertiser is required to have competent and reliable scientific evidence for all express and implied health-related product claims at the time the claims are first made. We are required to have adequate scientific substantiation for all material advertising claims made for our products in the United States. The FTC routinely reviews websites to identify questionable advertising claims and practices. Competitors sometimes inform the FTC when they believe other competitors are violating the FTC Act and consumers may also notify the FTC of what they believe may be wrongful advertising. The FTC may initiate a non-public investigation that focuses on our advertising claims, which usually involves non-public pre-lawsuit extensive formal discovery. Such an investigation may be very expensive to defend, be lengthy, and result in a publicly disclosed Consent Decree, which is a settlement agreement. If no settlement can be reached, the FTC may start an administrative proceeding or a federal court lawsuit against us and/or our principal officers. The FTC often seeks to recover from the defendants, whether in a Consent Decree or a proceeding, any or all of the following: (i) consumer redress in the form of monetary relief or disgorgement of profits; (ii) significant reporting requirements for several years; and (iii) injunctive relief. In addition, most, if not all, states have statutes prohibiting deceptive and unfair acts and practices. The requirements under these state statutes are similar to those of the FTC Act.</w:t>
      </w:r>
    </w:p>
    <w:p>
      <w:pPr>
        <w:spacing w:after="0" w:line="95" w:lineRule="exact"/>
        <w:rPr>
          <w:sz w:val="20"/>
          <w:szCs w:val="20"/>
          <w:color w:val="auto"/>
        </w:rPr>
      </w:pPr>
    </w:p>
    <w:p>
      <w:pPr>
        <w:ind w:right="140" w:firstLine="255"/>
        <w:spacing w:after="0" w:line="264" w:lineRule="auto"/>
        <w:rPr>
          <w:sz w:val="20"/>
          <w:szCs w:val="20"/>
          <w:color w:val="auto"/>
        </w:rPr>
      </w:pPr>
      <w:r>
        <w:rPr>
          <w:rFonts w:ascii="Times New Roman" w:cs="Times New Roman" w:eastAsia="Times New Roman" w:hAnsi="Times New Roman"/>
          <w:sz w:val="14"/>
          <w:szCs w:val="14"/>
          <w:color w:val="auto"/>
        </w:rPr>
        <w:t>The National Advertising Division (“NAD”), of the national Better Business Bureau, a non-governmental not-for-profit organization through its Advertising Self-Regulatory Council, is also actively engaged in conducting investigations, called inquiries, which are focused on determining whether the requisite claim substantiation standard exists for advertising claims, including specific structure-function claims. Although the results of each inquiry or proceeding are not binding on the recipient, they are posted on NAD’s website, and the NAD often refers cases to the FTC, if the advertisers do not agree to modify their advertising in conformance with the NAD decision. We have been the subject of a NAD proceeding in 2008 and 2009, which was concluded in 2009.</w:t>
      </w:r>
    </w:p>
    <w:p>
      <w:pPr>
        <w:spacing w:after="0" w:line="77" w:lineRule="exact"/>
        <w:rPr>
          <w:sz w:val="20"/>
          <w:szCs w:val="20"/>
          <w:color w:val="auto"/>
        </w:rPr>
      </w:pPr>
    </w:p>
    <w:p>
      <w:pPr>
        <w:ind w:right="40" w:firstLine="255"/>
        <w:spacing w:after="0" w:line="264" w:lineRule="auto"/>
        <w:rPr>
          <w:sz w:val="20"/>
          <w:szCs w:val="20"/>
          <w:color w:val="auto"/>
        </w:rPr>
      </w:pPr>
      <w:r>
        <w:rPr>
          <w:rFonts w:ascii="Times New Roman" w:cs="Times New Roman" w:eastAsia="Times New Roman" w:hAnsi="Times New Roman"/>
          <w:sz w:val="14"/>
          <w:szCs w:val="14"/>
          <w:color w:val="auto"/>
        </w:rPr>
        <w:t>In January 2019, the Direct Selling Self-Regulatory Council (“DSSRC”) was introduced. This program monitors the entire direct selling channel—including the US DSA member companies and non-members. The DSSRC provides impartial monitoring, enforcement, and dispute resolution regarding product claims or income representations (including lifestyle claims) disseminated by direct selling companies and their sales force members (consultants). The failure of a company to resolve DSSRC complaints will ultimately result in the DSSRC reporting the matter to the FTC, which may or may not pursue enforcement action in any given case. There were no open letters from the FTC to us as of June 30, 2024.</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Regulation of Direct Selling Activities</w:t>
      </w:r>
    </w:p>
    <w:p>
      <w:pPr>
        <w:spacing w:after="0" w:line="127" w:lineRule="exact"/>
        <w:rPr>
          <w:sz w:val="20"/>
          <w:szCs w:val="20"/>
          <w:color w:val="auto"/>
        </w:rPr>
      </w:pPr>
    </w:p>
    <w:p>
      <w:pPr>
        <w:ind w:right="340" w:firstLine="255"/>
        <w:spacing w:after="0" w:line="270" w:lineRule="auto"/>
        <w:rPr>
          <w:sz w:val="20"/>
          <w:szCs w:val="20"/>
          <w:color w:val="auto"/>
        </w:rPr>
      </w:pPr>
      <w:r>
        <w:rPr>
          <w:rFonts w:ascii="Times New Roman" w:cs="Times New Roman" w:eastAsia="Times New Roman" w:hAnsi="Times New Roman"/>
          <w:sz w:val="14"/>
          <w:szCs w:val="14"/>
          <w:color w:val="auto"/>
        </w:rPr>
        <w:t>Direct selling activities are regulated by the FTC, as well as various federal, state and local governmental agencies in the United States and foreign countries. These laws and regulations are generally intended to prevent fraudulent or deceptive schemes, often referred to as “pyramid” schemes, which compensate participants primarily for recruiting additional participants without sufficient emphasis on product sales. The laws and regulations may often:</w:t>
      </w:r>
    </w:p>
    <w:p>
      <w:pPr>
        <w:spacing w:after="0" w:line="72" w:lineRule="exact"/>
        <w:rPr>
          <w:sz w:val="20"/>
          <w:szCs w:val="20"/>
          <w:color w:val="auto"/>
        </w:rPr>
      </w:pPr>
    </w:p>
    <w:p>
      <w:pPr>
        <w:ind w:left="520" w:hanging="260"/>
        <w:spacing w:after="0"/>
        <w:tabs>
          <w:tab w:leader="none" w:pos="52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require us or our independent consultants to register with governmental agencies;</w:t>
      </w:r>
    </w:p>
    <w:p>
      <w:pPr>
        <w:spacing w:after="0" w:line="125"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impose caps on the amount or type of sales commission we can pay;</w:t>
      </w:r>
    </w:p>
    <w:p>
      <w:pPr>
        <w:spacing w:after="0" w:line="125"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impose reporting requirements; and</w:t>
      </w:r>
    </w:p>
    <w:p>
      <w:pPr>
        <w:spacing w:after="0" w:line="200" w:lineRule="exact"/>
        <w:rPr>
          <w:sz w:val="20"/>
          <w:szCs w:val="20"/>
          <w:color w:val="auto"/>
        </w:rPr>
      </w:pPr>
    </w:p>
    <w:p>
      <w:pPr>
        <w:spacing w:after="0" w:line="3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46" w:right="319" w:bottom="1440" w:gutter="0" w:footer="0" w:header="0"/>
        </w:sectPr>
      </w:pPr>
    </w:p>
    <w:bookmarkStart w:id="21" w:name="page22"/>
    <w:bookmarkEnd w:id="21"/>
    <w:p>
      <w:pPr>
        <w:ind w:left="520" w:hanging="260"/>
        <w:spacing w:after="0" w:line="287" w:lineRule="auto"/>
        <w:tabs>
          <w:tab w:leader="none" w:pos="516"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require that we ensure, among other things, that our independent consultants maintain levels of product sales to qualify to receive sales commissions and that our independent consultants are being compensated primarily for sales of products and not primarily for recruiting additional participants.</w:t>
      </w:r>
    </w:p>
    <w:p>
      <w:pPr>
        <w:spacing w:after="0" w:line="61" w:lineRule="exact"/>
        <w:rPr>
          <w:sz w:val="20"/>
          <w:szCs w:val="20"/>
          <w:color w:val="auto"/>
        </w:rPr>
      </w:pPr>
    </w:p>
    <w:p>
      <w:pPr>
        <w:ind w:right="140" w:firstLine="255"/>
        <w:spacing w:after="0" w:line="287" w:lineRule="auto"/>
        <w:rPr>
          <w:sz w:val="20"/>
          <w:szCs w:val="20"/>
          <w:color w:val="auto"/>
        </w:rPr>
      </w:pPr>
      <w:r>
        <w:rPr>
          <w:rFonts w:ascii="Times New Roman" w:cs="Times New Roman" w:eastAsia="Times New Roman" w:hAnsi="Times New Roman"/>
          <w:sz w:val="14"/>
          <w:szCs w:val="14"/>
          <w:color w:val="auto"/>
        </w:rPr>
        <w:t>The laws and regulations governing direct selling are modified from time to time, and, like other direct selling companies, we may be subject to government investigations related to our direct selling activities. This may require us to make changes to our business model and our sales compensation plan.</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State Regulations</w:t>
      </w:r>
    </w:p>
    <w:p>
      <w:pPr>
        <w:spacing w:after="0" w:line="127" w:lineRule="exact"/>
        <w:rPr>
          <w:sz w:val="20"/>
          <w:szCs w:val="20"/>
          <w:color w:val="auto"/>
        </w:rPr>
      </w:pPr>
    </w:p>
    <w:p>
      <w:pPr>
        <w:ind w:right="200" w:firstLine="255"/>
        <w:spacing w:after="0" w:line="264" w:lineRule="auto"/>
        <w:rPr>
          <w:sz w:val="20"/>
          <w:szCs w:val="20"/>
          <w:color w:val="auto"/>
        </w:rPr>
      </w:pPr>
      <w:r>
        <w:rPr>
          <w:rFonts w:ascii="Times New Roman" w:cs="Times New Roman" w:eastAsia="Times New Roman" w:hAnsi="Times New Roman"/>
          <w:sz w:val="14"/>
          <w:szCs w:val="14"/>
          <w:color w:val="auto"/>
        </w:rPr>
        <w:t>In addition to United States federal regulation, each state has enacted its own food and drug laws. We may receive requests to supply information regarding our sales or advertising to state regulatory agencies. We remain subject to the risk that, in one or more of our present or future markets, our products, sales, and advertising could be found non-compliant with state laws and regulations. If we fail to comply with these laws and regulations, it could have a material adverse effect on our business in a particular market or in general. In addition, these laws and regulations could affect our ability to enter new markets.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The FDA Food Safety Modernization Act</w:t>
      </w:r>
    </w:p>
    <w:p>
      <w:pPr>
        <w:spacing w:after="0" w:line="127" w:lineRule="exact"/>
        <w:rPr>
          <w:sz w:val="20"/>
          <w:szCs w:val="20"/>
          <w:color w:val="auto"/>
        </w:rPr>
      </w:pPr>
    </w:p>
    <w:p>
      <w:pPr>
        <w:ind w:right="140" w:firstLine="255"/>
        <w:spacing w:after="0" w:line="287" w:lineRule="auto"/>
        <w:rPr>
          <w:sz w:val="20"/>
          <w:szCs w:val="20"/>
          <w:color w:val="auto"/>
        </w:rPr>
      </w:pPr>
      <w:r>
        <w:rPr>
          <w:rFonts w:ascii="Times New Roman" w:cs="Times New Roman" w:eastAsia="Times New Roman" w:hAnsi="Times New Roman"/>
          <w:sz w:val="14"/>
          <w:szCs w:val="14"/>
          <w:color w:val="auto"/>
        </w:rPr>
        <w:t>The FDA Food Safety Modernization Act (“FSMA”) was enacted in 2011 and is now part of the FFDCA. The FSMA is a comprehensive set of laws that gives the FDA considerable authority with respect to the prevention of food contamination and the serious problems associated with such contamination. Among other things, it does the following:</w:t>
      </w:r>
    </w:p>
    <w:p>
      <w:pPr>
        <w:spacing w:after="0" w:line="71" w:lineRule="exact"/>
        <w:rPr>
          <w:sz w:val="20"/>
          <w:szCs w:val="20"/>
          <w:color w:val="auto"/>
        </w:rPr>
      </w:pPr>
    </w:p>
    <w:p>
      <w:pPr>
        <w:ind w:left="520" w:hanging="260"/>
        <w:spacing w:after="0"/>
        <w:tabs>
          <w:tab w:leader="none" w:pos="52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gives the FDA explicit authority to compel a recall if the FDA believes there is a reasonable probability of serious adverse health consequences or death;</w:t>
      </w:r>
    </w:p>
    <w:p>
      <w:pPr>
        <w:spacing w:after="0" w:line="114"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places strict obligations on food and dietary supplement importers to verify that food from foreign suppliers is not adulterated or misbranded; and</w:t>
      </w:r>
    </w:p>
    <w:p>
      <w:pPr>
        <w:spacing w:after="0" w:line="125"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provides whistle blower protection for employees of conventional food or dietary supplement companies who provide information to governmental authorities about violations of the</w:t>
      </w:r>
    </w:p>
    <w:p>
      <w:pPr>
        <w:spacing w:after="0" w:line="23" w:lineRule="exact"/>
        <w:rPr>
          <w:rFonts w:ascii="Times New Roman" w:cs="Times New Roman" w:eastAsia="Times New Roman" w:hAnsi="Times New Roman"/>
          <w:sz w:val="14"/>
          <w:szCs w:val="14"/>
          <w:color w:val="auto"/>
        </w:rPr>
      </w:pPr>
    </w:p>
    <w:p>
      <w:pPr>
        <w:ind w:left="52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FFDCA.</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International Regulations</w:t>
      </w:r>
    </w:p>
    <w:p>
      <w:pPr>
        <w:spacing w:after="0" w:line="117" w:lineRule="exact"/>
        <w:rPr>
          <w:sz w:val="20"/>
          <w:szCs w:val="20"/>
          <w:color w:val="auto"/>
        </w:rPr>
      </w:pPr>
    </w:p>
    <w:p>
      <w:pPr>
        <w:ind w:firstLine="255"/>
        <w:spacing w:after="0" w:line="234" w:lineRule="auto"/>
        <w:rPr>
          <w:sz w:val="20"/>
          <w:szCs w:val="20"/>
          <w:color w:val="auto"/>
        </w:rPr>
      </w:pPr>
      <w:r>
        <w:rPr>
          <w:rFonts w:ascii="Times New Roman" w:cs="Times New Roman" w:eastAsia="Times New Roman" w:hAnsi="Times New Roman"/>
          <w:sz w:val="14"/>
          <w:szCs w:val="14"/>
          <w:color w:val="auto"/>
        </w:rPr>
        <w:t>In addition to the regulations applicable to our activities in the United States, all other markets in which we operate our business regulate our products under a variety of statutory and regulatory schemes. We typically market our Protandim</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line of products in international markets as foods, health foods or dietary supplements under applicable regulatory regimes. However, because of varied regulations, some products or ingredients that are recognized as a “food” in certain markets may be treated as a “pharmaceutical” or equivalent in other markets. In the event a product, or an ingredient in a product, is classified as a drug or pharmaceutical product in any market, we will generally not be able to distribute that product through our independent consultants because of pre-marketing approval requirements and strict regulations applicable to drug and pharmaceutical products. In Japan, for example, ashwagandha was determined to be inappropriate for inclusion in food products. Ashwagandha is one of the ingredients in Protandim</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Nrf2 Synergizer</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While we disagree with the assessment of ashwagandha by Japanese regulatory authorities, we are restricted from selling a formulation of Protandim</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Nrf2 Synergizer</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that contains ashwagandha in Japan. As such, we reformulated Protandim</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Nrf2 Synergizer</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for the Japan market to exclude ashwagandha and include black pepper extract. This reformulated Protandim</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Nrf2 Synergizer</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was introduced in Japan in fiscal year 2013.</w:t>
      </w:r>
    </w:p>
    <w:p>
      <w:pPr>
        <w:spacing w:after="0" w:line="40" w:lineRule="exact"/>
        <w:rPr>
          <w:sz w:val="20"/>
          <w:szCs w:val="20"/>
          <w:color w:val="auto"/>
        </w:rPr>
      </w:pPr>
    </w:p>
    <w:p>
      <w:pPr>
        <w:ind w:right="20" w:firstLine="255"/>
        <w:spacing w:after="0" w:line="241" w:lineRule="auto"/>
        <w:rPr>
          <w:sz w:val="20"/>
          <w:szCs w:val="20"/>
          <w:color w:val="auto"/>
        </w:rPr>
      </w:pPr>
      <w:r>
        <w:rPr>
          <w:rFonts w:ascii="Times New Roman" w:cs="Times New Roman" w:eastAsia="Times New Roman" w:hAnsi="Times New Roman"/>
          <w:sz w:val="14"/>
          <w:szCs w:val="14"/>
          <w:color w:val="auto"/>
        </w:rPr>
        <w:t>Similarly, our other markets outside the United States regulate advertising and product claims regarding the efficacy of our products and require adequate substantiation of claims. As such, we are unable to claim that any of our products will diagnose, cure, mitigate, treat, or prevent diseases. For example, in Japan, Protandim</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Nrf2 Synergizer</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is considered a food product, which significantly limits our ability to make claims regarding the product. If marketing materials make claims that exceed the scope of allowed claims for dietary supplements, regulatory authorities could deem our products to be unapproved drugs and we could experience substantial harm.</w:t>
      </w:r>
    </w:p>
    <w:p>
      <w:pPr>
        <w:spacing w:after="0" w:line="103" w:lineRule="exact"/>
        <w:rPr>
          <w:sz w:val="20"/>
          <w:szCs w:val="20"/>
          <w:color w:val="auto"/>
        </w:rPr>
      </w:pPr>
    </w:p>
    <w:p>
      <w:pPr>
        <w:ind w:right="60" w:firstLine="255"/>
        <w:spacing w:after="0" w:line="270" w:lineRule="auto"/>
        <w:rPr>
          <w:sz w:val="20"/>
          <w:szCs w:val="20"/>
          <w:color w:val="auto"/>
        </w:rPr>
      </w:pPr>
      <w:r>
        <w:rPr>
          <w:rFonts w:ascii="Times New Roman" w:cs="Times New Roman" w:eastAsia="Times New Roman" w:hAnsi="Times New Roman"/>
          <w:sz w:val="14"/>
          <w:szCs w:val="14"/>
          <w:color w:val="auto"/>
        </w:rPr>
        <w:t>Our business model is also subject to regulatory frameworks that may limit or significantly alter the way business is done in foreign markets vis-à-vis the United States. For example, our marketing of products or business opportunity as a consultant in the United Kingdom differs significantly from marketing to United States customers and independent consultants. Consequently, we may experience additional costs and delays in entering or continuing to do business in foreign markets in order to comply with local regulations.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Potential FDA and Other Regulation</w:t>
      </w:r>
    </w:p>
    <w:p>
      <w:pPr>
        <w:spacing w:after="0" w:line="127" w:lineRule="exact"/>
        <w:rPr>
          <w:sz w:val="20"/>
          <w:szCs w:val="20"/>
          <w:color w:val="auto"/>
        </w:rPr>
      </w:pPr>
    </w:p>
    <w:p>
      <w:pPr>
        <w:ind w:right="20" w:firstLine="255"/>
        <w:spacing w:after="0" w:line="287" w:lineRule="auto"/>
        <w:rPr>
          <w:sz w:val="20"/>
          <w:szCs w:val="20"/>
          <w:color w:val="auto"/>
        </w:rPr>
      </w:pPr>
      <w:r>
        <w:rPr>
          <w:rFonts w:ascii="Times New Roman" w:cs="Times New Roman" w:eastAsia="Times New Roman" w:hAnsi="Times New Roman"/>
          <w:sz w:val="14"/>
          <w:szCs w:val="14"/>
          <w:color w:val="auto"/>
        </w:rPr>
        <w:t>We could become subject to additional laws or regulations administered by the FDA, FTC, or other federal, state, local or international regulatory authorities, to the repeal or amendment of laws or regulations that we consider favorable, such as</w:t>
      </w:r>
    </w:p>
    <w:p>
      <w:pPr>
        <w:spacing w:after="0" w:line="200" w:lineRule="exact"/>
        <w:rPr>
          <w:sz w:val="20"/>
          <w:szCs w:val="20"/>
          <w:color w:val="auto"/>
        </w:rPr>
      </w:pPr>
    </w:p>
    <w:p>
      <w:pPr>
        <w:spacing w:after="0" w:line="30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20"/>
          </w:cols>
          <w:pgMar w:left="300" w:top="846" w:right="379" w:bottom="1440" w:gutter="0" w:footer="0" w:header="0"/>
        </w:sectPr>
      </w:pPr>
    </w:p>
    <w:bookmarkStart w:id="22" w:name="page23"/>
    <w:bookmarkEnd w:id="22"/>
    <w:p>
      <w:pPr>
        <w:ind w:right="80"/>
        <w:spacing w:after="0" w:line="264" w:lineRule="auto"/>
        <w:rPr>
          <w:sz w:val="20"/>
          <w:szCs w:val="20"/>
          <w:color w:val="auto"/>
        </w:rPr>
      </w:pPr>
      <w:r>
        <w:rPr>
          <w:rFonts w:ascii="Times New Roman" w:cs="Times New Roman" w:eastAsia="Times New Roman" w:hAnsi="Times New Roman"/>
          <w:sz w:val="14"/>
          <w:szCs w:val="14"/>
          <w:color w:val="auto"/>
        </w:rPr>
        <w:t>DSHEA, or to more stringent interpretations of current laws or regulations. Because of negative publicity associated with some adulterated or misbranded supplements, including pharmaceutical drugs marketed as dietary supplements, there has been an increased movement in the United States and other markets to expand the regulation of dietary supplements, which could impose additional restrictions or requirements in the future. In recent years, there also has been increased pressure in the United States to further regulate cosmetics. In general, the regulatory environment is becoming more complex with increasingly strict regulations.</w:t>
      </w:r>
    </w:p>
    <w:p>
      <w:pPr>
        <w:spacing w:after="0" w:line="77" w:lineRule="exact"/>
        <w:rPr>
          <w:sz w:val="20"/>
          <w:szCs w:val="20"/>
          <w:color w:val="auto"/>
        </w:rPr>
      </w:pPr>
    </w:p>
    <w:p>
      <w:pPr>
        <w:ind w:right="100" w:firstLine="255"/>
        <w:spacing w:after="0" w:line="250" w:lineRule="auto"/>
        <w:rPr>
          <w:sz w:val="20"/>
          <w:szCs w:val="20"/>
          <w:color w:val="auto"/>
        </w:rPr>
      </w:pPr>
      <w:r>
        <w:rPr>
          <w:rFonts w:ascii="Times New Roman" w:cs="Times New Roman" w:eastAsia="Times New Roman" w:hAnsi="Times New Roman"/>
          <w:sz w:val="14"/>
          <w:szCs w:val="14"/>
          <w:color w:val="auto"/>
        </w:rPr>
        <w:t>The Dietary Supplement and Nonprescription Drug Consumer Protection Act requires us to report to the FDA all serious adverse events and to maintain for six years, records of all adverse events, whether or not serious. An adverse event is defined as any health-related event associated with the use of a dietary supplement that is adverse. In addition, this law requires the label of each dietary supplement, including our Protandim</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products, to include a domestic address or telephone number by which the company selling the product may receive a report of a serious adverse event associated with such product. The labels of our Protandim</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products comply with that statutory provision.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Employees</w:t>
      </w:r>
    </w:p>
    <w:p>
      <w:pPr>
        <w:spacing w:after="0" w:line="127" w:lineRule="exact"/>
        <w:rPr>
          <w:sz w:val="20"/>
          <w:szCs w:val="20"/>
          <w:color w:val="auto"/>
        </w:rPr>
      </w:pPr>
    </w:p>
    <w:p>
      <w:pPr>
        <w:jc w:val="both"/>
        <w:ind w:right="140" w:firstLine="255"/>
        <w:spacing w:after="0" w:line="270" w:lineRule="auto"/>
        <w:rPr>
          <w:sz w:val="20"/>
          <w:szCs w:val="20"/>
          <w:color w:val="auto"/>
        </w:rPr>
      </w:pPr>
      <w:r>
        <w:rPr>
          <w:rFonts w:ascii="Times New Roman" w:cs="Times New Roman" w:eastAsia="Times New Roman" w:hAnsi="Times New Roman"/>
          <w:sz w:val="14"/>
          <w:szCs w:val="14"/>
          <w:color w:val="auto"/>
        </w:rPr>
        <w:t>As of June 30, 2024, we had 222 employees, 217 of which were full-time employees. As of June 30, 2024, 167 of our employees were based in the United States, 23 were based in Japan and a total of 32 were based in the Philippines, Thailand, Taiwan, Mexico, Australia, Singapore, Europe, and Canada. We do not include our independent consultants in our number of employees because our independent consultants are independent contractors and not employees. We outsource our manufacturing, warehousing and shipping operations.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Corporate Responsibility and Sustainability</w:t>
      </w:r>
    </w:p>
    <w:p>
      <w:pPr>
        <w:spacing w:after="0" w:line="127" w:lineRule="exact"/>
        <w:rPr>
          <w:sz w:val="20"/>
          <w:szCs w:val="20"/>
          <w:color w:val="auto"/>
        </w:rPr>
      </w:pPr>
    </w:p>
    <w:p>
      <w:pPr>
        <w:ind w:right="80" w:firstLine="255"/>
        <w:spacing w:after="0" w:line="287" w:lineRule="auto"/>
        <w:rPr>
          <w:sz w:val="20"/>
          <w:szCs w:val="20"/>
          <w:color w:val="auto"/>
        </w:rPr>
      </w:pPr>
      <w:r>
        <w:rPr>
          <w:rFonts w:ascii="Times New Roman" w:cs="Times New Roman" w:eastAsia="Times New Roman" w:hAnsi="Times New Roman"/>
          <w:sz w:val="14"/>
          <w:szCs w:val="14"/>
          <w:color w:val="auto"/>
        </w:rPr>
        <w:t>We understand that long-term value creation for stockholders is our core responsibility. We are investing in a number of sustainability initiatives, including reducing the environmental impact of our business activities and products, improving the global human condition, providing a positive working environment and engaging with our stakeholders regarding these initiatives.</w:t>
      </w:r>
    </w:p>
    <w:p>
      <w:pPr>
        <w:spacing w:after="0" w:line="71" w:lineRule="exact"/>
        <w:rPr>
          <w:sz w:val="20"/>
          <w:szCs w:val="20"/>
          <w:color w:val="auto"/>
        </w:rPr>
      </w:pPr>
    </w:p>
    <w:p>
      <w:pPr>
        <w:ind w:firstLine="255"/>
        <w:spacing w:after="0" w:line="261" w:lineRule="auto"/>
        <w:rPr>
          <w:sz w:val="20"/>
          <w:szCs w:val="20"/>
          <w:color w:val="auto"/>
        </w:rPr>
      </w:pPr>
      <w:r>
        <w:rPr>
          <w:rFonts w:ascii="Times New Roman" w:cs="Times New Roman" w:eastAsia="Times New Roman" w:hAnsi="Times New Roman"/>
          <w:sz w:val="14"/>
          <w:szCs w:val="14"/>
          <w:u w:val="single" w:color="auto"/>
          <w:color w:val="auto"/>
        </w:rPr>
        <w:t>Employees</w:t>
      </w:r>
      <w:r>
        <w:rPr>
          <w:rFonts w:ascii="Times New Roman" w:cs="Times New Roman" w:eastAsia="Times New Roman" w:hAnsi="Times New Roman"/>
          <w:sz w:val="14"/>
          <w:szCs w:val="14"/>
          <w:color w:val="auto"/>
        </w:rPr>
        <w:t>: We believe that our employees are an essential asset. We have a dedicated team of professionals that support our customers and independent consultants, work to generate long-term value for our stockholders and contribute to the broader public through charitable programs, including LifeVantage Legacy – an independent charitable organization focused on bettering the lives of children throughout the world ("LifeVantage Legacy"). In turn, we offer competitive compensation and guide employees to focus on the long-term goals of our stockholders and independent consultants. We have received many ‘best place to work’ awards over the years, most recently being named as "Utah Top Workplaces" by the Salt Lake Tribune for the second year and "Top Places to Work in the Wellness Industry."</w:t>
      </w:r>
    </w:p>
    <w:p>
      <w:pPr>
        <w:spacing w:after="0" w:line="80" w:lineRule="exact"/>
        <w:rPr>
          <w:sz w:val="20"/>
          <w:szCs w:val="20"/>
          <w:color w:val="auto"/>
        </w:rPr>
      </w:pPr>
    </w:p>
    <w:p>
      <w:pPr>
        <w:ind w:right="20" w:firstLine="255"/>
        <w:spacing w:after="0" w:line="261" w:lineRule="auto"/>
        <w:rPr>
          <w:sz w:val="20"/>
          <w:szCs w:val="20"/>
          <w:color w:val="auto"/>
        </w:rPr>
      </w:pPr>
      <w:r>
        <w:rPr>
          <w:rFonts w:ascii="Times New Roman" w:cs="Times New Roman" w:eastAsia="Times New Roman" w:hAnsi="Times New Roman"/>
          <w:sz w:val="14"/>
          <w:szCs w:val="14"/>
          <w:u w:val="single" w:color="auto"/>
          <w:color w:val="auto"/>
        </w:rPr>
        <w:t>Environment</w:t>
      </w:r>
      <w:r>
        <w:rPr>
          <w:rFonts w:ascii="Times New Roman" w:cs="Times New Roman" w:eastAsia="Times New Roman" w:hAnsi="Times New Roman"/>
          <w:sz w:val="14"/>
          <w:szCs w:val="14"/>
          <w:color w:val="auto"/>
        </w:rPr>
        <w:t>: We are committed to reducing our impact on the environment and creating awareness about sustainability. We strive to improve our environmental footprint over time and to initiate additional projects and activities that will further reduce our impact on the environment. Our commitment to the environment extends to our customers, our independent consultants, our employees, and the global communities in which we operate. We comply with applicable environmental regulations and strive to prevent pollution whenever possible. We are increasing our efforts to train our employees and independent consultants on our environmental program and empower them to contribute and participate. We are committed to continually improving over time by striving to measure our environmental impacts and by setting goals to reduce these impacts each year. Some examples of our efforts include:</w:t>
      </w:r>
    </w:p>
    <w:p>
      <w:pPr>
        <w:spacing w:after="0" w:line="87" w:lineRule="exact"/>
        <w:rPr>
          <w:sz w:val="20"/>
          <w:szCs w:val="20"/>
          <w:color w:val="auto"/>
        </w:rPr>
      </w:pPr>
    </w:p>
    <w:p>
      <w:pPr>
        <w:ind w:left="520" w:hanging="260"/>
        <w:spacing w:after="0"/>
        <w:tabs>
          <w:tab w:leader="none" w:pos="52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Launching a revamped TrueScience</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Activated Skin Care Collection using only clean ingredients that also score low on the Think Dirty scale;</w:t>
      </w:r>
    </w:p>
    <w:p>
      <w:pPr>
        <w:spacing w:after="0" w:line="7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Using more easily recycled packaging in the relaunch of our TrueScience</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Activated Skin Care Collection;</w:t>
      </w:r>
    </w:p>
    <w:p>
      <w:pPr>
        <w:spacing w:after="0" w:line="7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Abiding by our environmental policy using the feedback from our stakeholders to help formalize our focus on sustainability;</w:t>
      </w:r>
    </w:p>
    <w:p>
      <w:pPr>
        <w:spacing w:after="0" w:line="125"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Using environmental auditing in our selection process for new partners;</w:t>
      </w:r>
    </w:p>
    <w:p>
      <w:pPr>
        <w:spacing w:after="0" w:line="125" w:lineRule="exact"/>
        <w:rPr>
          <w:rFonts w:ascii="Times New Roman" w:cs="Times New Roman" w:eastAsia="Times New Roman" w:hAnsi="Times New Roman"/>
          <w:sz w:val="14"/>
          <w:szCs w:val="14"/>
          <w:color w:val="auto"/>
        </w:rPr>
      </w:pPr>
    </w:p>
    <w:p>
      <w:pPr>
        <w:ind w:left="520" w:right="100" w:hanging="260"/>
        <w:spacing w:after="0" w:line="288" w:lineRule="auto"/>
        <w:tabs>
          <w:tab w:leader="none" w:pos="516"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Switching to more easily recyclable bottles and cartons for product packaging, including replacing plastic bags with paper cartons for our energy drink products and using a fully recyclable glass bottle and cap for our TrueScience</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Liquid Collagen product line;</w:t>
      </w:r>
    </w:p>
    <w:p>
      <w:pPr>
        <w:spacing w:after="0" w:line="4"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Sourcing shipping boxes made from Sustainable Forestry Initiative certified corrugate material;</w:t>
      </w:r>
    </w:p>
    <w:p>
      <w:pPr>
        <w:spacing w:after="0" w:line="125"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Redesigning our shipping boxes to reduce the amount of waste created;</w:t>
      </w: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846" w:right="339" w:bottom="1440" w:gutter="0" w:footer="0" w:header="0"/>
        </w:sectPr>
      </w:pPr>
    </w:p>
    <w:bookmarkStart w:id="23" w:name="page24"/>
    <w:bookmarkEnd w:id="23"/>
    <w:p>
      <w:pPr>
        <w:ind w:left="520" w:hanging="260"/>
        <w:spacing w:after="0"/>
        <w:tabs>
          <w:tab w:leader="none" w:pos="52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Changing our shipping process to leverage lower CO2 emissions by 50%;</w:t>
      </w:r>
    </w:p>
    <w:p>
      <w:pPr>
        <w:spacing w:after="0" w:line="114"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Creating sharable videos that our independent consultants can use when discussing our sustainability efforts;</w:t>
      </w:r>
    </w:p>
    <w:p>
      <w:pPr>
        <w:spacing w:after="0" w:line="125"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Focusing on working with fish oil suppliers and fisheries who are Marine Stewardship Council certified; and</w:t>
      </w:r>
    </w:p>
    <w:p>
      <w:pPr>
        <w:spacing w:after="0" w:line="125"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Joining the Roundtable on Sustainable Palm Oil to support sustainable sources of Palm Oil.</w:t>
      </w:r>
    </w:p>
    <w:p>
      <w:pPr>
        <w:spacing w:after="0" w:line="115"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u w:val="single" w:color="auto"/>
          <w:color w:val="auto"/>
        </w:rPr>
        <w:t>Social/Community:</w:t>
      </w:r>
      <w:r>
        <w:rPr>
          <w:rFonts w:ascii="Times New Roman" w:cs="Times New Roman" w:eastAsia="Times New Roman" w:hAnsi="Times New Roman"/>
          <w:sz w:val="14"/>
          <w:szCs w:val="14"/>
          <w:color w:val="auto"/>
        </w:rPr>
        <w:t xml:space="preserve"> We believe that our legacy is not the past, it is the future we create. This belief informed our effort to sponsor the formation of LifeVantage Legacy. LifeVantage Legacy helps the leaders of tomorrow by touching a million lives across the world today. From simply helping a child in need to supporting initiatives that uplift entire communities, our goal is simple - give future generations the support and resources they need to live happier, healthier lives one child at a time. One of the best parts of LifeVantage is our commitment to leaving places better than we found them. Some examples of our efforts include:</w:t>
      </w:r>
    </w:p>
    <w:p>
      <w:pPr>
        <w:spacing w:after="0" w:line="87" w:lineRule="exact"/>
        <w:rPr>
          <w:sz w:val="20"/>
          <w:szCs w:val="20"/>
          <w:color w:val="auto"/>
        </w:rPr>
      </w:pPr>
    </w:p>
    <w:p>
      <w:pPr>
        <w:ind w:left="520" w:right="180" w:hanging="260"/>
        <w:spacing w:after="0" w:line="287" w:lineRule="auto"/>
        <w:tabs>
          <w:tab w:leader="none" w:pos="516"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Hosting home building trips over the holidays with our independent consultants and their families in Puerto Penasco, Mexico, where we have built over 30 homes for families in need over the past several years;</w:t>
      </w:r>
    </w:p>
    <w:p>
      <w:pPr>
        <w:spacing w:after="0" w:line="7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Partnering with local refugee foundations to provide help to repair fences, provide habitat upkeep, as well as helped procure needed items for kids and cleaning supplies for people's homes;</w:t>
      </w:r>
    </w:p>
    <w:p>
      <w:pPr>
        <w:spacing w:after="0" w:line="114" w:lineRule="exact"/>
        <w:rPr>
          <w:rFonts w:ascii="Times New Roman" w:cs="Times New Roman" w:eastAsia="Times New Roman" w:hAnsi="Times New Roman"/>
          <w:sz w:val="14"/>
          <w:szCs w:val="14"/>
          <w:color w:val="auto"/>
        </w:rPr>
      </w:pPr>
    </w:p>
    <w:p>
      <w:pPr>
        <w:ind w:left="520" w:right="180" w:hanging="260"/>
        <w:spacing w:after="0" w:line="287" w:lineRule="auto"/>
        <w:tabs>
          <w:tab w:leader="none" w:pos="516"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Hosting Company-sponsored incentive trip where attendees gave back to the local communities, like creating over 1,000 school kits for the local community to aid immigrant children and their families in attending school and after-school education during a recent Company-sponsored trip to Punta Cana;</w:t>
      </w:r>
    </w:p>
    <w:p>
      <w:pPr>
        <w:spacing w:after="0" w:line="71" w:lineRule="exact"/>
        <w:rPr>
          <w:rFonts w:ascii="Times New Roman" w:cs="Times New Roman" w:eastAsia="Times New Roman" w:hAnsi="Times New Roman"/>
          <w:sz w:val="14"/>
          <w:szCs w:val="14"/>
          <w:color w:val="auto"/>
        </w:rPr>
      </w:pPr>
    </w:p>
    <w:p>
      <w:pPr>
        <w:ind w:left="520" w:right="100" w:hanging="260"/>
        <w:spacing w:after="0" w:line="287" w:lineRule="auto"/>
        <w:tabs>
          <w:tab w:leader="none" w:pos="516"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Formalizing our auditing and commitment to align internationally with human rights philosophies in how we conduct business through our human rights policy and vendor code of conduct, including auditing our key partners each year to ensure we are partnering with those who share our values;</w:t>
      </w:r>
    </w:p>
    <w:p>
      <w:pPr>
        <w:spacing w:after="0" w:line="7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Measuring our employees' engagement levels, requesting anonymous feedback during the fiscal year, and implementing changes to address their feedback; and</w:t>
      </w:r>
    </w:p>
    <w:p>
      <w:pPr>
        <w:spacing w:after="0" w:line="114"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Hosting monthly all hands staff meetings to ensure our employees feel informed and aligned on our priorities and to encourage transparent communication.</w:t>
      </w:r>
    </w:p>
    <w:p>
      <w:pPr>
        <w:spacing w:after="0" w:line="125" w:lineRule="exact"/>
        <w:rPr>
          <w:sz w:val="20"/>
          <w:szCs w:val="20"/>
          <w:color w:val="auto"/>
        </w:rPr>
      </w:pPr>
    </w:p>
    <w:p>
      <w:pPr>
        <w:jc w:val="both"/>
        <w:ind w:right="20" w:firstLine="255"/>
        <w:spacing w:after="0" w:line="270" w:lineRule="auto"/>
        <w:rPr>
          <w:sz w:val="20"/>
          <w:szCs w:val="20"/>
          <w:color w:val="auto"/>
        </w:rPr>
      </w:pPr>
      <w:r>
        <w:rPr>
          <w:rFonts w:ascii="Times New Roman" w:cs="Times New Roman" w:eastAsia="Times New Roman" w:hAnsi="Times New Roman"/>
          <w:sz w:val="14"/>
          <w:szCs w:val="14"/>
          <w:u w:val="single" w:color="auto"/>
          <w:color w:val="auto"/>
        </w:rPr>
        <w:t>Governance</w:t>
      </w:r>
      <w:r>
        <w:rPr>
          <w:rFonts w:ascii="Times New Roman" w:cs="Times New Roman" w:eastAsia="Times New Roman" w:hAnsi="Times New Roman"/>
          <w:sz w:val="14"/>
          <w:szCs w:val="14"/>
          <w:color w:val="auto"/>
        </w:rPr>
        <w:t>: We endeavor to continue to strengthen and improve our corporate governance and executive compensation practices. We have an equity ownership policy to reinforce our belief that executives and directors who believe in the future of our company should have meaningful equity holdings in LifeVantage. In addition, we have a majority standard for the election of directors on our board.</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Available Information</w:t>
      </w:r>
    </w:p>
    <w:p>
      <w:pPr>
        <w:spacing w:after="0" w:line="117" w:lineRule="exact"/>
        <w:rPr>
          <w:sz w:val="20"/>
          <w:szCs w:val="20"/>
          <w:color w:val="auto"/>
        </w:rPr>
      </w:pPr>
    </w:p>
    <w:p>
      <w:pPr>
        <w:ind w:right="200" w:firstLine="255"/>
        <w:spacing w:after="0" w:line="270" w:lineRule="auto"/>
        <w:rPr>
          <w:sz w:val="20"/>
          <w:szCs w:val="20"/>
          <w:color w:val="auto"/>
        </w:rPr>
      </w:pPr>
      <w:r>
        <w:rPr>
          <w:rFonts w:ascii="Times New Roman" w:cs="Times New Roman" w:eastAsia="Times New Roman" w:hAnsi="Times New Roman"/>
          <w:sz w:val="14"/>
          <w:szCs w:val="14"/>
          <w:color w:val="auto"/>
        </w:rPr>
        <w:t>Our principal offices are located at 3300 N. Triumph Blvd, Suite 700, Lehi, UT 84043. Our telephone number is (801) 432-9000 and our fax number is (801) 880-0699. Our website address is www.lifevantage.com; however, information found on our website is not incorporated by reference into this report. Our website address is included in this annual report as an inactive textual reference only.</w:t>
      </w:r>
    </w:p>
    <w:p>
      <w:pPr>
        <w:spacing w:after="0" w:line="83" w:lineRule="exact"/>
        <w:rPr>
          <w:sz w:val="20"/>
          <w:szCs w:val="20"/>
          <w:color w:val="auto"/>
        </w:rPr>
      </w:pPr>
    </w:p>
    <w:p>
      <w:pPr>
        <w:ind w:right="20" w:firstLine="255"/>
        <w:spacing w:after="0" w:line="280" w:lineRule="auto"/>
        <w:rPr>
          <w:sz w:val="20"/>
          <w:szCs w:val="20"/>
          <w:color w:val="auto"/>
        </w:rPr>
      </w:pPr>
      <w:r>
        <w:rPr>
          <w:rFonts w:ascii="Times New Roman" w:cs="Times New Roman" w:eastAsia="Times New Roman" w:hAnsi="Times New Roman"/>
          <w:sz w:val="14"/>
          <w:szCs w:val="14"/>
          <w:color w:val="auto"/>
        </w:rPr>
        <w:t xml:space="preserve">The reports filed with the SEC, by us and by our officers, directors, and significant stockholders are available for review on the SEC’s website at www.sec.gov. </w:t>
      </w:r>
      <w:r>
        <w:rPr>
          <w:rFonts w:ascii="Times New Roman" w:cs="Times New Roman" w:eastAsia="Times New Roman" w:hAnsi="Times New Roman"/>
          <w:sz w:val="14"/>
          <w:szCs w:val="14"/>
          <w:color w:val="212529"/>
        </w:rPr>
        <w:t>Such reports are also available</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color w:val="212529"/>
        </w:rPr>
        <w:t>free of charge through the investor relations section of our website at www.lifevantage.com and are accessible as soon as reasonably practicable after being electronically filed with or furnished to the SEC.</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1A — RISK FACTORS</w:t>
      </w:r>
    </w:p>
    <w:p>
      <w:pPr>
        <w:spacing w:after="0" w:line="117" w:lineRule="exact"/>
        <w:rPr>
          <w:sz w:val="20"/>
          <w:szCs w:val="20"/>
          <w:color w:val="auto"/>
        </w:rPr>
      </w:pPr>
    </w:p>
    <w:p>
      <w:pPr>
        <w:ind w:right="20" w:firstLine="255"/>
        <w:spacing w:after="0" w:line="267" w:lineRule="auto"/>
        <w:rPr>
          <w:sz w:val="20"/>
          <w:szCs w:val="20"/>
          <w:color w:val="auto"/>
        </w:rPr>
      </w:pPr>
      <w:r>
        <w:rPr>
          <w:rFonts w:ascii="Times New Roman" w:cs="Times New Roman" w:eastAsia="Times New Roman" w:hAnsi="Times New Roman"/>
          <w:sz w:val="14"/>
          <w:szCs w:val="14"/>
          <w:color w:val="auto"/>
        </w:rPr>
        <w:t>Because of the following risks, as well as other risks affecting our financial condition and operating results, past financial performance should not be considered to be a reliable indicator of future performance, and investors should not use historical trends to anticipate results or trends in future periods. The risks described below are those we currently believe could materially affect us. The following risks are not necessarily all of the important factors that could cause our actual results of operations to differ materially from those expressed in the forward-looking statements in this report.</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46" w:right="31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4"/>
          <w:szCs w:val="14"/>
          <w:b w:val="1"/>
          <w:bCs w:val="1"/>
          <w:color w:val="auto"/>
        </w:rPr>
        <w:t>Risks Relating to Our Business and Industry</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An inability to properly motivate and incentivize sales from our independent consultants could harm our business.</w:t>
      </w:r>
    </w:p>
    <w:p>
      <w:pPr>
        <w:spacing w:after="0" w:line="127" w:lineRule="exact"/>
        <w:rPr>
          <w:sz w:val="20"/>
          <w:szCs w:val="20"/>
          <w:color w:val="auto"/>
        </w:rPr>
      </w:pPr>
    </w:p>
    <w:p>
      <w:pPr>
        <w:ind w:firstLine="255"/>
        <w:spacing w:after="0" w:line="257" w:lineRule="auto"/>
        <w:rPr>
          <w:sz w:val="20"/>
          <w:szCs w:val="20"/>
          <w:color w:val="auto"/>
        </w:rPr>
      </w:pPr>
      <w:r>
        <w:rPr>
          <w:rFonts w:ascii="Times New Roman" w:cs="Times New Roman" w:eastAsia="Times New Roman" w:hAnsi="Times New Roman"/>
          <w:sz w:val="14"/>
          <w:szCs w:val="14"/>
          <w:color w:val="auto"/>
        </w:rPr>
        <w:t>Motivating our independent consultants and providing them with appropriate sales resources, including technology, tools, and training, are important to the growth and success of our business. We have faced, and may continue to face, challenges in motivating and incentivizing our independent consultants. In addition, actions we take from time to time to enforce our policies and procedures, may cause discord among some of our independent consultants. The loss of key independent consultants due to various factors including, but not limited to, voluntary termination or involuntary termination or suspension resulting from non-compliance with our policies and procedures, could distract our independent consultants and disrupt our business. For example, in the past, we have experienced discord among our leading independent consultants. If we fail to properly respond to any discord among our leading independent consultants in the United States and other markets, we could lose additional leaders, including to competing direct selling companies, which could have a significant negative impact on our revenue. Further, from time to time, we are involved in legal proceedings with former independent consultants. Such legal proceedings can be a distraction to our active independent consultants and can be expensive, time-consuming and cause a disruption to our business. Our inability to properly respond to these and other distractions may have a negative impact on our business.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If we are unable to retain our existing customers and independent consultants or attract additional customers and independent consultants, our revenue will not increase and may decline.</w:t>
      </w:r>
    </w:p>
    <w:p>
      <w:pPr>
        <w:spacing w:after="0" w:line="117" w:lineRule="exact"/>
        <w:rPr>
          <w:sz w:val="20"/>
          <w:szCs w:val="20"/>
          <w:color w:val="auto"/>
        </w:rPr>
      </w:pPr>
    </w:p>
    <w:p>
      <w:pPr>
        <w:ind w:right="40" w:firstLine="255"/>
        <w:spacing w:after="0" w:line="259" w:lineRule="auto"/>
        <w:rPr>
          <w:sz w:val="20"/>
          <w:szCs w:val="20"/>
          <w:color w:val="auto"/>
        </w:rPr>
      </w:pPr>
      <w:r>
        <w:rPr>
          <w:rFonts w:ascii="Times New Roman" w:cs="Times New Roman" w:eastAsia="Times New Roman" w:hAnsi="Times New Roman"/>
          <w:sz w:val="14"/>
          <w:szCs w:val="14"/>
          <w:color w:val="auto"/>
        </w:rPr>
        <w:t>Our customers may cease purchasing our products at any time and for any reason. Our independent consultants may terminate their services at any time, and we can and have in the past terminated consultants for conduct violative of our policies and procedures. As such, like most direct selling companies, we have experienced and are likely to continue to experience turnover among both customers and independent consultants. We have experienced, and may continue to experience, a decrease in the number of our independent consultants. The departure for any reason of one of our leading independent consultants can be a major disruption to other independent consultants and could have a significant negative impact on our sales and operating results. Independent consultants who join our company to purchase our products for personal consumption or for short-term income goals may only stay with us for a short time. While we take steps to help train, motivate, and retain independent consultants, we cannot accurately predict the number or sales productivity of our independent consultants.</w:t>
      </w:r>
    </w:p>
    <w:p>
      <w:pPr>
        <w:spacing w:after="0" w:line="93" w:lineRule="exact"/>
        <w:rPr>
          <w:sz w:val="20"/>
          <w:szCs w:val="20"/>
          <w:color w:val="auto"/>
        </w:rPr>
      </w:pPr>
    </w:p>
    <w:p>
      <w:pPr>
        <w:ind w:right="80" w:firstLine="255"/>
        <w:spacing w:after="0" w:line="287" w:lineRule="auto"/>
        <w:rPr>
          <w:sz w:val="20"/>
          <w:szCs w:val="20"/>
          <w:color w:val="auto"/>
        </w:rPr>
      </w:pPr>
      <w:r>
        <w:rPr>
          <w:rFonts w:ascii="Times New Roman" w:cs="Times New Roman" w:eastAsia="Times New Roman" w:hAnsi="Times New Roman"/>
          <w:sz w:val="14"/>
          <w:szCs w:val="14"/>
          <w:color w:val="auto"/>
        </w:rPr>
        <w:t>Our operating results will be harmed if we and our independent consultant leaders do not generate sufficient interest in our business to retain existing customers and independent consultants and attract new customers and independent consultants. The number and sales productivity of our independent consultants could be harmed by several factors, including:</w:t>
      </w:r>
    </w:p>
    <w:p>
      <w:pPr>
        <w:spacing w:after="0" w:line="71" w:lineRule="exact"/>
        <w:rPr>
          <w:sz w:val="20"/>
          <w:szCs w:val="20"/>
          <w:color w:val="auto"/>
        </w:rPr>
      </w:pPr>
    </w:p>
    <w:p>
      <w:pPr>
        <w:ind w:left="520" w:hanging="260"/>
        <w:spacing w:after="0"/>
        <w:tabs>
          <w:tab w:leader="none" w:pos="52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adverse publicity regarding us, our products, our distribution channel, or our competitors;</w:t>
      </w:r>
    </w:p>
    <w:p>
      <w:pPr>
        <w:spacing w:after="0" w:line="114"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non-compliance by our independent consultants with applicable legal requirements or our policies and procedures;</w:t>
      </w:r>
    </w:p>
    <w:p>
      <w:pPr>
        <w:spacing w:after="0" w:line="125"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lack of interest in existing or new products or their failure to achieve desired sales results;</w:t>
      </w:r>
    </w:p>
    <w:p>
      <w:pPr>
        <w:spacing w:after="0" w:line="125"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lack of a compelling business opportunity sufficient to generate the interest and commitment of new independent consultants;</w:t>
      </w:r>
    </w:p>
    <w:p>
      <w:pPr>
        <w:spacing w:after="0" w:line="114"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changes we might make to our independent consultant sales compensation plan;</w:t>
      </w:r>
    </w:p>
    <w:p>
      <w:pPr>
        <w:spacing w:after="0" w:line="125"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negative public perception of our company or our products or their ingredients;</w:t>
      </w:r>
    </w:p>
    <w:p>
      <w:pPr>
        <w:spacing w:after="0" w:line="125"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negative public perception of our independent consultants and direct selling business in general;</w:t>
      </w:r>
    </w:p>
    <w:p>
      <w:pPr>
        <w:spacing w:after="0" w:line="114"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actions to enforce our policies and procedures;</w:t>
      </w:r>
    </w:p>
    <w:p>
      <w:pPr>
        <w:spacing w:after="0" w:line="125"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efforts to sell our products through competitive channels;</w:t>
      </w:r>
    </w:p>
    <w:p>
      <w:pPr>
        <w:spacing w:after="0" w:line="125"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regulatory actions or charges against us or others in our industry; and</w:t>
      </w:r>
    </w:p>
    <w:p>
      <w:pPr>
        <w:spacing w:after="0" w:line="114"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general economic and business conditions.</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Our independent consultants could fail to comply with applicable legal requirements or our policies and procedures, which could result in claims against us that could harm our business.</w:t>
      </w:r>
    </w:p>
    <w:p>
      <w:pPr>
        <w:spacing w:after="0" w:line="117" w:lineRule="exact"/>
        <w:rPr>
          <w:sz w:val="20"/>
          <w:szCs w:val="20"/>
          <w:color w:val="auto"/>
        </w:rPr>
      </w:pPr>
    </w:p>
    <w:p>
      <w:pPr>
        <w:jc w:val="both"/>
        <w:ind w:right="60" w:firstLine="255"/>
        <w:spacing w:after="0" w:line="264" w:lineRule="auto"/>
        <w:rPr>
          <w:sz w:val="20"/>
          <w:szCs w:val="20"/>
          <w:color w:val="auto"/>
        </w:rPr>
      </w:pPr>
      <w:r>
        <w:rPr>
          <w:rFonts w:ascii="Times New Roman" w:cs="Times New Roman" w:eastAsia="Times New Roman" w:hAnsi="Times New Roman"/>
          <w:sz w:val="14"/>
          <w:szCs w:val="14"/>
          <w:color w:val="auto"/>
        </w:rPr>
        <w:t>Our independent consultants are independent contractors and, accordingly, we are not in a position to directly provide the same oversight, direction and motivation as we would if they were our employees. As a result, there can be no assurance that our independent consultants will comply with applicable laws or regulations or our independent consultant policies and procedures, participate in our marketing strategies or plans, or accept our introduction of new products. Despite their independent contractor status, activities by our independent consultants that allegedly violate applicable laws or regulations</w:t>
      </w:r>
    </w:p>
    <w:p>
      <w:pPr>
        <w:spacing w:after="0" w:line="200" w:lineRule="exact"/>
        <w:rPr>
          <w:sz w:val="20"/>
          <w:szCs w:val="20"/>
          <w:color w:val="auto"/>
        </w:rPr>
      </w:pPr>
    </w:p>
    <w:p>
      <w:pPr>
        <w:spacing w:after="0" w:line="3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844" w:right="339" w:bottom="1440" w:gutter="0" w:footer="0" w:header="0"/>
        </w:sectPr>
      </w:pPr>
    </w:p>
    <w:bookmarkStart w:id="25" w:name="page26"/>
    <w:bookmarkEnd w:id="25"/>
    <w:p>
      <w:pPr>
        <w:jc w:val="both"/>
        <w:ind w:right="120"/>
        <w:spacing w:after="0" w:line="264" w:lineRule="auto"/>
        <w:rPr>
          <w:sz w:val="20"/>
          <w:szCs w:val="20"/>
          <w:color w:val="auto"/>
        </w:rPr>
      </w:pPr>
      <w:r>
        <w:rPr>
          <w:rFonts w:ascii="Times New Roman" w:cs="Times New Roman" w:eastAsia="Times New Roman" w:hAnsi="Times New Roman"/>
          <w:sz w:val="14"/>
          <w:szCs w:val="14"/>
          <w:color w:val="auto"/>
        </w:rPr>
        <w:t>could result in government or third-party actions against us, which could harm our business. Our independent consultants agree to abide by our policies and procedures which are designed to ensure our independent consultants will comply with legal requirements. We have a consultant compliance department that addresses violations of our independent consultants when they become known to us. However, given the size of our independent consultant network, we experience problems with independent consultants violating our policies and procedures from time to time and are not always able to discover or remedy such violations.</w:t>
      </w:r>
    </w:p>
    <w:p>
      <w:pPr>
        <w:spacing w:after="0" w:line="77" w:lineRule="exact"/>
        <w:rPr>
          <w:sz w:val="20"/>
          <w:szCs w:val="20"/>
          <w:color w:val="auto"/>
        </w:rPr>
      </w:pPr>
    </w:p>
    <w:p>
      <w:pPr>
        <w:ind w:right="60" w:firstLine="255"/>
        <w:spacing w:after="0" w:line="258" w:lineRule="auto"/>
        <w:rPr>
          <w:sz w:val="20"/>
          <w:szCs w:val="20"/>
          <w:color w:val="auto"/>
        </w:rPr>
      </w:pPr>
      <w:r>
        <w:rPr>
          <w:rFonts w:ascii="Times New Roman" w:cs="Times New Roman" w:eastAsia="Times New Roman" w:hAnsi="Times New Roman"/>
          <w:sz w:val="14"/>
          <w:szCs w:val="14"/>
          <w:color w:val="auto"/>
        </w:rPr>
        <w:t>One of our most significant areas of risk with respect to independent consultant activities relates to improper product claims and claims regarding the consultant business opportunity of being an independent consultant. Any determination by the FDA, FTC, any state agency, or other similar governmental agency outside the United States that we or our independent consultants are not in compliance with applicable laws could materially harm our business. Even if governmental actions do not result in rulings or orders against us, they could create negative publicity that could detrimentally affect our efforts to recruit or motivate independent consultants and attract customers or lead to consumer lawsuits against us. When we experience growth in the number of our independent consultants, we have seen an increase in sales aids and promotional material being produced by independent consultants and/or consultant groups in some markets. This places an increased burden on us to monitor compliance of such materials and increases the risk that such materials could contain problematic product, marketing, or business opportunity claims in violation of our policies and applicable regulations.</w:t>
      </w:r>
    </w:p>
    <w:p>
      <w:pPr>
        <w:spacing w:after="0" w:line="94" w:lineRule="exact"/>
        <w:rPr>
          <w:sz w:val="20"/>
          <w:szCs w:val="20"/>
          <w:color w:val="auto"/>
        </w:rPr>
      </w:pPr>
    </w:p>
    <w:p>
      <w:pPr>
        <w:ind w:firstLine="255"/>
        <w:spacing w:after="0" w:line="257" w:lineRule="auto"/>
        <w:rPr>
          <w:sz w:val="20"/>
          <w:szCs w:val="20"/>
          <w:color w:val="auto"/>
        </w:rPr>
      </w:pPr>
      <w:r>
        <w:rPr>
          <w:rFonts w:ascii="Times New Roman" w:cs="Times New Roman" w:eastAsia="Times New Roman" w:hAnsi="Times New Roman"/>
          <w:sz w:val="14"/>
          <w:szCs w:val="14"/>
          <w:color w:val="auto"/>
        </w:rPr>
        <w:t>Because we have expanded into foreign countries, our policies and procedures for our independent consultants differ slightly in some countries due to the different legal requirements of each country in which we do business. In addition, as we have expanded internationally, some of our independent consultants have carried or shipped our products into countries in which such products are not registered or that otherwise impose stringent restrictions on our direct selling model. While we have taken steps to stop or restrict these sales from occurring, including through our independent consultant policies and procedures, it can be difficult to enforce these policies and procedures because of the large number of independent consultants and their independent status. If relevant regulatory authorities determined that any such independent consultant activities are not compliant with all regulatory requirements, we could be subject to related fines, penalties, and other assessments or negative publicity, any of which could have an adverse impact on our business. In addition, violations by our independent consultants of our policies and procedures could reflect negatively on our products and operations and harm our business reputation. Further, it is possible that a court could hold us civilly or criminally accountable based on vicarious liability because of the actions of our independent consultants. In the past, some of our independent consultants have been investigated by government agencies for conduct alleged to have violated the law and our policies. This type of investigation can have an adverse effect on us even if we are not involved in the independent consultant’s activities.</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may be adversely affected by changes to our independent consultant compensation plans.</w:t>
      </w:r>
    </w:p>
    <w:p>
      <w:pPr>
        <w:spacing w:after="0" w:line="117" w:lineRule="exact"/>
        <w:rPr>
          <w:sz w:val="20"/>
          <w:szCs w:val="20"/>
          <w:color w:val="auto"/>
        </w:rPr>
      </w:pPr>
    </w:p>
    <w:p>
      <w:pPr>
        <w:ind w:right="40" w:firstLine="255"/>
        <w:spacing w:after="0" w:line="257" w:lineRule="auto"/>
        <w:rPr>
          <w:sz w:val="20"/>
          <w:szCs w:val="20"/>
          <w:color w:val="auto"/>
        </w:rPr>
      </w:pPr>
      <w:r>
        <w:rPr>
          <w:rFonts w:ascii="Times New Roman" w:cs="Times New Roman" w:eastAsia="Times New Roman" w:hAnsi="Times New Roman"/>
          <w:sz w:val="14"/>
          <w:szCs w:val="14"/>
          <w:color w:val="auto"/>
        </w:rPr>
        <w:t>We modify our compensation plans from time to time to keep them competitive and attractive to existing and potential independent consultants, to address changing market dynamics, to provide incentives to our independent consultants that we believe will help grow our business, to conform to local regulations and to address other business-related considerations. In fiscal year 2023, we launched our new Evolve Compensation Plan for our independent consultants in the United States, Australia, New Zealand, and Japan. Following that launch, in fiscal year 2024, we launched our new Evolve Compensation Plan for our independent consultants in Canada, Mexico Europe, with plans to roll out the new compensation plan to our remaining markets in the future. It is difficult to predict how such changes will be viewed by our independent consultants and whether such changes will achieve their desired results. Such changes could result in unintended or unforeseen negative economic and non-economic consequences to our business, such as higher than anticipated costs or difficulty in attracting and retaining independent consultants, either of which could have a material adverse effect on our results of operations and financial condition. In addition, if regulatory agencies such as the FTC or judicial cases lead to new industry standards or rules, our business could be impacted, and we may need to amend our compensation plan. If we are required to make changes, or if the FTC seeks to enforce similar measures in the industry, either through rulemaking or an enforcement action against our company, our business could be harmed.</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primarily depend on a few products for a majority of our revenue.</w:t>
      </w:r>
    </w:p>
    <w:p>
      <w:pPr>
        <w:spacing w:after="0" w:line="125" w:lineRule="exact"/>
        <w:rPr>
          <w:sz w:val="20"/>
          <w:szCs w:val="20"/>
          <w:color w:val="auto"/>
        </w:rPr>
      </w:pPr>
    </w:p>
    <w:p>
      <w:pPr>
        <w:ind w:right="40" w:firstLine="255"/>
        <w:spacing w:after="0" w:line="246" w:lineRule="auto"/>
        <w:rPr>
          <w:sz w:val="20"/>
          <w:szCs w:val="20"/>
          <w:color w:val="auto"/>
        </w:rPr>
      </w:pPr>
      <w:r>
        <w:rPr>
          <w:rFonts w:ascii="Times New Roman" w:cs="Times New Roman" w:eastAsia="Times New Roman" w:hAnsi="Times New Roman"/>
          <w:sz w:val="14"/>
          <w:szCs w:val="14"/>
          <w:color w:val="auto"/>
        </w:rPr>
        <w:t>Although we generate revenue through the sale of other products, we primarily rely on our Protandim</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and TrueScience</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product lines for a majority of our revenue, which collectively represent approximately 80.1% of our total revenue. We do not currently have a diversified portfolio of other products that we could rely on to support our operations if we were to experience any difficulty with the manufacture, marketing, sale, or distribution of these product lines. As such, any adverse impact we experience with respect to these two product lines could result in an impact to our overall revenue. For example, if we are unable to sustain or increase the price or sales levels for the Protandim</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and TrueScience</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product lines, our business could be harmed.</w:t>
      </w:r>
    </w:p>
    <w:p>
      <w:pPr>
        <w:spacing w:after="0" w:line="200" w:lineRule="exact"/>
        <w:rPr>
          <w:sz w:val="20"/>
          <w:szCs w:val="20"/>
          <w:color w:val="auto"/>
        </w:rPr>
      </w:pPr>
    </w:p>
    <w:p>
      <w:pPr>
        <w:spacing w:after="0" w:line="2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46" w:right="31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4"/>
          <w:szCs w:val="14"/>
          <w:b w:val="1"/>
          <w:bCs w:val="1"/>
          <w:i w:val="1"/>
          <w:iCs w:val="1"/>
          <w:color w:val="auto"/>
        </w:rPr>
        <w:t>We are dependent upon third parties to manufacture our products.</w:t>
      </w:r>
    </w:p>
    <w:p>
      <w:pPr>
        <w:spacing w:after="0" w:line="117" w:lineRule="exact"/>
        <w:rPr>
          <w:sz w:val="20"/>
          <w:szCs w:val="20"/>
          <w:color w:val="auto"/>
        </w:rPr>
      </w:pPr>
    </w:p>
    <w:p>
      <w:pPr>
        <w:ind w:firstLine="255"/>
        <w:spacing w:after="0" w:line="264" w:lineRule="auto"/>
        <w:rPr>
          <w:sz w:val="20"/>
          <w:szCs w:val="20"/>
          <w:color w:val="auto"/>
        </w:rPr>
      </w:pPr>
      <w:r>
        <w:rPr>
          <w:rFonts w:ascii="Times New Roman" w:cs="Times New Roman" w:eastAsia="Times New Roman" w:hAnsi="Times New Roman"/>
          <w:sz w:val="14"/>
          <w:szCs w:val="14"/>
          <w:color w:val="auto"/>
        </w:rPr>
        <w:t>We currently rely on third parties to manufacture our products. We are dependent on the uninterrupted and efficient operation of third-party manufacturers’ facilities. We currently use multiple third-party manufacturers for our products. If any of our current manufacturers are unable or unwilling to fulfill our manufacturing requirements or seek to impose unfavorable terms, we will likely have to seek out other manufacturers, which could disrupt our operations and we may not be successful in finding alternative manufacturing resources. In addition, competitors who perform their own manufacturing may have an advantage over us with respect to pricing, availability of product, and in other areas through their control of the manufacturing process.</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High quality materials for our products may be difficult to obtain or expensive.</w:t>
      </w:r>
    </w:p>
    <w:p>
      <w:pPr>
        <w:spacing w:after="0" w:line="127" w:lineRule="exact"/>
        <w:rPr>
          <w:sz w:val="20"/>
          <w:szCs w:val="20"/>
          <w:color w:val="auto"/>
        </w:rPr>
      </w:pPr>
    </w:p>
    <w:p>
      <w:pPr>
        <w:ind w:right="40" w:firstLine="255"/>
        <w:spacing w:after="0" w:line="259" w:lineRule="auto"/>
        <w:rPr>
          <w:sz w:val="20"/>
          <w:szCs w:val="20"/>
          <w:color w:val="auto"/>
        </w:rPr>
      </w:pPr>
      <w:r>
        <w:rPr>
          <w:rFonts w:ascii="Times New Roman" w:cs="Times New Roman" w:eastAsia="Times New Roman" w:hAnsi="Times New Roman"/>
          <w:sz w:val="14"/>
          <w:szCs w:val="14"/>
          <w:color w:val="auto"/>
        </w:rPr>
        <w:t>Raw materials account for a significant portion of our manufacturing costs, and we rely on third-party suppliers to provide raw materials. Suppliers may be unable or unwilling to provide the raw materials our manufacturers need in the quantities requested, at a price we are willing to pay, or that meet our quality standards. We are also subject to potential delays in the delivery of raw materials caused by events beyond our control, including labor disputes, transportation interruptions and changes in government regulations. Our business could be adversely affected if we are unable to obtain a reliable source of any of the raw materials used in the manufacturing of our products that meets our quality standards. Additionally, if demand for our products exceeds our forecasts, we may have difficulties in obtaining additional raw materials in time to meet the excess demand. Any significant delay in or disruption of the supply of raw materials could, among other things, substantially increase the cost of such materials, require reformulation or repackaging of products, require the qualification of new suppliers, or result in our inability to meet customer demands.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Disruptions to or significantly increased costs associated with transportation and other distribution channels for our products may adversely affect our margins and profitability.</w:t>
      </w:r>
    </w:p>
    <w:p>
      <w:pPr>
        <w:spacing w:after="0" w:line="127" w:lineRule="exact"/>
        <w:rPr>
          <w:sz w:val="20"/>
          <w:szCs w:val="20"/>
          <w:color w:val="auto"/>
        </w:rPr>
      </w:pPr>
    </w:p>
    <w:p>
      <w:pPr>
        <w:ind w:right="60" w:firstLine="255"/>
        <w:spacing w:after="0" w:line="264" w:lineRule="auto"/>
        <w:rPr>
          <w:sz w:val="20"/>
          <w:szCs w:val="20"/>
          <w:color w:val="auto"/>
        </w:rPr>
      </w:pPr>
      <w:r>
        <w:rPr>
          <w:rFonts w:ascii="Times New Roman" w:cs="Times New Roman" w:eastAsia="Times New Roman" w:hAnsi="Times New Roman"/>
          <w:sz w:val="14"/>
          <w:szCs w:val="14"/>
          <w:color w:val="auto"/>
        </w:rPr>
        <w:t>We generally rely on the uninterrupted and efficient operation of third-party logistics companies to transport and deliver our products. These third-party logistics companies may experience disruptions to the transportation channels used to distribute our products, including disruptions caused by increased airport and shipping port congestion, a lack of transportation capacity, increased fuel expenses, and a shortage of manpower. Disruptions to the transportation channels experienced by our third-party logistics companies may result in increased costs, including the additional use of airfreight to meet demand.</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are subject to risks related to product recalls.</w:t>
      </w:r>
    </w:p>
    <w:p>
      <w:pPr>
        <w:spacing w:after="0" w:line="117" w:lineRule="exact"/>
        <w:rPr>
          <w:sz w:val="20"/>
          <w:szCs w:val="20"/>
          <w:color w:val="auto"/>
        </w:rPr>
      </w:pPr>
    </w:p>
    <w:p>
      <w:pPr>
        <w:ind w:right="80" w:firstLine="255"/>
        <w:spacing w:after="0" w:line="236" w:lineRule="auto"/>
        <w:rPr>
          <w:sz w:val="20"/>
          <w:szCs w:val="20"/>
          <w:color w:val="auto"/>
        </w:rPr>
      </w:pPr>
      <w:r>
        <w:rPr>
          <w:rFonts w:ascii="Times New Roman" w:cs="Times New Roman" w:eastAsia="Times New Roman" w:hAnsi="Times New Roman"/>
          <w:sz w:val="14"/>
          <w:szCs w:val="14"/>
          <w:color w:val="auto"/>
        </w:rPr>
        <w:t>We have implemented measures in our manufacturing process that are designed to prevent and detect defects in our products, including contaminants. However, such measures may not prevent or reveal defects or detect contaminants in our products and such defects and contaminants may not become apparent until after our products have been sold into the market. Accordingly, there is a risk that product defects will occur, or that our products will contain foreign contaminants, and that such defects and contaminants will require a product recall. We do not maintain product recall insurance. In the past, we commenced a voluntary recall of certain lots of Protandim</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Nrf2 Synergizer</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to alleviate safety concerns related to certain batches of turmeric extract, an ingredient in Protandim</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Nrf2 Synergizer</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we purchase from third-party suppliers. Product recalls and subsequent remedial actions can be expensive to implement and could have a material adverse effect on our business, results of operations and financial condition. In addition, product recalls could result in negative publicity and public concerns regarding the safety of our products, either of which could harm the reputation of our products and our business and could cause the market value of our common stock to decline.</w:t>
      </w:r>
    </w:p>
    <w:p>
      <w:pPr>
        <w:spacing w:after="0" w:line="106" w:lineRule="exact"/>
        <w:rPr>
          <w:sz w:val="20"/>
          <w:szCs w:val="20"/>
          <w:color w:val="auto"/>
        </w:rPr>
      </w:pPr>
    </w:p>
    <w:p>
      <w:pPr>
        <w:ind w:right="360" w:firstLine="255"/>
        <w:spacing w:after="0" w:line="270" w:lineRule="auto"/>
        <w:rPr>
          <w:sz w:val="20"/>
          <w:szCs w:val="20"/>
          <w:color w:val="auto"/>
        </w:rPr>
      </w:pPr>
      <w:r>
        <w:rPr>
          <w:rFonts w:ascii="Times New Roman" w:cs="Times New Roman" w:eastAsia="Times New Roman" w:hAnsi="Times New Roman"/>
          <w:sz w:val="14"/>
          <w:szCs w:val="14"/>
          <w:color w:val="auto"/>
        </w:rPr>
        <w:t>A past voluntary product recall strained our relationships with some of our third-party manufacturers. Additionally, following the voluntary recall we implemented more stringent measures, including several redundant measures, in our manufacturing process to detect contaminants. Third-party manufacturers may be reluctant to implement these redundant measures, may refuse to manufacture our products, and additional safety measures such as these may increase our cost of goods sold and strain our relationships with manufacturers.</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Our business is susceptible to product liability claims.</w:t>
      </w:r>
    </w:p>
    <w:p>
      <w:pPr>
        <w:spacing w:after="0" w:line="117" w:lineRule="exact"/>
        <w:rPr>
          <w:sz w:val="20"/>
          <w:szCs w:val="20"/>
          <w:color w:val="auto"/>
        </w:rPr>
      </w:pPr>
    </w:p>
    <w:p>
      <w:pPr>
        <w:ind w:right="40" w:firstLine="255"/>
        <w:spacing w:after="0" w:line="261" w:lineRule="auto"/>
        <w:rPr>
          <w:sz w:val="20"/>
          <w:szCs w:val="20"/>
          <w:color w:val="auto"/>
        </w:rPr>
      </w:pPr>
      <w:r>
        <w:rPr>
          <w:rFonts w:ascii="Times New Roman" w:cs="Times New Roman" w:eastAsia="Times New Roman" w:hAnsi="Times New Roman"/>
          <w:sz w:val="14"/>
          <w:szCs w:val="14"/>
          <w:color w:val="auto"/>
        </w:rPr>
        <w:t>The manufacture and sale of any product for human consumption raises the risk of product liability claims. These claims may derive from the product itself or a contaminant found in the product from the manufacturing, packaging, sales process or even due to tampering by unauthorized third parties. Our products consist of vitamins, minerals, herbs, and other ingredients that are classified as foods or dietary supplements and are not subject to pre-market regulatory approval in the United States. Our products could contain contaminated substances, and some of our products contain ingredients that do not have long histories of human consumption. Previously unknown adverse reactions resulting from human consumption of these ingredients could occur. In addition, third-party manufacturers produce all of the products we sell. As a distributor of products manufactured by third parties, we may also be liable for various product liability claims for these products despite not</w:t>
      </w: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44" w:right="319" w:bottom="1440" w:gutter="0" w:footer="0" w:header="0"/>
        </w:sectPr>
      </w:pPr>
    </w:p>
    <w:bookmarkStart w:id="27" w:name="page28"/>
    <w:bookmarkEnd w:id="27"/>
    <w:p>
      <w:pPr>
        <w:spacing w:after="0" w:line="261" w:lineRule="auto"/>
        <w:rPr>
          <w:sz w:val="20"/>
          <w:szCs w:val="20"/>
          <w:color w:val="auto"/>
        </w:rPr>
      </w:pPr>
      <w:r>
        <w:rPr>
          <w:rFonts w:ascii="Times New Roman" w:cs="Times New Roman" w:eastAsia="Times New Roman" w:hAnsi="Times New Roman"/>
          <w:sz w:val="14"/>
          <w:szCs w:val="14"/>
          <w:color w:val="auto"/>
        </w:rPr>
        <w:t>manufacturing them. We may be subject to various product liability claims, including, among others, that our products include inadequate instructions for use or inadequate warnings concerning possible side effects and interactions with other substances. Any product liability claim against us could result in increased costs and could adversely affect our reputation with our customers, which in turn could adversely affect our revenue and operating income. Although we maintain insurance coverage, there is a risk that our insurance will not cover our potential exposure completely or would fail to cover a particular claim, in which case we may not have the financial resources to satisfy such claim. In addition, certain types of damages, such as punitive damages, are not covered by our insurance policy.</w:t>
      </w:r>
    </w:p>
    <w:p>
      <w:pPr>
        <w:spacing w:after="0" w:line="78" w:lineRule="exact"/>
        <w:rPr>
          <w:sz w:val="20"/>
          <w:szCs w:val="20"/>
          <w:color w:val="auto"/>
        </w:rPr>
      </w:pPr>
    </w:p>
    <w:p>
      <w:pPr>
        <w:ind w:right="220"/>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Many of the markets in which we compete for business, including the dietary supplement and personal care markets, are highly competitive. We may not be able to compete effectively, which may have a material adverse effect on our results of operations and financial condition.</w:t>
      </w:r>
    </w:p>
    <w:p>
      <w:pPr>
        <w:spacing w:after="0" w:line="69" w:lineRule="exact"/>
        <w:rPr>
          <w:sz w:val="20"/>
          <w:szCs w:val="20"/>
          <w:color w:val="auto"/>
        </w:rPr>
      </w:pPr>
    </w:p>
    <w:p>
      <w:pPr>
        <w:ind w:firstLine="255"/>
        <w:spacing w:after="0" w:line="238" w:lineRule="auto"/>
        <w:rPr>
          <w:sz w:val="20"/>
          <w:szCs w:val="20"/>
          <w:color w:val="auto"/>
        </w:rPr>
      </w:pPr>
      <w:r>
        <w:rPr>
          <w:rFonts w:ascii="Times New Roman" w:cs="Times New Roman" w:eastAsia="Times New Roman" w:hAnsi="Times New Roman"/>
          <w:sz w:val="14"/>
          <w:szCs w:val="14"/>
          <w:color w:val="auto"/>
        </w:rPr>
        <w:t>Many of the markets in which we compete for business, including the dietary supplement and personal care markets, are large, highly competitive, and fragmented. Our flagship product line, Protandim</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and our TrueScience</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Liquid Collagen compete in the dietary supplements market and our TrueScience</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Skin Care Collection competes in the personal care market. Participants include specialty retailers, supermarkets, drugstores, mass merchants, multi-level marketing organizations, online merchants, mail-order companies, and a variety of other smaller participants. Many of our competitors have greater financial and other resources available to them and possess better manufacturing, independent distribution, and marketing capabilities than we do. We believe some of these competitors with greater resources may develop and release products that will compete directly with the Protandim</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product line or the TrueScience</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product line and will be marketed as activation products. One or more of these products could significantly reduce the demand for the Protandim</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or TrueScience</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product lines and have a material adverse effect on our revenue. We believe that the market is also highly sensitive to the introduction of new products, including various prescription drugs, which may rapidly capture a significant share of the market. Moreover, because of regulatory restrictions concerning claims about the efficacy of dietary supplements and personal care products, we may have difficulty differentiating our products from our competitors’ products and competing products entering the dietary supplements and personal care markets could harm our revenue. In the United States and Japan, we also compete for sales with heavily advertised national brands manufactured by large pharmaceutical and food companies, as well as other retailers. In addition, as some products become more mainstream, we experience increased competition for those products as more participants enter the market. Our international competitors include large international pharmacy chains, major international supermarket chains, and other large U.S.-based companies with international operations. We may not be able to compete effectively and our attempt to do so may result in increased pricing pressure, which may result in lower margins and have a material adverse effect on our results of operations and financial condition.</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Unfavorable publicity could materially harm our business.</w:t>
      </w:r>
    </w:p>
    <w:p>
      <w:pPr>
        <w:spacing w:after="0" w:line="117" w:lineRule="exact"/>
        <w:rPr>
          <w:sz w:val="20"/>
          <w:szCs w:val="20"/>
          <w:color w:val="auto"/>
        </w:rPr>
      </w:pPr>
    </w:p>
    <w:p>
      <w:pPr>
        <w:ind w:right="120" w:firstLine="255"/>
        <w:spacing w:after="0" w:line="259" w:lineRule="auto"/>
        <w:rPr>
          <w:sz w:val="20"/>
          <w:szCs w:val="20"/>
          <w:color w:val="auto"/>
        </w:rPr>
      </w:pPr>
      <w:r>
        <w:rPr>
          <w:rFonts w:ascii="Times New Roman" w:cs="Times New Roman" w:eastAsia="Times New Roman" w:hAnsi="Times New Roman"/>
          <w:sz w:val="14"/>
          <w:szCs w:val="14"/>
          <w:color w:val="auto"/>
        </w:rPr>
        <w:t>We are highly dependent upon consumers' perceptions of the safety, quality, and efficacy of our products, as well as competitive products distributed by other companies. In the past, we have experienced negative publicity that has harmed our business. Critics of our industry and other individuals whose interests are not aligned with our interests, have in the past and may in the future utilize the Internet, the press, and other means to publish criticism of the industry, our company, our products, and our competitors, or make allegations regarding our business and operations, or the business and operations of our competitors. For instance, several prominent companies in our industry have been targeted by short sellers who profit if a company's stock price decreases. One such company was targeted by a short seller who, after taking a significant short position, publicly made allegations regarding the legality of the company's direct selling model. Short sellers have an incentive to publicly criticize our industry and business model and any such criticism may adversely affect our stock price.</w:t>
      </w:r>
    </w:p>
    <w:p>
      <w:pPr>
        <w:spacing w:after="0" w:line="93" w:lineRule="exact"/>
        <w:rPr>
          <w:sz w:val="20"/>
          <w:szCs w:val="20"/>
          <w:color w:val="auto"/>
        </w:rPr>
      </w:pPr>
    </w:p>
    <w:p>
      <w:pPr>
        <w:ind w:right="20" w:firstLine="255"/>
        <w:spacing w:after="0" w:line="264" w:lineRule="auto"/>
        <w:rPr>
          <w:sz w:val="20"/>
          <w:szCs w:val="20"/>
          <w:color w:val="auto"/>
        </w:rPr>
      </w:pPr>
      <w:r>
        <w:rPr>
          <w:rFonts w:ascii="Times New Roman" w:cs="Times New Roman" w:eastAsia="Times New Roman" w:hAnsi="Times New Roman"/>
          <w:sz w:val="14"/>
          <w:szCs w:val="14"/>
          <w:color w:val="auto"/>
        </w:rPr>
        <w:t>Future scientific research or publicity may not be favorable to our industry or any particular product. Because of our dependence upon consumer perceptions, adverse publicity associated with illness or other adverse effects resulting or claimed to have resulted from the consumption or use of our products or any similar products distributed by other companies could have a material adverse impact on us. Such adverse publicity could arise even if the claims are unsubstantiated or if the adverse effects associated with such products resulted from failure to consume or use such products as directed. Adverse publicity could also increase our product liability exposure, result in increased regulatory scrutiny and lead to the initiation of private lawsuits.</w:t>
      </w:r>
    </w:p>
    <w:p>
      <w:pPr>
        <w:spacing w:after="0" w:line="85" w:lineRule="exact"/>
        <w:rPr>
          <w:sz w:val="20"/>
          <w:szCs w:val="20"/>
          <w:color w:val="auto"/>
        </w:rPr>
      </w:pPr>
    </w:p>
    <w:p>
      <w:pPr>
        <w:ind w:right="120"/>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Actions of activist stockholders have, and could continue to, impact the pursuit of our business strategies, cause us to incur substantial costs, divert our management’s attention and resources, and adversely affect our business, results of operations, financial condition, and the trading price of our common stock.</w:t>
      </w:r>
    </w:p>
    <w:p>
      <w:pPr>
        <w:spacing w:after="0" w:line="59" w:lineRule="exact"/>
        <w:rPr>
          <w:sz w:val="20"/>
          <w:szCs w:val="20"/>
          <w:color w:val="auto"/>
        </w:rPr>
      </w:pPr>
    </w:p>
    <w:p>
      <w:pPr>
        <w:ind w:right="80" w:firstLine="255"/>
        <w:spacing w:after="0" w:line="264" w:lineRule="auto"/>
        <w:rPr>
          <w:sz w:val="20"/>
          <w:szCs w:val="20"/>
          <w:color w:val="auto"/>
        </w:rPr>
      </w:pPr>
      <w:r>
        <w:rPr>
          <w:rFonts w:ascii="Times New Roman" w:cs="Times New Roman" w:eastAsia="Times New Roman" w:hAnsi="Times New Roman"/>
          <w:sz w:val="14"/>
          <w:szCs w:val="14"/>
          <w:color w:val="auto"/>
        </w:rPr>
        <w:t>Publicly traded companies have increasingly become subject to campaigns by activist investors advocating for corporate actions such as financial restructurings, increased borrowings, special dividends, stock repurchases or even sales of assets or entire companies to third parties or the activists themselves. Responding to proxy contests and other actions by activist stockholders, including related litigation, has been and can be costly and time consuming, disrupt our operations and divert the attention of our board and senior management from the pursuit of business strategies, which could adversely affect our results</w:t>
      </w:r>
    </w:p>
    <w:p>
      <w:pPr>
        <w:spacing w:after="0" w:line="200" w:lineRule="exact"/>
        <w:rPr>
          <w:sz w:val="20"/>
          <w:szCs w:val="20"/>
          <w:color w:val="auto"/>
        </w:rPr>
      </w:pPr>
    </w:p>
    <w:p>
      <w:pPr>
        <w:spacing w:after="0" w:line="32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846" w:right="359" w:bottom="1440" w:gutter="0" w:footer="0" w:header="0"/>
        </w:sectPr>
      </w:pPr>
    </w:p>
    <w:bookmarkStart w:id="28" w:name="page29"/>
    <w:bookmarkEnd w:id="28"/>
    <w:p>
      <w:pPr>
        <w:ind w:right="40"/>
        <w:spacing w:after="0" w:line="258" w:lineRule="auto"/>
        <w:rPr>
          <w:sz w:val="20"/>
          <w:szCs w:val="20"/>
          <w:color w:val="auto"/>
        </w:rPr>
      </w:pPr>
      <w:r>
        <w:rPr>
          <w:rFonts w:ascii="Times New Roman" w:cs="Times New Roman" w:eastAsia="Times New Roman" w:hAnsi="Times New Roman"/>
          <w:sz w:val="14"/>
          <w:szCs w:val="14"/>
          <w:color w:val="auto"/>
        </w:rPr>
        <w:t>of operations and financial condition. For example, in August 2023, we received notice from a stockholder, Bradley L. Radoff, of his intent to nominate three directors for election at our fiscal year 2024 annual meeting of stockholders. We and Mr. Radoff communicated throughout the proxy contest, but could not reach an agreement in connection with Mr. Radoff's nomination. At our fiscal year 2024 annual meeting of stockholders, our stockholders elected the incumbent directors as the directors of our board, each to hold office until our fiscal year 2025 annual meeting of stockholders or until his or her respective successor is elected and qualified. On February 14, 2024, we entered into a cooperation agreement with Mr. Radoff and other relevant persons and entities (the "Cooperation Agreement"). Pursuant to the Cooperation Agreement, we increased the size of our board by one seat, appointed Mr. Dayton Judd to our board, and agreed to other terms and customary standstill provisions. The amount of time, attention, and resources that were required of our Company, board, and executive leadership team to address the proxy contest-related measures were substantial, and the residual impact on the Company's business and financial performance is uncertain.</w:t>
      </w:r>
    </w:p>
    <w:p>
      <w:pPr>
        <w:spacing w:after="0" w:line="83" w:lineRule="exact"/>
        <w:rPr>
          <w:sz w:val="20"/>
          <w:szCs w:val="20"/>
          <w:color w:val="auto"/>
        </w:rPr>
      </w:pPr>
    </w:p>
    <w:p>
      <w:pPr>
        <w:ind w:firstLine="255"/>
        <w:spacing w:after="0" w:line="258" w:lineRule="auto"/>
        <w:rPr>
          <w:sz w:val="20"/>
          <w:szCs w:val="20"/>
          <w:color w:val="auto"/>
        </w:rPr>
      </w:pPr>
      <w:r>
        <w:rPr>
          <w:rFonts w:ascii="Times New Roman" w:cs="Times New Roman" w:eastAsia="Times New Roman" w:hAnsi="Times New Roman"/>
          <w:sz w:val="14"/>
          <w:szCs w:val="14"/>
          <w:color w:val="auto"/>
        </w:rPr>
        <w:t>Additionally, perceived uncertainties as to our future direction as a result of future stockholder activism or further changes to the composition of our board may lead to the perception of a change in the direction of our business, instability or lack of continuity. These uncertainties may be more acute or heightened when an activist seeks to change a majority of the board or ultimately desires to acquire the company. If individuals are elected to our board with a specific agenda, it may adversely affect our ability to effectively implement our business strategy and create additional value for our stockholders. Additionally, actions by activist stockholders may be exploited by our competitors, cause concern to our current or potential independent consultants and customers, make it more difficult to attract and retain qualified personnel and may create adverse uncertainty for our employees. In addition, actions of activist stockholders may cause significant fluctuations in our stock price based on temporary or speculative market perceptions or other factors that do not necessarily reflect the underlying fundamentals and prospects of our business. It is possible that we could become engaged in future proxy contests with other activist stockholders, which could adversely affect our results of operations and financial condition.</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The loss of or inability to attract key personnel could negatively impact our business.</w:t>
      </w:r>
    </w:p>
    <w:p>
      <w:pPr>
        <w:spacing w:after="0" w:line="127" w:lineRule="exact"/>
        <w:rPr>
          <w:sz w:val="20"/>
          <w:szCs w:val="20"/>
          <w:color w:val="auto"/>
        </w:rPr>
      </w:pPr>
    </w:p>
    <w:p>
      <w:pPr>
        <w:ind w:right="140" w:firstLine="255"/>
        <w:spacing w:after="0" w:line="261" w:lineRule="auto"/>
        <w:rPr>
          <w:sz w:val="20"/>
          <w:szCs w:val="20"/>
          <w:color w:val="auto"/>
        </w:rPr>
      </w:pPr>
      <w:r>
        <w:rPr>
          <w:rFonts w:ascii="Times New Roman" w:cs="Times New Roman" w:eastAsia="Times New Roman" w:hAnsi="Times New Roman"/>
          <w:sz w:val="14"/>
          <w:szCs w:val="14"/>
          <w:color w:val="auto"/>
        </w:rPr>
        <w:t>Our future performance will depend, in part, upon our ability to attract, retain, and motivate our executive and senior management team and scientific staff. Our success depends to a significant extent both upon the continued services of our current executive and senior management team and scientific staff, as well as our ability to attract, hire, motivate, and retain additional qualified management and scientific staff in the future. Specifically, competition for executive and senior staff in the direct selling and dietary supplement markets is intense, and our operations could be adversely affected if we cannot attract and retain qualified personnel. Additionally, former members of our executive and senior management team have in the past, and could in the future, join or form companies that compete against us in the direct selling industry.</w:t>
      </w:r>
    </w:p>
    <w:p>
      <w:pPr>
        <w:spacing w:after="0" w:line="80" w:lineRule="exact"/>
        <w:rPr>
          <w:sz w:val="20"/>
          <w:szCs w:val="20"/>
          <w:color w:val="auto"/>
        </w:rPr>
      </w:pPr>
    </w:p>
    <w:p>
      <w:pPr>
        <w:ind w:right="520" w:firstLine="255"/>
        <w:spacing w:after="0" w:line="287" w:lineRule="auto"/>
        <w:rPr>
          <w:sz w:val="20"/>
          <w:szCs w:val="20"/>
          <w:color w:val="auto"/>
        </w:rPr>
      </w:pPr>
      <w:r>
        <w:rPr>
          <w:rFonts w:ascii="Times New Roman" w:cs="Times New Roman" w:eastAsia="Times New Roman" w:hAnsi="Times New Roman"/>
          <w:sz w:val="14"/>
          <w:szCs w:val="14"/>
          <w:color w:val="auto"/>
        </w:rPr>
        <w:t>All of our employees are “at will” employees, which means any employee may quit at any time and we may terminate any employee at any time. We do not carry “key person” insurance covering members of senior management or our employees.</w:t>
      </w:r>
    </w:p>
    <w:p>
      <w:pPr>
        <w:spacing w:after="0" w:line="69" w:lineRule="exact"/>
        <w:rPr>
          <w:sz w:val="20"/>
          <w:szCs w:val="20"/>
          <w:color w:val="auto"/>
        </w:rPr>
      </w:pPr>
    </w:p>
    <w:p>
      <w:pPr>
        <w:ind w:right="500"/>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We may be held responsible for certain taxes or assessments and other obligations relating to the activities of our independent consultants, which could harm our financial condition and operating results.</w:t>
      </w:r>
    </w:p>
    <w:p>
      <w:pPr>
        <w:spacing w:after="0" w:line="69" w:lineRule="exact"/>
        <w:rPr>
          <w:sz w:val="20"/>
          <w:szCs w:val="20"/>
          <w:color w:val="auto"/>
        </w:rPr>
      </w:pPr>
    </w:p>
    <w:p>
      <w:pPr>
        <w:ind w:firstLine="255"/>
        <w:spacing w:after="0" w:line="258" w:lineRule="auto"/>
        <w:rPr>
          <w:sz w:val="20"/>
          <w:szCs w:val="20"/>
          <w:color w:val="auto"/>
        </w:rPr>
      </w:pPr>
      <w:r>
        <w:rPr>
          <w:rFonts w:ascii="Times New Roman" w:cs="Times New Roman" w:eastAsia="Times New Roman" w:hAnsi="Times New Roman"/>
          <w:sz w:val="14"/>
          <w:szCs w:val="14"/>
          <w:color w:val="auto"/>
        </w:rPr>
        <w:t>Our independent consultants are subject to taxation, and in some instances, legislation or governmental agencies impose an obligation on us to collect or withhold taxes, such as value added taxes or income taxes, and to maintain appropriate records. In the event that local laws and regulations or the interpretation of local laws and regulations change to require us to treat our independent consultants as employees, or that our independent consultants are deemed by local regulatory authorities in one or more of the jurisdictions in which we operate to be our employees rather than independent contractors under existing laws and interpretations, or our independent consultants are deemed to be conducting business in countries outside of the country in which they are authorized to do business, we may be held responsible for social security, income, and other related taxes in those jurisdictions, plus any related assessments and penalties, which could harm our financial condition and operating results. If our independent consultants were deemed to be employees rather than independent contractors, we may be obligated to pay certain employee benefits, such as workers compensation and unemployment insurance. Further, if our independent consultants are misclassified as employees, we would also face the threat of increased vicarious liability for their actions.</w:t>
      </w: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are subject to risks related to a Global Not For Resale Program.</w:t>
      </w:r>
    </w:p>
    <w:p>
      <w:pPr>
        <w:spacing w:after="0" w:line="127" w:lineRule="exact"/>
        <w:rPr>
          <w:sz w:val="20"/>
          <w:szCs w:val="20"/>
          <w:color w:val="auto"/>
        </w:rPr>
      </w:pPr>
    </w:p>
    <w:p>
      <w:pPr>
        <w:ind w:right="140" w:firstLine="255"/>
        <w:spacing w:after="0" w:line="270" w:lineRule="auto"/>
        <w:rPr>
          <w:sz w:val="20"/>
          <w:szCs w:val="20"/>
          <w:color w:val="auto"/>
        </w:rPr>
      </w:pPr>
      <w:r>
        <w:rPr>
          <w:rFonts w:ascii="Times New Roman" w:cs="Times New Roman" w:eastAsia="Times New Roman" w:hAnsi="Times New Roman"/>
          <w:sz w:val="14"/>
          <w:szCs w:val="14"/>
          <w:color w:val="auto"/>
        </w:rPr>
        <w:t>We have a Global Not For Resale program, which allows customers from around the world to purchase limited amounts of our products for their individual consumption. Under this program, customers from other countries are able to set up a U.S. customer account and associated U.S. address and payment method to drop-ship their order to a third-party vendor in the U.S., who will then ship the products to the customer’s global location with any customs and/or duties being the sole responsibility of the ordering customer.</w:t>
      </w:r>
    </w:p>
    <w:p>
      <w:pPr>
        <w:spacing w:after="0" w:line="83" w:lineRule="exact"/>
        <w:rPr>
          <w:sz w:val="20"/>
          <w:szCs w:val="20"/>
          <w:color w:val="auto"/>
        </w:rPr>
      </w:pPr>
    </w:p>
    <w:p>
      <w:pPr>
        <w:ind w:right="300" w:firstLine="255"/>
        <w:spacing w:after="0" w:line="287" w:lineRule="auto"/>
        <w:rPr>
          <w:sz w:val="20"/>
          <w:szCs w:val="20"/>
          <w:color w:val="auto"/>
        </w:rPr>
      </w:pPr>
      <w:r>
        <w:rPr>
          <w:rFonts w:ascii="Times New Roman" w:cs="Times New Roman" w:eastAsia="Times New Roman" w:hAnsi="Times New Roman"/>
          <w:sz w:val="14"/>
          <w:szCs w:val="14"/>
          <w:color w:val="auto"/>
        </w:rPr>
        <w:t>This program may raise questions from tax regulators about the appropriate sales tax jurisdiction due to the varied and complex tax regulations in the U.S. and around the world. Further, any regulatory review of our facilitation to ship U.S. product</w:t>
      </w:r>
    </w:p>
    <w:p>
      <w:pPr>
        <w:spacing w:after="0" w:line="200" w:lineRule="exact"/>
        <w:rPr>
          <w:sz w:val="20"/>
          <w:szCs w:val="20"/>
          <w:color w:val="auto"/>
        </w:rPr>
      </w:pPr>
    </w:p>
    <w:p>
      <w:pPr>
        <w:spacing w:after="0" w:line="2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46" w:right="319" w:bottom="1440" w:gutter="0" w:footer="0" w:header="0"/>
        </w:sectPr>
      </w:pPr>
    </w:p>
    <w:bookmarkStart w:id="29" w:name="page30"/>
    <w:bookmarkEnd w:id="29"/>
    <w:p>
      <w:pPr>
        <w:ind w:right="280"/>
        <w:spacing w:after="0" w:line="287" w:lineRule="auto"/>
        <w:rPr>
          <w:sz w:val="20"/>
          <w:szCs w:val="20"/>
          <w:color w:val="auto"/>
        </w:rPr>
      </w:pPr>
      <w:r>
        <w:rPr>
          <w:rFonts w:ascii="Times New Roman" w:cs="Times New Roman" w:eastAsia="Times New Roman" w:hAnsi="Times New Roman"/>
          <w:sz w:val="14"/>
          <w:szCs w:val="14"/>
          <w:color w:val="auto"/>
        </w:rPr>
        <w:t>to our existing markets, where such product has not been registered, may raise issues against the local subsidiary from the foreign jurisdiction equivalents of the FDA or FTC or the relevant trade associations, should any agency or association perceive that we or our independent consultants are advertising and/or facilitating the sale of unregistered product in their country.</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Risks Relating to Our Company</w:t>
      </w:r>
    </w:p>
    <w:p>
      <w:pPr>
        <w:spacing w:after="0" w:line="125" w:lineRule="exact"/>
        <w:rPr>
          <w:sz w:val="20"/>
          <w:szCs w:val="20"/>
          <w:color w:val="auto"/>
        </w:rPr>
      </w:pPr>
    </w:p>
    <w:p>
      <w:pPr>
        <w:jc w:val="both"/>
        <w:ind w:right="420"/>
        <w:spacing w:after="0" w:line="271" w:lineRule="auto"/>
        <w:rPr>
          <w:sz w:val="20"/>
          <w:szCs w:val="20"/>
          <w:color w:val="auto"/>
        </w:rPr>
      </w:pPr>
      <w:r>
        <w:rPr>
          <w:rFonts w:ascii="Times New Roman" w:cs="Times New Roman" w:eastAsia="Times New Roman" w:hAnsi="Times New Roman"/>
          <w:sz w:val="14"/>
          <w:szCs w:val="14"/>
          <w:b w:val="1"/>
          <w:bCs w:val="1"/>
          <w:i w:val="1"/>
          <w:iCs w:val="1"/>
          <w:color w:val="auto"/>
        </w:rPr>
        <w:t>We are subject to evolving laws, policies, and contractual obligations related to data privacy and security, including cybersecurity, and our actual or perceived failure to comply with such obligations or perceived failure to maintain the integrity of our data could expose us to data loss or litigation, harm our reputation, subject us to significant fines and liability, or otherwise adversely affect our business, prospects, financial condition, and operating results.</w:t>
      </w:r>
    </w:p>
    <w:p>
      <w:pPr>
        <w:spacing w:after="0" w:line="83" w:lineRule="exact"/>
        <w:rPr>
          <w:sz w:val="20"/>
          <w:szCs w:val="20"/>
          <w:color w:val="auto"/>
        </w:rPr>
      </w:pPr>
    </w:p>
    <w:p>
      <w:pPr>
        <w:ind w:right="480" w:firstLine="255"/>
        <w:spacing w:after="0" w:line="287" w:lineRule="auto"/>
        <w:rPr>
          <w:sz w:val="20"/>
          <w:szCs w:val="20"/>
          <w:color w:val="auto"/>
        </w:rPr>
      </w:pPr>
      <w:r>
        <w:rPr>
          <w:rFonts w:ascii="Times New Roman" w:cs="Times New Roman" w:eastAsia="Times New Roman" w:hAnsi="Times New Roman"/>
          <w:sz w:val="14"/>
          <w:szCs w:val="14"/>
          <w:color w:val="auto"/>
        </w:rPr>
        <w:t>We collect and retain large volumes of data relating to our business and from our customers, independent consultants and employees for business purposes, including for transactional and promotional purposes, and our various IT systems enter, process, summarize and report such data. The integrity and protection of this data is critical to our business.</w:t>
      </w:r>
    </w:p>
    <w:p>
      <w:pPr>
        <w:spacing w:after="0" w:line="61" w:lineRule="exact"/>
        <w:rPr>
          <w:sz w:val="20"/>
          <w:szCs w:val="20"/>
          <w:color w:val="auto"/>
        </w:rPr>
      </w:pPr>
    </w:p>
    <w:p>
      <w:pPr>
        <w:jc w:val="both"/>
        <w:ind w:firstLine="255"/>
        <w:spacing w:after="0" w:line="256" w:lineRule="auto"/>
        <w:rPr>
          <w:sz w:val="20"/>
          <w:szCs w:val="20"/>
          <w:color w:val="auto"/>
        </w:rPr>
      </w:pPr>
      <w:r>
        <w:rPr>
          <w:rFonts w:ascii="Times New Roman" w:cs="Times New Roman" w:eastAsia="Times New Roman" w:hAnsi="Times New Roman"/>
          <w:sz w:val="14"/>
          <w:szCs w:val="14"/>
          <w:color w:val="auto"/>
        </w:rPr>
        <w:t>We are subject to or affected by a number of national, state and local laws and regulations, as well as contractual obligations and industry standards, that impose certain obligations and restrictions with respect to data privacy and security, and govern our collection, storage, retention, protection, use, processing, transmission, sharing and disclosure of personal information, including that of our employees, customers and others. We are also subject to requirements imposed by the payment card industry. As we expand our operations, the CCPA, CPRA, and other laws and regulations relating to privacy and data security may increase our compliance costs and potential liability. Compliance with any applicable privacy and data security laws and regulations is a time-intensive and costly process, and we may be required to put in place additional processes to comply with existing and evolving laws and regulations and new laws and regulations as we expand our operations. Many jurisdictions have enacted laws requiring companies to notify individuals, regulatory authorities and others of security breaches involving certain types of data. In addition, our agreements with certain customers may require us to notify them in the event of a security breach or incident. Such mandatory disclosures can be costly and could lead to negative publicity, penalties, fines, litigation, and other proceedings or cause our customers to lose confidence in the effectiveness of our security measures and require us to expend significant capital and other resources to respond to and/or alleviate problems caused by the actual or perceived security breach or incident. We may not be able to monitor and react to all developments in a timely manner. Maintaining compliance with these evolving regulations and requirements could be difficult and may increase our expenses.</w:t>
      </w:r>
    </w:p>
    <w:p>
      <w:pPr>
        <w:spacing w:after="0" w:line="97" w:lineRule="exact"/>
        <w:rPr>
          <w:sz w:val="20"/>
          <w:szCs w:val="20"/>
          <w:color w:val="auto"/>
        </w:rPr>
      </w:pPr>
    </w:p>
    <w:p>
      <w:pPr>
        <w:jc w:val="both"/>
        <w:ind w:firstLine="255"/>
        <w:spacing w:after="0" w:line="257" w:lineRule="auto"/>
        <w:rPr>
          <w:sz w:val="20"/>
          <w:szCs w:val="20"/>
          <w:color w:val="auto"/>
        </w:rPr>
      </w:pPr>
      <w:r>
        <w:rPr>
          <w:rFonts w:ascii="Times New Roman" w:cs="Times New Roman" w:eastAsia="Times New Roman" w:hAnsi="Times New Roman"/>
          <w:sz w:val="14"/>
          <w:szCs w:val="14"/>
          <w:color w:val="auto"/>
        </w:rPr>
        <w:t>Many jurisdictions outside of the United States are considering or have enacted similar or more stringent legislation providing for local storage of data or otherwise imposing privacy, data protection, and data security obligations in connection with the collection, use, and other processing of personal data. Further, the global data protection landscape is rapidly evolving, and implementation standards and enforcement practices are likely to remain uncertain for the foreseeable future. As our international presence expands, we may become subject to additional obligations under laws and regulations in countries outside the United States, such as, for example, the European Union’s General Data Protection Regulation (“GDPR”), legislation in other countries implementing the GDPR or similar versions of the GDPR. As a general matter, compliance with laws, regulations, contractual obligations, industry standards, and any rules or guidance from self-regulatory organizations relating to privacy, data protection, and data security that apply, or are asserted to apply, to our operations may result in substantial costs and may necessitate changes to our business practices, which may compromise our growth strategy, adversely affect our ability to acquire customers, and otherwise adversely affect our business prospects, results of operations, and financial condition.</w:t>
      </w:r>
    </w:p>
    <w:p>
      <w:pPr>
        <w:spacing w:after="0" w:line="96" w:lineRule="exact"/>
        <w:rPr>
          <w:sz w:val="20"/>
          <w:szCs w:val="20"/>
          <w:color w:val="auto"/>
        </w:rPr>
      </w:pPr>
    </w:p>
    <w:p>
      <w:pPr>
        <w:jc w:val="both"/>
        <w:ind w:firstLine="255"/>
        <w:spacing w:after="0" w:line="256" w:lineRule="auto"/>
        <w:rPr>
          <w:sz w:val="20"/>
          <w:szCs w:val="20"/>
          <w:color w:val="auto"/>
        </w:rPr>
      </w:pPr>
      <w:r>
        <w:rPr>
          <w:rFonts w:ascii="Times New Roman" w:cs="Times New Roman" w:eastAsia="Times New Roman" w:hAnsi="Times New Roman"/>
          <w:sz w:val="14"/>
          <w:szCs w:val="14"/>
          <w:color w:val="auto"/>
        </w:rPr>
        <w:t>Despite the security measures we have in place to comply with applicable laws and rules and to protect our security and information systems, there can be no assurance that our cybersecurity risk management program and processes, including our policies, controls, or procedures will be fully implemented, complied with, or effective in protecting our systems and information Further, our vendors and third-party service providers (as well as their third-party service providers), may be vulnerable to security breaches, acts of cyber terrorism or sabotage, vandalism or theft, computer viruses, loss or corruption of data or programming or human errors or other similar events. While we have agreements requiring our third-party service providers to use best practices for data security, we have no operational control over them. Because such attacks are increasing in sophistication and change frequently in nature, we and our third-party service providers may be unable to anticipate these attacks or implement adequate preventative measures, and any compromise of our systems, or those of our third-party vendors (as well as their third-party service providers), may not be discovered and remediated promptly. Changes in consumer behavior following a security breach or perceived security breach, act of cyber terrorism or sabotage, vandalism or theft, computer virus, loss or corruption of data or programming or human error or other similar event affecting a competitor, large retailer or financial institution may materially and adversely affect our business. While we carry cyber insurance, we cannot be certain that our coverage will be adequate for liabilities actually incurred, that insurance will continue to be available to us on commercially reasonable terms or at all, or that any insurer will not deny coverage as to any future claim. Any of the foregoing may have an adverse effect on our business, prospects, results of operations, and financial condition.</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46" w:right="31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4"/>
          <w:szCs w:val="14"/>
          <w:b w:val="1"/>
          <w:bCs w:val="1"/>
          <w:i w:val="1"/>
          <w:iCs w:val="1"/>
          <w:color w:val="auto"/>
        </w:rPr>
        <w:t>We may not be successful in expanding our operations.</w:t>
      </w:r>
    </w:p>
    <w:p>
      <w:pPr>
        <w:spacing w:after="0" w:line="117" w:lineRule="exact"/>
        <w:rPr>
          <w:sz w:val="20"/>
          <w:szCs w:val="20"/>
          <w:color w:val="auto"/>
        </w:rPr>
      </w:pPr>
    </w:p>
    <w:p>
      <w:pPr>
        <w:ind w:right="40" w:firstLine="255"/>
        <w:spacing w:after="0" w:line="261" w:lineRule="auto"/>
        <w:rPr>
          <w:sz w:val="20"/>
          <w:szCs w:val="20"/>
          <w:color w:val="auto"/>
        </w:rPr>
      </w:pPr>
      <w:r>
        <w:rPr>
          <w:rFonts w:ascii="Times New Roman" w:cs="Times New Roman" w:eastAsia="Times New Roman" w:hAnsi="Times New Roman"/>
          <w:sz w:val="14"/>
          <w:szCs w:val="14"/>
          <w:color w:val="auto"/>
        </w:rPr>
        <w:t>We may not be successful in expanding our operations. Although we have been selling our products through our direct selling network since fiscal year 2009, we still may have limited insight into trends, disruptions and other factors that may emerge and affect our business. For example, a widespread pandemic, such as the COVID-19 pandemic, and measures taken in response by governments and businesses worldwide to contain its spread, including quarantines, facility closures, travel and logistics restrictions, border controls, and shelter in place or stay at home and social distancing orders, may adversely impact our supply chain, manufacturing, logistics, workforce and operations, as well as the operations of our customers and suppliers globally. Such adverse impacts on our supply chain could limit our ability to sell our products on a timely and cost-effective basis, which could adversely affect our business and results of operations.</w:t>
      </w:r>
    </w:p>
    <w:p>
      <w:pPr>
        <w:spacing w:after="0" w:line="90" w:lineRule="exact"/>
        <w:rPr>
          <w:sz w:val="20"/>
          <w:szCs w:val="20"/>
          <w:color w:val="auto"/>
        </w:rPr>
      </w:pPr>
    </w:p>
    <w:p>
      <w:pPr>
        <w:ind w:right="140" w:firstLine="255"/>
        <w:spacing w:after="0" w:line="264" w:lineRule="auto"/>
        <w:rPr>
          <w:sz w:val="20"/>
          <w:szCs w:val="20"/>
          <w:color w:val="auto"/>
        </w:rPr>
      </w:pPr>
      <w:r>
        <w:rPr>
          <w:rFonts w:ascii="Times New Roman" w:cs="Times New Roman" w:eastAsia="Times New Roman" w:hAnsi="Times New Roman"/>
          <w:sz w:val="14"/>
          <w:szCs w:val="14"/>
          <w:color w:val="auto"/>
        </w:rPr>
        <w:t>In addition, from time to time, we are compelled to terminate one or more of our independent consultants for actions contrary to their contractual obligations with us. In the past, some of these terminations have caused disruption among our independent consultants, and such terminations or resulting disruption in the future may negatively impact our revenue. Additionally, we may not be successful in keeping our leading independent consultants focused and motivated or in aligning their goals with our company goals. Although we are seeking to grow our business, if we fail to effectively manage operations in our existing markets and/or expand our operations into additional markets, we may be unable to generate consistent operating profit growth in future periods.</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If we are able to expand our operations, we may experience difficulties in managing our future growth, which could adversely affect our business.</w:t>
      </w:r>
    </w:p>
    <w:p>
      <w:pPr>
        <w:spacing w:after="0" w:line="117" w:lineRule="exact"/>
        <w:rPr>
          <w:sz w:val="20"/>
          <w:szCs w:val="20"/>
          <w:color w:val="auto"/>
        </w:rPr>
      </w:pPr>
    </w:p>
    <w:p>
      <w:pPr>
        <w:ind w:right="100" w:firstLine="255"/>
        <w:spacing w:after="0" w:line="261" w:lineRule="auto"/>
        <w:rPr>
          <w:sz w:val="20"/>
          <w:szCs w:val="20"/>
          <w:color w:val="auto"/>
        </w:rPr>
      </w:pPr>
      <w:r>
        <w:rPr>
          <w:rFonts w:ascii="Times New Roman" w:cs="Times New Roman" w:eastAsia="Times New Roman" w:hAnsi="Times New Roman"/>
          <w:sz w:val="14"/>
          <w:szCs w:val="14"/>
          <w:color w:val="auto"/>
        </w:rPr>
        <w:t>If we are able to expand our operations in the United States and in other countries where we believe our products will be successful, such expansion could place increased strain on our management, operational, financial and other resources. An inability to leverage our current resources in an efficient manner could have a material adverse effect on our business, operating margins, and results of operations. In addition, if we are able to expand our operations, we expect we will need additional managerial, operational, technical, sales, marketing, financial, legal, and other resources. Our management may need to divert its attention away from its day-to-day activities and devote a substantial amount of time to managing these growth activities. We may not be able to effectively manage the expansion of our operations, which may result in weaknesses in our infrastructure and loss of business opportunities, among others.</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may not succeed in growing our business in existing markets or opening new markets.</w:t>
      </w:r>
    </w:p>
    <w:p>
      <w:pPr>
        <w:spacing w:after="0" w:line="127" w:lineRule="exact"/>
        <w:rPr>
          <w:sz w:val="20"/>
          <w:szCs w:val="20"/>
          <w:color w:val="auto"/>
        </w:rPr>
      </w:pPr>
    </w:p>
    <w:p>
      <w:pPr>
        <w:ind w:firstLine="255"/>
        <w:spacing w:after="0" w:line="256" w:lineRule="auto"/>
        <w:rPr>
          <w:sz w:val="20"/>
          <w:szCs w:val="20"/>
          <w:color w:val="auto"/>
        </w:rPr>
      </w:pPr>
      <w:r>
        <w:rPr>
          <w:rFonts w:ascii="Times New Roman" w:cs="Times New Roman" w:eastAsia="Times New Roman" w:hAnsi="Times New Roman"/>
          <w:sz w:val="14"/>
          <w:szCs w:val="14"/>
          <w:color w:val="auto"/>
        </w:rPr>
        <w:t>We sell our products in the United States, Mexico, Japan, Australia, Hong Kong, Canada, Thailand, the United Kingdom, the Netherlands, Germany, Taiwan, Austria, Spain, Ireland, Belgium, New Zealand, Singapore, and the Philippines. We also sell our products in a number of countries to customers for personal consumption only. In fiscal year 2024, we generated approximately 27% of our revenue from our international operations, a majority of which was generated in Japan. We believe that our ability to achieve future growth is dependent in part on our ability to effectively expand into new international markets and grow our existing markets. In some international markets, we have experienced difficulties which have resulted in adverse consequences to our business, including declining revenue in some markets and occasional disruption to our business with supply chain and logistics delays in delivering product to certain markets in a timely manner. Our business and financial results may be also negatively impacted if a particular market or new business model is not widely accepted and adopted. We must overcome significant regulatory and legal barriers before we can begin marketing in any international market. Also, before marketing commences in a new country or market, it is difficult to assess the extent to which our products and sales techniques will be accepted or successful. In addition to significant regulatory barriers, we may also encounter problems conducting operations in new markets with different cultures and legal systems from those encountered elsewhere. We may be required to reformulate one or more of our products before commencing sales of that product in a given country. Once we have entered a market, we must adhere to the regulatory and legal requirements of that market. We may not be able to obtain and retain necessary permits and approvals in new markets, or we may have insufficient capital to finance our expansion efforts in a timely manner.</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Inability of new products and technological innovations to gain market acceptance by customers and/or independent consultants could harm our business.</w:t>
      </w:r>
    </w:p>
    <w:p>
      <w:pPr>
        <w:spacing w:after="0" w:line="127" w:lineRule="exact"/>
        <w:rPr>
          <w:sz w:val="20"/>
          <w:szCs w:val="20"/>
          <w:color w:val="auto"/>
        </w:rPr>
      </w:pPr>
    </w:p>
    <w:p>
      <w:pPr>
        <w:ind w:right="80" w:firstLine="255"/>
        <w:spacing w:after="0" w:line="261" w:lineRule="auto"/>
        <w:rPr>
          <w:sz w:val="20"/>
          <w:szCs w:val="20"/>
          <w:color w:val="auto"/>
        </w:rPr>
      </w:pPr>
      <w:r>
        <w:rPr>
          <w:rFonts w:ascii="Times New Roman" w:cs="Times New Roman" w:eastAsia="Times New Roman" w:hAnsi="Times New Roman"/>
          <w:sz w:val="14"/>
          <w:szCs w:val="14"/>
          <w:color w:val="auto"/>
        </w:rPr>
        <w:t>We believe our ability to introduce new products that gain acceptance among our customers and independent consultants is an important part of our ability to grow our revenue in future periods. However, any new products we introduce may not gain market acceptance by customers and/or independent consultants to the extent we anticipate or project. Factors that could affect our ability to introduce new products include, among others, government regulations, the inability to attract and retain qualified research and development staff, the termination of third-party research and collaborative arrangements, proprietary protections of competitors that may limit our ability to offer comparable products and the difficulties in anticipating changes in consumer tastes and buying preferences. In addition, new products we introduce may not be successful or generate substantial sales</w:t>
      </w: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844" w:right="339" w:bottom="1440" w:gutter="0" w:footer="0" w:header="0"/>
        </w:sectPr>
      </w:pPr>
    </w:p>
    <w:bookmarkStart w:id="31" w:name="page32"/>
    <w:bookmarkEnd w:id="31"/>
    <w:p>
      <w:pPr>
        <w:ind w:right="80"/>
        <w:spacing w:after="0" w:line="287" w:lineRule="auto"/>
        <w:rPr>
          <w:sz w:val="20"/>
          <w:szCs w:val="20"/>
          <w:color w:val="auto"/>
        </w:rPr>
      </w:pPr>
      <w:r>
        <w:rPr>
          <w:rFonts w:ascii="Times New Roman" w:cs="Times New Roman" w:eastAsia="Times New Roman" w:hAnsi="Times New Roman"/>
          <w:sz w:val="14"/>
          <w:szCs w:val="14"/>
          <w:color w:val="auto"/>
        </w:rPr>
        <w:t>revenue. The introduction of a new product could also negatively impact other product lines to the extent our independent consultant leaders focus their sales efforts on the new product instead of an existing product. If any of our products fails to gain customer and/or independent consultant acceptance, we could see an increase in product returns.</w:t>
      </w:r>
    </w:p>
    <w:p>
      <w:pPr>
        <w:spacing w:after="0" w:line="61" w:lineRule="exact"/>
        <w:rPr>
          <w:sz w:val="20"/>
          <w:szCs w:val="20"/>
          <w:color w:val="auto"/>
        </w:rPr>
      </w:pPr>
    </w:p>
    <w:p>
      <w:pPr>
        <w:ind w:right="360" w:firstLine="255"/>
        <w:spacing w:after="0" w:line="287" w:lineRule="auto"/>
        <w:rPr>
          <w:sz w:val="20"/>
          <w:szCs w:val="20"/>
          <w:color w:val="auto"/>
        </w:rPr>
      </w:pPr>
      <w:r>
        <w:rPr>
          <w:rFonts w:ascii="Times New Roman" w:cs="Times New Roman" w:eastAsia="Times New Roman" w:hAnsi="Times New Roman"/>
          <w:sz w:val="14"/>
          <w:szCs w:val="14"/>
          <w:color w:val="auto"/>
        </w:rPr>
        <w:t>In addition, we believe our ability to introduce new technologies that gain acceptance among our customers and independent consultants is an important part of our ability to grow our sales revenue in future periods. However, these or other new technologies that we introduce may not gain customer and/or independent consultant acceptance to the extent we anticipate or project.</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Our business could be negatively impacted if we fail to execute any product launch process due to increased pressure on our supply chain, information systems and management.</w:t>
      </w:r>
    </w:p>
    <w:p>
      <w:pPr>
        <w:spacing w:after="0" w:line="127" w:lineRule="exact"/>
        <w:rPr>
          <w:sz w:val="20"/>
          <w:szCs w:val="20"/>
          <w:color w:val="auto"/>
        </w:rPr>
      </w:pPr>
    </w:p>
    <w:p>
      <w:pPr>
        <w:ind w:right="40" w:firstLine="255"/>
        <w:spacing w:after="0" w:line="257" w:lineRule="auto"/>
        <w:rPr>
          <w:sz w:val="20"/>
          <w:szCs w:val="20"/>
          <w:color w:val="auto"/>
        </w:rPr>
      </w:pPr>
      <w:r>
        <w:rPr>
          <w:rFonts w:ascii="Times New Roman" w:cs="Times New Roman" w:eastAsia="Times New Roman" w:hAnsi="Times New Roman"/>
          <w:sz w:val="14"/>
          <w:szCs w:val="14"/>
          <w:color w:val="auto"/>
        </w:rPr>
        <w:t>Although our product launch process may vary by market, we generally introduce new products to our customers and independent consultants through live events or cyber launches, limited-time offers and promotions. The limited-time offers typically generate significant activity and a high level of purchasing, which may result in a higher-than-normal increase in sales revenue during the quarter of the limited-time offer and skew year-over-year and sequential comparisons. We may experience difficulty effectively managing growth associated with these limited-time offers. In addition, the size and condensed schedule of these product launches increases pressure on our supply chain. If we are unable to accurately forecast sales levels in each market, obtain sufficient ingredients or produce a sufficient supply to meet demand, we may incur higher expedited shipping costs and we may temporarily run out of stock of certain products, which could negatively impact the enthusiasm of our independent consultants and their customers. Conversely, if demand does not meet our expectations for a product launch, we could incur increased inventory write-offs. Any inventory write-off would negatively impact our gross margins. In addition, our order processing systems could have difficulties handling the high volume of orders generated by limited-time offers. Although our previous limited-time offers have not materially affected our product return rate, these events may increase our product return rate in the future.</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Our business may be harmed if we are unable to appropriately manage our inventory.</w:t>
      </w:r>
    </w:p>
    <w:p>
      <w:pPr>
        <w:spacing w:after="0" w:line="125" w:lineRule="exact"/>
        <w:rPr>
          <w:sz w:val="20"/>
          <w:szCs w:val="20"/>
          <w:color w:val="auto"/>
        </w:rPr>
      </w:pPr>
    </w:p>
    <w:p>
      <w:pPr>
        <w:ind w:firstLine="255"/>
        <w:spacing w:after="0" w:line="245" w:lineRule="auto"/>
        <w:rPr>
          <w:sz w:val="20"/>
          <w:szCs w:val="20"/>
          <w:color w:val="auto"/>
        </w:rPr>
      </w:pPr>
      <w:r>
        <w:rPr>
          <w:rFonts w:ascii="Times New Roman" w:cs="Times New Roman" w:eastAsia="Times New Roman" w:hAnsi="Times New Roman"/>
          <w:sz w:val="14"/>
          <w:szCs w:val="14"/>
          <w:color w:val="auto"/>
        </w:rPr>
        <w:t>In the past, we have experienced difficulties in appropriately managing our inventory. For example, when we launched our TrueScience</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Liquid Collagen product in June 2022, we experienced higher than expected demand and did not have sufficient inventory to meet demand. Subsequently, our inventory balances increased significantly, causing us to engage in a deliberate effort to manage our inventory balances down to levels we viewed as appropriate. We review all inventory items quarterly for obsolescence, and when items become obsolete or are expired, we write down our inventory accordingly. If we are unable to sell our inventory in a timely manner, we may experience additional inventory obsolescence charges, including for finished products in inventory that have expired. If we are unable to appropriately manage our inventory balances, our business may be harmed.</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rely on our IT systems to manage numerous aspects of our business, and a disruption in these systems, including as a result of cybersecurity incidents, could adversely affect our business.</w:t>
      </w:r>
    </w:p>
    <w:p>
      <w:pPr>
        <w:spacing w:after="0" w:line="117" w:lineRule="exact"/>
        <w:rPr>
          <w:sz w:val="20"/>
          <w:szCs w:val="20"/>
          <w:color w:val="auto"/>
        </w:rPr>
      </w:pPr>
    </w:p>
    <w:p>
      <w:pPr>
        <w:ind w:right="20" w:firstLine="255"/>
        <w:spacing w:after="0" w:line="259" w:lineRule="auto"/>
        <w:rPr>
          <w:sz w:val="20"/>
          <w:szCs w:val="20"/>
          <w:color w:val="auto"/>
        </w:rPr>
      </w:pPr>
      <w:r>
        <w:rPr>
          <w:rFonts w:ascii="Times New Roman" w:cs="Times New Roman" w:eastAsia="Times New Roman" w:hAnsi="Times New Roman"/>
          <w:sz w:val="14"/>
          <w:szCs w:val="14"/>
          <w:color w:val="auto"/>
        </w:rPr>
        <w:t>We depend on our IT systems to manage numerous aspects of our business, including our finance and accounting transactions, to manage our independent consultant sales compensation plan and to provide analytical information to management. Our IT systems are an essential component of our business and growth strategies, and a serious disruption to our IT systems, including as a result of cybersecurity incidents, could significantly limit our ability to manage and operate our business efficiently. These systems are vulnerable to, among other things, damage and interruption from power loss or natural disasters, computer system and network failures, loss of telecommunications services, physical and electronic loss of data, security breaches and computer viruses. Any disruption could cause our business and competitive position to suffer and adversely affect our business and operating results. In addition, if we experience future growth, we will need to scale or change some of our systems to accommodate the increasing number of independent consultants and their customers.</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Inability to comply with financial covenants imposed by our credit facility and the impact of debt service obligations and restrictive covenants could impede our operations and flexibility.</w:t>
      </w:r>
    </w:p>
    <w:p>
      <w:pPr>
        <w:spacing w:after="0" w:line="127" w:lineRule="exact"/>
        <w:rPr>
          <w:sz w:val="20"/>
          <w:szCs w:val="20"/>
          <w:color w:val="auto"/>
        </w:rPr>
      </w:pPr>
    </w:p>
    <w:p>
      <w:pPr>
        <w:ind w:right="120" w:firstLine="255"/>
        <w:spacing w:after="0" w:line="270" w:lineRule="auto"/>
        <w:rPr>
          <w:sz w:val="20"/>
          <w:szCs w:val="20"/>
          <w:color w:val="auto"/>
        </w:rPr>
      </w:pPr>
      <w:r>
        <w:rPr>
          <w:rFonts w:ascii="Times New Roman" w:cs="Times New Roman" w:eastAsia="Times New Roman" w:hAnsi="Times New Roman"/>
          <w:sz w:val="14"/>
          <w:szCs w:val="14"/>
          <w:color w:val="auto"/>
        </w:rPr>
        <w:t>In March 2016, we entered into a loan agreement, which was subsequently amended in May 2018, February 2019, April 2021, and September 2022, that provided for a credit facility consisting of a revolving loan facility in an aggregate principal amount not to exceed $5.0 million (the "2016 Credit Facility"). On March 31, 2024, the 2016 Credit Facility reached its maturity date and was terminated. As of March 31, 2024, there was no outstanding balance on the 2016 Credit Facility.</w:t>
      </w:r>
    </w:p>
    <w:p>
      <w:pPr>
        <w:spacing w:after="0" w:line="7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On April 12, 2024, we entered into a new loan agreement, which provides for a revolving line of credit in an aggregate principal amount not to exceed $5.0 million (the "2024 Credit Facility").</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As of June 30, 2024, there is no outstanding balance on the 2024 Credit Facility.</w:t>
      </w:r>
    </w:p>
    <w:p>
      <w:pPr>
        <w:spacing w:after="0" w:line="200" w:lineRule="exact"/>
        <w:rPr>
          <w:sz w:val="20"/>
          <w:szCs w:val="20"/>
          <w:color w:val="auto"/>
        </w:rPr>
      </w:pPr>
    </w:p>
    <w:p>
      <w:pPr>
        <w:spacing w:after="0" w:line="34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846" w:right="339" w:bottom="1440" w:gutter="0" w:footer="0" w:header="0"/>
        </w:sectPr>
      </w:pPr>
    </w:p>
    <w:bookmarkStart w:id="32" w:name="page33"/>
    <w:bookmarkEnd w:id="32"/>
    <w:p>
      <w:pPr>
        <w:ind w:right="120" w:firstLine="255"/>
        <w:spacing w:after="0" w:line="259" w:lineRule="auto"/>
        <w:rPr>
          <w:sz w:val="20"/>
          <w:szCs w:val="20"/>
          <w:color w:val="auto"/>
        </w:rPr>
      </w:pPr>
      <w:r>
        <w:rPr>
          <w:rFonts w:ascii="Times New Roman" w:cs="Times New Roman" w:eastAsia="Times New Roman" w:hAnsi="Times New Roman"/>
          <w:sz w:val="14"/>
          <w:szCs w:val="14"/>
          <w:color w:val="auto"/>
        </w:rPr>
        <w:t>The principal amount of any borrowings under the 2024 Credit Facility is repayable, if drawn, on the maturity date of the facility (April 12, 2027). Interest will accrue on outstanding loans, payable monthly. We expect to generate the cash necessary to pay any future principal and interest on the 2024 Credit Facility, if any, from our cash flows provided by operating activities. However, our ability to meet our debt service obligations will depend on our future performance, which may be affected by financial, business, economic, demographic, and other factors. If we do not have enough money to pay our debt service obligations, we may be required to refinance all or part of our debt, sell assets, borrow more money, or raise cash through the sale of equity. In such an event, we may not be able to refinance our debt, sell assets, borrow more money, or raise cash through the sale of equity on terms acceptable to us or at all. Also, our ability to carry out any of these activities on favorable terms, if at all, may be further impacted by any financial or credit crisis which may limit access to the credit markets and increase the cost of capital.</w:t>
      </w:r>
    </w:p>
    <w:p>
      <w:pPr>
        <w:spacing w:after="0" w:line="82" w:lineRule="exact"/>
        <w:rPr>
          <w:sz w:val="20"/>
          <w:szCs w:val="20"/>
          <w:color w:val="auto"/>
        </w:rPr>
      </w:pPr>
    </w:p>
    <w:p>
      <w:pPr>
        <w:ind w:firstLine="255"/>
        <w:spacing w:after="0" w:line="256" w:lineRule="auto"/>
        <w:rPr>
          <w:sz w:val="20"/>
          <w:szCs w:val="20"/>
          <w:color w:val="auto"/>
        </w:rPr>
      </w:pPr>
      <w:r>
        <w:rPr>
          <w:rFonts w:ascii="Times New Roman" w:cs="Times New Roman" w:eastAsia="Times New Roman" w:hAnsi="Times New Roman"/>
          <w:sz w:val="14"/>
          <w:szCs w:val="14"/>
          <w:color w:val="auto"/>
        </w:rPr>
        <w:t>The 2024 Credit Facility is secured by a lien on substantially all of our assets, and the assets of Lifeline Nutraceuticals, and by a pledge of membership interests of our subsidiaries, and contains customary covenants, both affirmative and negative covenants, that, among other things, restrict our ability to deal with our assets outside of the ordinary course, incur or guarantee additional indebtedness, grant liens on our assets, make certain investments, purchase or otherwise acquire all or substantially all the assets or equity interests of other companies, and enter into consolidations, mergers or other combinations. The 2024 Credit Facility requires that we maintain specified financial ratios and satisfy certain financial condition tests and comply with certain informational requirements in order to borrow under the revolving loan facility, if needed. Our ability to comply with these financial ratios and tests and informational requirements can be affected by events beyond our control and we may be unable to meet these ratios and tests and informational requirements. A breach of any of the representations, covenants (including compliance with financial ratios), or other restrictions imposed by the 2024 Credit Facility may result in a default or an event of default giving rise to lender's remedies thereunder, which could result in the lender declaring any portion or all amounts of principal, interest and other related costs and expenses outstanding under the 2024 Credit Facility to be immediately due and payable or limit our ability to draw on the revolving loan facility. Our assets may not be sufficient to repay the indebtedness if the lender accelerates our repayment of the indebtedness under the 2024 Credit Facility. In such circumstances, the lender's remedies would include the ability to foreclose on the collateral securing the loan. We were in compliance with all of the 2024 Credit Facility covenants at the end of fiscal year 2024.</w:t>
      </w:r>
    </w:p>
    <w:p>
      <w:pPr>
        <w:spacing w:after="0" w:line="95" w:lineRule="exact"/>
        <w:rPr>
          <w:sz w:val="20"/>
          <w:szCs w:val="20"/>
          <w:color w:val="auto"/>
        </w:rPr>
      </w:pPr>
    </w:p>
    <w:p>
      <w:pPr>
        <w:ind w:right="600"/>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A substantial portion of our business is conducted in foreign markets, exposing us to the risks of trade or foreign exchange restrictions, increased tariffs, foreign currency fluctuations, disruptions or conflicts with our third-party importers and similar risks associated with foreign operations.</w:t>
      </w:r>
    </w:p>
    <w:p>
      <w:pPr>
        <w:spacing w:after="0" w:line="69" w:lineRule="exact"/>
        <w:rPr>
          <w:sz w:val="20"/>
          <w:szCs w:val="20"/>
          <w:color w:val="auto"/>
        </w:rPr>
      </w:pPr>
    </w:p>
    <w:p>
      <w:pPr>
        <w:ind w:firstLine="255"/>
        <w:spacing w:after="0" w:line="256" w:lineRule="auto"/>
        <w:rPr>
          <w:sz w:val="20"/>
          <w:szCs w:val="20"/>
          <w:color w:val="auto"/>
        </w:rPr>
      </w:pPr>
      <w:r>
        <w:rPr>
          <w:rFonts w:ascii="Times New Roman" w:cs="Times New Roman" w:eastAsia="Times New Roman" w:hAnsi="Times New Roman"/>
          <w:sz w:val="14"/>
          <w:szCs w:val="14"/>
          <w:color w:val="auto"/>
        </w:rPr>
        <w:t>Global economic conditions continue to be challenging and unpredictable. A substantial portion of our sales are generated outside the United States. If we are successful in entering additional foreign markets, we anticipate that the percentage of our sales generated outside the United States will increase. There are substantial risks associated with foreign operations. For example, a foreign government may impose trade or foreign exchange restrictions, increased tariffs or other legal, tax, customs or other financial burdens on us or our independent consultants, due, for example, to the structure of our operations in various markets. Any such actions could negatively impact our operations and financial results. We are also exposed to risks associated with foreign currency fluctuations. For instance, in preparing our financial statements, we translate revenue and expenses in our markets outside the United States from their local currencies into U.S. Dollars using weighted average exchange rates. If the U.S. Dollar strengthens relative to local currencies, our reported revenue, gross profit, and net income will likely be reduced. Foreign currency fluctuations can also result in losses and gains resulting from translation of foreign currency denominated balances on our balance sheet. Additionally, purchases from suppliers are generally made in U.S. Dollars while sales to customers and independent consultants are generally made in local currencies. Accordingly, strengthening of the U.S. Dollar versus a foreign currency could have a negative impact on us. Specifically, because a significant percentage of our revenue is generated in Japan, strengthening of the U.S. Dollar versus the Japanese yen has had and, in the future, could have an adverse impact on our financial results. Although we may engage in transactions intended to reduce our exposure to foreign currency fluctuations, there can be no assurance that these transactions will be effective. Given the complex global political and economic dynamics that affect exchange rate fluctuations, it is difficult to predict future fluctuations and the effect these fluctuations may have upon future reported results or our overall financial condition.</w:t>
      </w:r>
    </w:p>
    <w:p>
      <w:pPr>
        <w:spacing w:after="0" w:line="83" w:lineRule="exact"/>
        <w:rPr>
          <w:sz w:val="20"/>
          <w:szCs w:val="20"/>
          <w:color w:val="auto"/>
        </w:rPr>
      </w:pPr>
    </w:p>
    <w:p>
      <w:pPr>
        <w:ind w:right="160" w:firstLine="255"/>
        <w:spacing w:after="0" w:line="270" w:lineRule="auto"/>
        <w:rPr>
          <w:sz w:val="20"/>
          <w:szCs w:val="20"/>
          <w:color w:val="auto"/>
        </w:rPr>
      </w:pPr>
      <w:r>
        <w:rPr>
          <w:rFonts w:ascii="Times New Roman" w:cs="Times New Roman" w:eastAsia="Times New Roman" w:hAnsi="Times New Roman"/>
          <w:sz w:val="14"/>
          <w:szCs w:val="14"/>
          <w:color w:val="auto"/>
        </w:rPr>
        <w:t>We may be negatively impacted by conflicts with, or disruptions caused or faced by, third party importers, as well as conflicts between such importers and local governments or regulatory agencies. We are required to obtain import licenses in order to sell our products to consumers in countries outside the United States. Our inability to obtain and maintain import licenses could cause delays or disruptions to our business and financial condition. Our operations in some markets also may be adversely affected by political, economic, and social instability in foreign countries.</w:t>
      </w:r>
    </w:p>
    <w:p>
      <w:pPr>
        <w:spacing w:after="0" w:line="81" w:lineRule="exact"/>
        <w:rPr>
          <w:sz w:val="20"/>
          <w:szCs w:val="20"/>
          <w:color w:val="auto"/>
        </w:rPr>
      </w:pPr>
    </w:p>
    <w:p>
      <w:pPr>
        <w:ind w:right="280"/>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We may require substantial additional funding, which may not be available to us on acceptable terms, or at all, and, if not available, may require us to delay, scale back, or cease our product development or growth plans.</w:t>
      </w: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46" w:right="319" w:bottom="1440" w:gutter="0" w:footer="0" w:header="0"/>
        </w:sectPr>
      </w:pPr>
    </w:p>
    <w:bookmarkStart w:id="33" w:name="page34"/>
    <w:bookmarkEnd w:id="33"/>
    <w:p>
      <w:pPr>
        <w:ind w:right="60" w:firstLine="255"/>
        <w:spacing w:after="0" w:line="264" w:lineRule="auto"/>
        <w:rPr>
          <w:sz w:val="20"/>
          <w:szCs w:val="20"/>
          <w:color w:val="auto"/>
        </w:rPr>
      </w:pPr>
      <w:r>
        <w:rPr>
          <w:rFonts w:ascii="Times New Roman" w:cs="Times New Roman" w:eastAsia="Times New Roman" w:hAnsi="Times New Roman"/>
          <w:sz w:val="14"/>
          <w:szCs w:val="14"/>
          <w:color w:val="auto"/>
        </w:rPr>
        <w:t>Based on our current plans, we believe that our current cash and cash equivalents and our ongoing cash flow from operations will be sufficient to satisfy our anticipated cash requirements for at least 12 months from the date of this report. If our available cash resources and anticipated cash flows from operations are insufficient to satisfy our liquidity requirements, we may be required to raise significant additional capital to support our continued operations and the implementation of our business and growth plans. Future funding requirements will depend on many factors, including but not limited to:</w:t>
      </w:r>
    </w:p>
    <w:p>
      <w:pPr>
        <w:spacing w:after="0" w:line="77" w:lineRule="exact"/>
        <w:rPr>
          <w:sz w:val="20"/>
          <w:szCs w:val="20"/>
          <w:color w:val="auto"/>
        </w:rPr>
      </w:pPr>
    </w:p>
    <w:p>
      <w:pPr>
        <w:ind w:left="520" w:hanging="260"/>
        <w:spacing w:after="0"/>
        <w:tabs>
          <w:tab w:leader="none" w:pos="52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costs associated with acquiring products from third-party vendors;</w:t>
      </w:r>
    </w:p>
    <w:p>
      <w:pPr>
        <w:spacing w:after="0" w:line="125"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costs of the sales and marketing activities of our products;</w:t>
      </w:r>
    </w:p>
    <w:p>
      <w:pPr>
        <w:spacing w:after="0" w:line="125"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costs associated with commissions and incentives for our independent consultants;</w:t>
      </w:r>
    </w:p>
    <w:p>
      <w:pPr>
        <w:spacing w:after="0" w:line="114"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litigation expenses we incur to defend against claims, including claims that we infringe the intellectual property of others or judgments we must pay to satisfy such claims;</w:t>
      </w:r>
    </w:p>
    <w:p>
      <w:pPr>
        <w:spacing w:after="0" w:line="125"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contractual obligations to third parties;</w:t>
      </w:r>
    </w:p>
    <w:p>
      <w:pPr>
        <w:spacing w:after="0" w:line="125"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rate of progress in developing, launching, and selling our current products and any new products we pursue;</w:t>
      </w:r>
    </w:p>
    <w:p>
      <w:pPr>
        <w:spacing w:after="0" w:line="114"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control our operating costs;</w:t>
      </w:r>
    </w:p>
    <w:p>
      <w:pPr>
        <w:spacing w:after="0" w:line="125"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satisfy our outstanding debt obligations; and</w:t>
      </w:r>
    </w:p>
    <w:p>
      <w:pPr>
        <w:spacing w:after="0" w:line="125"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costs of responding to the other risks and uncertainties described in this report.</w:t>
      </w:r>
    </w:p>
    <w:p>
      <w:pPr>
        <w:spacing w:after="0" w:line="11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We may also be required to raise additional capital in the future to expand our business and operations to pursue strategic investments or for other reasons including but not limited to:</w:t>
      </w:r>
    </w:p>
    <w:p>
      <w:pPr>
        <w:spacing w:after="0" w:line="125" w:lineRule="exact"/>
        <w:rPr>
          <w:sz w:val="20"/>
          <w:szCs w:val="20"/>
          <w:color w:val="auto"/>
        </w:rPr>
      </w:pPr>
    </w:p>
    <w:p>
      <w:pPr>
        <w:ind w:left="520" w:hanging="260"/>
        <w:spacing w:after="0"/>
        <w:tabs>
          <w:tab w:leader="none" w:pos="52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increasing our sales and marketing efforts to drive market adoption of our products;</w:t>
      </w:r>
    </w:p>
    <w:p>
      <w:pPr>
        <w:spacing w:after="0" w:line="125"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scaling up our customer support capabilities;</w:t>
      </w:r>
    </w:p>
    <w:p>
      <w:pPr>
        <w:spacing w:after="0" w:line="114"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funding development and marketing efforts of additional products;</w:t>
      </w:r>
    </w:p>
    <w:p>
      <w:pPr>
        <w:spacing w:after="0" w:line="125"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expanding our product portfolio into additional markets;</w:t>
      </w:r>
    </w:p>
    <w:p>
      <w:pPr>
        <w:spacing w:after="0" w:line="125"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acquiring products through licensing rights;</w:t>
      </w:r>
    </w:p>
    <w:p>
      <w:pPr>
        <w:spacing w:after="0" w:line="114"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acquiring or investing in complementary businesses or assets; and</w:t>
      </w:r>
    </w:p>
    <w:p>
      <w:pPr>
        <w:spacing w:after="0" w:line="125"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financing capital expenditures and general and administrative expenses.</w:t>
      </w:r>
    </w:p>
    <w:p>
      <w:pPr>
        <w:spacing w:after="0" w:line="115" w:lineRule="exact"/>
        <w:rPr>
          <w:sz w:val="20"/>
          <w:szCs w:val="20"/>
          <w:color w:val="auto"/>
        </w:rPr>
      </w:pPr>
    </w:p>
    <w:p>
      <w:pPr>
        <w:ind w:firstLine="255"/>
        <w:spacing w:after="0" w:line="264" w:lineRule="auto"/>
        <w:rPr>
          <w:sz w:val="20"/>
          <w:szCs w:val="20"/>
          <w:color w:val="auto"/>
        </w:rPr>
      </w:pPr>
      <w:r>
        <w:rPr>
          <w:rFonts w:ascii="Times New Roman" w:cs="Times New Roman" w:eastAsia="Times New Roman" w:hAnsi="Times New Roman"/>
          <w:sz w:val="14"/>
          <w:szCs w:val="14"/>
          <w:color w:val="auto"/>
        </w:rPr>
        <w:t>We may seek required funding through issuances of equity or convertible debt securities or entering into additional loan facilities. Each of the various ways we could raise additional capital carry potential risks. If we raise funds by issuing equity securities, dilution to our stockholders would result. If we raise funds by issuing additional debt securities, those debt securities would have rights, preferences, and privileges senior to those of holders of our common stock. Our 2024 Credit Facility restricts our ability to pursue certain transactions that we may believe to be in our best interest, including incurring additional indebtedness without the prior written consent of the lender under the credit facility.</w:t>
      </w:r>
    </w:p>
    <w:p>
      <w:pPr>
        <w:spacing w:after="0" w:line="87" w:lineRule="exact"/>
        <w:rPr>
          <w:sz w:val="20"/>
          <w:szCs w:val="20"/>
          <w:color w:val="auto"/>
        </w:rPr>
      </w:pPr>
    </w:p>
    <w:p>
      <w:pPr>
        <w:ind w:right="20" w:firstLine="255"/>
        <w:spacing w:after="0" w:line="287" w:lineRule="auto"/>
        <w:rPr>
          <w:sz w:val="20"/>
          <w:szCs w:val="20"/>
          <w:color w:val="auto"/>
        </w:rPr>
      </w:pPr>
      <w:r>
        <w:rPr>
          <w:rFonts w:ascii="Times New Roman" w:cs="Times New Roman" w:eastAsia="Times New Roman" w:hAnsi="Times New Roman"/>
          <w:sz w:val="14"/>
          <w:szCs w:val="14"/>
          <w:color w:val="auto"/>
        </w:rPr>
        <w:t>If we are unable to obtain adequate financing or financing on terms satisfactory to us, if we require it, our ability to continue to pursue our business objectives and to respond to business opportunities, challenges, or unforeseen circumstances could be significantly limited and could have a material adverse effect on our business, financial condition, results of operations and prospects.</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Risks Related to Regulatory, Compliance, and Legal Matters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Our business is subject to strict government regulations.</w:t>
      </w:r>
    </w:p>
    <w:p>
      <w:pPr>
        <w:spacing w:after="0" w:line="127" w:lineRule="exact"/>
        <w:rPr>
          <w:sz w:val="20"/>
          <w:szCs w:val="20"/>
          <w:color w:val="auto"/>
        </w:rPr>
      </w:pPr>
    </w:p>
    <w:p>
      <w:pPr>
        <w:ind w:right="100" w:firstLine="255"/>
        <w:spacing w:after="0" w:line="259" w:lineRule="auto"/>
        <w:rPr>
          <w:sz w:val="20"/>
          <w:szCs w:val="20"/>
          <w:color w:val="auto"/>
        </w:rPr>
      </w:pPr>
      <w:r>
        <w:rPr>
          <w:rFonts w:ascii="Times New Roman" w:cs="Times New Roman" w:eastAsia="Times New Roman" w:hAnsi="Times New Roman"/>
          <w:sz w:val="14"/>
          <w:szCs w:val="14"/>
          <w:color w:val="auto"/>
        </w:rPr>
        <w:t>The manufacturing, packaging, labeling, advertising, sale, and distribution of our products are subject to federal laws and regulations by one or more federal agencies, including, in the United States, the FDA, the FTC, the Consumer Product Safety Commission, and the United States Department of Agriculture (the "U.S. DOA"). These activities are also regulated by various state, local, and international laws, and agencies of the states, localities, and countries in which our products are sold. For instance, the FDA regulates, among other things, the ingredients, composition, manufacture, safety, labeling, and marketing of dietary supplements (including vitamins, minerals, herbs and other dietary ingredients for human use) and cosmetic products. We and our suppliers must comply with FDA regulations with respect to current GMP, which require good manufacturing processes, including ingredient identification, manufacturing controls and record keeping. If our third-party suppliers or</w:t>
      </w:r>
    </w:p>
    <w:p>
      <w:pPr>
        <w:spacing w:after="0" w:line="200" w:lineRule="exact"/>
        <w:rPr>
          <w:sz w:val="20"/>
          <w:szCs w:val="20"/>
          <w:color w:val="auto"/>
        </w:rPr>
      </w:pPr>
    </w:p>
    <w:p>
      <w:pPr>
        <w:spacing w:after="0" w:line="32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846" w:right="359" w:bottom="1440" w:gutter="0" w:footer="0" w:header="0"/>
        </w:sectPr>
      </w:pPr>
    </w:p>
    <w:bookmarkStart w:id="34" w:name="page35"/>
    <w:bookmarkEnd w:id="34"/>
    <w:p>
      <w:pPr>
        <w:jc w:val="both"/>
        <w:ind w:right="140"/>
        <w:spacing w:after="0" w:line="270" w:lineRule="auto"/>
        <w:rPr>
          <w:sz w:val="20"/>
          <w:szCs w:val="20"/>
          <w:color w:val="auto"/>
        </w:rPr>
      </w:pPr>
      <w:r>
        <w:rPr>
          <w:rFonts w:ascii="Times New Roman" w:cs="Times New Roman" w:eastAsia="Times New Roman" w:hAnsi="Times New Roman"/>
          <w:sz w:val="14"/>
          <w:szCs w:val="14"/>
          <w:color w:val="auto"/>
        </w:rPr>
        <w:t>vendors are not able to comply with these regulations, we may experience increased cost or delays in obtaining certain raw materials and third-party products. Complying with applicable legislation could also raise our costs and negatively impact our business. In addition, government regulations may prevent or delay the introduction of our products or require us to reformulate our products or change the claims we make about them, which could result in lost revenue, increased costs, and delayed expansion into new international markets.</w:t>
      </w:r>
    </w:p>
    <w:p>
      <w:pPr>
        <w:spacing w:after="0" w:line="72" w:lineRule="exact"/>
        <w:rPr>
          <w:sz w:val="20"/>
          <w:szCs w:val="20"/>
          <w:color w:val="auto"/>
        </w:rPr>
      </w:pPr>
    </w:p>
    <w:p>
      <w:pPr>
        <w:ind w:right="40" w:firstLine="255"/>
        <w:spacing w:after="0" w:line="258" w:lineRule="auto"/>
        <w:rPr>
          <w:sz w:val="20"/>
          <w:szCs w:val="20"/>
          <w:color w:val="auto"/>
        </w:rPr>
      </w:pPr>
      <w:r>
        <w:rPr>
          <w:rFonts w:ascii="Times New Roman" w:cs="Times New Roman" w:eastAsia="Times New Roman" w:hAnsi="Times New Roman"/>
          <w:sz w:val="14"/>
          <w:szCs w:val="14"/>
          <w:color w:val="auto"/>
        </w:rPr>
        <w:t>The FDA may determine that a particular dietary supplement or ingredient or a particular cosmetic product is adulterated or misbranded or both and may determine that a particular claim or statement of nutritional support that we make to support the marketing of a dietary supplement is an impermissible drug claim or is an unauthorized version of a “health claim,” or that a particular benefit claim that we make to support the marketing of a cosmetic product is an impermissible drug claim. The FDA, the FTC, or state attorneys general may also determine that a particular claim we make for our products is not substantiated. Determining whether a claim is improper frequently involves a degree of subjectivity by the regulatory agency or individual regulator. Any of these determinations by the FDA or other regulators could prevent us from marketing that particular dietary supplement product or cosmetic product, or making certain claims for that product. The FDA could also require us to remove a particular product from the market. Any future recall or removal would result in additional costs to us, including lost revenue from any product that we are required to remove from the market, which could be material. Any product recalls or removals could also lead to liability, substantial costs, and reduced growth prospects.</w:t>
      </w:r>
    </w:p>
    <w:p>
      <w:pPr>
        <w:spacing w:after="0" w:line="94" w:lineRule="exact"/>
        <w:rPr>
          <w:sz w:val="20"/>
          <w:szCs w:val="20"/>
          <w:color w:val="auto"/>
        </w:rPr>
      </w:pPr>
    </w:p>
    <w:p>
      <w:pPr>
        <w:ind w:right="40" w:firstLine="255"/>
        <w:spacing w:after="0" w:line="261" w:lineRule="auto"/>
        <w:rPr>
          <w:sz w:val="20"/>
          <w:szCs w:val="20"/>
          <w:color w:val="auto"/>
        </w:rPr>
      </w:pPr>
      <w:r>
        <w:rPr>
          <w:rFonts w:ascii="Times New Roman" w:cs="Times New Roman" w:eastAsia="Times New Roman" w:hAnsi="Times New Roman"/>
          <w:sz w:val="14"/>
          <w:szCs w:val="14"/>
          <w:color w:val="auto"/>
        </w:rPr>
        <w:t>We may receive a warning letter from the FDA if it believes some violation of law has occurred either by us or by our independent consultants. Any allegations of our non-compliance may result in time-consuming and expensive defense of our activities. FDA warning letters are available to the public on the FDA’s website. That information could negatively affect our relationships with our customers, investors, independent consultants, vendors, employees, and consumers. Warning letters may also spark private class action litigation under state consumer protection statutes. The FDA could also order compliance activities, such as an inspection of our facilities and products, and could file a civil lawsuit in which an arrest warrant (seizure) could be issued as to some or all of our products. In extraordinary cases, we could be named a defendant and sued for declaratory and injunctive relief.</w:t>
      </w:r>
    </w:p>
    <w:p>
      <w:pPr>
        <w:spacing w:after="0" w:line="90" w:lineRule="exact"/>
        <w:rPr>
          <w:sz w:val="20"/>
          <w:szCs w:val="20"/>
          <w:color w:val="auto"/>
        </w:rPr>
      </w:pPr>
    </w:p>
    <w:p>
      <w:pPr>
        <w:ind w:firstLine="255"/>
        <w:spacing w:after="0" w:line="259" w:lineRule="auto"/>
        <w:rPr>
          <w:sz w:val="20"/>
          <w:szCs w:val="20"/>
          <w:color w:val="auto"/>
        </w:rPr>
      </w:pPr>
      <w:r>
        <w:rPr>
          <w:rFonts w:ascii="Times New Roman" w:cs="Times New Roman" w:eastAsia="Times New Roman" w:hAnsi="Times New Roman"/>
          <w:sz w:val="14"/>
          <w:szCs w:val="14"/>
          <w:color w:val="auto"/>
        </w:rPr>
        <w:t>Additional or more stringent regulations of dietary supplements and other products have been considered from time to time. In recent years, there has been increased pressure in the United States and other markets to increase regulation of dietary supplements. New regulations, or new interpretations of those regulations, could impose additional restrictions, including requiring reformulation of some products to meet new standards, recalls or discontinuance of some products not able to be reformulated, additional record-keeping requirements, increased documentation of the properties of some products, additional or different labeling, additional scientific substantiation, additional adverse event reporting, or other new requirements. Any of these developments could increase our costs significantly. Our operations also could be harmed if new laws or regulations are enacted that restrict our ability to market or distribute dietary supplements or impose additional burdens or requirements on dietary supplement companies or require us to reformulate our products.</w:t>
      </w:r>
    </w:p>
    <w:p>
      <w:pPr>
        <w:spacing w:after="0" w:line="82" w:lineRule="exact"/>
        <w:rPr>
          <w:sz w:val="20"/>
          <w:szCs w:val="20"/>
          <w:color w:val="auto"/>
        </w:rPr>
      </w:pPr>
    </w:p>
    <w:p>
      <w:pPr>
        <w:ind w:right="200" w:firstLine="255"/>
        <w:spacing w:after="0" w:line="264" w:lineRule="auto"/>
        <w:rPr>
          <w:sz w:val="20"/>
          <w:szCs w:val="20"/>
          <w:color w:val="auto"/>
        </w:rPr>
      </w:pPr>
      <w:r>
        <w:rPr>
          <w:rFonts w:ascii="Times New Roman" w:cs="Times New Roman" w:eastAsia="Times New Roman" w:hAnsi="Times New Roman"/>
          <w:sz w:val="14"/>
          <w:szCs w:val="14"/>
          <w:color w:val="auto"/>
        </w:rPr>
        <w:t>In the United States, for example, some legislators and industry critics continue to push for increased regulatory authority by the FDA over dietary supplements and the FTC over the direct selling industry. The FTC may strengthen the regulation of business opportunity claims and direct selling companies, among other things. The FTC has in recent years investigated and taken enforcement action against direct selling companies for misleading representations relating to the earnings potential of an independent consultant within a company’s compensation plan, as well as appropriateness of the compensation plans themselves. Our business could be harmed if more restrictive legislation or regulation is successfully introduced and adopted in the future.</w:t>
      </w:r>
    </w:p>
    <w:p>
      <w:pPr>
        <w:spacing w:after="0" w:line="87" w:lineRule="exact"/>
        <w:rPr>
          <w:sz w:val="20"/>
          <w:szCs w:val="20"/>
          <w:color w:val="auto"/>
        </w:rPr>
      </w:pPr>
    </w:p>
    <w:p>
      <w:pPr>
        <w:ind w:right="360" w:firstLine="255"/>
        <w:spacing w:after="0" w:line="264" w:lineRule="auto"/>
        <w:rPr>
          <w:sz w:val="20"/>
          <w:szCs w:val="20"/>
          <w:color w:val="auto"/>
        </w:rPr>
      </w:pPr>
      <w:r>
        <w:rPr>
          <w:rFonts w:ascii="Times New Roman" w:cs="Times New Roman" w:eastAsia="Times New Roman" w:hAnsi="Times New Roman"/>
          <w:sz w:val="14"/>
          <w:szCs w:val="14"/>
          <w:color w:val="auto"/>
        </w:rPr>
        <w:t>In December 2022, Congress passed the Modernization of Cosmetics Regulation Act, which added significant new requirements for cosmetic products marketed in the United States. For example, we now have to register cosmetic product manufacturing facilities and list all cosmetic products with the FDA, and need to report all “serious adverse events” to the FDA and maintain relevant records. We will need to comply with current GMP regulations and fragrance allergen declaration regulations once the FDA implements those requirements. Complying with these requirements could raise our costs and negatively impact our business.</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Regulations governing the production and marketing of our products could harm our business.</w:t>
      </w:r>
    </w:p>
    <w:p>
      <w:pPr>
        <w:spacing w:after="0" w:line="117" w:lineRule="exact"/>
        <w:rPr>
          <w:sz w:val="20"/>
          <w:szCs w:val="20"/>
          <w:color w:val="auto"/>
        </w:rPr>
      </w:pPr>
    </w:p>
    <w:p>
      <w:pPr>
        <w:ind w:right="220" w:firstLine="255"/>
        <w:spacing w:after="0" w:line="261" w:lineRule="auto"/>
        <w:rPr>
          <w:sz w:val="20"/>
          <w:szCs w:val="20"/>
          <w:color w:val="auto"/>
        </w:rPr>
      </w:pPr>
      <w:r>
        <w:rPr>
          <w:rFonts w:ascii="Times New Roman" w:cs="Times New Roman" w:eastAsia="Times New Roman" w:hAnsi="Times New Roman"/>
          <w:sz w:val="14"/>
          <w:szCs w:val="14"/>
          <w:color w:val="auto"/>
        </w:rPr>
        <w:t>We are subject to various domestic and foreign laws and regulations that regulate the production and marketing of our products. If, for example, a determination that our dietary supplement products are used to diagnose, treat, cure, or prevent any disease or illness, including due to improper marketing claims by our independent consultants, it may lead to a determination that the LifeVantage supplements require pre-market approval as a drug. Such regulations in any given market can limit our ability to import products and can delay product launches as we go through the registration and approval process for those products. Furthermore, if we fail to comply with these regulations, we could face enforcement action against us and we could be fined, forced to alter or stop selling our products and/or be required to adjust our operations. Our operations also could be</w:t>
      </w: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46" w:right="319" w:bottom="1440" w:gutter="0" w:footer="0" w:header="0"/>
        </w:sectPr>
      </w:pPr>
    </w:p>
    <w:bookmarkStart w:id="35" w:name="page36"/>
    <w:bookmarkEnd w:id="35"/>
    <w:p>
      <w:pPr>
        <w:ind w:right="40"/>
        <w:spacing w:after="0" w:line="287" w:lineRule="auto"/>
        <w:rPr>
          <w:sz w:val="20"/>
          <w:szCs w:val="20"/>
          <w:color w:val="auto"/>
        </w:rPr>
      </w:pPr>
      <w:r>
        <w:rPr>
          <w:rFonts w:ascii="Times New Roman" w:cs="Times New Roman" w:eastAsia="Times New Roman" w:hAnsi="Times New Roman"/>
          <w:sz w:val="14"/>
          <w:szCs w:val="14"/>
          <w:color w:val="auto"/>
        </w:rPr>
        <w:t>harmed if new laws or regulations are enacted that restrict our ability to market or distribute our products or impose additional burdens or requirements on the contents of our products or require us to reformulate our products.</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are subject to the risk of investigatory and enforcement action.</w:t>
      </w:r>
    </w:p>
    <w:p>
      <w:pPr>
        <w:spacing w:after="0" w:line="127" w:lineRule="exact"/>
        <w:rPr>
          <w:sz w:val="20"/>
          <w:szCs w:val="20"/>
          <w:color w:val="auto"/>
        </w:rPr>
      </w:pPr>
    </w:p>
    <w:p>
      <w:pPr>
        <w:ind w:right="120" w:firstLine="255"/>
        <w:spacing w:after="0" w:line="258" w:lineRule="auto"/>
        <w:rPr>
          <w:sz w:val="20"/>
          <w:szCs w:val="20"/>
          <w:color w:val="auto"/>
        </w:rPr>
      </w:pPr>
      <w:r>
        <w:rPr>
          <w:rFonts w:ascii="Times New Roman" w:cs="Times New Roman" w:eastAsia="Times New Roman" w:hAnsi="Times New Roman"/>
          <w:sz w:val="14"/>
          <w:szCs w:val="14"/>
          <w:color w:val="auto"/>
        </w:rPr>
        <w:t>We are subject to the risk of investigatory and enforcement action by various government agencies, both domestic and international. For instance, the FTC and state attorneys general may open an investigation or bring an enforcement action against us based on our advertising claims and marketing practices. The FTC routinely reviews product advertising, including websites, to identify significant questionable advertising claims and practices. The FTC has brought many actions against dietary supplement companies, including some actions that were brought jointly with state attorneys general, based upon allegations that applicable advertising claims or practices were deceptive or not substantiated. If the FTC initiates an investigation, the FTC can initiate pre-complaint discovery that may be nonpublic in nature. In addition, we are subject to the risk of investigatory and enforcement action by other agencies including, but not limited to, the FDA, including warning letters and other sanctions, enforcement actions by the SEC and by other international regulatory agencies. Any investigation may be very expensive to defend and may result in an adverse ruling or in a consent decree.</w:t>
      </w:r>
    </w:p>
    <w:p>
      <w:pPr>
        <w:spacing w:after="0" w:line="92" w:lineRule="exact"/>
        <w:rPr>
          <w:sz w:val="20"/>
          <w:szCs w:val="20"/>
          <w:color w:val="auto"/>
        </w:rPr>
      </w:pPr>
    </w:p>
    <w:p>
      <w:pPr>
        <w:ind w:right="420"/>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Our direct selling program could be found to be not in compliance with current or newly adopted laws or regulations in one or more markets, which could prevent us from conducting our business in these markets and harm our financial condition and operating results.</w:t>
      </w:r>
    </w:p>
    <w:p>
      <w:pPr>
        <w:spacing w:after="0" w:line="59" w:lineRule="exact"/>
        <w:rPr>
          <w:sz w:val="20"/>
          <w:szCs w:val="20"/>
          <w:color w:val="auto"/>
        </w:rPr>
      </w:pPr>
    </w:p>
    <w:p>
      <w:pPr>
        <w:ind w:firstLine="255"/>
        <w:spacing w:after="0" w:line="261" w:lineRule="auto"/>
        <w:rPr>
          <w:sz w:val="20"/>
          <w:szCs w:val="20"/>
          <w:color w:val="auto"/>
        </w:rPr>
      </w:pPr>
      <w:r>
        <w:rPr>
          <w:rFonts w:ascii="Times New Roman" w:cs="Times New Roman" w:eastAsia="Times New Roman" w:hAnsi="Times New Roman"/>
          <w:sz w:val="14"/>
          <w:szCs w:val="14"/>
          <w:color w:val="auto"/>
        </w:rPr>
        <w:t>Some of the legal and regulatory requirements concerning the direct selling business model are ambiguous and subject to interpretation. As a result, regulators and courts have discretion in their application of these laws and regulations, and the enforcement or interpretation of these laws and regulations by governmental agencies or courts can change. Allegations by short sellers regarding the legality of multi-level marketing companies generally have also created intense public scrutiny of our industry and could cause governmental agencies to change their enforcement and interpretation of applicable laws and regulations. The failure of our business to comply with current or newly adopted regulations or interpretations could negatively impact our business in a particular market or in general and may adversely affect our stock price.</w:t>
      </w:r>
    </w:p>
    <w:p>
      <w:pPr>
        <w:spacing w:after="0" w:line="88" w:lineRule="exact"/>
        <w:rPr>
          <w:sz w:val="20"/>
          <w:szCs w:val="20"/>
          <w:color w:val="auto"/>
        </w:rPr>
      </w:pPr>
    </w:p>
    <w:p>
      <w:pPr>
        <w:ind w:right="260"/>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Laws and regulations may prohibit or severely restrict direct selling and cause our revenue and profitability to decline, and regulators could adopt new regulations that negatively impact our business.</w:t>
      </w:r>
    </w:p>
    <w:p>
      <w:pPr>
        <w:spacing w:after="0" w:line="69" w:lineRule="exact"/>
        <w:rPr>
          <w:sz w:val="20"/>
          <w:szCs w:val="20"/>
          <w:color w:val="auto"/>
        </w:rPr>
      </w:pPr>
    </w:p>
    <w:p>
      <w:pPr>
        <w:ind w:right="80" w:firstLine="255"/>
        <w:spacing w:after="0" w:line="257" w:lineRule="auto"/>
        <w:rPr>
          <w:sz w:val="20"/>
          <w:szCs w:val="20"/>
          <w:color w:val="auto"/>
        </w:rPr>
      </w:pPr>
      <w:r>
        <w:rPr>
          <w:rFonts w:ascii="Times New Roman" w:cs="Times New Roman" w:eastAsia="Times New Roman" w:hAnsi="Times New Roman"/>
          <w:sz w:val="14"/>
          <w:szCs w:val="14"/>
          <w:color w:val="auto"/>
        </w:rPr>
        <w:t>Various government agencies throughout the world regulate direct selling practices. The laws and regulations applicable to us and our independent consultants in Japan are particularly stringent. These laws and regulations are generally intended to prevent fraudulent or deceptive schemes, often referred to as “pyramid” schemes, which compensate participants primarily for recruiting additional participants without significant emphasis on the sale of product to end consumers. Government agencies, such as the FTC in the United States and similar agencies in foreign jurisdictions, periodically investigate direct selling companies based on such schemes or other claims made by a direct selling company or its independent consultants. Generally, companies that are the subject of an FTC, or similar foreign agency, enforcement action are required to pay monetary fines and/or make updates or changes to their business model. The laws and regulations in some of our markets impose cancellations, product returns, inventory buy-backs and cooling-off rights for our independent consultants and/or customers. Excessive refunds and/or product returns pursuant to local laws and regulations, including being the target of an enforcement action or investigation by the FTC or a similar foreign agency in a foreign jurisdiction, could have a negative impact on our operating results. Complying with these rules and regulations can be difficult and requires the devotion of significant resources on our part. We may not be able to continue business in existing markets or commence operations in new markets if we are unable to comply with these laws or adjust to changes in these laws.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Our financial condition and results of operations may be adversely affected by international regulatory and business risks.</w:t>
      </w:r>
    </w:p>
    <w:p>
      <w:pPr>
        <w:spacing w:after="0" w:line="127" w:lineRule="exact"/>
        <w:rPr>
          <w:sz w:val="20"/>
          <w:szCs w:val="20"/>
          <w:color w:val="auto"/>
        </w:rPr>
      </w:pPr>
    </w:p>
    <w:p>
      <w:pPr>
        <w:ind w:right="60" w:firstLine="255"/>
        <w:spacing w:after="0" w:line="270" w:lineRule="auto"/>
        <w:rPr>
          <w:sz w:val="20"/>
          <w:szCs w:val="20"/>
          <w:color w:val="auto"/>
        </w:rPr>
      </w:pPr>
      <w:r>
        <w:rPr>
          <w:rFonts w:ascii="Times New Roman" w:cs="Times New Roman" w:eastAsia="Times New Roman" w:hAnsi="Times New Roman"/>
          <w:sz w:val="14"/>
          <w:szCs w:val="14"/>
          <w:color w:val="auto"/>
        </w:rPr>
        <w:t>As a result of our operations, offering products or contracting with independent contractors and other service providers in various other countries, we are increasingly subject to varied and complex foreign and international laws and regulations. Compliance with these laws and regulations often involves significant costs and may require changes in our business practices that may result in reduced revenues and adversely affect our operating results.</w:t>
      </w:r>
    </w:p>
    <w:p>
      <w:pPr>
        <w:spacing w:after="0" w:line="83" w:lineRule="exact"/>
        <w:rPr>
          <w:sz w:val="20"/>
          <w:szCs w:val="20"/>
          <w:color w:val="auto"/>
        </w:rPr>
      </w:pPr>
    </w:p>
    <w:p>
      <w:pPr>
        <w:ind w:right="60" w:firstLine="255"/>
        <w:spacing w:after="0" w:line="259" w:lineRule="auto"/>
        <w:rPr>
          <w:sz w:val="20"/>
          <w:szCs w:val="20"/>
          <w:color w:val="auto"/>
        </w:rPr>
      </w:pPr>
      <w:r>
        <w:rPr>
          <w:rFonts w:ascii="Times New Roman" w:cs="Times New Roman" w:eastAsia="Times New Roman" w:hAnsi="Times New Roman"/>
          <w:sz w:val="14"/>
          <w:szCs w:val="14"/>
          <w:color w:val="auto"/>
        </w:rPr>
        <w:t>We are subject to the Foreign Corrupt Practices Act, which prohibits companies and their intermediaries from making payments in violation of law to non-U.S. government officials for the purpose of obtaining or retaining business or securing any other improper advantage. Our reliance on independent consultants to market our products internationally demands a high degree of vigilance in maintaining our policy against participation in corrupt activity, because these independent consultants may be deemed to be our agents and we could be held responsible for their actions. We are also subject to similar anti-bribery laws in the jurisdictions in which we operate, including the United Kingdom’s Bribery Act of 2010, which also prohibits commercial bribery and makes it a crime for companies to fail to prevent bribery. These laws are complex and far-reaching in nature. Any violations of these laws, or allegations of such violations, could disrupt our operations, involve significant management distraction, involve significant costs and expenses, including legal fees, and we could be subject to severe</w:t>
      </w: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46" w:right="319" w:bottom="1440" w:gutter="0" w:footer="0" w:header="0"/>
        </w:sectPr>
      </w:pPr>
    </w:p>
    <w:bookmarkStart w:id="36" w:name="page37"/>
    <w:bookmarkEnd w:id="36"/>
    <w:p>
      <w:pPr>
        <w:ind w:right="40"/>
        <w:spacing w:after="0" w:line="259" w:lineRule="auto"/>
        <w:rPr>
          <w:sz w:val="20"/>
          <w:szCs w:val="20"/>
          <w:color w:val="auto"/>
        </w:rPr>
      </w:pPr>
      <w:r>
        <w:rPr>
          <w:rFonts w:ascii="Times New Roman" w:cs="Times New Roman" w:eastAsia="Times New Roman" w:hAnsi="Times New Roman"/>
          <w:sz w:val="14"/>
          <w:szCs w:val="14"/>
          <w:color w:val="auto"/>
        </w:rPr>
        <w:t>penalties, including criminal and civil penalties, disgorgement, and other remedial measures, any of which could result in a material adverse effect on our business, prospects, financial condition, or results of operations. Any allegations that we are not in compliance with anti-corruption laws may require us to dedicate time and resources to an internal investigation of the allegations or may result in a government investigation. Any determination that our operations or activities are not in compliance with existing anti-corruption laws or regulations could result in the imposition of substantial fines, and other penalties. Although we have implemented anti-corruption policies and controls to protect against violation of these laws, we cannot be certain that these efforts will be effective. Operating internationally requires significant management attention and financial resources. We cannot be certain that the investment and additional resources required to increase international revenues or expand our international presence will produce desired levels of revenues or profitability.</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Our intellectual property rights are valuable, and any inability to protect them could reduce the value of our products and brand.</w:t>
      </w:r>
    </w:p>
    <w:p>
      <w:pPr>
        <w:spacing w:after="0" w:line="127" w:lineRule="exact"/>
        <w:rPr>
          <w:sz w:val="20"/>
          <w:szCs w:val="20"/>
          <w:color w:val="auto"/>
        </w:rPr>
      </w:pPr>
    </w:p>
    <w:p>
      <w:pPr>
        <w:ind w:right="120" w:firstLine="255"/>
        <w:spacing w:after="0" w:line="264" w:lineRule="auto"/>
        <w:rPr>
          <w:sz w:val="20"/>
          <w:szCs w:val="20"/>
          <w:color w:val="auto"/>
        </w:rPr>
      </w:pPr>
      <w:r>
        <w:rPr>
          <w:rFonts w:ascii="Times New Roman" w:cs="Times New Roman" w:eastAsia="Times New Roman" w:hAnsi="Times New Roman"/>
          <w:sz w:val="14"/>
          <w:szCs w:val="14"/>
          <w:color w:val="auto"/>
        </w:rPr>
        <w:t>The loss of our intellectual property rights in our products could permit our competitors to manufacture their own version of our products. We have attempted to protect our intellectual property rights in our products through a combination of patents, patent applications, trademarks, trade secrets, confidentiality agreements, non-compete agreements and other contractual protection mechanisms, and we will continue to do so. While we intend to defend against any threats to our intellectual property, our patents or various contractual protections may not adequately protect our intellectual property. In addition, we could be required to expend significant resources to defend our rights to proprietary information and may not be successful in such defense.</w:t>
      </w:r>
    </w:p>
    <w:p>
      <w:pPr>
        <w:spacing w:after="0" w:line="87" w:lineRule="exact"/>
        <w:rPr>
          <w:sz w:val="20"/>
          <w:szCs w:val="20"/>
          <w:color w:val="auto"/>
        </w:rPr>
      </w:pPr>
    </w:p>
    <w:p>
      <w:pPr>
        <w:ind w:right="20" w:firstLine="255"/>
        <w:spacing w:after="0" w:line="258" w:lineRule="auto"/>
        <w:rPr>
          <w:sz w:val="20"/>
          <w:szCs w:val="20"/>
          <w:color w:val="auto"/>
        </w:rPr>
      </w:pPr>
      <w:r>
        <w:rPr>
          <w:rFonts w:ascii="Times New Roman" w:cs="Times New Roman" w:eastAsia="Times New Roman" w:hAnsi="Times New Roman"/>
          <w:sz w:val="14"/>
          <w:szCs w:val="14"/>
          <w:color w:val="auto"/>
        </w:rPr>
        <w:t>Moreover, our intellectual property rights are more limited outside of the United States than they are in the United States. As such, we may not be successful in preventing third parties from copying or misappropriating our intellectual property. There also can be no assurance that pending patent applications owned by us will result in patents being issued to us, that patents issued to or licensed by us in the past or in the future will not be challenged or circumvented by competitors or that such patents will be found to be valid or sufficiently broad to protect our products or to provide us with any competitive advantage. Third parties could also obtain patents that may require us to negotiate to obtain licenses to conduct our business, and any required licenses may not be available on reasonable terms or at all. We also rely on confidentiality and non-compete agreements with certain employees, independent consultants, consultants, and other parties to protect, in part, trade secrets and other proprietary rights. There can be no assurance that these agreements will not be breached, that we will have adequate remedies for any breach, that others will not independently develop substantially equivalent proprietary information or that third parties will not otherwise gain access to our trade secrets or proprietary knowledge.</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Third parties might claim that we infringe on their intellectual property rights.</w:t>
      </w:r>
    </w:p>
    <w:p>
      <w:pPr>
        <w:spacing w:after="0" w:line="127" w:lineRule="exact"/>
        <w:rPr>
          <w:sz w:val="20"/>
          <w:szCs w:val="20"/>
          <w:color w:val="auto"/>
        </w:rPr>
      </w:pPr>
    </w:p>
    <w:p>
      <w:pPr>
        <w:ind w:firstLine="255"/>
        <w:spacing w:after="0" w:line="270" w:lineRule="auto"/>
        <w:rPr>
          <w:sz w:val="20"/>
          <w:szCs w:val="20"/>
          <w:color w:val="auto"/>
        </w:rPr>
      </w:pPr>
      <w:r>
        <w:rPr>
          <w:rFonts w:ascii="Times New Roman" w:cs="Times New Roman" w:eastAsia="Times New Roman" w:hAnsi="Times New Roman"/>
          <w:sz w:val="14"/>
          <w:szCs w:val="14"/>
          <w:color w:val="auto"/>
        </w:rPr>
        <w:t>Although the dietary supplement industry has historically been characterized by products with naturally occurring ingredients, recently it is becoming more common for suppliers and competitors to apply for patents or develop proprietary technologies and processes. Third parties may assert intellectual property infringement claims against us despite our efforts to avoid such infringement. Such claims could prevent us from offering competitive products or result in litigation or threatened litigation.</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Risks Related to Ownership of Our Common Stock</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Our stock price may experience future volatility.</w:t>
      </w:r>
    </w:p>
    <w:p>
      <w:pPr>
        <w:spacing w:after="0" w:line="127" w:lineRule="exact"/>
        <w:rPr>
          <w:sz w:val="20"/>
          <w:szCs w:val="20"/>
          <w:color w:val="auto"/>
        </w:rPr>
      </w:pPr>
    </w:p>
    <w:p>
      <w:pPr>
        <w:ind w:right="40" w:firstLine="255"/>
        <w:spacing w:after="0" w:line="261" w:lineRule="auto"/>
        <w:rPr>
          <w:sz w:val="20"/>
          <w:szCs w:val="20"/>
          <w:color w:val="auto"/>
        </w:rPr>
      </w:pPr>
      <w:r>
        <w:rPr>
          <w:rFonts w:ascii="Times New Roman" w:cs="Times New Roman" w:eastAsia="Times New Roman" w:hAnsi="Times New Roman"/>
          <w:sz w:val="14"/>
          <w:szCs w:val="14"/>
          <w:color w:val="auto"/>
        </w:rPr>
        <w:t>The trading price of our common stock has historically been subject to wide fluctuations. The price of our common stock may fluctuate in the future in response to quarter-to-quarter variations in operating results, material announcements by us or competitors, governmental regulatory action, conditions in the dietary supplement industry, or other events or factors, many of which are beyond our control, and some of which do not have a strong correlation to our operating performance. We cannot predict the effect, if any, of future sales of our common stock, or the availability of our common stock for future sales, on the value of our common stock. Sales of substantial amounts of our common stock by any one or more of our stockholders, or the perception that such sales could occur, may adversely affect the market price of our common stock.</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Substantial sales of shares of our common stock in the public market may impact the market price of our common stock.</w:t>
      </w:r>
    </w:p>
    <w:p>
      <w:pPr>
        <w:spacing w:after="0" w:line="117" w:lineRule="exact"/>
        <w:rPr>
          <w:sz w:val="20"/>
          <w:szCs w:val="20"/>
          <w:color w:val="auto"/>
        </w:rPr>
      </w:pPr>
    </w:p>
    <w:p>
      <w:pPr>
        <w:ind w:right="300" w:firstLine="255"/>
        <w:spacing w:after="0" w:line="270" w:lineRule="auto"/>
        <w:rPr>
          <w:sz w:val="20"/>
          <w:szCs w:val="20"/>
          <w:color w:val="auto"/>
        </w:rPr>
      </w:pPr>
      <w:r>
        <w:rPr>
          <w:rFonts w:ascii="Times New Roman" w:cs="Times New Roman" w:eastAsia="Times New Roman" w:hAnsi="Times New Roman"/>
          <w:sz w:val="14"/>
          <w:szCs w:val="14"/>
          <w:color w:val="auto"/>
        </w:rPr>
        <w:t>Sales of a substantial number of shares of our common stock in the public market could cause our stock price to decline. Sales of a substantial number of shares of our common stock in the public market could occur at any time. These sales, or the perception in the market that the holders of a large number of shares intend to sell shares, could reduce the market price of our common stock. These sales also might make it more difficult for us to sell equity or equity-related securities in the future at a time and price that we consider appropriate.</w:t>
      </w:r>
    </w:p>
    <w:p>
      <w:pPr>
        <w:spacing w:after="0" w:line="200" w:lineRule="exact"/>
        <w:rPr>
          <w:sz w:val="20"/>
          <w:szCs w:val="20"/>
          <w:color w:val="auto"/>
        </w:rPr>
      </w:pPr>
    </w:p>
    <w:p>
      <w:pPr>
        <w:spacing w:after="0" w:line="3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46" w:right="319" w:bottom="1440" w:gutter="0" w:footer="0" w:header="0"/>
        </w:sectPr>
      </w:pPr>
    </w:p>
    <w:bookmarkStart w:id="37" w:name="page38"/>
    <w:bookmarkEnd w:id="37"/>
    <w:p>
      <w:pPr>
        <w:ind w:firstLine="255"/>
        <w:spacing w:after="0" w:line="261" w:lineRule="auto"/>
        <w:rPr>
          <w:sz w:val="20"/>
          <w:szCs w:val="20"/>
          <w:color w:val="auto"/>
        </w:rPr>
      </w:pPr>
      <w:r>
        <w:rPr>
          <w:rFonts w:ascii="Times New Roman" w:cs="Times New Roman" w:eastAsia="Times New Roman" w:hAnsi="Times New Roman"/>
          <w:sz w:val="14"/>
          <w:szCs w:val="14"/>
          <w:color w:val="auto"/>
        </w:rPr>
        <w:t>We have registered and intend to continue to register all shares of common stock that we may issue under our equity compensation plans. Once we register these shares, they can be freely sold in the public market upon issuance, subject to volume limitations applicable to affiliates. We cannot predict what effect, if any, sales of our shares in the public market or the availability of shares for sale will have on the market price of our common stock. However, future sales of substantial amounts of our common stock in the public market, including shares issued upon exercise of our outstanding warrant or options, or the perception that such sales may occur, could adversely affect the market price of our common stock. Significant additional capital may be required in the future to continue our planned operations. To the extent that we raise additional capital through the sale and issuance of shares or other securities convertible into shares, our stockholders will be diluted.</w:t>
      </w:r>
    </w:p>
    <w:p>
      <w:pPr>
        <w:spacing w:after="0" w:line="78" w:lineRule="exact"/>
        <w:rPr>
          <w:sz w:val="20"/>
          <w:szCs w:val="20"/>
          <w:color w:val="auto"/>
        </w:rPr>
      </w:pPr>
    </w:p>
    <w:p>
      <w:pPr>
        <w:ind w:right="420"/>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We cannot guarantee that our share repurchase program will be utilized to the full value approved or that it will enhance long-term stockholder value. Repurchases we consummate could increase the volatility of the price of our common stock and could have a negative impact on our available cash balance.</w:t>
      </w:r>
    </w:p>
    <w:p>
      <w:pPr>
        <w:spacing w:after="0" w:line="69" w:lineRule="exact"/>
        <w:rPr>
          <w:sz w:val="20"/>
          <w:szCs w:val="20"/>
          <w:color w:val="auto"/>
        </w:rPr>
      </w:pPr>
    </w:p>
    <w:p>
      <w:pPr>
        <w:ind w:firstLine="255"/>
        <w:spacing w:after="0" w:line="257" w:lineRule="auto"/>
        <w:rPr>
          <w:sz w:val="20"/>
          <w:szCs w:val="20"/>
          <w:color w:val="auto"/>
        </w:rPr>
      </w:pPr>
      <w:r>
        <w:rPr>
          <w:rFonts w:ascii="Times New Roman" w:cs="Times New Roman" w:eastAsia="Times New Roman" w:hAnsi="Times New Roman"/>
          <w:sz w:val="14"/>
          <w:szCs w:val="14"/>
          <w:color w:val="auto"/>
        </w:rPr>
        <w:t>Our board of directors authorized a share repurchase program pursuant to which we may repurchase up to $60 million of our common stock on or before December 31, 2026. The manner, timing and amount of any share repurchases may fluctuate and will be determined by us based on a variety of factors, including the market price of our common stock, our priorities for the use of cash to support our business operations and plans, general business and market conditions, tax laws, and alternative investment opportunities. The share repurchase program authorization does not obligate us to acquire any specific number or dollar value of shares. Further, our share repurchases could have an impact on our share trading prices, increase the volatility of the price of our common stock, or reduce our available cash balance such that we will be required to seek financing to support our operations. Our share repurchase program may be modified, suspended, or terminated at any time, which may result in a decrease in the trading prices of our common stock. Even if our share repurchase program is fully implemented, it may not enhance long-term stockholder value. Additionally, repurchases are subject to the 1% Share Repurchase Excise Tax enacted by the Inflation Reduction Act, which may be offset by shares newly issued during that fiscal year (the “Share Repurchase Excise Tax”). We have and will continue to take the Share Repurchase Excise Tax into account with respect to our decisions to repurchase shares.</w:t>
      </w:r>
    </w:p>
    <w:p>
      <w:pPr>
        <w:spacing w:after="0" w:line="94" w:lineRule="exact"/>
        <w:rPr>
          <w:sz w:val="20"/>
          <w:szCs w:val="20"/>
          <w:color w:val="auto"/>
        </w:rPr>
      </w:pPr>
    </w:p>
    <w:p>
      <w:pPr>
        <w:ind w:right="480"/>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Additional shares that may be issued upon the exercise of currently outstanding options or upon future vesting of performance restricted stock units, would dilute the voting power of our currently outstanding common stock and could cause our stock price to decline.</w:t>
      </w:r>
    </w:p>
    <w:p>
      <w:pPr>
        <w:spacing w:after="0" w:line="59" w:lineRule="exact"/>
        <w:rPr>
          <w:sz w:val="20"/>
          <w:szCs w:val="20"/>
          <w:color w:val="auto"/>
        </w:rPr>
      </w:pPr>
    </w:p>
    <w:p>
      <w:pPr>
        <w:ind w:right="140" w:firstLine="255"/>
        <w:spacing w:after="0" w:line="270" w:lineRule="auto"/>
        <w:rPr>
          <w:sz w:val="20"/>
          <w:szCs w:val="20"/>
          <w:color w:val="auto"/>
        </w:rPr>
      </w:pPr>
      <w:r>
        <w:rPr>
          <w:rFonts w:ascii="Times New Roman" w:cs="Times New Roman" w:eastAsia="Times New Roman" w:hAnsi="Times New Roman"/>
          <w:sz w:val="14"/>
          <w:szCs w:val="14"/>
          <w:color w:val="auto"/>
        </w:rPr>
        <w:t>As of June 30, 2024, we had 12.5 million shares of common stock outstanding. As of June 30, 2024, we also had stock options outstanding for an aggregate of 0.1 million shares of common stock. Additionally, the future vesting of time-based and performance restricted stock units will further increase our outstanding shares of common stock. The issuance of these shares will dilute the voting power of our currently outstanding common stock and could cause our stock price to decline.</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If we are unable to maintain compliance with Nasdaq requirements for continued listing, our common stock could be delisted from trading.</w:t>
      </w:r>
    </w:p>
    <w:p>
      <w:pPr>
        <w:spacing w:after="0" w:line="127" w:lineRule="exact"/>
        <w:rPr>
          <w:sz w:val="20"/>
          <w:szCs w:val="20"/>
          <w:color w:val="auto"/>
        </w:rPr>
      </w:pPr>
    </w:p>
    <w:p>
      <w:pPr>
        <w:ind w:right="20" w:firstLine="255"/>
        <w:spacing w:after="0" w:line="264" w:lineRule="auto"/>
        <w:rPr>
          <w:sz w:val="20"/>
          <w:szCs w:val="20"/>
          <w:color w:val="auto"/>
        </w:rPr>
      </w:pPr>
      <w:r>
        <w:rPr>
          <w:rFonts w:ascii="Times New Roman" w:cs="Times New Roman" w:eastAsia="Times New Roman" w:hAnsi="Times New Roman"/>
          <w:sz w:val="14"/>
          <w:szCs w:val="14"/>
          <w:color w:val="auto"/>
        </w:rPr>
        <w:t>If our common stock was delisted from the Nasdaq Stock Market for failure to maintain compliance with its listing requirements, then there can be no assurance whether or when it would be listed again for trading on the Nasdaq or any other exchange. In addition, if our common stock were to be delisted, the market price of our shares will likely decline and become more volatile, and our stockholders may find that their ability to trade in our stock will be adversely affected. Furthermore, institutions whose charters do not allow them to hold securities in unlisted companies might sell our shares, which could have a further adverse effect on the price of our stock.</w:t>
      </w:r>
    </w:p>
    <w:p>
      <w:pPr>
        <w:spacing w:after="0" w:line="75" w:lineRule="exact"/>
        <w:rPr>
          <w:sz w:val="20"/>
          <w:szCs w:val="20"/>
          <w:color w:val="auto"/>
        </w:rPr>
      </w:pPr>
    </w:p>
    <w:p>
      <w:pPr>
        <w:ind w:right="260"/>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We are a “smaller reporting company” and may take advantage of certain scaled disclosures available to us. We cannot be certain if the reduced reporting requirements applicable to smaller reporting companies will make our common stock less attractive to investors.</w:t>
      </w:r>
    </w:p>
    <w:p>
      <w:pPr>
        <w:spacing w:after="0" w:line="69" w:lineRule="exact"/>
        <w:rPr>
          <w:sz w:val="20"/>
          <w:szCs w:val="20"/>
          <w:color w:val="auto"/>
        </w:rPr>
      </w:pPr>
    </w:p>
    <w:p>
      <w:pPr>
        <w:ind w:right="160" w:firstLine="255"/>
        <w:spacing w:after="0" w:line="264" w:lineRule="auto"/>
        <w:rPr>
          <w:sz w:val="20"/>
          <w:szCs w:val="20"/>
          <w:color w:val="auto"/>
        </w:rPr>
      </w:pPr>
      <w:r>
        <w:rPr>
          <w:rFonts w:ascii="Times New Roman" w:cs="Times New Roman" w:eastAsia="Times New Roman" w:hAnsi="Times New Roman"/>
          <w:sz w:val="14"/>
          <w:szCs w:val="14"/>
          <w:color w:val="auto"/>
        </w:rPr>
        <w:t>We are a “smaller reporting company” as defined in the Exchange Act. As a smaller reporting company, we are permitted to comply with scaled disclosure obligations in our SEC filings as compared to other issuers who are not smaller reporting companies, including with respect to disclosure obligations regarding executive compensation in our periodic reports and proxy statements. We have elected to adopt the accommodations available to smaller reporting companies. Until we cease to be a smaller reporting company, the scaled disclosure in our SEC filings will result in less information about our company being available than for public companies that are not smaller reporting companies.</w:t>
      </w:r>
    </w:p>
    <w:p>
      <w:pPr>
        <w:spacing w:after="0" w:line="87" w:lineRule="exact"/>
        <w:rPr>
          <w:sz w:val="20"/>
          <w:szCs w:val="20"/>
          <w:color w:val="auto"/>
        </w:rPr>
      </w:pPr>
    </w:p>
    <w:p>
      <w:pPr>
        <w:ind w:right="40" w:firstLine="255"/>
        <w:spacing w:after="0" w:line="270" w:lineRule="auto"/>
        <w:rPr>
          <w:sz w:val="20"/>
          <w:szCs w:val="20"/>
          <w:color w:val="auto"/>
        </w:rPr>
      </w:pPr>
      <w:r>
        <w:rPr>
          <w:rFonts w:ascii="Times New Roman" w:cs="Times New Roman" w:eastAsia="Times New Roman" w:hAnsi="Times New Roman"/>
          <w:sz w:val="14"/>
          <w:szCs w:val="14"/>
          <w:color w:val="auto"/>
        </w:rPr>
        <w:t>We will be able to take advantage of these scaled disclosures for so long as our voting and non-voting common stock held by non-affiliates is less than $250 million measured on the last business day of our second fiscal quarter, or (ii) our annual revenue is less than $100 million during the most recently completed fiscal year and the market value of our voting and non-voting common stock held by non-affiliates is less than $700 million as measured on the last business day of our second fiscal quarter.</w:t>
      </w: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46" w:right="319" w:bottom="1440" w:gutter="0" w:footer="0" w:header="0"/>
        </w:sectPr>
      </w:pPr>
    </w:p>
    <w:bookmarkStart w:id="38" w:name="page39"/>
    <w:bookmarkEnd w:id="38"/>
    <w:p>
      <w:pPr>
        <w:ind w:right="140" w:firstLine="255"/>
        <w:spacing w:after="0" w:line="287" w:lineRule="auto"/>
        <w:rPr>
          <w:sz w:val="20"/>
          <w:szCs w:val="20"/>
          <w:color w:val="auto"/>
        </w:rPr>
      </w:pPr>
      <w:r>
        <w:rPr>
          <w:rFonts w:ascii="Times New Roman" w:cs="Times New Roman" w:eastAsia="Times New Roman" w:hAnsi="Times New Roman"/>
          <w:sz w:val="14"/>
          <w:szCs w:val="14"/>
          <w:color w:val="auto"/>
        </w:rPr>
        <w:t>We cannot predict if investors will find our common stock less attractive because we will rely certain scaled disclosures that are available to smaller reporting companies. If some investors find our common stock less attractive as a result, there may be a less active trading market for our common stock and our stock price may be more volatile.</w:t>
      </w:r>
    </w:p>
    <w:p>
      <w:pPr>
        <w:spacing w:after="0" w:line="59" w:lineRule="exact"/>
        <w:rPr>
          <w:sz w:val="20"/>
          <w:szCs w:val="20"/>
          <w:color w:val="auto"/>
        </w:rPr>
      </w:pPr>
    </w:p>
    <w:p>
      <w:pPr>
        <w:ind w:right="160"/>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Our certificate of incorporation provides that the Court of Chancery of the State of Delaware is the exclusive forum for substantially all disputes between us and our stockholders, which could limit our stockholders’ ability to obtain a favorable judicial forum for disputes with us or our directors, officers, or employees.</w:t>
      </w:r>
    </w:p>
    <w:p>
      <w:pPr>
        <w:spacing w:after="0" w:line="69" w:lineRule="exact"/>
        <w:rPr>
          <w:sz w:val="20"/>
          <w:szCs w:val="20"/>
          <w:color w:val="auto"/>
        </w:rPr>
      </w:pPr>
    </w:p>
    <w:p>
      <w:pPr>
        <w:ind w:right="80" w:firstLine="255"/>
        <w:spacing w:after="0" w:line="259" w:lineRule="auto"/>
        <w:rPr>
          <w:sz w:val="20"/>
          <w:szCs w:val="20"/>
          <w:color w:val="auto"/>
        </w:rPr>
      </w:pPr>
      <w:r>
        <w:rPr>
          <w:rFonts w:ascii="Times New Roman" w:cs="Times New Roman" w:eastAsia="Times New Roman" w:hAnsi="Times New Roman"/>
          <w:sz w:val="14"/>
          <w:szCs w:val="14"/>
          <w:color w:val="auto"/>
        </w:rPr>
        <w:t>Our certificate of incorporation provides that the Court of Chancery of the State of Delaware is the exclusive forum for any derivative action or proceeding brought on our behalf, any action asserting a breach of fiduciary duty, any action asserting a claim against us arising pursuant to the Delaware General Corporation Law, our certificate of incorporation or our amended and restated bylaws, or any action asserting a claim against us that is governed by the internal affairs doctrine. This choice of forum provision may limit a stockholder’s ability to bring a claim in a judicial forum that it finds favorable for disputes with us or our directors, officers or other employees and may discourage these types of lawsuits. Alternatively, if a court were to find the choice of forum provision contained in our certificate of incorporation to be inapplicable or unenforceable in an action, we may incur additional costs associated with resolving such action in other jurisdictions, which could harm our business, financial condition and results of operations.</w:t>
      </w:r>
    </w:p>
    <w:p>
      <w:pPr>
        <w:spacing w:after="0" w:line="91" w:lineRule="exact"/>
        <w:rPr>
          <w:sz w:val="20"/>
          <w:szCs w:val="20"/>
          <w:color w:val="auto"/>
        </w:rPr>
      </w:pPr>
    </w:p>
    <w:p>
      <w:pPr>
        <w:ind w:right="280"/>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Delaware law and provisions in our certificate of incorporation and amended and restated bylaws could make a merger, tender offer or proxy contest difficult, thereby depressing the trading price of our common stock.</w:t>
      </w:r>
    </w:p>
    <w:p>
      <w:pPr>
        <w:spacing w:after="0" w:line="59"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Our status as a Delaware corporation and the anti-takeover provisions of the Delaware General Corporation Law may discourage, delay, or prevent a change in control by prohibiting us from engaging in a business combination with an interested stockholder for a period of three years after the person becomes an interested stockholder, even if a change of control would be beneficial to our existing stockholders. In addition, our certificate of incorporation and amended and restated bylaws contain provisions that may make the acquisition of our company more difficult, including the following:</w:t>
      </w:r>
    </w:p>
    <w:p>
      <w:pPr>
        <w:spacing w:after="0" w:line="87" w:lineRule="exact"/>
        <w:rPr>
          <w:sz w:val="20"/>
          <w:szCs w:val="20"/>
          <w:color w:val="auto"/>
        </w:rPr>
      </w:pPr>
    </w:p>
    <w:p>
      <w:pPr>
        <w:ind w:left="520" w:right="220" w:hanging="260"/>
        <w:spacing w:after="0" w:line="287" w:lineRule="auto"/>
        <w:tabs>
          <w:tab w:leader="none" w:pos="516"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ability of our board to issue shares of preferred stock and to determine the price and other terms of those shares, including preferences and voting rights, without stockholder approval, which could be used to significantly dilute the ownership of a hostile acquiror;</w:t>
      </w:r>
    </w:p>
    <w:p>
      <w:pPr>
        <w:spacing w:after="0" w:line="71" w:lineRule="exact"/>
        <w:rPr>
          <w:rFonts w:ascii="Times New Roman" w:cs="Times New Roman" w:eastAsia="Times New Roman" w:hAnsi="Times New Roman"/>
          <w:sz w:val="14"/>
          <w:szCs w:val="14"/>
          <w:color w:val="auto"/>
        </w:rPr>
      </w:pPr>
    </w:p>
    <w:p>
      <w:pPr>
        <w:ind w:left="520" w:right="60" w:hanging="260"/>
        <w:spacing w:after="0" w:line="287" w:lineRule="auto"/>
        <w:tabs>
          <w:tab w:leader="none" w:pos="516"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exclusive right of our board to elect a director to fill a vacancy created by the expansion of our board or the resignation, death, or removal of a director, which prevents stockholders from being able to fill vacancies on our board;</w:t>
      </w:r>
    </w:p>
    <w:p>
      <w:pPr>
        <w:spacing w:after="0" w:line="60"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prohibition on stockholder action by written consent, which forces stockholder action to be taken at an annual or special meeting of our stockholders;</w:t>
      </w:r>
    </w:p>
    <w:p>
      <w:pPr>
        <w:spacing w:after="0" w:line="125" w:lineRule="exact"/>
        <w:rPr>
          <w:rFonts w:ascii="Times New Roman" w:cs="Times New Roman" w:eastAsia="Times New Roman" w:hAnsi="Times New Roman"/>
          <w:sz w:val="14"/>
          <w:szCs w:val="14"/>
          <w:color w:val="auto"/>
        </w:rPr>
      </w:pPr>
    </w:p>
    <w:p>
      <w:pPr>
        <w:ind w:left="520" w:right="60" w:hanging="260"/>
        <w:spacing w:after="0" w:line="270" w:lineRule="auto"/>
        <w:tabs>
          <w:tab w:leader="none" w:pos="516"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requirement that a special meeting of stockholders may be called only by a majority vote of our entire board, the chairman of our board or our chief executive officer, or by stockholders holding at least 10% of the outstanding shares entitled to vote at such special meeting, which could delay the ability of our stockholders to force consideration of a proposal or to take action, including the removal of directors; and</w:t>
      </w:r>
    </w:p>
    <w:p>
      <w:pPr>
        <w:spacing w:after="0" w:line="82" w:lineRule="exact"/>
        <w:rPr>
          <w:rFonts w:ascii="Times New Roman" w:cs="Times New Roman" w:eastAsia="Times New Roman" w:hAnsi="Times New Roman"/>
          <w:sz w:val="14"/>
          <w:szCs w:val="14"/>
          <w:color w:val="auto"/>
        </w:rPr>
      </w:pPr>
    </w:p>
    <w:p>
      <w:pPr>
        <w:ind w:left="520" w:right="600" w:hanging="260"/>
        <w:spacing w:after="0" w:line="287" w:lineRule="auto"/>
        <w:tabs>
          <w:tab w:leader="none" w:pos="516"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advance notice procedures with which stockholders must comply to nominate candidates to our board or to propose matters to be acted upon at a stockholders’ meeting, which may discourage or deter a potential acquiror from conducting a solicitation of proxies to elect the acquirer’s own slate of directors or otherwise attempting to obtain control of us.</w:t>
      </w:r>
    </w:p>
    <w:p>
      <w:pPr>
        <w:spacing w:after="0" w:line="61" w:lineRule="exact"/>
        <w:rPr>
          <w:sz w:val="20"/>
          <w:szCs w:val="20"/>
          <w:color w:val="auto"/>
        </w:rPr>
      </w:pPr>
    </w:p>
    <w:p>
      <w:pPr>
        <w:ind w:firstLine="255"/>
        <w:spacing w:after="0" w:line="270" w:lineRule="auto"/>
        <w:rPr>
          <w:sz w:val="20"/>
          <w:szCs w:val="20"/>
          <w:color w:val="auto"/>
        </w:rPr>
      </w:pPr>
      <w:r>
        <w:rPr>
          <w:rFonts w:ascii="Times New Roman" w:cs="Times New Roman" w:eastAsia="Times New Roman" w:hAnsi="Times New Roman"/>
          <w:sz w:val="14"/>
          <w:szCs w:val="14"/>
          <w:color w:val="auto"/>
        </w:rPr>
        <w:t>In addition, as a Delaware corporation, we are subject to Section 203 of the Delaware General Corporation Law. These provisions may prohibit large stockholders, in particular those owning 15% or more of our outstanding voting stock, from merging or combining with us for a certain period of time. A Delaware corporation may opt out of this provision by express provision in its original certificate of incorporation or by amendment to its certificate of incorporation or bylaws approved by its stockholders. However, we have not opted out of this provision.</w:t>
      </w:r>
    </w:p>
    <w:p>
      <w:pPr>
        <w:spacing w:after="0" w:line="83"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These and other provisions in our certificate of incorporation, amended and restated bylaws and Delaware law could make it more difficult for stockholders or potential acquirers to obtain control of our board or initiate actions that are opposed by our then-current board, including delay or impede a merger, tender offer or proxy contest involving our company. The existence of these provisions could negatively affect the price of our common stock and limit opportunities for you to realize value in a corporate transaction.</w:t>
      </w:r>
    </w:p>
    <w:p>
      <w:pPr>
        <w:spacing w:after="0" w:line="83" w:lineRule="exact"/>
        <w:rPr>
          <w:sz w:val="20"/>
          <w:szCs w:val="20"/>
          <w:color w:val="auto"/>
        </w:rPr>
      </w:pPr>
    </w:p>
    <w:p>
      <w:pPr>
        <w:jc w:val="both"/>
        <w:ind w:right="20" w:firstLine="255"/>
        <w:spacing w:after="0" w:line="287" w:lineRule="auto"/>
        <w:rPr>
          <w:sz w:val="20"/>
          <w:szCs w:val="20"/>
          <w:color w:val="auto"/>
        </w:rPr>
      </w:pPr>
      <w:r>
        <w:rPr>
          <w:rFonts w:ascii="Times New Roman" w:cs="Times New Roman" w:eastAsia="Times New Roman" w:hAnsi="Times New Roman"/>
          <w:sz w:val="14"/>
          <w:szCs w:val="14"/>
          <w:color w:val="auto"/>
        </w:rPr>
        <w:t>In August 2023, we entered into a Rights Agreement, pursuant to which we declared a dividend of one preferred share purchase right (a "Right") for each outstanding share of our common stock. The dividend was payable on September 11, 2023 to the stockholders of record at the close of business on September 11, 2023. Each Right initially entitled the registered holder</w:t>
      </w: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46" w:right="319" w:bottom="1440" w:gutter="0" w:footer="0" w:header="0"/>
        </w:sectPr>
      </w:pPr>
    </w:p>
    <w:bookmarkStart w:id="39" w:name="page40"/>
    <w:bookmarkEnd w:id="39"/>
    <w:p>
      <w:pPr>
        <w:ind w:right="100"/>
        <w:spacing w:after="0" w:line="264" w:lineRule="auto"/>
        <w:rPr>
          <w:sz w:val="20"/>
          <w:szCs w:val="20"/>
          <w:color w:val="auto"/>
        </w:rPr>
      </w:pPr>
      <w:r>
        <w:rPr>
          <w:rFonts w:ascii="Times New Roman" w:cs="Times New Roman" w:eastAsia="Times New Roman" w:hAnsi="Times New Roman"/>
          <w:sz w:val="14"/>
          <w:szCs w:val="14"/>
          <w:color w:val="auto"/>
        </w:rPr>
        <w:t>to purchase from the Company one one-thousandth of a share of Series A Junior Participating Preferred Stock, par value $0.0001 per share, of the Company (the "Preferred Stock") at a price of $20 per one one-thousandth of a share of Preferred Stock, subject to adjustment. Also called a "poison pill," the Rights Agreement may have the effect of discouraging or preventing a change of control by, among other things, making it uneconomical for a third party to gain control of us through open market accumulation of shares without paying all stockholders an appropriate control premium or without the consent of our board. The Rights will expire on August 28, 2024 (the "Final Expiration Date").</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General Risk Factors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may become involved in legal proceedings that are expensive, time consuming and, if adversely adjudicated or settled, could adversely affect our financial results.</w:t>
      </w:r>
    </w:p>
    <w:p>
      <w:pPr>
        <w:spacing w:after="0" w:line="127" w:lineRule="exact"/>
        <w:rPr>
          <w:sz w:val="20"/>
          <w:szCs w:val="20"/>
          <w:color w:val="auto"/>
        </w:rPr>
      </w:pPr>
    </w:p>
    <w:p>
      <w:pPr>
        <w:ind w:right="100" w:firstLine="255"/>
        <w:spacing w:after="0" w:line="287" w:lineRule="auto"/>
        <w:rPr>
          <w:sz w:val="20"/>
          <w:szCs w:val="20"/>
          <w:color w:val="auto"/>
        </w:rPr>
      </w:pPr>
      <w:r>
        <w:rPr>
          <w:rFonts w:ascii="Times New Roman" w:cs="Times New Roman" w:eastAsia="Times New Roman" w:hAnsi="Times New Roman"/>
          <w:sz w:val="14"/>
          <w:szCs w:val="14"/>
          <w:color w:val="auto"/>
        </w:rPr>
        <w:t>Litigation claims can be expensive and time consuming to bring or defend against and could result in settlements or damages that could significantly affect our financial results. It is not possible to predict the final resolution of litigation to which we may become a party, and the impact of litigation proceedings on our business, results of operations and financial condition could be material.</w:t>
      </w:r>
    </w:p>
    <w:p>
      <w:pPr>
        <w:spacing w:after="0" w:line="61" w:lineRule="exact"/>
        <w:rPr>
          <w:sz w:val="20"/>
          <w:szCs w:val="20"/>
          <w:color w:val="auto"/>
        </w:rPr>
      </w:pPr>
    </w:p>
    <w:p>
      <w:pPr>
        <w:ind w:right="80" w:firstLine="255"/>
        <w:spacing w:after="0" w:line="287" w:lineRule="auto"/>
        <w:rPr>
          <w:sz w:val="20"/>
          <w:szCs w:val="20"/>
          <w:color w:val="auto"/>
        </w:rPr>
      </w:pPr>
      <w:r>
        <w:rPr>
          <w:rFonts w:ascii="Times New Roman" w:cs="Times New Roman" w:eastAsia="Times New Roman" w:hAnsi="Times New Roman"/>
          <w:sz w:val="14"/>
          <w:szCs w:val="14"/>
          <w:color w:val="auto"/>
        </w:rPr>
        <w:t>From time to time, we are involved in various legal matters, both as a plaintiff and defendant. While we believe the suits against us are without merit, they are costly to defend, and we cannot be assured that we will ultimately prevail. If we do not prevail and are required to pay damages, it could harm our business.</w:t>
      </w:r>
    </w:p>
    <w:p>
      <w:pPr>
        <w:spacing w:after="0" w:line="69" w:lineRule="exact"/>
        <w:rPr>
          <w:sz w:val="20"/>
          <w:szCs w:val="20"/>
          <w:color w:val="auto"/>
        </w:rPr>
      </w:pPr>
    </w:p>
    <w:p>
      <w:pPr>
        <w:ind w:right="100"/>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If we fail to maintain proper and effective internal controls, our ability to produce accurate and timely financial statements could be impaired, which could result in sanctions or other penalties that would harm our business.</w:t>
      </w:r>
    </w:p>
    <w:p>
      <w:pPr>
        <w:spacing w:after="0" w:line="69" w:lineRule="exact"/>
        <w:rPr>
          <w:sz w:val="20"/>
          <w:szCs w:val="20"/>
          <w:color w:val="auto"/>
        </w:rPr>
      </w:pPr>
    </w:p>
    <w:p>
      <w:pPr>
        <w:ind w:firstLine="255"/>
        <w:spacing w:after="0" w:line="270" w:lineRule="auto"/>
        <w:rPr>
          <w:sz w:val="20"/>
          <w:szCs w:val="20"/>
          <w:color w:val="auto"/>
        </w:rPr>
      </w:pPr>
      <w:r>
        <w:rPr>
          <w:rFonts w:ascii="Times New Roman" w:cs="Times New Roman" w:eastAsia="Times New Roman" w:hAnsi="Times New Roman"/>
          <w:sz w:val="14"/>
          <w:szCs w:val="14"/>
          <w:color w:val="auto"/>
        </w:rPr>
        <w:t>As a public company, we are required to maintain internal controls over financial reporting and to report any material weaknesses in such internal controls. Section 404 of the Sarbanes-Oxley Act of 2002 (the “Sarbanes-Oxley Act”) requires, among other things, that we evaluate and determine the effectiveness of our internal controls over financial reporting and provide a management report on the internal controls over financial reporting.</w:t>
      </w:r>
    </w:p>
    <w:p>
      <w:pPr>
        <w:spacing w:after="0" w:line="72" w:lineRule="exact"/>
        <w:rPr>
          <w:sz w:val="20"/>
          <w:szCs w:val="20"/>
          <w:color w:val="auto"/>
        </w:rPr>
      </w:pPr>
    </w:p>
    <w:p>
      <w:pPr>
        <w:ind w:right="20" w:firstLine="255"/>
        <w:spacing w:after="0" w:line="256" w:lineRule="auto"/>
        <w:rPr>
          <w:sz w:val="20"/>
          <w:szCs w:val="20"/>
          <w:color w:val="auto"/>
        </w:rPr>
      </w:pPr>
      <w:r>
        <w:rPr>
          <w:rFonts w:ascii="Times New Roman" w:cs="Times New Roman" w:eastAsia="Times New Roman" w:hAnsi="Times New Roman"/>
          <w:sz w:val="14"/>
          <w:szCs w:val="14"/>
          <w:color w:val="auto"/>
        </w:rPr>
        <w:t>We have implemented internal controls to help ensure the completeness and accuracy of our financial reporting and to detect and prevent fraudulent actions within our financial and accounting processes including the development and implementation of control policies and procedures regarding the international business policies, practices, monitoring, and training for each country outside the U.S. in which we do business. However, we cannot be assured that significant deficiencies or material weaknesses in our internal control over financial reporting will not exist in the future. Any failure to maintain or implement required new or improved controls, or any difficulties we encounter in their implementation, could result in significant deficiencies or material weaknesses, cause us to fail to timely meet our periodic reporting obligations, or result in material misstatements in our financial statements. Any such failure could also adversely affect the results of periodic management evaluations and annual auditor attestation reports regarding disclosure controls and the effectiveness of our internal control over financial reporting required under the Sarbanes-Oxley Act and the rules promulgated thereunder. The existence of a material weakness could result in errors in our financial statements that could result in a restatement of financial statements, cause us to fail to timely meet our reporting obligations, or cause investors to lose confidence in our reported financial information, which could cause a decline in the market price of our stock and we could be subject to sanctions or investigations by the SEC or other regulatory authorities including equivalent foreign authorities. In fiscal year 2024, we did not experience any material weaknesses in our internal control and/or financial reporting processes.</w:t>
      </w:r>
    </w:p>
    <w:p>
      <w:pPr>
        <w:spacing w:after="0" w:line="95"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14"/>
          <w:szCs w:val="14"/>
          <w:b w:val="1"/>
          <w:bCs w:val="1"/>
          <w:i w:val="1"/>
          <w:iCs w:val="1"/>
          <w:color w:val="auto"/>
        </w:rPr>
        <w:t>Government authorities may question our tax positions or transfer pricing policies or change their laws in a manner that could increase our effective tax rate or otherwise harm our business.</w:t>
      </w:r>
    </w:p>
    <w:p>
      <w:pPr>
        <w:spacing w:after="0" w:line="127" w:lineRule="exact"/>
        <w:rPr>
          <w:sz w:val="20"/>
          <w:szCs w:val="20"/>
          <w:color w:val="auto"/>
        </w:rPr>
      </w:pPr>
    </w:p>
    <w:p>
      <w:pPr>
        <w:ind w:firstLine="255"/>
        <w:spacing w:after="0" w:line="257" w:lineRule="auto"/>
        <w:rPr>
          <w:sz w:val="20"/>
          <w:szCs w:val="20"/>
          <w:color w:val="auto"/>
        </w:rPr>
      </w:pPr>
      <w:r>
        <w:rPr>
          <w:rFonts w:ascii="Times New Roman" w:cs="Times New Roman" w:eastAsia="Times New Roman" w:hAnsi="Times New Roman"/>
          <w:sz w:val="14"/>
          <w:szCs w:val="14"/>
          <w:color w:val="auto"/>
        </w:rPr>
        <w:t>As a U.S. company doing business in international markets through subsidiaries, we are subject to various tax and intercompany pricing laws, including those relating to the flow of funds between our company and our subsidiaries. Tax authorities may disagree with certain positions that we have taken and assess additional taxes. From time to time, we are audited by tax regulators in the United States and in our foreign markets. If regulators challenge our tax positions, corporate structure, transfer pricing mechanisms or intercompany transfers, we may be subject to fines and payment of back taxes, our effective tax rate may increase, and our operations may be harmed. We regularly assess the likely outcomes of these audits in order to determine the appropriateness of our tax positions. However, there can be no assurance that we will accurately predict the outcomes of these audits, and the actual outcomes of these audits could have a material impact on our business, result of operations, financial condition, and cash flows. Tax rates vary from country to country, and, if tax authorities determine that our profits in one jurisdiction may need to be increased, we may not be able to fully utilize all foreign tax credits that are generated, which will increase our effective tax rate. The various customs, exchange control and transfer pricing laws are continually changing and are subject to the interpretation of government agencies. We may experience increased efforts by customs authorities in foreign countries to reclassify our products or otherwise increase the level of duties we pay on our products. Despite our efforts to be aware of and comply with such laws, and changes to and interpretations thereof, there is a risk that we</w:t>
      </w: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46" w:right="319" w:bottom="1440" w:gutter="0" w:footer="0" w:header="0"/>
        </w:sectPr>
      </w:pPr>
    </w:p>
    <w:bookmarkStart w:id="40" w:name="page41"/>
    <w:bookmarkEnd w:id="40"/>
    <w:p>
      <w:pPr>
        <w:ind w:right="180"/>
        <w:spacing w:after="0" w:line="287" w:lineRule="auto"/>
        <w:rPr>
          <w:sz w:val="20"/>
          <w:szCs w:val="20"/>
          <w:color w:val="auto"/>
        </w:rPr>
      </w:pPr>
      <w:r>
        <w:rPr>
          <w:rFonts w:ascii="Times New Roman" w:cs="Times New Roman" w:eastAsia="Times New Roman" w:hAnsi="Times New Roman"/>
          <w:sz w:val="14"/>
          <w:szCs w:val="14"/>
          <w:color w:val="auto"/>
        </w:rPr>
        <w:t>may not continue to operate in compliance with such laws. We may need to adjust our operating procedures in response to such changes and, as a result, our business may suffer. In addition, due to the international nature of our business, from time to time, we are subject to reviews and audits by taxing authorities of other jurisdictions in which we conduct business throughout the world.</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Economic, political, and other risks associated with our international operations could adversely affect our revenue and international growth prospects.</w:t>
      </w:r>
    </w:p>
    <w:p>
      <w:pPr>
        <w:spacing w:after="0" w:line="127" w:lineRule="exact"/>
        <w:rPr>
          <w:sz w:val="20"/>
          <w:szCs w:val="20"/>
          <w:color w:val="auto"/>
        </w:rPr>
      </w:pPr>
    </w:p>
    <w:p>
      <w:pPr>
        <w:ind w:right="20" w:firstLine="255"/>
        <w:spacing w:after="0" w:line="287" w:lineRule="auto"/>
        <w:rPr>
          <w:sz w:val="20"/>
          <w:szCs w:val="20"/>
          <w:color w:val="auto"/>
        </w:rPr>
      </w:pPr>
      <w:r>
        <w:rPr>
          <w:rFonts w:ascii="Times New Roman" w:cs="Times New Roman" w:eastAsia="Times New Roman" w:hAnsi="Times New Roman"/>
          <w:sz w:val="14"/>
          <w:szCs w:val="14"/>
          <w:color w:val="auto"/>
        </w:rPr>
        <w:t>As part of our business strategy, we intend to continue to expand and grow our international presence. Our international operations are subject to a number of risks inherent to operating in foreign countries, and any expansion or growth of our international operations will increase the effects of these risks. These risks include, among others:</w:t>
      </w:r>
    </w:p>
    <w:p>
      <w:pPr>
        <w:spacing w:after="0" w:line="71" w:lineRule="exact"/>
        <w:rPr>
          <w:sz w:val="20"/>
          <w:szCs w:val="20"/>
          <w:color w:val="auto"/>
        </w:rPr>
      </w:pPr>
    </w:p>
    <w:p>
      <w:pPr>
        <w:ind w:left="520" w:hanging="260"/>
        <w:spacing w:after="0"/>
        <w:tabs>
          <w:tab w:leader="none" w:pos="52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political and economic instability of foreign markets;</w:t>
      </w:r>
    </w:p>
    <w:p>
      <w:pPr>
        <w:spacing w:after="0" w:line="114"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foreign governments’ restrictive trade policies;</w:t>
      </w:r>
    </w:p>
    <w:p>
      <w:pPr>
        <w:spacing w:after="0" w:line="125"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lack of well-established or reliable legal systems in certain areas in which we operate;</w:t>
      </w:r>
    </w:p>
    <w:p>
      <w:pPr>
        <w:spacing w:after="0" w:line="125"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inconsistent product regulation or sudden policy changes by foreign agencies or governments;</w:t>
      </w:r>
    </w:p>
    <w:p>
      <w:pPr>
        <w:spacing w:after="0" w:line="114"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imposition of, or increase in, duties, taxes, government royalties, or non-tariff trade barriers;</w:t>
      </w:r>
    </w:p>
    <w:p>
      <w:pPr>
        <w:spacing w:after="0" w:line="125"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difficulty in collecting international accounts receivable and potentially longer payment cycles;</w:t>
      </w:r>
    </w:p>
    <w:p>
      <w:pPr>
        <w:spacing w:after="0" w:line="125"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possibility that a foreign government may limit our ability to repatriate cash;</w:t>
      </w:r>
    </w:p>
    <w:p>
      <w:pPr>
        <w:spacing w:after="0" w:line="114"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increased costs in maintaining international marketing efforts;</w:t>
      </w:r>
    </w:p>
    <w:p>
      <w:pPr>
        <w:spacing w:after="0" w:line="125"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problems entering international markets with different cultural bases and consumer preferences; and</w:t>
      </w:r>
    </w:p>
    <w:p>
      <w:pPr>
        <w:spacing w:after="0" w:line="125"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fluctuations in foreign currency exchange rates.</w:t>
      </w:r>
    </w:p>
    <w:p>
      <w:pPr>
        <w:spacing w:after="0" w:line="11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Any of these risks could have a material adverse effect on our international operations and our growth strategy.</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Unfavorable global economic conditions, including high inflation, and other macroeconomic conditions or trends may have an adverse impact on our business, financial results, and prospects.</w:t>
      </w:r>
    </w:p>
    <w:p>
      <w:pPr>
        <w:spacing w:after="0" w:line="127" w:lineRule="exact"/>
        <w:rPr>
          <w:sz w:val="20"/>
          <w:szCs w:val="20"/>
          <w:color w:val="auto"/>
        </w:rPr>
      </w:pPr>
    </w:p>
    <w:p>
      <w:pPr>
        <w:ind w:right="40" w:firstLine="255"/>
        <w:spacing w:after="0" w:line="259" w:lineRule="auto"/>
        <w:rPr>
          <w:sz w:val="20"/>
          <w:szCs w:val="20"/>
          <w:color w:val="auto"/>
        </w:rPr>
      </w:pPr>
      <w:r>
        <w:rPr>
          <w:rFonts w:ascii="Times New Roman" w:cs="Times New Roman" w:eastAsia="Times New Roman" w:hAnsi="Times New Roman"/>
          <w:sz w:val="14"/>
          <w:szCs w:val="14"/>
          <w:color w:val="auto"/>
        </w:rPr>
        <w:t>Ongoing geopolitical matters have contributed to difficult macroeconomic conditions and exacerbated supply chain issues, resulting in significant economic uncertainty as well as volatility in the financial markets, particularly in the United States. Such conditions may adversely impact our business, financial results, and prospects. We rely on consumer discretionary spending. If general economic conditions continue to deteriorate globally or in specific markets where we operate, including with respect to inflation, consumer discretionary spending may decline and demand for our products may be reduced. A decrease in consumer discretionary spending would cause sales in our products to decline and adversely impact our business. If our costs were to become subject to significant inflationary pressures, we may not be able to fully offset such higher costs through increases in revenue as increases in core inflation rates may also affect consumers’ willingness to make discretionary purchases on our products. Our inability or failure to do so could harm our business, financial condition, and results of operations.</w:t>
      </w:r>
    </w:p>
    <w:p>
      <w:pPr>
        <w:spacing w:after="0" w:line="82" w:lineRule="exact"/>
        <w:rPr>
          <w:sz w:val="20"/>
          <w:szCs w:val="20"/>
          <w:color w:val="auto"/>
        </w:rPr>
      </w:pPr>
    </w:p>
    <w:p>
      <w:pPr>
        <w:ind w:right="340" w:firstLine="255"/>
        <w:spacing w:after="0" w:line="287" w:lineRule="auto"/>
        <w:rPr>
          <w:sz w:val="20"/>
          <w:szCs w:val="20"/>
          <w:color w:val="auto"/>
        </w:rPr>
      </w:pPr>
      <w:r>
        <w:rPr>
          <w:rFonts w:ascii="Times New Roman" w:cs="Times New Roman" w:eastAsia="Times New Roman" w:hAnsi="Times New Roman"/>
          <w:sz w:val="14"/>
          <w:szCs w:val="14"/>
          <w:color w:val="auto"/>
        </w:rPr>
        <w:t>In addition, such macroeconomic conditions could impact our ability to access the public markets as and when appropriate or necessary to carry out our operations or our strategic goals. We cannot predict the ongoing extent, duration, or severity of these conditions, nor the extent to which we may be impacted.</w:t>
      </w:r>
    </w:p>
    <w:p>
      <w:pPr>
        <w:spacing w:after="0" w:line="71" w:lineRule="exact"/>
        <w:rPr>
          <w:sz w:val="20"/>
          <w:szCs w:val="20"/>
          <w:color w:val="auto"/>
        </w:rPr>
      </w:pPr>
    </w:p>
    <w:p>
      <w:pPr>
        <w:ind w:firstLine="255"/>
        <w:spacing w:after="0" w:line="270" w:lineRule="auto"/>
        <w:rPr>
          <w:sz w:val="20"/>
          <w:szCs w:val="20"/>
          <w:color w:val="auto"/>
        </w:rPr>
      </w:pPr>
      <w:r>
        <w:rPr>
          <w:rFonts w:ascii="Times New Roman" w:cs="Times New Roman" w:eastAsia="Times New Roman" w:hAnsi="Times New Roman"/>
          <w:sz w:val="14"/>
          <w:szCs w:val="14"/>
          <w:color w:val="auto"/>
        </w:rPr>
        <w:t>To the extent that there are health epidemics or outbreaks, or a resurgence in the COVID-19 pandemic, our operations could be disrupted and our business adversely impacted. Such disruptions or impacts may be similar to those we faced during the recent COVID-19 pandemic, such as mandated business closures in impacted areas, limitations due to stay at home orders or sickness of employees or their families, reduced demand for certain of our products, or supply constraints.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could be subject to securities class action litigation.</w:t>
      </w:r>
    </w:p>
    <w:p>
      <w:pPr>
        <w:spacing w:after="0" w:line="127" w:lineRule="exact"/>
        <w:rPr>
          <w:sz w:val="20"/>
          <w:szCs w:val="20"/>
          <w:color w:val="auto"/>
        </w:rPr>
      </w:pPr>
    </w:p>
    <w:p>
      <w:pPr>
        <w:ind w:right="420" w:firstLine="255"/>
        <w:spacing w:after="0" w:line="270" w:lineRule="auto"/>
        <w:rPr>
          <w:sz w:val="20"/>
          <w:szCs w:val="20"/>
          <w:color w:val="auto"/>
        </w:rPr>
      </w:pPr>
      <w:r>
        <w:rPr>
          <w:rFonts w:ascii="Times New Roman" w:cs="Times New Roman" w:eastAsia="Times New Roman" w:hAnsi="Times New Roman"/>
          <w:sz w:val="14"/>
          <w:szCs w:val="14"/>
          <w:color w:val="auto"/>
        </w:rPr>
        <w:t>In the past, securities class action litigation has often been brought against a company following a decline in the market price of its securities. This risk is especially relevant for us because dietary supplement companies have experienced significant stock price volatility in recent years. If we face such litigation, it could result in substantial costs and a diversion of management’s attention and resources, which could harm our business.</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If securities or industry analysts cease publishing research or publish inaccurate or unfavorable research about our business, our stock price and trading volume could decline.</w:t>
      </w: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46" w:right="319" w:bottom="1440" w:gutter="0" w:footer="0" w:header="0"/>
        </w:sectPr>
      </w:pPr>
    </w:p>
    <w:bookmarkStart w:id="41" w:name="page42"/>
    <w:bookmarkEnd w:id="41"/>
    <w:p>
      <w:pPr>
        <w:ind w:right="40" w:firstLine="255"/>
        <w:spacing w:after="0" w:line="264" w:lineRule="auto"/>
        <w:rPr>
          <w:sz w:val="20"/>
          <w:szCs w:val="20"/>
          <w:color w:val="auto"/>
        </w:rPr>
      </w:pPr>
      <w:r>
        <w:rPr>
          <w:rFonts w:ascii="Times New Roman" w:cs="Times New Roman" w:eastAsia="Times New Roman" w:hAnsi="Times New Roman"/>
          <w:sz w:val="14"/>
          <w:szCs w:val="14"/>
          <w:color w:val="auto"/>
        </w:rPr>
        <w:t>The trading market for our common stock will depend in part on the research and reports published by securities or industry analysts about us or our business. Securities and industry analysts currently publish research on our company. If analysts cease coverage of us, the trading price for our common stock could be negatively affected. If one or more of the analysts who cover us downgrade our common stock or publish inaccurate or unfavorable research about our business, our common stock price would likely decline. If one or more of these analysts cease coverage of us or fail to publish reports on us regularly, demand for our common stock could decrease, which might cause our common stock price and trading volume to decline.</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1B — UNRESOLVED STAFF COMMENTS</w:t>
      </w:r>
    </w:p>
    <w:p>
      <w:pPr>
        <w:spacing w:after="0" w:line="12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None.</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1C — CYBERSECURITY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Risk Management and Strategy</w:t>
      </w:r>
    </w:p>
    <w:p>
      <w:pPr>
        <w:spacing w:after="0" w:line="125" w:lineRule="exact"/>
        <w:rPr>
          <w:sz w:val="20"/>
          <w:szCs w:val="20"/>
          <w:color w:val="auto"/>
        </w:rPr>
      </w:pPr>
    </w:p>
    <w:p>
      <w:pPr>
        <w:ind w:right="100" w:firstLine="255"/>
        <w:spacing w:after="0" w:line="258" w:lineRule="auto"/>
        <w:rPr>
          <w:sz w:val="20"/>
          <w:szCs w:val="20"/>
          <w:color w:val="auto"/>
        </w:rPr>
      </w:pPr>
      <w:r>
        <w:rPr>
          <w:rFonts w:ascii="Times New Roman" w:cs="Times New Roman" w:eastAsia="Times New Roman" w:hAnsi="Times New Roman"/>
          <w:sz w:val="14"/>
          <w:szCs w:val="14"/>
          <w:color w:val="auto"/>
        </w:rPr>
        <w:t>We have implemented and maintain a cybersecurity risk management program through our security steering committee, which is designed to assess risks from cybersecurity threats, monitor our information systems for potential vulnerabilities, and test those systems pursuant to our cybersecurity policies, processes, and practices, which are integrated into our overall risk management program. The members of our security steering committee represent the following functional areas: cybersecurity and infrastructure; corporate risk and privacy; personnel; and finance and fraud management. The security steering committee collaborates with and manages third parties, as appropriate, to assess the effectiveness of our cybersecurity prevention and response systems and processes. These third parties may include cybersecurity assessors, consultants, and other external cybersecurity experts to assist in the identification, verification, and validation of cybersecurity risks, as well as to support associated mitigation plans when necessary. To protect our information systems from cybersecurity threats, we also ask our employees to take periodic cybersecurity training and we use various security tools that are designed to help identify, escalate, investigate, resolve, and recover from security incidents in a timely manner.</w:t>
      </w:r>
    </w:p>
    <w:p>
      <w:pPr>
        <w:spacing w:after="0" w:line="94" w:lineRule="exact"/>
        <w:rPr>
          <w:sz w:val="20"/>
          <w:szCs w:val="20"/>
          <w:color w:val="auto"/>
        </w:rPr>
      </w:pPr>
    </w:p>
    <w:p>
      <w:pPr>
        <w:ind w:firstLine="255"/>
        <w:spacing w:after="0" w:line="261" w:lineRule="auto"/>
        <w:rPr>
          <w:sz w:val="20"/>
          <w:szCs w:val="20"/>
          <w:color w:val="auto"/>
        </w:rPr>
      </w:pPr>
      <w:r>
        <w:rPr>
          <w:rFonts w:ascii="Times New Roman" w:cs="Times New Roman" w:eastAsia="Times New Roman" w:hAnsi="Times New Roman"/>
          <w:sz w:val="14"/>
          <w:szCs w:val="14"/>
          <w:color w:val="auto"/>
        </w:rPr>
        <w:t>We have not identified risks from known cybersecurity threats to the business, including as a result of any prior cybersecurity incidents, that have materially affected or are reasonably likely to materially affect our Company, including our business strategy, results of operations, or financial condition. See our risk factor “</w:t>
      </w:r>
      <w:r>
        <w:rPr>
          <w:rFonts w:ascii="Times New Roman" w:cs="Times New Roman" w:eastAsia="Times New Roman" w:hAnsi="Times New Roman"/>
          <w:sz w:val="14"/>
          <w:szCs w:val="14"/>
          <w:i w:val="1"/>
          <w:iCs w:val="1"/>
          <w:color w:val="auto"/>
        </w:rPr>
        <w:t>We are subject to evolving laws, policies, and contractual obligations</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 xml:space="preserve">related to data privacy and security, including cybersecurity, and our actual or perceived failure to comply with such obligations or perceived failure to maintain the integrity of our data could expose us to data loss or litigation, harm our reputation, subject us to significant fines and liability, or otherwise affect our business, prospects, financial condition, and operating results." </w:t>
      </w:r>
      <w:r>
        <w:rPr>
          <w:rFonts w:ascii="Times New Roman" w:cs="Times New Roman" w:eastAsia="Times New Roman" w:hAnsi="Times New Roman"/>
          <w:sz w:val="14"/>
          <w:szCs w:val="14"/>
          <w:color w:val="auto"/>
        </w:rPr>
        <w:t>in Part I, Item 1A.</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(“Risk Factors”) for additional details regarding cybersecurity risks and potential impacts on our business.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Cybersecurity Governance</w:t>
      </w:r>
    </w:p>
    <w:p>
      <w:pPr>
        <w:spacing w:after="0" w:line="125" w:lineRule="exact"/>
        <w:rPr>
          <w:sz w:val="20"/>
          <w:szCs w:val="20"/>
          <w:color w:val="auto"/>
        </w:rPr>
      </w:pPr>
    </w:p>
    <w:p>
      <w:pPr>
        <w:ind w:right="60" w:firstLine="255"/>
        <w:spacing w:after="0" w:line="261" w:lineRule="auto"/>
        <w:rPr>
          <w:sz w:val="20"/>
          <w:szCs w:val="20"/>
          <w:color w:val="auto"/>
        </w:rPr>
      </w:pPr>
      <w:r>
        <w:rPr>
          <w:rFonts w:ascii="Times New Roman" w:cs="Times New Roman" w:eastAsia="Times New Roman" w:hAnsi="Times New Roman"/>
          <w:sz w:val="14"/>
          <w:szCs w:val="14"/>
          <w:color w:val="auto"/>
        </w:rPr>
        <w:t>Our board is actively involved in the assessment, oversight and management of the material risks that could affect the Company. The board carries out its risk oversight and management responsibilities by monitoring risk directly as a full board and, where appropriate, through its committees. Our board has delegated to the audit committee the oversight responsibility for risks and incidents relating to cybersecurity threats, including compliance with disclosure requirements, cooperation with law enforcement, and related effects on financial and other risks. The audit committee reports any material or notable cybersecurity incidents, findings and recommendations, as appropriate, to the full board for consideration. Our Chief Technology Officer ("CTO") also presents to the audit committee and to the board, as appropriate, any updates, changes, or improvements on the Company’s cybersecurity risk management program.</w:t>
      </w:r>
    </w:p>
    <w:p>
      <w:pPr>
        <w:spacing w:after="0" w:line="90" w:lineRule="exact"/>
        <w:rPr>
          <w:sz w:val="20"/>
          <w:szCs w:val="20"/>
          <w:color w:val="auto"/>
        </w:rPr>
      </w:pPr>
    </w:p>
    <w:p>
      <w:pPr>
        <w:ind w:right="60" w:firstLine="255"/>
        <w:spacing w:after="0" w:line="270" w:lineRule="auto"/>
        <w:rPr>
          <w:sz w:val="20"/>
          <w:szCs w:val="20"/>
          <w:color w:val="auto"/>
        </w:rPr>
      </w:pPr>
      <w:r>
        <w:rPr>
          <w:rFonts w:ascii="Times New Roman" w:cs="Times New Roman" w:eastAsia="Times New Roman" w:hAnsi="Times New Roman"/>
          <w:sz w:val="14"/>
          <w:szCs w:val="14"/>
          <w:color w:val="auto"/>
        </w:rPr>
        <w:t>Our CTO, with over 28 years of experience in IT and operational technology security, has the primary responsibility of overseeing our cybersecurity risk management program and assessing and managing any material risks related to cybersecurity threats. Our CTO supervises efforts to help prevent, detect, mitigate, and remediate cybersecurity risks and incidents through various means, which may include briefings from internal information systems personnel and reports produced by security tools deployed in the technical environment.</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2 — PROPERTIES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Corporate Offices</w:t>
      </w:r>
    </w:p>
    <w:p>
      <w:pPr>
        <w:spacing w:after="0" w:line="127" w:lineRule="exact"/>
        <w:rPr>
          <w:sz w:val="20"/>
          <w:szCs w:val="20"/>
          <w:color w:val="auto"/>
        </w:rPr>
      </w:pPr>
    </w:p>
    <w:p>
      <w:pPr>
        <w:ind w:right="120" w:firstLine="255"/>
        <w:spacing w:after="0" w:line="270" w:lineRule="auto"/>
        <w:rPr>
          <w:sz w:val="20"/>
          <w:szCs w:val="20"/>
          <w:color w:val="auto"/>
        </w:rPr>
      </w:pPr>
      <w:r>
        <w:rPr>
          <w:rFonts w:ascii="Times New Roman" w:cs="Times New Roman" w:eastAsia="Times New Roman" w:hAnsi="Times New Roman"/>
          <w:sz w:val="14"/>
          <w:szCs w:val="14"/>
          <w:color w:val="auto"/>
        </w:rPr>
        <w:t>In November 2019, we entered into a lease agreement with Traverse Ridge Center III LLC, a Utah limited liability company, for our new corporate headquarters located at 3300 N. Triumph Blvd., Suite 700, Lehi, Utah 84043. The lease is for approximately 51,674 square feet with a right of first refusal to lease certain additional space in the building when such space becomes available. The term of the lease began on January 1, 2021, and will continue for a period of eleven years.</w:t>
      </w: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46" w:right="319" w:bottom="1440" w:gutter="0" w:footer="0" w:header="0"/>
        </w:sectPr>
      </w:pPr>
    </w:p>
    <w:bookmarkStart w:id="42" w:name="page43"/>
    <w:bookmarkEnd w:id="42"/>
    <w:p>
      <w:pPr>
        <w:ind w:right="120" w:firstLine="255"/>
        <w:spacing w:after="0" w:line="287" w:lineRule="auto"/>
        <w:rPr>
          <w:sz w:val="20"/>
          <w:szCs w:val="20"/>
          <w:color w:val="auto"/>
        </w:rPr>
      </w:pPr>
      <w:r>
        <w:rPr>
          <w:rFonts w:ascii="Times New Roman" w:cs="Times New Roman" w:eastAsia="Times New Roman" w:hAnsi="Times New Roman"/>
          <w:sz w:val="14"/>
          <w:szCs w:val="14"/>
          <w:color w:val="auto"/>
        </w:rPr>
        <w:t>In July 2023, our subsidiary, LifeVantage Japan K.K., entered into a lease agreement with Sumitomo Mitsui Trust Bank, Limited, for an office located in the Shinagawa Grand Central Tower in Tokyo, Japan. The lease is for approximately 5,200 square feet and has a lease term from July 1, 2023 through June 30, 2026.</w:t>
      </w:r>
    </w:p>
    <w:p>
      <w:pPr>
        <w:spacing w:after="0" w:line="6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We believe that the facilities under our leases are sufficient to meet our needs for the foreseeable future.</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Warehouse Facilities</w:t>
      </w:r>
    </w:p>
    <w:p>
      <w:pPr>
        <w:spacing w:after="0" w:line="127" w:lineRule="exact"/>
        <w:rPr>
          <w:sz w:val="20"/>
          <w:szCs w:val="20"/>
          <w:color w:val="auto"/>
        </w:rPr>
      </w:pPr>
    </w:p>
    <w:p>
      <w:pPr>
        <w:ind w:right="80" w:firstLine="255"/>
        <w:spacing w:after="0" w:line="287" w:lineRule="auto"/>
        <w:rPr>
          <w:sz w:val="20"/>
          <w:szCs w:val="20"/>
          <w:color w:val="auto"/>
        </w:rPr>
      </w:pPr>
      <w:r>
        <w:rPr>
          <w:rFonts w:ascii="Times New Roman" w:cs="Times New Roman" w:eastAsia="Times New Roman" w:hAnsi="Times New Roman"/>
          <w:sz w:val="14"/>
          <w:szCs w:val="14"/>
          <w:color w:val="auto"/>
        </w:rPr>
        <w:t>Since fiscal year 2010, Maersk E-Commerce Logistics (formerly Visible Supply Chain Management and IntegraCore, LLC) has provided fulfillment services to us, including services relating to procurement, warehousing, ordering, processing, and shipping. We have also entered into arrangements to receive similar services in each of our international markets.</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3 — LEGAL PROCEEDINGS</w:t>
      </w:r>
    </w:p>
    <w:p>
      <w:pPr>
        <w:spacing w:after="0" w:line="12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See Note 13 of the Notes to the Consolidated Financial Statements contained within this Annual Report on Form 10-K for a discussion of the company's legal proceedings.</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4 — MINE SAFETY DISCLOSURES</w:t>
      </w:r>
    </w:p>
    <w:p>
      <w:pPr>
        <w:spacing w:after="0" w:line="11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Not applicable.</w:t>
      </w:r>
    </w:p>
    <w:p>
      <w:pPr>
        <w:spacing w:after="0" w:line="1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PART II</w:t>
      </w:r>
    </w:p>
    <w:p>
      <w:pPr>
        <w:spacing w:after="0" w:line="125" w:lineRule="exact"/>
        <w:rPr>
          <w:sz w:val="20"/>
          <w:szCs w:val="20"/>
          <w:color w:val="auto"/>
        </w:rPr>
      </w:pPr>
    </w:p>
    <w:p>
      <w:pPr>
        <w:ind w:right="1080"/>
        <w:spacing w:after="0" w:line="420" w:lineRule="auto"/>
        <w:rPr>
          <w:sz w:val="20"/>
          <w:szCs w:val="20"/>
          <w:color w:val="auto"/>
        </w:rPr>
      </w:pPr>
      <w:r>
        <w:rPr>
          <w:rFonts w:ascii="Times New Roman" w:cs="Times New Roman" w:eastAsia="Times New Roman" w:hAnsi="Times New Roman"/>
          <w:sz w:val="14"/>
          <w:szCs w:val="14"/>
          <w:b w:val="1"/>
          <w:bCs w:val="1"/>
          <w:color w:val="auto"/>
        </w:rPr>
        <w:t>ITEM 5 — MARKET FOR REGISTRANT’S COMMON EQUITY, RELATED STOCKHOLDER MATTERS AND ISSUER PURCHASES OF EQUITY SECURITIES Market Information and Holders</w:t>
      </w:r>
    </w:p>
    <w:p>
      <w:pPr>
        <w:spacing w:after="0" w:line="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Our common stock trades on the Nasdaq Capital Market under the symbol "LFVN".</w:t>
      </w:r>
    </w:p>
    <w:p>
      <w:pPr>
        <w:spacing w:after="0" w:line="125" w:lineRule="exact"/>
        <w:rPr>
          <w:sz w:val="20"/>
          <w:szCs w:val="20"/>
          <w:color w:val="auto"/>
        </w:rPr>
      </w:pPr>
    </w:p>
    <w:p>
      <w:pPr>
        <w:jc w:val="both"/>
        <w:ind w:right="20" w:firstLine="255"/>
        <w:spacing w:after="0" w:line="270" w:lineRule="auto"/>
        <w:rPr>
          <w:sz w:val="20"/>
          <w:szCs w:val="20"/>
          <w:color w:val="auto"/>
        </w:rPr>
      </w:pPr>
      <w:r>
        <w:rPr>
          <w:rFonts w:ascii="Times New Roman" w:cs="Times New Roman" w:eastAsia="Times New Roman" w:hAnsi="Times New Roman"/>
          <w:sz w:val="14"/>
          <w:szCs w:val="14"/>
          <w:color w:val="auto"/>
        </w:rPr>
        <w:t>Our common stock is issued in registered form and the following information is taken from the records of our current transfer agent, Computershare Trust Company, Inc. As of June 30, 2024, we had 88 stockholders of record and 12.5 million shares of common stock outstanding. This does not include an unknown number of persons who hold shares in street name through brokers and dealers and who are not listed on our stockholder records.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Dividends</w:t>
      </w:r>
    </w:p>
    <w:p>
      <w:pPr>
        <w:spacing w:after="0" w:line="127" w:lineRule="exact"/>
        <w:rPr>
          <w:sz w:val="20"/>
          <w:szCs w:val="20"/>
          <w:color w:val="auto"/>
        </w:rPr>
      </w:pPr>
    </w:p>
    <w:p>
      <w:pPr>
        <w:ind w:firstLine="255"/>
        <w:spacing w:after="0" w:line="264" w:lineRule="auto"/>
        <w:rPr>
          <w:sz w:val="20"/>
          <w:szCs w:val="20"/>
          <w:color w:val="auto"/>
        </w:rPr>
      </w:pPr>
      <w:r>
        <w:rPr>
          <w:rFonts w:ascii="Times New Roman" w:cs="Times New Roman" w:eastAsia="Times New Roman" w:hAnsi="Times New Roman"/>
          <w:sz w:val="14"/>
          <w:szCs w:val="14"/>
          <w:color w:val="auto"/>
        </w:rPr>
        <w:t>We paid a one-time cash dividend of $0.40 per share of common stock to stockholders of record in September 2023, quarterly cash dividends of $0.035 per share of common stock to stockholders of record in September 2023, December 2023 and March 2024, and $0.04 per share of common stock to stockholders in June 2024, which were in the aggregate amount of $6.9 million, or $0.545 per share of common stock for the fiscal year ended June 30, 2024. For the fiscal year ended June 30, 2023, we paid to stockholders quarterly cash dividends totaling $1.6 million, or $0.125 per share of common stock.</w:t>
      </w:r>
    </w:p>
    <w:p>
      <w:pPr>
        <w:spacing w:after="0" w:line="87" w:lineRule="exact"/>
        <w:rPr>
          <w:sz w:val="20"/>
          <w:szCs w:val="20"/>
          <w:color w:val="auto"/>
        </w:rPr>
      </w:pPr>
    </w:p>
    <w:p>
      <w:pPr>
        <w:ind w:right="140" w:firstLine="255"/>
        <w:spacing w:after="0" w:line="270" w:lineRule="auto"/>
        <w:rPr>
          <w:sz w:val="20"/>
          <w:szCs w:val="20"/>
          <w:color w:val="auto"/>
        </w:rPr>
      </w:pPr>
      <w:r>
        <w:rPr>
          <w:rFonts w:ascii="Times New Roman" w:cs="Times New Roman" w:eastAsia="Times New Roman" w:hAnsi="Times New Roman"/>
          <w:sz w:val="14"/>
          <w:szCs w:val="14"/>
          <w:color w:val="auto"/>
        </w:rPr>
        <w:t>The declaration of dividends is subject to the discretion of our board and will depend upon various factors, including our earnings, financial condition, restrictions imposed by any indebtedness that may be outstanding, cash requirements, future prospects and other factors deemed relevant by our board of directors. We currently expect that a comparable cash dividend will be paid each quarter for the foreseeable future.</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Purchases of Equity Securities by the Issuer</w:t>
      </w:r>
    </w:p>
    <w:p>
      <w:pPr>
        <w:spacing w:after="0" w:line="127" w:lineRule="exact"/>
        <w:rPr>
          <w:sz w:val="20"/>
          <w:szCs w:val="20"/>
          <w:color w:val="auto"/>
        </w:rPr>
      </w:pPr>
    </w:p>
    <w:p>
      <w:pPr>
        <w:ind w:right="40" w:firstLine="255"/>
        <w:spacing w:after="0" w:line="257" w:lineRule="auto"/>
        <w:rPr>
          <w:sz w:val="20"/>
          <w:szCs w:val="20"/>
          <w:color w:val="auto"/>
        </w:rPr>
      </w:pPr>
      <w:r>
        <w:rPr>
          <w:rFonts w:ascii="Times New Roman" w:cs="Times New Roman" w:eastAsia="Times New Roman" w:hAnsi="Times New Roman"/>
          <w:sz w:val="14"/>
          <w:szCs w:val="14"/>
          <w:color w:val="auto"/>
        </w:rPr>
        <w:t>On November 27, 2017, our board approved a stock repurchase program. Under this program, we were initially authorized to repurchase up to $15.0 million of the outstanding shares through November 27, 2020. On August 27, 2020, our board approved an amendment to the stock repurchase program to increase the authorized share repurchase amount from $15.0 million to $35.0 million and to extend the duration of the program through November 30, 2023. Further, on February 17, 2022, our board approved an amendment to the stock repurchase program to increase the authorized share repurchase amount from $35.0 million to $60.0 million. On June 13, 2023, our board approved an amendment to the stock repurchase program to extend the duration of the program through December 31, 2026. The stock repurchase program permits us to purchase shares from time to time through a variety of methods, including in the open market, through privately negotiated transactions or other means as determined by our management, in accordance with applicable securities laws. As part of the repurchase program, we may enter into a pre-arranged stock repurchase plan which operates in accordance with guidelines specified under Rule 10b5-1 of the Securities Exchange Act of 1934, as amended. Accordingly, any transactions under such stock repurchase plan would be completed in accordance with the terms of the plan, including specified price, volume, and timing conditions. The stock repurchase program may be suspended or discontinued at any time. During the three months ended June 30, 2024, we repurchased 0.3 million shares of our common stock under the stock repurchase plan.</w:t>
      </w: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846" w:right="339" w:bottom="1440" w:gutter="0" w:footer="0" w:header="0"/>
        </w:sectPr>
      </w:pPr>
    </w:p>
    <w:bookmarkStart w:id="43" w:name="page44"/>
    <w:bookmarkEnd w:id="43"/>
    <w:p>
      <w:pPr>
        <w:ind w:right="200" w:firstLine="255"/>
        <w:spacing w:after="0" w:line="275" w:lineRule="auto"/>
        <w:rPr>
          <w:sz w:val="20"/>
          <w:szCs w:val="20"/>
          <w:color w:val="auto"/>
        </w:rPr>
      </w:pPr>
      <w:r>
        <w:rPr>
          <w:rFonts w:ascii="Times New Roman" w:cs="Times New Roman" w:eastAsia="Times New Roman" w:hAnsi="Times New Roman"/>
          <w:sz w:val="14"/>
          <w:szCs w:val="14"/>
          <w:color w:val="auto"/>
        </w:rPr>
        <w:t>The following table provides information with respect to all purchases made by the company during the three months ended June 30, 2024. All purchases listed below were made at prevailing market prices.</w:t>
      </w:r>
    </w:p>
    <w:p>
      <w:pPr>
        <w:sectPr>
          <w:pgSz w:w="11900" w:h="16838" w:orient="portrait"/>
          <w:cols w:equalWidth="0" w:num="1">
            <w:col w:w="11260"/>
          </w:cols>
          <w:pgMar w:left="300" w:top="846" w:right="339" w:bottom="1440" w:gutter="0" w:footer="0" w:header="0"/>
        </w:sectPr>
      </w:pPr>
    </w:p>
    <w:p>
      <w:pPr>
        <w:spacing w:after="0" w:line="287" w:lineRule="exact"/>
        <w:rPr>
          <w:sz w:val="20"/>
          <w:szCs w:val="20"/>
          <w:color w:val="auto"/>
        </w:rPr>
      </w:pPr>
    </w:p>
    <w:p>
      <w:pPr>
        <w:jc w:val="center"/>
        <w:ind w:left="620"/>
        <w:spacing w:after="0"/>
        <w:rPr>
          <w:sz w:val="20"/>
          <w:szCs w:val="20"/>
          <w:color w:val="auto"/>
        </w:rPr>
      </w:pPr>
      <w:r>
        <w:rPr>
          <w:rFonts w:ascii="Times New Roman" w:cs="Times New Roman" w:eastAsia="Times New Roman" w:hAnsi="Times New Roman"/>
          <w:sz w:val="14"/>
          <w:szCs w:val="14"/>
          <w:b w:val="1"/>
          <w:bCs w:val="1"/>
          <w:color w:val="auto"/>
        </w:rPr>
        <w:t>Period</w:t>
      </w:r>
    </w:p>
    <w:p>
      <w:pPr>
        <w:spacing w:after="0" w:line="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April 1 - April 30</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May 1 - May 31</w:t>
      </w:r>
    </w:p>
    <w:p>
      <w:pPr>
        <w:spacing w:after="0" w:line="1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June 1 - June 30</w:t>
      </w:r>
    </w:p>
    <w:p>
      <w:pPr>
        <w:spacing w:after="0" w:line="4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Total</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4"/>
        </w:trPr>
        <w:tc>
          <w:tcPr>
            <w:tcW w:w="2000" w:type="dxa"/>
            <w:vAlign w:val="bottom"/>
            <w:vMerge w:val="restart"/>
          </w:tcPr>
          <w:p>
            <w:pPr>
              <w:jc w:val="right"/>
              <w:ind w:right="209"/>
              <w:spacing w:after="0"/>
              <w:rPr>
                <w:sz w:val="20"/>
                <w:szCs w:val="20"/>
                <w:color w:val="auto"/>
              </w:rPr>
            </w:pPr>
            <w:r>
              <w:rPr>
                <w:rFonts w:ascii="Times New Roman" w:cs="Times New Roman" w:eastAsia="Times New Roman" w:hAnsi="Times New Roman"/>
                <w:sz w:val="14"/>
                <w:szCs w:val="14"/>
                <w:b w:val="1"/>
                <w:bCs w:val="1"/>
                <w:color w:val="auto"/>
              </w:rPr>
              <w:t>Total Number of Shares</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40" w:type="dxa"/>
            <w:vAlign w:val="bottom"/>
          </w:tcPr>
          <w:p>
            <w:pPr>
              <w:jc w:val="center"/>
              <w:spacing w:after="0" w:line="145" w:lineRule="exact"/>
              <w:rPr>
                <w:sz w:val="20"/>
                <w:szCs w:val="20"/>
                <w:color w:val="auto"/>
              </w:rPr>
            </w:pPr>
            <w:r>
              <w:rPr>
                <w:rFonts w:ascii="Times New Roman" w:cs="Times New Roman" w:eastAsia="Times New Roman" w:hAnsi="Times New Roman"/>
                <w:sz w:val="14"/>
                <w:szCs w:val="14"/>
                <w:b w:val="1"/>
                <w:bCs w:val="1"/>
                <w:color w:val="auto"/>
                <w:w w:val="99"/>
              </w:rPr>
              <w:t>Total Number of Shares</w:t>
            </w:r>
          </w:p>
        </w:tc>
        <w:tc>
          <w:tcPr>
            <w:tcW w:w="80" w:type="dxa"/>
            <w:vAlign w:val="bottom"/>
          </w:tcPr>
          <w:p>
            <w:pPr>
              <w:spacing w:after="0"/>
              <w:rPr>
                <w:sz w:val="12"/>
                <w:szCs w:val="12"/>
                <w:color w:val="auto"/>
              </w:rPr>
            </w:pPr>
          </w:p>
        </w:tc>
        <w:tc>
          <w:tcPr>
            <w:tcW w:w="2060" w:type="dxa"/>
            <w:vAlign w:val="bottom"/>
            <w:gridSpan w:val="2"/>
          </w:tcPr>
          <w:p>
            <w:pPr>
              <w:ind w:left="20"/>
              <w:spacing w:after="0" w:line="145" w:lineRule="exact"/>
              <w:rPr>
                <w:sz w:val="20"/>
                <w:szCs w:val="20"/>
                <w:color w:val="auto"/>
              </w:rPr>
            </w:pPr>
            <w:r>
              <w:rPr>
                <w:rFonts w:ascii="Times New Roman" w:cs="Times New Roman" w:eastAsia="Times New Roman" w:hAnsi="Times New Roman"/>
                <w:sz w:val="14"/>
                <w:szCs w:val="14"/>
                <w:b w:val="1"/>
                <w:bCs w:val="1"/>
                <w:color w:val="auto"/>
              </w:rPr>
              <w:t>Maximum Dollar Value of Shares</w:t>
            </w:r>
          </w:p>
        </w:tc>
        <w:tc>
          <w:tcPr>
            <w:tcW w:w="0" w:type="dxa"/>
            <w:vAlign w:val="bottom"/>
          </w:tcPr>
          <w:p>
            <w:pPr>
              <w:spacing w:after="0"/>
              <w:rPr>
                <w:sz w:val="1"/>
                <w:szCs w:val="1"/>
                <w:color w:val="auto"/>
              </w:rPr>
            </w:pPr>
          </w:p>
        </w:tc>
      </w:tr>
      <w:tr>
        <w:trPr>
          <w:trHeight w:val="138"/>
        </w:trPr>
        <w:tc>
          <w:tcPr>
            <w:tcW w:w="200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Average Price Paid Per Share</w:t>
            </w:r>
          </w:p>
        </w:tc>
        <w:tc>
          <w:tcPr>
            <w:tcW w:w="2040" w:type="dxa"/>
            <w:vAlign w:val="bottom"/>
          </w:tcPr>
          <w:p>
            <w:pPr>
              <w:jc w:val="center"/>
              <w:spacing w:after="0" w:line="138" w:lineRule="exact"/>
              <w:rPr>
                <w:sz w:val="20"/>
                <w:szCs w:val="20"/>
                <w:color w:val="auto"/>
              </w:rPr>
            </w:pPr>
            <w:r>
              <w:rPr>
                <w:rFonts w:ascii="Times New Roman" w:cs="Times New Roman" w:eastAsia="Times New Roman" w:hAnsi="Times New Roman"/>
                <w:sz w:val="14"/>
                <w:szCs w:val="14"/>
                <w:b w:val="1"/>
                <w:bCs w:val="1"/>
                <w:color w:val="auto"/>
              </w:rPr>
              <w:t>Purchased as Part of the Publicly</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960" w:type="dxa"/>
            <w:vAlign w:val="bottom"/>
          </w:tcPr>
          <w:p>
            <w:pPr>
              <w:jc w:val="right"/>
              <w:ind w:right="129"/>
              <w:spacing w:after="0" w:line="138" w:lineRule="exact"/>
              <w:rPr>
                <w:sz w:val="20"/>
                <w:szCs w:val="20"/>
                <w:color w:val="auto"/>
              </w:rPr>
            </w:pPr>
            <w:r>
              <w:rPr>
                <w:rFonts w:ascii="Times New Roman" w:cs="Times New Roman" w:eastAsia="Times New Roman" w:hAnsi="Times New Roman"/>
                <w:sz w:val="14"/>
                <w:szCs w:val="14"/>
                <w:b w:val="1"/>
                <w:bCs w:val="1"/>
                <w:color w:val="auto"/>
              </w:rPr>
              <w:t>that May Yet Be Purchased</w:t>
            </w:r>
          </w:p>
        </w:tc>
        <w:tc>
          <w:tcPr>
            <w:tcW w:w="0" w:type="dxa"/>
            <w:vAlign w:val="bottom"/>
          </w:tcPr>
          <w:p>
            <w:pPr>
              <w:spacing w:after="0"/>
              <w:rPr>
                <w:sz w:val="1"/>
                <w:szCs w:val="1"/>
                <w:color w:val="auto"/>
              </w:rPr>
            </w:pPr>
          </w:p>
        </w:tc>
      </w:tr>
      <w:tr>
        <w:trPr>
          <w:trHeight w:val="191"/>
        </w:trPr>
        <w:tc>
          <w:tcPr>
            <w:tcW w:w="2000" w:type="dxa"/>
            <w:vAlign w:val="bottom"/>
          </w:tcPr>
          <w:p>
            <w:pPr>
              <w:jc w:val="right"/>
              <w:ind w:right="609"/>
              <w:spacing w:after="0"/>
              <w:rPr>
                <w:sz w:val="20"/>
                <w:szCs w:val="20"/>
                <w:color w:val="auto"/>
              </w:rPr>
            </w:pPr>
            <w:r>
              <w:rPr>
                <w:rFonts w:ascii="Times New Roman" w:cs="Times New Roman" w:eastAsia="Times New Roman" w:hAnsi="Times New Roman"/>
                <w:sz w:val="14"/>
                <w:szCs w:val="14"/>
                <w:b w:val="1"/>
                <w:bCs w:val="1"/>
                <w:color w:val="auto"/>
              </w:rPr>
              <w:t>Purchased</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20" w:type="dxa"/>
            <w:vAlign w:val="bottom"/>
            <w:gridSpan w:val="2"/>
            <w:vMerge w:val="continue"/>
          </w:tcPr>
          <w:p>
            <w:pPr>
              <w:spacing w:after="0"/>
              <w:rPr>
                <w:sz w:val="16"/>
                <w:szCs w:val="16"/>
                <w:color w:val="auto"/>
              </w:rPr>
            </w:pPr>
          </w:p>
        </w:tc>
        <w:tc>
          <w:tcPr>
            <w:tcW w:w="20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Announced Plans or Programs</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60" w:type="dxa"/>
            <w:vAlign w:val="bottom"/>
          </w:tcPr>
          <w:p>
            <w:pPr>
              <w:jc w:val="right"/>
              <w:ind w:right="9"/>
              <w:spacing w:after="0" w:line="191" w:lineRule="exact"/>
              <w:rPr>
                <w:sz w:val="20"/>
                <w:szCs w:val="20"/>
                <w:color w:val="auto"/>
              </w:rPr>
            </w:pPr>
            <w:r>
              <w:rPr>
                <w:rFonts w:ascii="Times New Roman" w:cs="Times New Roman" w:eastAsia="Times New Roman" w:hAnsi="Times New Roman"/>
                <w:sz w:val="14"/>
                <w:szCs w:val="14"/>
                <w:b w:val="1"/>
                <w:bCs w:val="1"/>
                <w:color w:val="auto"/>
                <w:w w:val="97"/>
              </w:rPr>
              <w:t>Under the Plans or Programs</w:t>
            </w:r>
            <w:r>
              <w:rPr>
                <w:rFonts w:ascii="Times New Roman" w:cs="Times New Roman" w:eastAsia="Times New Roman" w:hAnsi="Times New Roman"/>
                <w:sz w:val="18"/>
                <w:szCs w:val="18"/>
                <w:b w:val="1"/>
                <w:bCs w:val="1"/>
                <w:color w:val="auto"/>
                <w:w w:val="97"/>
                <w:vertAlign w:val="superscript"/>
              </w:rPr>
              <w:t>(1)</w:t>
            </w:r>
          </w:p>
        </w:tc>
        <w:tc>
          <w:tcPr>
            <w:tcW w:w="0" w:type="dxa"/>
            <w:vAlign w:val="bottom"/>
          </w:tcPr>
          <w:p>
            <w:pPr>
              <w:spacing w:after="0"/>
              <w:rPr>
                <w:sz w:val="1"/>
                <w:szCs w:val="1"/>
                <w:color w:val="auto"/>
              </w:rPr>
            </w:pPr>
          </w:p>
        </w:tc>
      </w:tr>
      <w:tr>
        <w:trPr>
          <w:trHeight w:val="167"/>
        </w:trPr>
        <w:tc>
          <w:tcPr>
            <w:tcW w:w="2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28,948</w:t>
            </w:r>
          </w:p>
        </w:tc>
        <w:tc>
          <w:tcPr>
            <w:tcW w:w="100" w:type="dxa"/>
            <w:vAlign w:val="bottom"/>
          </w:tcPr>
          <w:p>
            <w:pPr>
              <w:spacing w:after="0"/>
              <w:rPr>
                <w:sz w:val="14"/>
                <w:szCs w:val="14"/>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6.36</w:t>
            </w:r>
          </w:p>
        </w:tc>
        <w:tc>
          <w:tcPr>
            <w:tcW w:w="100" w:type="dxa"/>
            <w:vAlign w:val="bottom"/>
          </w:tcPr>
          <w:p>
            <w:pPr>
              <w:spacing w:after="0"/>
              <w:rPr>
                <w:sz w:val="14"/>
                <w:szCs w:val="14"/>
                <w:color w:val="auto"/>
              </w:rPr>
            </w:pPr>
          </w:p>
        </w:tc>
        <w:tc>
          <w:tcPr>
            <w:tcW w:w="2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28,948</w:t>
            </w:r>
          </w:p>
        </w:tc>
        <w:tc>
          <w:tcPr>
            <w:tcW w:w="80" w:type="dxa"/>
            <w:vAlign w:val="bottom"/>
          </w:tcPr>
          <w:p>
            <w:pPr>
              <w:spacing w:after="0"/>
              <w:rPr>
                <w:sz w:val="14"/>
                <w:szCs w:val="14"/>
                <w:color w:val="auto"/>
              </w:rPr>
            </w:pPr>
          </w:p>
        </w:tc>
        <w:tc>
          <w:tcPr>
            <w:tcW w:w="1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1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22,069,031</w:t>
            </w:r>
          </w:p>
        </w:tc>
        <w:tc>
          <w:tcPr>
            <w:tcW w:w="0" w:type="dxa"/>
            <w:vAlign w:val="bottom"/>
          </w:tcPr>
          <w:p>
            <w:pPr>
              <w:spacing w:after="0"/>
              <w:rPr>
                <w:sz w:val="1"/>
                <w:szCs w:val="1"/>
                <w:color w:val="auto"/>
              </w:rPr>
            </w:pPr>
          </w:p>
        </w:tc>
      </w:tr>
      <w:tr>
        <w:trPr>
          <w:trHeight w:val="180"/>
        </w:trPr>
        <w:tc>
          <w:tcPr>
            <w:tcW w:w="2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149,871</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7.19</w:t>
            </w:r>
          </w:p>
        </w:tc>
        <w:tc>
          <w:tcPr>
            <w:tcW w:w="100" w:type="dxa"/>
            <w:vAlign w:val="bottom"/>
          </w:tcPr>
          <w:p>
            <w:pPr>
              <w:spacing w:after="0"/>
              <w:rPr>
                <w:sz w:val="15"/>
                <w:szCs w:val="15"/>
                <w:color w:val="auto"/>
              </w:rPr>
            </w:pPr>
          </w:p>
        </w:tc>
        <w:tc>
          <w:tcPr>
            <w:tcW w:w="2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149,871</w:t>
            </w:r>
          </w:p>
        </w:tc>
        <w:tc>
          <w:tcPr>
            <w:tcW w:w="18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w w:val="85"/>
              </w:rPr>
              <w:t>$</w:t>
            </w:r>
          </w:p>
        </w:tc>
        <w:tc>
          <w:tcPr>
            <w:tcW w:w="1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20,991,366</w:t>
            </w:r>
          </w:p>
        </w:tc>
        <w:tc>
          <w:tcPr>
            <w:tcW w:w="0" w:type="dxa"/>
            <w:vAlign w:val="bottom"/>
          </w:tcPr>
          <w:p>
            <w:pPr>
              <w:spacing w:after="0"/>
              <w:rPr>
                <w:sz w:val="1"/>
                <w:szCs w:val="1"/>
                <w:color w:val="auto"/>
              </w:rPr>
            </w:pPr>
          </w:p>
        </w:tc>
      </w:tr>
      <w:tr>
        <w:trPr>
          <w:trHeight w:val="184"/>
        </w:trPr>
        <w:tc>
          <w:tcPr>
            <w:tcW w:w="2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74,050</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7.70</w:t>
            </w:r>
          </w:p>
        </w:tc>
        <w:tc>
          <w:tcPr>
            <w:tcW w:w="100" w:type="dxa"/>
            <w:vAlign w:val="bottom"/>
          </w:tcPr>
          <w:p>
            <w:pPr>
              <w:spacing w:after="0"/>
              <w:rPr>
                <w:sz w:val="16"/>
                <w:szCs w:val="16"/>
                <w:color w:val="auto"/>
              </w:rPr>
            </w:pPr>
          </w:p>
        </w:tc>
        <w:tc>
          <w:tcPr>
            <w:tcW w:w="2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74,050</w:t>
            </w:r>
          </w:p>
        </w:tc>
        <w:tc>
          <w:tcPr>
            <w:tcW w:w="18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w w:val="85"/>
              </w:rPr>
              <w:t>$</w:t>
            </w:r>
          </w:p>
        </w:tc>
        <w:tc>
          <w:tcPr>
            <w:tcW w:w="1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20,421,527</w:t>
            </w:r>
          </w:p>
        </w:tc>
        <w:tc>
          <w:tcPr>
            <w:tcW w:w="0" w:type="dxa"/>
            <w:vAlign w:val="bottom"/>
          </w:tcPr>
          <w:p>
            <w:pPr>
              <w:spacing w:after="0"/>
              <w:rPr>
                <w:sz w:val="1"/>
                <w:szCs w:val="1"/>
                <w:color w:val="auto"/>
              </w:rPr>
            </w:pPr>
          </w:p>
        </w:tc>
      </w:tr>
      <w:tr>
        <w:trPr>
          <w:trHeight w:val="171"/>
        </w:trPr>
        <w:tc>
          <w:tcPr>
            <w:tcW w:w="2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252,869</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252,869</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-1761490</wp:posOffset>
            </wp:positionH>
            <wp:positionV relativeFrom="paragraph">
              <wp:posOffset>-262255</wp:posOffset>
            </wp:positionV>
            <wp:extent cx="7094220" cy="1143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094220" cy="114300"/>
                    </a:xfrm>
                    <a:prstGeom prst="rect">
                      <a:avLst/>
                    </a:prstGeom>
                    <a:noFill/>
                  </pic:spPr>
                </pic:pic>
              </a:graphicData>
            </a:graphic>
          </wp:anchor>
        </w:drawing>
        <w:drawing>
          <wp:anchor simplePos="0" relativeHeight="251657728" behindDoc="1" locked="0" layoutInCell="0" allowOverlap="1">
            <wp:simplePos x="0" y="0"/>
            <wp:positionH relativeFrom="column">
              <wp:posOffset>-1761490</wp:posOffset>
            </wp:positionH>
            <wp:positionV relativeFrom="paragraph">
              <wp:posOffset>-497840</wp:posOffset>
            </wp:positionV>
            <wp:extent cx="7094220" cy="12128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094220" cy="121285"/>
                    </a:xfrm>
                    <a:prstGeom prst="rect">
                      <a:avLst/>
                    </a:prstGeom>
                    <a:noFill/>
                  </pic:spPr>
                </pic:pic>
              </a:graphicData>
            </a:graphic>
          </wp:anchor>
        </w:drawing>
      </w:r>
    </w:p>
    <w:p>
      <w:pPr>
        <w:spacing w:after="0" w:line="163" w:lineRule="exact"/>
        <w:rPr>
          <w:sz w:val="20"/>
          <w:szCs w:val="20"/>
          <w:color w:val="auto"/>
        </w:rPr>
      </w:pPr>
    </w:p>
    <w:p>
      <w:pPr>
        <w:sectPr>
          <w:pgSz w:w="11900" w:h="16838" w:orient="portrait"/>
          <w:cols w:equalWidth="0" w:num="2">
            <w:col w:w="2060" w:space="720"/>
            <w:col w:w="8480"/>
          </w:cols>
          <w:pgMar w:left="300" w:top="846" w:right="339" w:bottom="1440" w:gutter="0" w:footer="0" w:header="0"/>
          <w:type w:val="continuous"/>
        </w:sectPr>
      </w:pPr>
    </w:p>
    <w:p>
      <w:pPr>
        <w:ind w:right="120" w:firstLine="260"/>
        <w:spacing w:after="0" w:line="301" w:lineRule="auto"/>
        <w:tabs>
          <w:tab w:leader="none" w:pos="397" w:val="left"/>
        </w:tabs>
        <w:numPr>
          <w:ilvl w:val="0"/>
          <w:numId w:val="27"/>
        </w:numPr>
        <w:rPr>
          <w:rFonts w:ascii="Times New Roman" w:cs="Times New Roman" w:eastAsia="Times New Roman" w:hAnsi="Times New Roman"/>
          <w:sz w:val="9"/>
          <w:szCs w:val="9"/>
          <w:color w:val="auto"/>
        </w:rPr>
      </w:pPr>
      <w:r>
        <w:rPr>
          <w:rFonts w:ascii="Times New Roman" w:cs="Times New Roman" w:eastAsia="Times New Roman" w:hAnsi="Times New Roman"/>
          <w:sz w:val="9"/>
          <w:szCs w:val="9"/>
          <w:color w:val="auto"/>
        </w:rPr>
        <w:t>On November 27, 2017, our board approved a stock repurchase program. Under this program, we were initially authorized to repurchase up to $15.0 million of the outstanding shares through November 27, 2020. On August 27, 2020, our board approved an amendment to the stock repurchase program to increase the authorized share repurchase amount from $15.0 million to $35.0 million and to extend the duration of the program through November 30, 2023. Further, on February 17, 2022, our board approved an amendment to the stock repurchase program to increase the authorized share repurchase amount from $35.0 million to $60.0 million. On June 13, 2023, our board approved an amendment to the stock repurchase program to extend the duration of the program through December 31, 2026.</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Recent Sale of Unregistered Securities</w:t>
      </w:r>
    </w:p>
    <w:p>
      <w:pPr>
        <w:spacing w:after="0" w:line="12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None.</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Equity Compensation Plan Information</w:t>
      </w:r>
    </w:p>
    <w:p>
      <w:pPr>
        <w:spacing w:after="0" w:line="11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This information is incorporated by reference to Part III, Item 12 of this report.</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6 — [RESERVED]</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7 — MANAGEMENT’S DISCUSSION AND ANALYSIS OF FINANCIAL CONDITION AND RESULTS OF OPERATIONS</w:t>
      </w:r>
    </w:p>
    <w:p>
      <w:pPr>
        <w:spacing w:after="0" w:line="115" w:lineRule="exact"/>
        <w:rPr>
          <w:sz w:val="20"/>
          <w:szCs w:val="20"/>
          <w:color w:val="auto"/>
        </w:rPr>
      </w:pPr>
    </w:p>
    <w:p>
      <w:pPr>
        <w:ind w:right="400"/>
        <w:spacing w:after="0" w:line="290" w:lineRule="auto"/>
        <w:rPr>
          <w:sz w:val="20"/>
          <w:szCs w:val="20"/>
          <w:color w:val="auto"/>
        </w:rPr>
      </w:pPr>
      <w:r>
        <w:rPr>
          <w:rFonts w:ascii="Times New Roman" w:cs="Times New Roman" w:eastAsia="Times New Roman" w:hAnsi="Times New Roman"/>
          <w:sz w:val="14"/>
          <w:szCs w:val="14"/>
          <w:i w:val="1"/>
          <w:iCs w:val="1"/>
          <w:color w:val="auto"/>
        </w:rPr>
        <w:t>The following discussion and analysis of our financial condition and results of operations should be read in conjunction with the consolidated financial statements and related notes, which are included in this Annual Report on Form 10-K.</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Overview</w:t>
      </w:r>
    </w:p>
    <w:p>
      <w:pPr>
        <w:spacing w:after="0" w:line="127" w:lineRule="exact"/>
        <w:rPr>
          <w:sz w:val="20"/>
          <w:szCs w:val="20"/>
          <w:color w:val="auto"/>
        </w:rPr>
      </w:pPr>
    </w:p>
    <w:p>
      <w:pPr>
        <w:ind w:firstLine="255"/>
        <w:spacing w:after="0" w:line="261" w:lineRule="auto"/>
        <w:rPr>
          <w:sz w:val="20"/>
          <w:szCs w:val="20"/>
          <w:color w:val="auto"/>
        </w:rPr>
      </w:pPr>
      <w:r>
        <w:rPr>
          <w:rFonts w:ascii="Times New Roman" w:cs="Times New Roman" w:eastAsia="Times New Roman" w:hAnsi="Times New Roman"/>
          <w:sz w:val="14"/>
          <w:szCs w:val="14"/>
          <w:color w:val="auto"/>
        </w:rPr>
        <w:t>We are a company focused on nutrigenomics, the study of how nutrition and naturally occurring compounds affect human genes to support good health. We are dedicated to helping people achieve their health, wellness, and financial goals. We provide quality, scientifically validated products to customers and independent consultants as well as a financially rewarding commission-based direct sales opportunity to our independent consultants. We engage in the identification, research, development, formulation and sale of advanced nutrigenomic activators, dietary supplements, nootropics, pre- and pro-biotics, weight management, and skin and hair care products. We currently sell our products to customers and independent consultants in two geographic regions that we have classified as the Americas region and the Asia/Pacific and Europe region.</w:t>
      </w:r>
    </w:p>
    <w:p>
      <w:pPr>
        <w:spacing w:after="0" w:line="80" w:lineRule="exact"/>
        <w:rPr>
          <w:sz w:val="20"/>
          <w:szCs w:val="20"/>
          <w:color w:val="auto"/>
        </w:rPr>
      </w:pPr>
    </w:p>
    <w:p>
      <w:pPr>
        <w:ind w:right="40" w:firstLine="255"/>
        <w:spacing w:after="0" w:line="287" w:lineRule="auto"/>
        <w:rPr>
          <w:sz w:val="20"/>
          <w:szCs w:val="20"/>
          <w:color w:val="auto"/>
        </w:rPr>
      </w:pPr>
      <w:r>
        <w:rPr>
          <w:rFonts w:ascii="Times New Roman" w:cs="Times New Roman" w:eastAsia="Times New Roman" w:hAnsi="Times New Roman"/>
          <w:sz w:val="14"/>
          <w:szCs w:val="14"/>
          <w:color w:val="auto"/>
        </w:rPr>
        <w:t>The success and growth of our business is primarily based on the effectiveness of our independent consultants to attract and retain customers in order to sell our products and our ability to attract and retain independent consultants. When we are successful in attracting and retaining independent consultants and customers, it is largely because of:</w:t>
      </w:r>
    </w:p>
    <w:p>
      <w:pPr>
        <w:spacing w:after="0" w:line="68" w:lineRule="exact"/>
        <w:rPr>
          <w:sz w:val="20"/>
          <w:szCs w:val="20"/>
          <w:color w:val="auto"/>
        </w:rPr>
      </w:pPr>
    </w:p>
    <w:p>
      <w:pPr>
        <w:ind w:left="520" w:right="260" w:hanging="260"/>
        <w:spacing w:after="0" w:line="225" w:lineRule="auto"/>
        <w:tabs>
          <w:tab w:leader="none" w:pos="516"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products, including our flagship Protandim</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family of scientifically validated dietary supplements, LifeVantage</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Omega+, ProBio, IC Bright</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Rise AM, Reset PM, Daily Wellness, D3+, and PhysIQ Fat Burn and Prebiotic dietary supplements, our line of TrueScience</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skin and hair care products and Liquid Collagen, Petandim</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our companion pet supplement formulated to combat oxidative stress in dogs, and AXIO</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our nootropic energy drink mixes;</w:t>
      </w:r>
    </w:p>
    <w:p>
      <w:pPr>
        <w:spacing w:after="0" w:line="46"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sales compensation plan and other sales initiatives and incentives; and</w:t>
      </w:r>
    </w:p>
    <w:p>
      <w:pPr>
        <w:spacing w:after="0" w:line="114"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delivery of superior customer service.</w:t>
      </w:r>
    </w:p>
    <w:p>
      <w:pPr>
        <w:spacing w:after="0" w:line="125" w:lineRule="exact"/>
        <w:rPr>
          <w:sz w:val="20"/>
          <w:szCs w:val="20"/>
          <w:color w:val="auto"/>
        </w:rPr>
      </w:pPr>
    </w:p>
    <w:p>
      <w:pPr>
        <w:ind w:right="180" w:firstLine="255"/>
        <w:spacing w:after="0" w:line="264" w:lineRule="auto"/>
        <w:rPr>
          <w:sz w:val="20"/>
          <w:szCs w:val="20"/>
          <w:color w:val="auto"/>
        </w:rPr>
      </w:pPr>
      <w:r>
        <w:rPr>
          <w:rFonts w:ascii="Times New Roman" w:cs="Times New Roman" w:eastAsia="Times New Roman" w:hAnsi="Times New Roman"/>
          <w:sz w:val="14"/>
          <w:szCs w:val="14"/>
          <w:color w:val="auto"/>
        </w:rPr>
        <w:t>As a result, it is vital to our success that we leverage our product development resources to develop and introduce compelling and innovative products and provide opportunities for our independent consultants to sell these products in a variety of markets. We sell our products in the United States, Mexico, Japan, Australia, Hong Kong, Canada, Thailand, the United Kingdom, the Netherlands, Germany, Taiwan, Austria, Spain, Ireland, Belgium, New Zealand, Singapore, and the Philippines. We sold our products in China through a China approved cross-border e-commerce business model until March 15, 2023, at</w:t>
      </w:r>
    </w:p>
    <w:p>
      <w:pPr>
        <w:spacing w:after="0" w:line="200" w:lineRule="exact"/>
        <w:rPr>
          <w:sz w:val="20"/>
          <w:szCs w:val="20"/>
          <w:color w:val="auto"/>
        </w:rPr>
      </w:pPr>
    </w:p>
    <w:p>
      <w:pPr>
        <w:spacing w:after="0" w:line="3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846" w:right="339" w:bottom="1440" w:gutter="0" w:footer="0" w:header="0"/>
          <w:type w:val="continuous"/>
        </w:sectPr>
      </w:pPr>
    </w:p>
    <w:bookmarkStart w:id="44" w:name="page45"/>
    <w:bookmarkEnd w:id="44"/>
    <w:p>
      <w:pPr>
        <w:ind w:right="280"/>
        <w:spacing w:after="0" w:line="287" w:lineRule="auto"/>
        <w:rPr>
          <w:sz w:val="20"/>
          <w:szCs w:val="20"/>
          <w:color w:val="auto"/>
        </w:rPr>
      </w:pPr>
      <w:r>
        <w:rPr>
          <w:rFonts w:ascii="Times New Roman" w:cs="Times New Roman" w:eastAsia="Times New Roman" w:hAnsi="Times New Roman"/>
          <w:sz w:val="14"/>
          <w:szCs w:val="14"/>
          <w:color w:val="auto"/>
        </w:rPr>
        <w:t>which time we closed our e-commerce business in China. In addition, we sell our products in a number of countries for personal consumption only. Entering a new market requires a considerable amount of time, resources and continued support. If we are unable to properly support an existing or new market, our revenue growth may be negatively impacted.</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Our Products</w:t>
      </w:r>
    </w:p>
    <w:p>
      <w:pPr>
        <w:spacing w:after="0" w:line="125" w:lineRule="exact"/>
        <w:rPr>
          <w:sz w:val="20"/>
          <w:szCs w:val="20"/>
          <w:color w:val="auto"/>
        </w:rPr>
      </w:pPr>
    </w:p>
    <w:p>
      <w:pPr>
        <w:ind w:firstLine="255"/>
        <w:spacing w:after="0" w:line="207" w:lineRule="auto"/>
        <w:rPr>
          <w:sz w:val="20"/>
          <w:szCs w:val="20"/>
          <w:color w:val="auto"/>
        </w:rPr>
      </w:pPr>
      <w:r>
        <w:rPr>
          <w:rFonts w:ascii="Times New Roman" w:cs="Times New Roman" w:eastAsia="Times New Roman" w:hAnsi="Times New Roman"/>
          <w:sz w:val="14"/>
          <w:szCs w:val="14"/>
          <w:color w:val="auto"/>
        </w:rPr>
        <w:t>Our products are the Protandim</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line of scientifically validated dietary supplements, LifeVantage</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Omega+, ProBio, IC Bright</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Rise AM, Reset PM, D3+, Daily Wellness, and PhysIQ Fat Burn and Prebiotic dietary supplements, TrueScience</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our line of skin and hair care products and Liquid Collagen, Petandim</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our companion pet supplement formulated to combat oxidative stress in dogs, and AXIO</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our nootropic energy drink mixes. The Protandim</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product line includes Protandim</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NRF1 Synergizer</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Protandim</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Nrf2 Synergizer</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and Protandim</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NAD Synergizer</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The Protandim</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NRF1 Synergizer</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is formulated to increase cellular energy and performance by boosting mitochondria production to improve cellular repair and slow cellular aging. The Protandim</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Nrf2 Synergizer</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contains a proprietary blend of ingredients and has been shown to combat oxidative stress and enhance energy production by increasing the body’s natural antioxidant protection at the genetic level, inducing the production of naturally occurring protective antioxidant enzymes, including superoxide dismutase, catalase, and glutathione synthase. The Protandim</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NAD Synergizer</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was specifically formulated to target cell signaling pathways involved in the synthesis and recycling of a specific molecule called NAD (nicotinamide adenine dinucleotide), and it has been shown to double sirtuin activity, supporting increased health, focus, energy, mental clarity, and mood. Use of the three Protandim</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products together, marketed as the Protandim</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Tri-Synergizer</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has been shown to produce synergistic benefits greater than using the single products on their own. LifeVantage</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Omega+ is a dietary supplement that combines DHA and EPA Omega-3 fatty acids, omega-7 fatty acids, and vitamin D3 to support cognitive health, cardiovascular health, skin health, and the immune system. LifeVantage</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ProBio is a dietary supplement designed to support optimal digestion and immune system function. LifeVantage</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Daily Wellness is a dietary supplement designed to support immune health. IC Bright</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is a dietary supplement to help support eye and brain health, reduce eye fatigue and strain, support cognitive functions, and may help support normal sleep patterns. PhysIQ Fat Burn is a dietary supplement designed to support weight management, and PhysIQ Prebiotic is a dietary supplement designed to support a healthy digestive tract. Our Nrf2 enhanced TrueScience</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line of anti-aging skin and hair care products includes TrueScience</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TrueClean Refining Cleanser, TrueScience</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TrueRenew Daily Firming Complex, TrueScience</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TrueLift Illuminating Eye Cream, TrueScience</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TrueHydrate Brightening Moisturizer, TrueScience</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TrueTone Perfecting Lotion, TrueScience</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TrueProtect Daily Mineral Sunstick SPF 30, TrueScience</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Perfecting Lotion, TrueScience</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Hand Cream, TrueScience</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Invigorating Shampoo, TrueScience</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Nourishing Conditioner, TrueScience</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Scalp Serum, and TrueScience</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Liquid Collagen. TrueScience</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Liquid Collagen activates, replenishes, and maintains collagen to support firmness and elasticity from within. Petandim</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is a supplement specially formulated to combat oxidative stress in dogs through Nrf2 activation. AXIO</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is our line of our nootropic energy drink mixes formulated to promote alertness and support mental performance. We believe our significant number of customers who regularly and repeatedly purchase our products is a strong indicator of the health benefits of our products.</w:t>
      </w:r>
    </w:p>
    <w:p>
      <w:pPr>
        <w:spacing w:after="0" w:line="112" w:lineRule="exact"/>
        <w:rPr>
          <w:sz w:val="20"/>
          <w:szCs w:val="20"/>
          <w:color w:val="auto"/>
        </w:rPr>
      </w:pPr>
    </w:p>
    <w:p>
      <w:pPr>
        <w:ind w:right="20" w:firstLine="255"/>
        <w:spacing w:after="0" w:line="225" w:lineRule="auto"/>
        <w:rPr>
          <w:sz w:val="20"/>
          <w:szCs w:val="20"/>
          <w:color w:val="auto"/>
        </w:rPr>
      </w:pPr>
      <w:r>
        <w:rPr>
          <w:rFonts w:ascii="Times New Roman" w:cs="Times New Roman" w:eastAsia="Times New Roman" w:hAnsi="Times New Roman"/>
          <w:sz w:val="14"/>
          <w:szCs w:val="14"/>
          <w:color w:val="auto"/>
        </w:rPr>
        <w:t>We sell our products both individually and in stacks. A stack consists of multiple products bundled together that are designed to achieve a specific result. In fiscal year 2024, our stack strategy evolved with a focus on the brand message of Activation with three stacks that tell the unique LifeVantage Activation story from an inside-out approach. This builds upon the synergistic benefits that were demonstrated in fiscal year 2023 with our Healthy Glow Essentials stack. The Inside-Out Activation Duo features Nrf2 Synergizer</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and TrueScience</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TrueRenew Daily Firming Complex. This duo activates antioxidants for good health on the inside and a cleaner, kinder retinol alternative for skin that looks and feels healthy and youthful on the outside. The LifeVantage Activation Essentials Stack contains Nrf2 Synergizer</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TrueScience</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Liquid Collagen, and TrueScience</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TrueRenew Daily Firming Complex. Finally our Healthy Glow + Activated Skin Care Collection contains Nrf2 Synergizer</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TrueScience</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Liquid Collagen, and the full Activated Skin Care Collection. We continue to offer other popular packs such as the Vitality Stack (Protandim</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NRF1 Synergizer</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Protandim</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Nrf2 Synergizer</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LifeVantage</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Omega+ and LifeVantage</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ProBio), the Ultimate Stack (Vitality Stack + Protandim</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NAD Synergizer</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and PhysIQ Prebiotic), and the Protandim</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Tri-Synergizer</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(Protandim</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NRF1 Synergizer</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Protandim</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Nrf2 Synergizer</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and Protandim</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NAD Synergizer</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w:t>
      </w:r>
    </w:p>
    <w:p>
      <w:pPr>
        <w:spacing w:after="0" w:line="4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following table shows revenue by major product line for the fiscal years ended June 30, 2024 and 2023.</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20" w:type="dxa"/>
            <w:vAlign w:val="bottom"/>
          </w:tcPr>
          <w:p>
            <w:pPr>
              <w:spacing w:after="0"/>
              <w:rPr>
                <w:sz w:val="13"/>
                <w:szCs w:val="13"/>
                <w:color w:val="auto"/>
              </w:rPr>
            </w:pPr>
          </w:p>
        </w:tc>
        <w:tc>
          <w:tcPr>
            <w:tcW w:w="4340" w:type="dxa"/>
            <w:vAlign w:val="bottom"/>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1920" w:type="dxa"/>
            <w:vAlign w:val="bottom"/>
            <w:tcBorders>
              <w:bottom w:val="single" w:sz="8" w:color="auto"/>
            </w:tcBorders>
            <w:gridSpan w:val="3"/>
          </w:tcPr>
          <w:p>
            <w:pPr>
              <w:jc w:val="right"/>
              <w:ind w:right="249"/>
              <w:spacing w:after="0"/>
              <w:rPr>
                <w:sz w:val="20"/>
                <w:szCs w:val="20"/>
                <w:color w:val="auto"/>
              </w:rPr>
            </w:pPr>
            <w:r>
              <w:rPr>
                <w:rFonts w:ascii="Times New Roman" w:cs="Times New Roman" w:eastAsia="Times New Roman" w:hAnsi="Times New Roman"/>
                <w:sz w:val="11"/>
                <w:szCs w:val="11"/>
                <w:b w:val="1"/>
                <w:bCs w:val="1"/>
                <w:color w:val="auto"/>
              </w:rPr>
              <w:t>Years ended June 30,</w:t>
            </w:r>
          </w:p>
        </w:tc>
        <w:tc>
          <w:tcPr>
            <w:tcW w:w="80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70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r>
      <w:tr>
        <w:trPr>
          <w:trHeight w:val="154"/>
        </w:trPr>
        <w:tc>
          <w:tcPr>
            <w:tcW w:w="20" w:type="dxa"/>
            <w:vAlign w:val="bottom"/>
          </w:tcPr>
          <w:p>
            <w:pPr>
              <w:spacing w:after="0"/>
              <w:rPr>
                <w:sz w:val="13"/>
                <w:szCs w:val="13"/>
                <w:color w:val="auto"/>
              </w:rPr>
            </w:pPr>
          </w:p>
        </w:tc>
        <w:tc>
          <w:tcPr>
            <w:tcW w:w="4340" w:type="dxa"/>
            <w:vAlign w:val="bottom"/>
            <w:tcBorders>
              <w:bottom w:val="single" w:sz="8" w:color="CCEEFF"/>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1780" w:type="dxa"/>
            <w:vAlign w:val="bottom"/>
            <w:tcBorders>
              <w:bottom w:val="single" w:sz="8" w:color="auto"/>
            </w:tcBorders>
            <w:gridSpan w:val="3"/>
          </w:tcPr>
          <w:p>
            <w:pPr>
              <w:jc w:val="right"/>
              <w:ind w:right="540"/>
              <w:spacing w:after="0"/>
              <w:rPr>
                <w:sz w:val="20"/>
                <w:szCs w:val="20"/>
                <w:color w:val="auto"/>
              </w:rPr>
            </w:pPr>
            <w:r>
              <w:rPr>
                <w:rFonts w:ascii="Times New Roman" w:cs="Times New Roman" w:eastAsia="Times New Roman" w:hAnsi="Times New Roman"/>
                <w:sz w:val="11"/>
                <w:szCs w:val="11"/>
                <w:b w:val="1"/>
                <w:bCs w:val="1"/>
                <w:color w:val="auto"/>
              </w:rPr>
              <w:t>2024</w:t>
            </w:r>
          </w:p>
        </w:tc>
        <w:tc>
          <w:tcPr>
            <w:tcW w:w="106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1820" w:type="dxa"/>
            <w:vAlign w:val="bottom"/>
            <w:tcBorders>
              <w:bottom w:val="single" w:sz="8" w:color="auto"/>
            </w:tcBorders>
            <w:gridSpan w:val="3"/>
          </w:tcPr>
          <w:p>
            <w:pPr>
              <w:jc w:val="right"/>
              <w:ind w:right="1509"/>
              <w:spacing w:after="0"/>
              <w:rPr>
                <w:sz w:val="20"/>
                <w:szCs w:val="20"/>
                <w:color w:val="auto"/>
              </w:rPr>
            </w:pPr>
            <w:r>
              <w:rPr>
                <w:rFonts w:ascii="Times New Roman" w:cs="Times New Roman" w:eastAsia="Times New Roman" w:hAnsi="Times New Roman"/>
                <w:sz w:val="11"/>
                <w:szCs w:val="11"/>
                <w:b w:val="1"/>
                <w:bCs w:val="1"/>
                <w:color w:val="auto"/>
                <w:w w:val="99"/>
              </w:rPr>
              <w:t>2023</w:t>
            </w:r>
          </w:p>
        </w:tc>
        <w:tc>
          <w:tcPr>
            <w:tcW w:w="20" w:type="dxa"/>
            <w:vAlign w:val="bottom"/>
          </w:tcPr>
          <w:p>
            <w:pPr>
              <w:spacing w:after="0"/>
              <w:rPr>
                <w:sz w:val="13"/>
                <w:szCs w:val="13"/>
                <w:color w:val="auto"/>
              </w:rPr>
            </w:pPr>
          </w:p>
        </w:tc>
      </w:tr>
      <w:tr>
        <w:trPr>
          <w:trHeight w:val="176"/>
        </w:trPr>
        <w:tc>
          <w:tcPr>
            <w:tcW w:w="20" w:type="dxa"/>
            <w:vAlign w:val="bottom"/>
          </w:tcPr>
          <w:p>
            <w:pPr>
              <w:spacing w:after="0"/>
              <w:rPr>
                <w:sz w:val="15"/>
                <w:szCs w:val="15"/>
                <w:color w:val="auto"/>
              </w:rPr>
            </w:pPr>
          </w:p>
        </w:tc>
        <w:tc>
          <w:tcPr>
            <w:tcW w:w="434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4"/>
                <w:szCs w:val="14"/>
                <w:color w:val="auto"/>
              </w:rPr>
              <w:t>Protandim</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product line</w:t>
            </w:r>
          </w:p>
        </w:tc>
        <w:tc>
          <w:tcPr>
            <w:tcW w:w="580" w:type="dxa"/>
            <w:vAlign w:val="bottom"/>
            <w:shd w:val="clear" w:color="auto" w:fill="CCEEFF"/>
          </w:tcPr>
          <w:p>
            <w:pPr>
              <w:jc w:val="right"/>
              <w:ind w:right="42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104,135</w:t>
            </w: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52.0 %</w:t>
            </w:r>
          </w:p>
        </w:tc>
        <w:tc>
          <w:tcPr>
            <w:tcW w:w="80" w:type="dxa"/>
            <w:vAlign w:val="bottom"/>
            <w:shd w:val="clear" w:color="auto" w:fill="CCEEFF"/>
          </w:tcPr>
          <w:p>
            <w:pPr>
              <w:spacing w:after="0"/>
              <w:rPr>
                <w:sz w:val="15"/>
                <w:szCs w:val="15"/>
                <w:color w:val="auto"/>
              </w:rPr>
            </w:pPr>
          </w:p>
        </w:tc>
        <w:tc>
          <w:tcPr>
            <w:tcW w:w="780" w:type="dxa"/>
            <w:vAlign w:val="bottom"/>
            <w:shd w:val="clear" w:color="auto" w:fill="CCEEFF"/>
          </w:tcPr>
          <w:p>
            <w:pPr>
              <w:jc w:val="right"/>
              <w:ind w:right="609"/>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119,720</w:t>
            </w:r>
          </w:p>
        </w:tc>
        <w:tc>
          <w:tcPr>
            <w:tcW w:w="18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56.1 %</w:t>
            </w:r>
          </w:p>
        </w:tc>
        <w:tc>
          <w:tcPr>
            <w:tcW w:w="20" w:type="dxa"/>
            <w:vAlign w:val="bottom"/>
          </w:tcPr>
          <w:p>
            <w:pPr>
              <w:spacing w:after="0"/>
              <w:rPr>
                <w:sz w:val="15"/>
                <w:szCs w:val="15"/>
                <w:color w:val="auto"/>
              </w:rPr>
            </w:pPr>
          </w:p>
        </w:tc>
      </w:tr>
      <w:tr>
        <w:trPr>
          <w:trHeight w:val="180"/>
        </w:trPr>
        <w:tc>
          <w:tcPr>
            <w:tcW w:w="20" w:type="dxa"/>
            <w:vAlign w:val="bottom"/>
          </w:tcPr>
          <w:p>
            <w:pPr>
              <w:spacing w:after="0"/>
              <w:rPr>
                <w:sz w:val="15"/>
                <w:szCs w:val="15"/>
                <w:color w:val="auto"/>
              </w:rPr>
            </w:pPr>
          </w:p>
        </w:tc>
        <w:tc>
          <w:tcPr>
            <w:tcW w:w="4340" w:type="dxa"/>
            <w:vAlign w:val="bottom"/>
          </w:tcPr>
          <w:p>
            <w:pPr>
              <w:ind w:left="20"/>
              <w:spacing w:after="0" w:line="181" w:lineRule="exact"/>
              <w:rPr>
                <w:sz w:val="20"/>
                <w:szCs w:val="20"/>
                <w:color w:val="auto"/>
              </w:rPr>
            </w:pPr>
            <w:r>
              <w:rPr>
                <w:rFonts w:ascii="Times New Roman" w:cs="Times New Roman" w:eastAsia="Times New Roman" w:hAnsi="Times New Roman"/>
                <w:sz w:val="14"/>
                <w:szCs w:val="14"/>
                <w:color w:val="auto"/>
              </w:rPr>
              <w:t>TrueScience</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product line</w:t>
            </w:r>
          </w:p>
        </w:tc>
        <w:tc>
          <w:tcPr>
            <w:tcW w:w="58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56,252</w:t>
            </w: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28.1 %</w:t>
            </w: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49,494</w:t>
            </w:r>
          </w:p>
        </w:tc>
        <w:tc>
          <w:tcPr>
            <w:tcW w:w="182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23.2 %</w:t>
            </w:r>
          </w:p>
        </w:tc>
        <w:tc>
          <w:tcPr>
            <w:tcW w:w="20" w:type="dxa"/>
            <w:vAlign w:val="bottom"/>
          </w:tcPr>
          <w:p>
            <w:pPr>
              <w:spacing w:after="0"/>
              <w:rPr>
                <w:sz w:val="15"/>
                <w:szCs w:val="15"/>
                <w:color w:val="auto"/>
              </w:rPr>
            </w:pPr>
          </w:p>
        </w:tc>
      </w:tr>
      <w:tr>
        <w:trPr>
          <w:trHeight w:val="180"/>
        </w:trPr>
        <w:tc>
          <w:tcPr>
            <w:tcW w:w="20" w:type="dxa"/>
            <w:vAlign w:val="bottom"/>
          </w:tcPr>
          <w:p>
            <w:pPr>
              <w:spacing w:after="0"/>
              <w:rPr>
                <w:sz w:val="15"/>
                <w:szCs w:val="15"/>
                <w:color w:val="auto"/>
              </w:rPr>
            </w:pPr>
          </w:p>
        </w:tc>
        <w:tc>
          <w:tcPr>
            <w:tcW w:w="4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w:t>
            </w:r>
          </w:p>
        </w:tc>
        <w:tc>
          <w:tcPr>
            <w:tcW w:w="58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39,777</w:t>
            </w: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19.9 %</w:t>
            </w:r>
          </w:p>
        </w:tc>
        <w:tc>
          <w:tcPr>
            <w:tcW w:w="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44,184</w:t>
            </w:r>
          </w:p>
        </w:tc>
        <w:tc>
          <w:tcPr>
            <w:tcW w:w="18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20.7 %</w:t>
            </w:r>
          </w:p>
        </w:tc>
        <w:tc>
          <w:tcPr>
            <w:tcW w:w="20" w:type="dxa"/>
            <w:vAlign w:val="bottom"/>
          </w:tcPr>
          <w:p>
            <w:pPr>
              <w:spacing w:after="0"/>
              <w:rPr>
                <w:sz w:val="15"/>
                <w:szCs w:val="15"/>
                <w:color w:val="auto"/>
              </w:rPr>
            </w:pPr>
          </w:p>
        </w:tc>
      </w:tr>
      <w:tr>
        <w:trPr>
          <w:trHeight w:val="171"/>
        </w:trPr>
        <w:tc>
          <w:tcPr>
            <w:tcW w:w="20" w:type="dxa"/>
            <w:vAlign w:val="bottom"/>
          </w:tcPr>
          <w:p>
            <w:pPr>
              <w:spacing w:after="0"/>
              <w:rPr>
                <w:sz w:val="14"/>
                <w:szCs w:val="14"/>
                <w:color w:val="auto"/>
              </w:rPr>
            </w:pPr>
          </w:p>
        </w:tc>
        <w:tc>
          <w:tcPr>
            <w:tcW w:w="43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Total</w:t>
            </w:r>
          </w:p>
        </w:tc>
        <w:tc>
          <w:tcPr>
            <w:tcW w:w="580" w:type="dxa"/>
            <w:vAlign w:val="bottom"/>
            <w:tcBorders>
              <w:top w:val="single" w:sz="8" w:color="auto"/>
              <w:bottom w:val="single" w:sz="8" w:color="auto"/>
            </w:tcBorders>
          </w:tcPr>
          <w:p>
            <w:pPr>
              <w:jc w:val="right"/>
              <w:ind w:right="42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200,164</w:t>
            </w:r>
          </w:p>
        </w:tc>
        <w:tc>
          <w:tcPr>
            <w:tcW w:w="100" w:type="dxa"/>
            <w:vAlign w:val="bottom"/>
          </w:tcPr>
          <w:p>
            <w:pPr>
              <w:spacing w:after="0"/>
              <w:rPr>
                <w:sz w:val="14"/>
                <w:szCs w:val="14"/>
                <w:color w:val="auto"/>
              </w:rPr>
            </w:pPr>
          </w:p>
        </w:tc>
        <w:tc>
          <w:tcPr>
            <w:tcW w:w="660" w:type="dxa"/>
            <w:vAlign w:val="bottom"/>
            <w:tcBorders>
              <w:top w:val="single" w:sz="8" w:color="auto"/>
              <w:bottom w:val="single" w:sz="8" w:color="auto"/>
            </w:tcBorders>
          </w:tcPr>
          <w:p>
            <w:pPr>
              <w:spacing w:after="0"/>
              <w:rPr>
                <w:sz w:val="14"/>
                <w:szCs w:val="14"/>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100.0 %</w:t>
            </w:r>
          </w:p>
        </w:tc>
        <w:tc>
          <w:tcPr>
            <w:tcW w:w="80" w:type="dxa"/>
            <w:vAlign w:val="bottom"/>
          </w:tcPr>
          <w:p>
            <w:pPr>
              <w:spacing w:after="0"/>
              <w:rPr>
                <w:sz w:val="14"/>
                <w:szCs w:val="14"/>
                <w:color w:val="auto"/>
              </w:rPr>
            </w:pPr>
          </w:p>
        </w:tc>
        <w:tc>
          <w:tcPr>
            <w:tcW w:w="780" w:type="dxa"/>
            <w:vAlign w:val="bottom"/>
            <w:tcBorders>
              <w:top w:val="single" w:sz="8" w:color="auto"/>
              <w:bottom w:val="single" w:sz="8" w:color="auto"/>
            </w:tcBorders>
          </w:tcPr>
          <w:p>
            <w:pPr>
              <w:jc w:val="right"/>
              <w:ind w:right="609"/>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213,398</w:t>
            </w:r>
          </w:p>
        </w:tc>
        <w:tc>
          <w:tcPr>
            <w:tcW w:w="20" w:type="dxa"/>
            <w:vAlign w:val="bottom"/>
            <w:tcBorders>
              <w:top w:val="single" w:sz="8" w:color="auto"/>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100.0 %</w:t>
            </w:r>
          </w:p>
        </w:tc>
        <w:tc>
          <w:tcPr>
            <w:tcW w:w="20" w:type="dxa"/>
            <w:vAlign w:val="bottom"/>
          </w:tcPr>
          <w:p>
            <w:pPr>
              <w:spacing w:after="0"/>
              <w:rPr>
                <w:sz w:val="14"/>
                <w:szCs w:val="14"/>
                <w:color w:val="auto"/>
              </w:rPr>
            </w:pPr>
          </w:p>
        </w:tc>
      </w:tr>
      <w:tr>
        <w:trPr>
          <w:trHeight w:val="20"/>
        </w:trPr>
        <w:tc>
          <w:tcPr>
            <w:tcW w:w="2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767"/>
        </w:trPr>
        <w:tc>
          <w:tcPr>
            <w:tcW w:w="20" w:type="dxa"/>
            <w:vAlign w:val="bottom"/>
          </w:tcPr>
          <w:p>
            <w:pPr>
              <w:spacing w:after="0"/>
              <w:rPr>
                <w:sz w:val="24"/>
                <w:szCs w:val="24"/>
                <w:color w:val="auto"/>
              </w:rPr>
            </w:pPr>
          </w:p>
        </w:tc>
        <w:tc>
          <w:tcPr>
            <w:tcW w:w="4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20" w:type="dxa"/>
            <w:vAlign w:val="bottom"/>
          </w:tcPr>
          <w:p>
            <w:pPr>
              <w:jc w:val="right"/>
              <w:ind w:right="172"/>
              <w:spacing w:after="0"/>
              <w:rPr>
                <w:sz w:val="20"/>
                <w:szCs w:val="20"/>
                <w:color w:val="auto"/>
              </w:rPr>
            </w:pPr>
            <w:r>
              <w:rPr>
                <w:rFonts w:ascii="Times New Roman" w:cs="Times New Roman" w:eastAsia="Times New Roman" w:hAnsi="Times New Roman"/>
                <w:sz w:val="14"/>
                <w:szCs w:val="14"/>
                <w:color w:val="auto"/>
              </w:rPr>
              <w:t>45</w:t>
            </w: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87"/>
        </w:trPr>
        <w:tc>
          <w:tcPr>
            <w:tcW w:w="20" w:type="dxa"/>
            <w:vAlign w:val="bottom"/>
            <w:tcBorders>
              <w:bottom w:val="single" w:sz="8" w:color="9A9A9A"/>
            </w:tcBorders>
          </w:tcPr>
          <w:p>
            <w:pPr>
              <w:spacing w:after="0"/>
              <w:rPr>
                <w:sz w:val="7"/>
                <w:szCs w:val="7"/>
                <w:color w:val="auto"/>
              </w:rPr>
            </w:pPr>
          </w:p>
        </w:tc>
        <w:tc>
          <w:tcPr>
            <w:tcW w:w="4340" w:type="dxa"/>
            <w:vAlign w:val="bottom"/>
            <w:tcBorders>
              <w:bottom w:val="single" w:sz="8" w:color="9A9A9A"/>
            </w:tcBorders>
          </w:tcPr>
          <w:p>
            <w:pPr>
              <w:spacing w:after="0"/>
              <w:rPr>
                <w:sz w:val="7"/>
                <w:szCs w:val="7"/>
                <w:color w:val="auto"/>
              </w:rPr>
            </w:pPr>
          </w:p>
        </w:tc>
        <w:tc>
          <w:tcPr>
            <w:tcW w:w="580" w:type="dxa"/>
            <w:vAlign w:val="bottom"/>
            <w:tcBorders>
              <w:bottom w:val="single" w:sz="8" w:color="9A9A9A"/>
            </w:tcBorders>
          </w:tcPr>
          <w:p>
            <w:pPr>
              <w:spacing w:after="0"/>
              <w:rPr>
                <w:sz w:val="7"/>
                <w:szCs w:val="7"/>
                <w:color w:val="auto"/>
              </w:rPr>
            </w:pPr>
          </w:p>
        </w:tc>
        <w:tc>
          <w:tcPr>
            <w:tcW w:w="102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660" w:type="dxa"/>
            <w:vAlign w:val="bottom"/>
            <w:tcBorders>
              <w:bottom w:val="single" w:sz="8" w:color="9A9A9A"/>
            </w:tcBorders>
          </w:tcPr>
          <w:p>
            <w:pPr>
              <w:spacing w:after="0"/>
              <w:rPr>
                <w:sz w:val="7"/>
                <w:szCs w:val="7"/>
                <w:color w:val="auto"/>
              </w:rPr>
            </w:pPr>
          </w:p>
        </w:tc>
        <w:tc>
          <w:tcPr>
            <w:tcW w:w="106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780" w:type="dxa"/>
            <w:vAlign w:val="bottom"/>
            <w:tcBorders>
              <w:bottom w:val="single" w:sz="8" w:color="9A9A9A"/>
            </w:tcBorders>
          </w:tcPr>
          <w:p>
            <w:pPr>
              <w:spacing w:after="0"/>
              <w:rPr>
                <w:sz w:val="7"/>
                <w:szCs w:val="7"/>
                <w:color w:val="auto"/>
              </w:rPr>
            </w:pPr>
          </w:p>
        </w:tc>
        <w:tc>
          <w:tcPr>
            <w:tcW w:w="80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170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846" w:right="319" w:bottom="1440" w:gutter="0" w:footer="0" w:header="0"/>
        </w:sectPr>
      </w:pPr>
    </w:p>
    <w:bookmarkStart w:id="45" w:name="page46"/>
    <w:bookmarkEnd w:id="45"/>
    <w:p>
      <w:pPr>
        <w:ind w:right="80" w:firstLine="255"/>
        <w:spacing w:after="0" w:line="232" w:lineRule="auto"/>
        <w:rPr>
          <w:sz w:val="20"/>
          <w:szCs w:val="20"/>
          <w:color w:val="auto"/>
        </w:rPr>
      </w:pPr>
      <w:r>
        <w:rPr>
          <w:rFonts w:ascii="Times New Roman" w:cs="Times New Roman" w:eastAsia="Times New Roman" w:hAnsi="Times New Roman"/>
          <w:sz w:val="14"/>
          <w:szCs w:val="14"/>
          <w:color w:val="auto"/>
        </w:rPr>
        <w:t>Our revenue is largely attributed to two product lines, Protandim</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and TrueScience</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each of which accounted for more than 10% of total revenue for each of the fiscal years ended June 30, 2024 and 2023. On a combined basis, these product lines represent approximately 80.1% and 79.3% of our total net revenue for the fiscal years ended June 30, 2024 and 2023, respectively.</w:t>
      </w:r>
    </w:p>
    <w:p>
      <w:pPr>
        <w:spacing w:after="0" w:line="93" w:lineRule="exact"/>
        <w:rPr>
          <w:sz w:val="20"/>
          <w:szCs w:val="20"/>
          <w:color w:val="auto"/>
        </w:rPr>
      </w:pPr>
    </w:p>
    <w:p>
      <w:pPr>
        <w:ind w:right="80" w:firstLine="255"/>
        <w:spacing w:after="0" w:line="287" w:lineRule="auto"/>
        <w:rPr>
          <w:sz w:val="20"/>
          <w:szCs w:val="20"/>
          <w:color w:val="auto"/>
        </w:rPr>
      </w:pPr>
      <w:r>
        <w:rPr>
          <w:rFonts w:ascii="Times New Roman" w:cs="Times New Roman" w:eastAsia="Times New Roman" w:hAnsi="Times New Roman"/>
          <w:sz w:val="14"/>
          <w:szCs w:val="14"/>
          <w:color w:val="auto"/>
        </w:rPr>
        <w:t>We currently have additional products in development. Any delays or difficulties in introducing compelling products or attractive initiatives or tools into our markets may have a negative impact on our revenue and our ability to attract new independent consultants and customers.</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Accounts</w:t>
      </w:r>
    </w:p>
    <w:p>
      <w:pPr>
        <w:spacing w:after="0" w:line="127" w:lineRule="exact"/>
        <w:rPr>
          <w:sz w:val="20"/>
          <w:szCs w:val="20"/>
          <w:color w:val="auto"/>
        </w:rPr>
      </w:pPr>
    </w:p>
    <w:p>
      <w:pPr>
        <w:ind w:right="120" w:firstLine="255"/>
        <w:spacing w:after="0" w:line="264" w:lineRule="auto"/>
        <w:rPr>
          <w:sz w:val="20"/>
          <w:szCs w:val="20"/>
          <w:color w:val="auto"/>
        </w:rPr>
      </w:pPr>
      <w:r>
        <w:rPr>
          <w:rFonts w:ascii="Times New Roman" w:cs="Times New Roman" w:eastAsia="Times New Roman" w:hAnsi="Times New Roman"/>
          <w:sz w:val="14"/>
          <w:szCs w:val="14"/>
          <w:color w:val="auto"/>
        </w:rPr>
        <w:t>Because we primarily utilize a direct selling model for the distribution of a majority of our products, the success and growth of our business depends in large part on the effectiveness of our independent consultants to attract and retain customers to purchase our products, and our ability to attract new and retain existing independent consultants. Changes in our product sales are typically the result of variations in product sales volume relating to fluctuations in the number of active independent consultants and customers purchasing our products. The number of active independent consultants and customers is, therefore, used by management as a key non-financial measure.</w:t>
      </w:r>
    </w:p>
    <w:p>
      <w:pPr>
        <w:spacing w:after="0" w:line="77" w:lineRule="exact"/>
        <w:rPr>
          <w:sz w:val="20"/>
          <w:szCs w:val="20"/>
          <w:color w:val="auto"/>
        </w:rPr>
      </w:pPr>
    </w:p>
    <w:p>
      <w:pPr>
        <w:ind w:right="20" w:firstLine="255"/>
        <w:spacing w:after="0" w:line="270" w:lineRule="auto"/>
        <w:rPr>
          <w:sz w:val="20"/>
          <w:szCs w:val="20"/>
          <w:color w:val="auto"/>
        </w:rPr>
      </w:pPr>
      <w:r>
        <w:rPr>
          <w:rFonts w:ascii="Times New Roman" w:cs="Times New Roman" w:eastAsia="Times New Roman" w:hAnsi="Times New Roman"/>
          <w:sz w:val="14"/>
          <w:szCs w:val="14"/>
          <w:color w:val="auto"/>
        </w:rPr>
        <w:t>The following tables summarize the changes in our active accounts by geographic region. These numbers have been rounded to the nearest thousand as of the dates indicated. For purposes of this report, we define "Active Accounts" as only those independent consultants and customers who have purchased from us at any time during the most recent three-month period, either for personal use or for resale.</w:t>
      </w:r>
    </w:p>
    <w:p>
      <w:pPr>
        <w:spacing w:after="0" w:line="184" w:lineRule="exact"/>
        <w:rPr>
          <w:sz w:val="20"/>
          <w:szCs w:val="20"/>
          <w:color w:val="auto"/>
        </w:rPr>
      </w:pPr>
    </w:p>
    <w:tbl>
      <w:tblPr>
        <w:tblLayout w:type="fixed"/>
        <w:tblInd w:w="20" w:type="dxa"/>
        <w:tblCellMar>
          <w:top w:w="0" w:type="dxa"/>
          <w:left w:w="0" w:type="dxa"/>
          <w:bottom w:w="0" w:type="dxa"/>
          <w:right w:w="0" w:type="dxa"/>
        </w:tblCellMar>
      </w:tblPr>
      <w:tr>
        <w:trPr>
          <w:trHeight w:val="158"/>
        </w:trPr>
        <w:tc>
          <w:tcPr>
            <w:tcW w:w="3980" w:type="dxa"/>
            <w:vAlign w:val="bottom"/>
          </w:tcPr>
          <w:p>
            <w:pPr>
              <w:spacing w:after="0"/>
              <w:rPr>
                <w:sz w:val="13"/>
                <w:szCs w:val="13"/>
                <w:color w:val="auto"/>
              </w:rPr>
            </w:pPr>
          </w:p>
        </w:tc>
        <w:tc>
          <w:tcPr>
            <w:tcW w:w="10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gridSpan w:val="3"/>
          </w:tcPr>
          <w:p>
            <w:pPr>
              <w:ind w:left="480"/>
              <w:spacing w:after="0"/>
              <w:rPr>
                <w:sz w:val="20"/>
                <w:szCs w:val="20"/>
                <w:color w:val="auto"/>
              </w:rPr>
            </w:pPr>
            <w:r>
              <w:rPr>
                <w:rFonts w:ascii="Times New Roman" w:cs="Times New Roman" w:eastAsia="Times New Roman" w:hAnsi="Times New Roman"/>
                <w:sz w:val="11"/>
                <w:szCs w:val="11"/>
                <w:b w:val="1"/>
                <w:bCs w:val="1"/>
                <w:color w:val="auto"/>
              </w:rPr>
              <w:t>As of June 30,</w:t>
            </w:r>
          </w:p>
        </w:tc>
        <w:tc>
          <w:tcPr>
            <w:tcW w:w="6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5"/>
        </w:trPr>
        <w:tc>
          <w:tcPr>
            <w:tcW w:w="3980" w:type="dxa"/>
            <w:vAlign w:val="bottom"/>
          </w:tcPr>
          <w:p>
            <w:pPr>
              <w:spacing w:after="0"/>
              <w:rPr>
                <w:sz w:val="8"/>
                <w:szCs w:val="8"/>
                <w:color w:val="auto"/>
              </w:rPr>
            </w:pPr>
          </w:p>
        </w:tc>
        <w:tc>
          <w:tcPr>
            <w:tcW w:w="1580" w:type="dxa"/>
            <w:vAlign w:val="bottom"/>
            <w:gridSpan w:val="3"/>
            <w:vMerge w:val="restart"/>
          </w:tcPr>
          <w:p>
            <w:pPr>
              <w:jc w:val="right"/>
              <w:ind w:right="280"/>
              <w:spacing w:after="0"/>
              <w:rPr>
                <w:sz w:val="20"/>
                <w:szCs w:val="20"/>
                <w:color w:val="auto"/>
              </w:rPr>
            </w:pPr>
            <w:r>
              <w:rPr>
                <w:rFonts w:ascii="Times New Roman" w:cs="Times New Roman" w:eastAsia="Times New Roman" w:hAnsi="Times New Roman"/>
                <w:sz w:val="11"/>
                <w:szCs w:val="11"/>
                <w:b w:val="1"/>
                <w:bCs w:val="1"/>
                <w:color w:val="auto"/>
              </w:rPr>
              <w:t>2024</w:t>
            </w:r>
          </w:p>
        </w:tc>
        <w:tc>
          <w:tcPr>
            <w:tcW w:w="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160" w:type="dxa"/>
            <w:vAlign w:val="bottom"/>
            <w:gridSpan w:val="3"/>
            <w:vMerge w:val="restart"/>
          </w:tcPr>
          <w:p>
            <w:pPr>
              <w:jc w:val="right"/>
              <w:ind w:right="300"/>
              <w:spacing w:after="0"/>
              <w:rPr>
                <w:sz w:val="20"/>
                <w:szCs w:val="20"/>
                <w:color w:val="auto"/>
              </w:rPr>
            </w:pPr>
            <w:r>
              <w:rPr>
                <w:rFonts w:ascii="Times New Roman" w:cs="Times New Roman" w:eastAsia="Times New Roman" w:hAnsi="Times New Roman"/>
                <w:sz w:val="11"/>
                <w:szCs w:val="11"/>
                <w:b w:val="1"/>
                <w:bCs w:val="1"/>
                <w:color w:val="auto"/>
              </w:rPr>
              <w:t>2023</w:t>
            </w:r>
          </w:p>
        </w:tc>
        <w:tc>
          <w:tcPr>
            <w:tcW w:w="780" w:type="dxa"/>
            <w:vAlign w:val="bottom"/>
          </w:tcPr>
          <w:p>
            <w:pPr>
              <w:spacing w:after="0"/>
              <w:rPr>
                <w:sz w:val="8"/>
                <w:szCs w:val="8"/>
                <w:color w:val="auto"/>
              </w:rPr>
            </w:pPr>
          </w:p>
        </w:tc>
        <w:tc>
          <w:tcPr>
            <w:tcW w:w="80" w:type="dxa"/>
            <w:vAlign w:val="bottom"/>
          </w:tcPr>
          <w:p>
            <w:pPr>
              <w:spacing w:after="0"/>
              <w:rPr>
                <w:sz w:val="8"/>
                <w:szCs w:val="8"/>
                <w:color w:val="auto"/>
              </w:rPr>
            </w:pPr>
          </w:p>
        </w:tc>
        <w:tc>
          <w:tcPr>
            <w:tcW w:w="1100" w:type="dxa"/>
            <w:vAlign w:val="bottom"/>
          </w:tcPr>
          <w:p>
            <w:pPr>
              <w:jc w:val="right"/>
              <w:ind w:right="12"/>
              <w:spacing w:after="0" w:line="96" w:lineRule="exact"/>
              <w:rPr>
                <w:sz w:val="20"/>
                <w:szCs w:val="20"/>
                <w:color w:val="auto"/>
              </w:rPr>
            </w:pPr>
            <w:r>
              <w:rPr>
                <w:rFonts w:ascii="Times New Roman" w:cs="Times New Roman" w:eastAsia="Times New Roman" w:hAnsi="Times New Roman"/>
                <w:sz w:val="11"/>
                <w:szCs w:val="11"/>
                <w:b w:val="1"/>
                <w:bCs w:val="1"/>
                <w:color w:val="auto"/>
              </w:rPr>
              <w:t>Change from Prior</w:t>
            </w:r>
          </w:p>
        </w:tc>
        <w:tc>
          <w:tcPr>
            <w:tcW w:w="80" w:type="dxa"/>
            <w:vAlign w:val="bottom"/>
          </w:tcPr>
          <w:p>
            <w:pPr>
              <w:spacing w:after="0"/>
              <w:rPr>
                <w:sz w:val="8"/>
                <w:szCs w:val="8"/>
                <w:color w:val="auto"/>
              </w:rPr>
            </w:pPr>
          </w:p>
        </w:tc>
        <w:tc>
          <w:tcPr>
            <w:tcW w:w="1200" w:type="dxa"/>
            <w:vAlign w:val="bottom"/>
            <w:vMerge w:val="restart"/>
          </w:tcPr>
          <w:p>
            <w:pPr>
              <w:jc w:val="right"/>
              <w:ind w:right="163"/>
              <w:spacing w:after="0"/>
              <w:rPr>
                <w:sz w:val="20"/>
                <w:szCs w:val="20"/>
                <w:color w:val="auto"/>
              </w:rPr>
            </w:pPr>
            <w:r>
              <w:rPr>
                <w:rFonts w:ascii="Times New Roman" w:cs="Times New Roman" w:eastAsia="Times New Roman" w:hAnsi="Times New Roman"/>
                <w:sz w:val="11"/>
                <w:szCs w:val="11"/>
                <w:b w:val="1"/>
                <w:bCs w:val="1"/>
                <w:color w:val="auto"/>
              </w:rPr>
              <w:t>Percent Change</w:t>
            </w:r>
          </w:p>
        </w:tc>
        <w:tc>
          <w:tcPr>
            <w:tcW w:w="0" w:type="dxa"/>
            <w:vAlign w:val="bottom"/>
          </w:tcPr>
          <w:p>
            <w:pPr>
              <w:spacing w:after="0"/>
              <w:rPr>
                <w:sz w:val="1"/>
                <w:szCs w:val="1"/>
                <w:color w:val="auto"/>
              </w:rPr>
            </w:pPr>
          </w:p>
        </w:tc>
      </w:tr>
      <w:tr>
        <w:trPr>
          <w:trHeight w:val="154"/>
        </w:trPr>
        <w:tc>
          <w:tcPr>
            <w:tcW w:w="3980" w:type="dxa"/>
            <w:vAlign w:val="bottom"/>
            <w:tcBorders>
              <w:bottom w:val="single" w:sz="8" w:color="CCEEFF"/>
            </w:tcBorders>
          </w:tcPr>
          <w:p>
            <w:pPr>
              <w:spacing w:after="0"/>
              <w:rPr>
                <w:sz w:val="13"/>
                <w:szCs w:val="13"/>
                <w:color w:val="auto"/>
              </w:rPr>
            </w:pPr>
          </w:p>
        </w:tc>
        <w:tc>
          <w:tcPr>
            <w:tcW w:w="1580" w:type="dxa"/>
            <w:vAlign w:val="bottom"/>
            <w:tcBorders>
              <w:bottom w:val="single" w:sz="8" w:color="auto"/>
            </w:tcBorders>
            <w:gridSpan w:val="3"/>
            <w:vMerge w:val="continue"/>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gridSpan w:val="3"/>
            <w:vMerge w:val="continue"/>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110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1"/>
                <w:szCs w:val="11"/>
                <w:b w:val="1"/>
                <w:bCs w:val="1"/>
                <w:color w:val="auto"/>
              </w:rPr>
              <w:t>Year</w:t>
            </w:r>
          </w:p>
        </w:tc>
        <w:tc>
          <w:tcPr>
            <w:tcW w:w="80" w:type="dxa"/>
            <w:vAlign w:val="bottom"/>
            <w:tcBorders>
              <w:bottom w:val="single" w:sz="8" w:color="CCEEFF"/>
            </w:tcBorders>
          </w:tcPr>
          <w:p>
            <w:pPr>
              <w:spacing w:after="0"/>
              <w:rPr>
                <w:sz w:val="13"/>
                <w:szCs w:val="13"/>
                <w:color w:val="auto"/>
              </w:rPr>
            </w:pPr>
          </w:p>
        </w:tc>
        <w:tc>
          <w:tcPr>
            <w:tcW w:w="120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39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Active Independent Consultants</w:t>
            </w:r>
          </w:p>
        </w:tc>
        <w:tc>
          <w:tcPr>
            <w:tcW w:w="10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39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Americas</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31,000</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63.3 %</w:t>
            </w: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33,000</w:t>
            </w: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61.1 %</w:t>
            </w:r>
          </w:p>
        </w:tc>
        <w:tc>
          <w:tcPr>
            <w:tcW w:w="8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(2,000)</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(6.1)%</w:t>
            </w:r>
          </w:p>
        </w:tc>
        <w:tc>
          <w:tcPr>
            <w:tcW w:w="0" w:type="dxa"/>
            <w:vAlign w:val="bottom"/>
          </w:tcPr>
          <w:p>
            <w:pPr>
              <w:spacing w:after="0"/>
              <w:rPr>
                <w:sz w:val="1"/>
                <w:szCs w:val="1"/>
                <w:color w:val="auto"/>
              </w:rPr>
            </w:pPr>
          </w:p>
        </w:tc>
      </w:tr>
      <w:tr>
        <w:trPr>
          <w:trHeight w:val="180"/>
        </w:trPr>
        <w:tc>
          <w:tcPr>
            <w:tcW w:w="3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Asia/Pacific &amp; Europe</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18,000</w:t>
            </w:r>
          </w:p>
        </w:tc>
        <w:tc>
          <w:tcPr>
            <w:tcW w:w="100" w:type="dxa"/>
            <w:vAlign w:val="bottom"/>
            <w:shd w:val="clear" w:color="auto" w:fill="CCEEFF"/>
          </w:tcPr>
          <w:p>
            <w:pPr>
              <w:spacing w:after="0"/>
              <w:rPr>
                <w:sz w:val="15"/>
                <w:szCs w:val="15"/>
                <w:color w:val="auto"/>
              </w:rPr>
            </w:pPr>
          </w:p>
        </w:tc>
        <w:tc>
          <w:tcPr>
            <w:tcW w:w="400" w:type="dxa"/>
            <w:vAlign w:val="bottom"/>
            <w:tcBorders>
              <w:bottom w:val="single" w:sz="8" w:color="auto"/>
            </w:tcBorders>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36.7 %</w:t>
            </w:r>
          </w:p>
        </w:tc>
        <w:tc>
          <w:tcPr>
            <w:tcW w:w="100" w:type="dxa"/>
            <w:vAlign w:val="bottom"/>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21,000</w:t>
            </w:r>
          </w:p>
        </w:tc>
        <w:tc>
          <w:tcPr>
            <w:tcW w:w="100" w:type="dxa"/>
            <w:vAlign w:val="bottom"/>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38.9 %</w:t>
            </w:r>
          </w:p>
        </w:tc>
        <w:tc>
          <w:tcPr>
            <w:tcW w:w="80" w:type="dxa"/>
            <w:vAlign w:val="bottom"/>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(3,000)</w:t>
            </w:r>
          </w:p>
        </w:tc>
        <w:tc>
          <w:tcPr>
            <w:tcW w:w="1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(14.3)%</w:t>
            </w:r>
          </w:p>
        </w:tc>
        <w:tc>
          <w:tcPr>
            <w:tcW w:w="0" w:type="dxa"/>
            <w:vAlign w:val="bottom"/>
          </w:tcPr>
          <w:p>
            <w:pPr>
              <w:spacing w:after="0"/>
              <w:rPr>
                <w:sz w:val="1"/>
                <w:szCs w:val="1"/>
                <w:color w:val="auto"/>
              </w:rPr>
            </w:pPr>
          </w:p>
        </w:tc>
      </w:tr>
      <w:tr>
        <w:trPr>
          <w:trHeight w:val="171"/>
        </w:trPr>
        <w:tc>
          <w:tcPr>
            <w:tcW w:w="39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Total Active Independent Consultants</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49,000</w:t>
            </w:r>
          </w:p>
        </w:tc>
        <w:tc>
          <w:tcPr>
            <w:tcW w:w="10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100.0 %</w:t>
            </w:r>
          </w:p>
        </w:tc>
        <w:tc>
          <w:tcPr>
            <w:tcW w:w="10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54,000</w:t>
            </w:r>
          </w:p>
        </w:tc>
        <w:tc>
          <w:tcPr>
            <w:tcW w:w="10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100.0 %</w:t>
            </w:r>
          </w:p>
        </w:tc>
        <w:tc>
          <w:tcPr>
            <w:tcW w:w="80" w:type="dxa"/>
            <w:vAlign w:val="bottom"/>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(5,000)</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(9.3)%</w:t>
            </w:r>
          </w:p>
        </w:tc>
        <w:tc>
          <w:tcPr>
            <w:tcW w:w="0" w:type="dxa"/>
            <w:vAlign w:val="bottom"/>
          </w:tcPr>
          <w:p>
            <w:pPr>
              <w:spacing w:after="0"/>
              <w:rPr>
                <w:sz w:val="1"/>
                <w:szCs w:val="1"/>
                <w:color w:val="auto"/>
              </w:rPr>
            </w:pPr>
          </w:p>
        </w:tc>
      </w:tr>
      <w:tr>
        <w:trPr>
          <w:trHeight w:val="20"/>
        </w:trPr>
        <w:tc>
          <w:tcPr>
            <w:tcW w:w="398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398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980" w:type="dxa"/>
            <w:vAlign w:val="bottom"/>
          </w:tcPr>
          <w:p>
            <w:pPr>
              <w:spacing w:after="0"/>
              <w:rPr>
                <w:sz w:val="20"/>
                <w:szCs w:val="20"/>
                <w:color w:val="auto"/>
              </w:rPr>
            </w:pPr>
            <w:r>
              <w:rPr>
                <w:rFonts w:ascii="Times New Roman" w:cs="Times New Roman" w:eastAsia="Times New Roman" w:hAnsi="Times New Roman"/>
                <w:sz w:val="14"/>
                <w:szCs w:val="14"/>
                <w:color w:val="auto"/>
              </w:rPr>
              <w:t>Active Customers</w:t>
            </w: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Americas</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63,000</w:t>
            </w: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79.7 %</w:t>
            </w: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69,000</w:t>
            </w: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77.5 %</w:t>
            </w:r>
          </w:p>
        </w:tc>
        <w:tc>
          <w:tcPr>
            <w:tcW w:w="8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(6,000)</w:t>
            </w:r>
          </w:p>
        </w:tc>
        <w:tc>
          <w:tcPr>
            <w:tcW w:w="1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w:t>
            </w:r>
          </w:p>
        </w:tc>
        <w:tc>
          <w:tcPr>
            <w:tcW w:w="0" w:type="dxa"/>
            <w:vAlign w:val="bottom"/>
          </w:tcPr>
          <w:p>
            <w:pPr>
              <w:spacing w:after="0"/>
              <w:rPr>
                <w:sz w:val="1"/>
                <w:szCs w:val="1"/>
                <w:color w:val="auto"/>
              </w:rPr>
            </w:pPr>
          </w:p>
        </w:tc>
      </w:tr>
      <w:tr>
        <w:trPr>
          <w:trHeight w:val="180"/>
        </w:trPr>
        <w:tc>
          <w:tcPr>
            <w:tcW w:w="39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4"/>
                <w:szCs w:val="14"/>
                <w:color w:val="auto"/>
              </w:rPr>
              <w:t>Asia/Pacific &amp; Europe</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16,000</w:t>
            </w:r>
          </w:p>
        </w:tc>
        <w:tc>
          <w:tcPr>
            <w:tcW w:w="10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20.3 %</w:t>
            </w:r>
          </w:p>
        </w:tc>
        <w:tc>
          <w:tcPr>
            <w:tcW w:w="100" w:type="dxa"/>
            <w:vAlign w:val="bottom"/>
            <w:tcBorders>
              <w:bottom w:val="single" w:sz="8" w:color="CCEEFF"/>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20,000</w:t>
            </w:r>
          </w:p>
        </w:tc>
        <w:tc>
          <w:tcPr>
            <w:tcW w:w="100" w:type="dxa"/>
            <w:vAlign w:val="bottom"/>
            <w:tcBorders>
              <w:bottom w:val="single" w:sz="8" w:color="CCEEFF"/>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22.5 %</w:t>
            </w:r>
          </w:p>
        </w:tc>
        <w:tc>
          <w:tcPr>
            <w:tcW w:w="80" w:type="dxa"/>
            <w:vAlign w:val="bottom"/>
            <w:tcBorders>
              <w:bottom w:val="single" w:sz="8" w:color="CCEEFF"/>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(4,000)</w:t>
            </w:r>
          </w:p>
        </w:tc>
        <w:tc>
          <w:tcPr>
            <w:tcW w:w="128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4"/>
                <w:szCs w:val="14"/>
                <w:color w:val="auto"/>
              </w:rPr>
              <w:t>(20.0)%</w:t>
            </w:r>
          </w:p>
        </w:tc>
        <w:tc>
          <w:tcPr>
            <w:tcW w:w="0" w:type="dxa"/>
            <w:vAlign w:val="bottom"/>
          </w:tcPr>
          <w:p>
            <w:pPr>
              <w:spacing w:after="0"/>
              <w:rPr>
                <w:sz w:val="1"/>
                <w:szCs w:val="1"/>
                <w:color w:val="auto"/>
              </w:rPr>
            </w:pPr>
          </w:p>
        </w:tc>
      </w:tr>
      <w:tr>
        <w:trPr>
          <w:trHeight w:val="196"/>
        </w:trPr>
        <w:tc>
          <w:tcPr>
            <w:tcW w:w="39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Total Active Customers</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79,000</w:t>
            </w:r>
          </w:p>
        </w:tc>
        <w:tc>
          <w:tcPr>
            <w:tcW w:w="10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100.0 %</w:t>
            </w:r>
          </w:p>
        </w:tc>
        <w:tc>
          <w:tcPr>
            <w:tcW w:w="10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89,000</w:t>
            </w:r>
          </w:p>
        </w:tc>
        <w:tc>
          <w:tcPr>
            <w:tcW w:w="10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100.0 %</w:t>
            </w:r>
          </w:p>
        </w:tc>
        <w:tc>
          <w:tcPr>
            <w:tcW w:w="8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(10,000)</w:t>
            </w:r>
          </w:p>
        </w:tc>
        <w:tc>
          <w:tcPr>
            <w:tcW w:w="12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w:t>
            </w:r>
          </w:p>
        </w:tc>
        <w:tc>
          <w:tcPr>
            <w:tcW w:w="0" w:type="dxa"/>
            <w:vAlign w:val="bottom"/>
          </w:tcPr>
          <w:p>
            <w:pPr>
              <w:spacing w:after="0"/>
              <w:rPr>
                <w:sz w:val="1"/>
                <w:szCs w:val="1"/>
                <w:color w:val="auto"/>
              </w:rPr>
            </w:pPr>
          </w:p>
        </w:tc>
      </w:tr>
      <w:tr>
        <w:trPr>
          <w:trHeight w:val="20"/>
        </w:trPr>
        <w:tc>
          <w:tcPr>
            <w:tcW w:w="398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39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39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Active Accounts</w:t>
            </w: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9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Americas</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94,000</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73.4 %</w:t>
            </w: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102,000</w:t>
            </w: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71.3 %</w:t>
            </w:r>
          </w:p>
        </w:tc>
        <w:tc>
          <w:tcPr>
            <w:tcW w:w="8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(8,000)</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(7.8)%</w:t>
            </w:r>
          </w:p>
        </w:tc>
        <w:tc>
          <w:tcPr>
            <w:tcW w:w="0" w:type="dxa"/>
            <w:vAlign w:val="bottom"/>
          </w:tcPr>
          <w:p>
            <w:pPr>
              <w:spacing w:after="0"/>
              <w:rPr>
                <w:sz w:val="1"/>
                <w:szCs w:val="1"/>
                <w:color w:val="auto"/>
              </w:rPr>
            </w:pPr>
          </w:p>
        </w:tc>
      </w:tr>
      <w:tr>
        <w:trPr>
          <w:trHeight w:val="180"/>
        </w:trPr>
        <w:tc>
          <w:tcPr>
            <w:tcW w:w="3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Asia/Pacific &amp; Europe</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34,000</w:t>
            </w:r>
          </w:p>
        </w:tc>
        <w:tc>
          <w:tcPr>
            <w:tcW w:w="100" w:type="dxa"/>
            <w:vAlign w:val="bottom"/>
            <w:shd w:val="clear" w:color="auto" w:fill="CCEEFF"/>
          </w:tcPr>
          <w:p>
            <w:pPr>
              <w:spacing w:after="0"/>
              <w:rPr>
                <w:sz w:val="15"/>
                <w:szCs w:val="15"/>
                <w:color w:val="auto"/>
              </w:rPr>
            </w:pPr>
          </w:p>
        </w:tc>
        <w:tc>
          <w:tcPr>
            <w:tcW w:w="400" w:type="dxa"/>
            <w:vAlign w:val="bottom"/>
            <w:tcBorders>
              <w:bottom w:val="single" w:sz="8" w:color="auto"/>
            </w:tcBorders>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26.6 %</w:t>
            </w:r>
          </w:p>
        </w:tc>
        <w:tc>
          <w:tcPr>
            <w:tcW w:w="100" w:type="dxa"/>
            <w:vAlign w:val="bottom"/>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41,000</w:t>
            </w:r>
          </w:p>
        </w:tc>
        <w:tc>
          <w:tcPr>
            <w:tcW w:w="100" w:type="dxa"/>
            <w:vAlign w:val="bottom"/>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28.7 %</w:t>
            </w:r>
          </w:p>
        </w:tc>
        <w:tc>
          <w:tcPr>
            <w:tcW w:w="80" w:type="dxa"/>
            <w:vAlign w:val="bottom"/>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(7,000)</w:t>
            </w:r>
          </w:p>
        </w:tc>
        <w:tc>
          <w:tcPr>
            <w:tcW w:w="1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(17.1)%</w:t>
            </w:r>
          </w:p>
        </w:tc>
        <w:tc>
          <w:tcPr>
            <w:tcW w:w="0" w:type="dxa"/>
            <w:vAlign w:val="bottom"/>
          </w:tcPr>
          <w:p>
            <w:pPr>
              <w:spacing w:after="0"/>
              <w:rPr>
                <w:sz w:val="1"/>
                <w:szCs w:val="1"/>
                <w:color w:val="auto"/>
              </w:rPr>
            </w:pPr>
          </w:p>
        </w:tc>
      </w:tr>
      <w:tr>
        <w:trPr>
          <w:trHeight w:val="171"/>
        </w:trPr>
        <w:tc>
          <w:tcPr>
            <w:tcW w:w="39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Total Active Accounts</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128,000</w:t>
            </w:r>
          </w:p>
        </w:tc>
        <w:tc>
          <w:tcPr>
            <w:tcW w:w="10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100.0 %</w:t>
            </w:r>
          </w:p>
        </w:tc>
        <w:tc>
          <w:tcPr>
            <w:tcW w:w="10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143,000</w:t>
            </w:r>
          </w:p>
        </w:tc>
        <w:tc>
          <w:tcPr>
            <w:tcW w:w="10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100.0 %</w:t>
            </w:r>
          </w:p>
        </w:tc>
        <w:tc>
          <w:tcPr>
            <w:tcW w:w="80" w:type="dxa"/>
            <w:vAlign w:val="bottom"/>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(15,000)</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(10.5)%</w:t>
            </w:r>
          </w:p>
        </w:tc>
        <w:tc>
          <w:tcPr>
            <w:tcW w:w="0" w:type="dxa"/>
            <w:vAlign w:val="bottom"/>
          </w:tcPr>
          <w:p>
            <w:pPr>
              <w:spacing w:after="0"/>
              <w:rPr>
                <w:sz w:val="1"/>
                <w:szCs w:val="1"/>
                <w:color w:val="auto"/>
              </w:rPr>
            </w:pPr>
          </w:p>
        </w:tc>
      </w:tr>
      <w:tr>
        <w:trPr>
          <w:trHeight w:val="20"/>
        </w:trPr>
        <w:tc>
          <w:tcPr>
            <w:tcW w:w="39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Income Statement Presentation</w:t>
      </w:r>
    </w:p>
    <w:p>
      <w:pPr>
        <w:spacing w:after="0" w:line="127" w:lineRule="exact"/>
        <w:rPr>
          <w:sz w:val="20"/>
          <w:szCs w:val="20"/>
          <w:color w:val="auto"/>
        </w:rPr>
      </w:pPr>
    </w:p>
    <w:p>
      <w:pPr>
        <w:ind w:right="40" w:firstLine="255"/>
        <w:spacing w:after="0" w:line="264" w:lineRule="auto"/>
        <w:rPr>
          <w:sz w:val="20"/>
          <w:szCs w:val="20"/>
          <w:color w:val="auto"/>
        </w:rPr>
      </w:pPr>
      <w:r>
        <w:rPr>
          <w:rFonts w:ascii="Times New Roman" w:cs="Times New Roman" w:eastAsia="Times New Roman" w:hAnsi="Times New Roman"/>
          <w:sz w:val="14"/>
          <w:szCs w:val="14"/>
          <w:color w:val="auto"/>
        </w:rPr>
        <w:t>We report revenue in two geographic regions, and we translate revenue from each market's local currency into U.S. Dollars using weighted-average exchange rates. Revenue consists primarily of product sales, fee revenue, and shipping and handling fees, net of applicable sales discounts. Revenue is recognized at the time of shipment, which is when the passage of title and risk of loss to customers occurs. Also reflected in revenue is a provision for product returns and allowances, which is estimated based on our historical experience. The following table sets forth net revenue information by region for the years indicated. The</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43" w:right="31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4"/>
          <w:szCs w:val="14"/>
          <w:color w:val="auto"/>
        </w:rPr>
        <w:t>following table should be reviewed in connection with the tables presented under "Results of Operations" (in thousands):</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4340" w:type="dxa"/>
            <w:vAlign w:val="bottom"/>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2220" w:type="dxa"/>
            <w:vAlign w:val="bottom"/>
            <w:tcBorders>
              <w:bottom w:val="single" w:sz="8" w:color="auto"/>
            </w:tcBorders>
            <w:gridSpan w:val="3"/>
          </w:tcPr>
          <w:p>
            <w:pPr>
              <w:jc w:val="right"/>
              <w:ind w:right="69"/>
              <w:spacing w:after="0"/>
              <w:rPr>
                <w:sz w:val="20"/>
                <w:szCs w:val="20"/>
                <w:color w:val="auto"/>
              </w:rPr>
            </w:pPr>
            <w:r>
              <w:rPr>
                <w:rFonts w:ascii="Times New Roman" w:cs="Times New Roman" w:eastAsia="Times New Roman" w:hAnsi="Times New Roman"/>
                <w:sz w:val="11"/>
                <w:szCs w:val="11"/>
                <w:b w:val="1"/>
                <w:bCs w:val="1"/>
                <w:color w:val="auto"/>
              </w:rPr>
              <w:t>For the fiscal years ended June 30,</w:t>
            </w:r>
          </w:p>
        </w:tc>
        <w:tc>
          <w:tcPr>
            <w:tcW w:w="64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720" w:type="dxa"/>
            <w:vAlign w:val="bottom"/>
            <w:tcBorders>
              <w:bottom w:val="single" w:sz="8" w:color="auto"/>
            </w:tcBorders>
          </w:tcPr>
          <w:p>
            <w:pPr>
              <w:spacing w:after="0"/>
              <w:rPr>
                <w:sz w:val="13"/>
                <w:szCs w:val="13"/>
                <w:color w:val="auto"/>
              </w:rPr>
            </w:pPr>
          </w:p>
        </w:tc>
      </w:tr>
      <w:tr>
        <w:trPr>
          <w:trHeight w:val="154"/>
        </w:trPr>
        <w:tc>
          <w:tcPr>
            <w:tcW w:w="4340" w:type="dxa"/>
            <w:vAlign w:val="bottom"/>
            <w:tcBorders>
              <w:bottom w:val="single" w:sz="8" w:color="CCEEFF"/>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1640" w:type="dxa"/>
            <w:vAlign w:val="bottom"/>
            <w:tcBorders>
              <w:bottom w:val="single" w:sz="8" w:color="auto"/>
            </w:tcBorders>
            <w:gridSpan w:val="3"/>
          </w:tcPr>
          <w:p>
            <w:pPr>
              <w:jc w:val="right"/>
              <w:ind w:right="400"/>
              <w:spacing w:after="0"/>
              <w:rPr>
                <w:sz w:val="20"/>
                <w:szCs w:val="20"/>
                <w:color w:val="auto"/>
              </w:rPr>
            </w:pPr>
            <w:r>
              <w:rPr>
                <w:rFonts w:ascii="Times New Roman" w:cs="Times New Roman" w:eastAsia="Times New Roman" w:hAnsi="Times New Roman"/>
                <w:sz w:val="11"/>
                <w:szCs w:val="11"/>
                <w:b w:val="1"/>
                <w:bCs w:val="1"/>
                <w:color w:val="auto"/>
              </w:rPr>
              <w:t>2024</w:t>
            </w:r>
          </w:p>
        </w:tc>
        <w:tc>
          <w:tcPr>
            <w:tcW w:w="120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1840" w:type="dxa"/>
            <w:vAlign w:val="bottom"/>
            <w:tcBorders>
              <w:bottom w:val="single" w:sz="8" w:color="auto"/>
            </w:tcBorders>
            <w:gridSpan w:val="3"/>
          </w:tcPr>
          <w:p>
            <w:pPr>
              <w:jc w:val="right"/>
              <w:ind w:right="1529"/>
              <w:spacing w:after="0"/>
              <w:rPr>
                <w:sz w:val="20"/>
                <w:szCs w:val="20"/>
                <w:color w:val="auto"/>
              </w:rPr>
            </w:pPr>
            <w:r>
              <w:rPr>
                <w:rFonts w:ascii="Times New Roman" w:cs="Times New Roman" w:eastAsia="Times New Roman" w:hAnsi="Times New Roman"/>
                <w:sz w:val="11"/>
                <w:szCs w:val="11"/>
                <w:b w:val="1"/>
                <w:bCs w:val="1"/>
                <w:color w:val="auto"/>
                <w:w w:val="99"/>
              </w:rPr>
              <w:t>2023</w:t>
            </w:r>
          </w:p>
        </w:tc>
      </w:tr>
      <w:tr>
        <w:trPr>
          <w:trHeight w:val="176"/>
        </w:trPr>
        <w:tc>
          <w:tcPr>
            <w:tcW w:w="4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Americas</w:t>
            </w:r>
          </w:p>
        </w:tc>
        <w:tc>
          <w:tcPr>
            <w:tcW w:w="580" w:type="dxa"/>
            <w:vAlign w:val="bottom"/>
            <w:shd w:val="clear" w:color="auto" w:fill="CCEEFF"/>
          </w:tcPr>
          <w:p>
            <w:pPr>
              <w:jc w:val="right"/>
              <w:ind w:right="42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152,907</w:t>
            </w: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76.4 %</w:t>
            </w:r>
          </w:p>
        </w:tc>
        <w:tc>
          <w:tcPr>
            <w:tcW w:w="80" w:type="dxa"/>
            <w:vAlign w:val="bottom"/>
            <w:shd w:val="clear" w:color="auto" w:fill="CCEEFF"/>
          </w:tcPr>
          <w:p>
            <w:pPr>
              <w:spacing w:after="0"/>
              <w:rPr>
                <w:sz w:val="15"/>
                <w:szCs w:val="15"/>
                <w:color w:val="auto"/>
              </w:rPr>
            </w:pPr>
          </w:p>
        </w:tc>
        <w:tc>
          <w:tcPr>
            <w:tcW w:w="940" w:type="dxa"/>
            <w:vAlign w:val="bottom"/>
            <w:shd w:val="clear" w:color="auto" w:fill="CCEEFF"/>
          </w:tcPr>
          <w:p>
            <w:pPr>
              <w:jc w:val="right"/>
              <w:ind w:right="769"/>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155,361</w:t>
            </w:r>
          </w:p>
        </w:tc>
        <w:tc>
          <w:tcPr>
            <w:tcW w:w="18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72.8 %</w:t>
            </w:r>
          </w:p>
        </w:tc>
      </w:tr>
      <w:tr>
        <w:trPr>
          <w:trHeight w:val="180"/>
        </w:trPr>
        <w:tc>
          <w:tcPr>
            <w:tcW w:w="43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Asia/Pacific &amp; Europe</w:t>
            </w:r>
          </w:p>
        </w:tc>
        <w:tc>
          <w:tcPr>
            <w:tcW w:w="58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47,257</w:t>
            </w: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23.6 %</w:t>
            </w:r>
          </w:p>
        </w:tc>
        <w:tc>
          <w:tcPr>
            <w:tcW w:w="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58,037</w:t>
            </w:r>
          </w:p>
        </w:tc>
        <w:tc>
          <w:tcPr>
            <w:tcW w:w="18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27.2 %</w:t>
            </w:r>
          </w:p>
        </w:tc>
      </w:tr>
      <w:tr>
        <w:trPr>
          <w:trHeight w:val="196"/>
        </w:trPr>
        <w:tc>
          <w:tcPr>
            <w:tcW w:w="4340" w:type="dxa"/>
            <w:vAlign w:val="bottom"/>
            <w:tcBorders>
              <w:top w:val="single" w:sz="8" w:color="CCEEFF"/>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Total</w:t>
            </w:r>
          </w:p>
        </w:tc>
        <w:tc>
          <w:tcPr>
            <w:tcW w:w="580" w:type="dxa"/>
            <w:vAlign w:val="bottom"/>
            <w:tcBorders>
              <w:top w:val="single" w:sz="8" w:color="auto"/>
              <w:bottom w:val="single" w:sz="8" w:color="auto"/>
            </w:tcBorders>
            <w:shd w:val="clear" w:color="auto" w:fill="CCEEFF"/>
          </w:tcPr>
          <w:p>
            <w:pPr>
              <w:jc w:val="right"/>
              <w:ind w:right="42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200,164</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520" w:type="dxa"/>
            <w:vAlign w:val="bottom"/>
            <w:tcBorders>
              <w:top w:val="single" w:sz="8" w:color="auto"/>
              <w:bottom w:val="single" w:sz="8" w:color="auto"/>
            </w:tcBorders>
            <w:shd w:val="clear" w:color="auto" w:fill="CCEEFF"/>
          </w:tcPr>
          <w:p>
            <w:pPr>
              <w:spacing w:after="0"/>
              <w:rPr>
                <w:sz w:val="16"/>
                <w:szCs w:val="16"/>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100.0 %</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940" w:type="dxa"/>
            <w:vAlign w:val="bottom"/>
            <w:tcBorders>
              <w:top w:val="single" w:sz="8" w:color="auto"/>
              <w:bottom w:val="single" w:sz="8" w:color="auto"/>
            </w:tcBorders>
            <w:shd w:val="clear" w:color="auto" w:fill="CCEEFF"/>
          </w:tcPr>
          <w:p>
            <w:pPr>
              <w:jc w:val="right"/>
              <w:ind w:right="769"/>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213,398</w:t>
            </w:r>
          </w:p>
        </w:tc>
        <w:tc>
          <w:tcPr>
            <w:tcW w:w="20" w:type="dxa"/>
            <w:vAlign w:val="bottom"/>
            <w:tcBorders>
              <w:top w:val="single" w:sz="8" w:color="auto"/>
              <w:bottom w:val="single" w:sz="8" w:color="auto"/>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100.0 %</w:t>
            </w:r>
          </w:p>
        </w:tc>
      </w:tr>
      <w:tr>
        <w:trPr>
          <w:trHeight w:val="20"/>
        </w:trPr>
        <w:tc>
          <w:tcPr>
            <w:tcW w:w="434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r>
    </w:tbl>
    <w:p>
      <w:pPr>
        <w:spacing w:after="0" w:line="166" w:lineRule="exact"/>
        <w:rPr>
          <w:sz w:val="20"/>
          <w:szCs w:val="20"/>
          <w:color w:val="auto"/>
        </w:rPr>
      </w:pPr>
    </w:p>
    <w:p>
      <w:pPr>
        <w:ind w:right="120" w:firstLine="255"/>
        <w:spacing w:after="0" w:line="264" w:lineRule="auto"/>
        <w:rPr>
          <w:sz w:val="20"/>
          <w:szCs w:val="20"/>
          <w:color w:val="auto"/>
        </w:rPr>
      </w:pPr>
      <w:r>
        <w:rPr>
          <w:rFonts w:ascii="Times New Roman" w:cs="Times New Roman" w:eastAsia="Times New Roman" w:hAnsi="Times New Roman"/>
          <w:sz w:val="14"/>
          <w:szCs w:val="14"/>
          <w:color w:val="auto"/>
        </w:rPr>
        <w:t>Cost of sales primarily consists of costs of products purchased from and manufactured by third-party vendors, shipping and order fulfillment costs, costs of adjustments to inventory carrying value, and costs of marketing materials which we sell to our independent consultant sales force, as well as freight, duties and taxes associated with the import and export of our products. As our international revenue increases as a percentage of total revenue, cost of sales as a percentage of revenue likely will increase as a result of additional duties, freight, and other factors, such as changes in currency exchange rates.</w:t>
      </w:r>
    </w:p>
    <w:p>
      <w:pPr>
        <w:spacing w:after="0" w:line="87" w:lineRule="exact"/>
        <w:rPr>
          <w:sz w:val="20"/>
          <w:szCs w:val="20"/>
          <w:color w:val="auto"/>
        </w:rPr>
      </w:pPr>
    </w:p>
    <w:p>
      <w:pPr>
        <w:ind w:firstLine="255"/>
        <w:spacing w:after="0" w:line="256" w:lineRule="auto"/>
        <w:rPr>
          <w:sz w:val="20"/>
          <w:szCs w:val="20"/>
          <w:color w:val="auto"/>
        </w:rPr>
      </w:pPr>
      <w:r>
        <w:rPr>
          <w:rFonts w:ascii="Times New Roman" w:cs="Times New Roman" w:eastAsia="Times New Roman" w:hAnsi="Times New Roman"/>
          <w:sz w:val="14"/>
          <w:szCs w:val="14"/>
          <w:color w:val="auto"/>
        </w:rPr>
        <w:t>Commissions and incentives expenses are our most significant expenses and are classified as operating expenses. Commissions and incentives expenses include sales commissions paid to our independent consultants, special incentives and costs for incentive trips and other rewards. Commissions and incentives expenses do not include any amounts we pay to our independent consultants related to their personal purchases. Commissions paid to independent consultants on personal purchases are considered a sales discount and are reported as a reduction to net revenue. Our sales compensation plan is an important factor in our ability to attract and retain our independent consultants. Under our sales compensation plan, independent consultants can earn commissions for product sales to their customers as well as the product sales made through the sales networks they have developed and trained. We do not pay commissions on marketing materials that are sold to our independent consultants. Commissions and incentives expenses, as a percentage of net revenue, may be impacted by the timing and magnitude of non-commissionable revenue derived from the sales of marketing materials, event tickets, and promotional items, investment in our red-carpet program, limited-time offers and the timing, magnitude and number of incentive trips and other promotional activities. From time to time, we make modifications and enhancements to our sales compensation plan in an effort to help motivate our sales force and develop leadership characteristics, which can have an impact on commissions and incentives expenses. In fiscal year 2023, we introduced our new compensation plan, called the Evolve Compensation Plan, in four markets – the United States, Japan, Australia, and New Zealand. In fiscal year 2024, we introduced the Evolve Compensation Plan to Canada, Mexico, and Europe, with plans to introduce our new compensation plan to the remaining markets in the future.</w:t>
      </w:r>
    </w:p>
    <w:p>
      <w:pPr>
        <w:spacing w:after="0" w:line="85" w:lineRule="exact"/>
        <w:rPr>
          <w:sz w:val="20"/>
          <w:szCs w:val="20"/>
          <w:color w:val="auto"/>
        </w:rPr>
      </w:pPr>
    </w:p>
    <w:p>
      <w:pPr>
        <w:ind w:right="60" w:firstLine="255"/>
        <w:spacing w:after="0" w:line="264" w:lineRule="auto"/>
        <w:rPr>
          <w:sz w:val="20"/>
          <w:szCs w:val="20"/>
          <w:color w:val="auto"/>
        </w:rPr>
      </w:pPr>
      <w:r>
        <w:rPr>
          <w:rFonts w:ascii="Times New Roman" w:cs="Times New Roman" w:eastAsia="Times New Roman" w:hAnsi="Times New Roman"/>
          <w:sz w:val="14"/>
          <w:szCs w:val="14"/>
          <w:color w:val="auto"/>
        </w:rPr>
        <w:t>Selling, general and administrative expenses include wages and benefits, stock compensation expenses, marketing and event costs, professional fees, rents and utilities, depreciation and amortization, research and development, travel costs and other operating expenses. Wages and benefits and stock compensation expenses represent the largest component of selling, general and administrative expenses. Marketing and event costs include costs of consultant conventions and events held in various markets worldwide, which we expense in the period in which they are incurred. Marketing and event costs also include expenses associated with our sponsorship of the Major League Soccer team, Real Salt Lake. Our agreement with Real Salt Lake ended in December 2023.</w:t>
      </w:r>
    </w:p>
    <w:p>
      <w:pPr>
        <w:spacing w:after="0" w:line="87" w:lineRule="exact"/>
        <w:rPr>
          <w:sz w:val="20"/>
          <w:szCs w:val="20"/>
          <w:color w:val="auto"/>
        </w:rPr>
      </w:pPr>
    </w:p>
    <w:p>
      <w:pPr>
        <w:ind w:right="160" w:firstLine="255"/>
        <w:spacing w:after="0" w:line="261" w:lineRule="auto"/>
        <w:rPr>
          <w:sz w:val="20"/>
          <w:szCs w:val="20"/>
          <w:color w:val="auto"/>
        </w:rPr>
      </w:pPr>
      <w:r>
        <w:rPr>
          <w:rFonts w:ascii="Times New Roman" w:cs="Times New Roman" w:eastAsia="Times New Roman" w:hAnsi="Times New Roman"/>
          <w:sz w:val="14"/>
          <w:szCs w:val="14"/>
          <w:color w:val="auto"/>
        </w:rPr>
        <w:t>Sales to customers outside the United States are transacted in the respective local currencies and are translated to U.S. Dollars at weighted-average currency exchange rates for each monthly accounting period to which they relate. Consequently, our net sales and earnings are affected by changes in currency exchange rates. In general, sales and gross profit are affected positively by a weakening U.S. Dollar and negatively by a strengthening U.S. Dollar. Currency fluctuations, however, have the opposite effect on our commissions paid to independent consultants and selling, and general and administrative expenses. In our revenue discussions that follow, we approximate the impact of currency fluctuations on revenue by translating current year revenue at the average exchange rates in effect during the comparable prior year periods.</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Results of Operations</w:t>
      </w:r>
    </w:p>
    <w:p>
      <w:pPr>
        <w:spacing w:after="0" w:line="117" w:lineRule="exact"/>
        <w:rPr>
          <w:sz w:val="20"/>
          <w:szCs w:val="20"/>
          <w:color w:val="auto"/>
        </w:rPr>
      </w:pPr>
    </w:p>
    <w:p>
      <w:pPr>
        <w:ind w:right="200" w:firstLine="255"/>
        <w:spacing w:after="0" w:line="287" w:lineRule="auto"/>
        <w:rPr>
          <w:sz w:val="20"/>
          <w:szCs w:val="20"/>
          <w:color w:val="auto"/>
        </w:rPr>
      </w:pPr>
      <w:r>
        <w:rPr>
          <w:rFonts w:ascii="Times New Roman" w:cs="Times New Roman" w:eastAsia="Times New Roman" w:hAnsi="Times New Roman"/>
          <w:sz w:val="14"/>
          <w:szCs w:val="14"/>
          <w:color w:val="auto"/>
        </w:rPr>
        <w:t>For the fiscal years ended June 30, 2024 and 2023, we generated net revenue of $200.2 million and $213.4 million, respectively, recognized operating income of $4.3 million and $4.3 million, respectively, and recognized net income of $2.9 million and $2.5 million, respectively.</w:t>
      </w: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46" w:right="319" w:bottom="1440" w:gutter="0" w:footer="0" w:header="0"/>
        </w:sectPr>
      </w:pPr>
    </w:p>
    <w:bookmarkStart w:id="47" w:name="page48"/>
    <w:bookmarkEnd w:id="47"/>
    <w:p>
      <w:pPr>
        <w:ind w:left="260"/>
        <w:spacing w:after="0"/>
        <w:rPr>
          <w:sz w:val="20"/>
          <w:szCs w:val="20"/>
          <w:color w:val="auto"/>
        </w:rPr>
      </w:pPr>
      <w:r>
        <w:rPr>
          <w:rFonts w:ascii="Times New Roman" w:cs="Times New Roman" w:eastAsia="Times New Roman" w:hAnsi="Times New Roman"/>
          <w:sz w:val="14"/>
          <w:szCs w:val="14"/>
          <w:color w:val="auto"/>
        </w:rPr>
        <w:t>The following table presents certain consolidated earnings data as a percentage of net revenue for the years indicated:</w:t>
      </w:r>
    </w:p>
    <w:p>
      <w:pPr>
        <w:spacing w:after="0" w:line="216" w:lineRule="exact"/>
        <w:rPr>
          <w:sz w:val="20"/>
          <w:szCs w:val="20"/>
          <w:color w:val="auto"/>
        </w:rPr>
      </w:pPr>
    </w:p>
    <w:p>
      <w:pPr>
        <w:ind w:left="8280"/>
        <w:spacing w:after="0"/>
        <w:rPr>
          <w:sz w:val="20"/>
          <w:szCs w:val="20"/>
          <w:color w:val="auto"/>
        </w:rPr>
      </w:pPr>
      <w:r>
        <w:rPr>
          <w:rFonts w:ascii="Times New Roman" w:cs="Times New Roman" w:eastAsia="Times New Roman" w:hAnsi="Times New Roman"/>
          <w:sz w:val="11"/>
          <w:szCs w:val="11"/>
          <w:b w:val="1"/>
          <w:bCs w:val="1"/>
          <w:color w:val="auto"/>
        </w:rPr>
        <w:t>For the fiscal years ended June 30,</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6960" w:type="dxa"/>
            <w:vAlign w:val="bottom"/>
            <w:tcBorders>
              <w:bottom w:val="single" w:sz="8" w:color="CCEEFF"/>
            </w:tcBorders>
          </w:tcPr>
          <w:p>
            <w:pPr>
              <w:spacing w:after="0"/>
              <w:rPr>
                <w:sz w:val="14"/>
                <w:szCs w:val="14"/>
                <w:color w:val="auto"/>
              </w:rPr>
            </w:pPr>
          </w:p>
        </w:tc>
        <w:tc>
          <w:tcPr>
            <w:tcW w:w="1380" w:type="dxa"/>
            <w:vAlign w:val="bottom"/>
            <w:tcBorders>
              <w:top w:val="single" w:sz="8" w:color="auto"/>
              <w:bottom w:val="single" w:sz="8" w:color="auto"/>
            </w:tcBorders>
          </w:tcPr>
          <w:p>
            <w:pPr>
              <w:jc w:val="right"/>
              <w:ind w:right="163"/>
              <w:spacing w:after="0"/>
              <w:rPr>
                <w:sz w:val="20"/>
                <w:szCs w:val="20"/>
                <w:color w:val="auto"/>
              </w:rPr>
            </w:pPr>
            <w:r>
              <w:rPr>
                <w:rFonts w:ascii="Times New Roman" w:cs="Times New Roman" w:eastAsia="Times New Roman" w:hAnsi="Times New Roman"/>
                <w:sz w:val="11"/>
                <w:szCs w:val="11"/>
                <w:b w:val="1"/>
                <w:bCs w:val="1"/>
                <w:color w:val="auto"/>
              </w:rPr>
              <w:t>2024</w:t>
            </w:r>
          </w:p>
        </w:tc>
        <w:tc>
          <w:tcPr>
            <w:tcW w:w="720" w:type="dxa"/>
            <w:vAlign w:val="bottom"/>
            <w:tcBorders>
              <w:top w:val="single" w:sz="8" w:color="auto"/>
              <w:bottom w:val="single" w:sz="8" w:color="auto"/>
            </w:tcBorders>
          </w:tcPr>
          <w:p>
            <w:pPr>
              <w:spacing w:after="0"/>
              <w:rPr>
                <w:sz w:val="14"/>
                <w:szCs w:val="14"/>
                <w:color w:val="auto"/>
              </w:rPr>
            </w:pPr>
          </w:p>
        </w:tc>
        <w:tc>
          <w:tcPr>
            <w:tcW w:w="100" w:type="dxa"/>
            <w:vAlign w:val="bottom"/>
            <w:tcBorders>
              <w:top w:val="single" w:sz="8" w:color="auto"/>
              <w:bottom w:val="single" w:sz="8" w:color="CCEEFF"/>
            </w:tcBorders>
          </w:tcPr>
          <w:p>
            <w:pPr>
              <w:spacing w:after="0"/>
              <w:rPr>
                <w:sz w:val="14"/>
                <w:szCs w:val="14"/>
                <w:color w:val="auto"/>
              </w:rPr>
            </w:pPr>
          </w:p>
        </w:tc>
        <w:tc>
          <w:tcPr>
            <w:tcW w:w="2100" w:type="dxa"/>
            <w:vAlign w:val="bottom"/>
            <w:tcBorders>
              <w:top w:val="single" w:sz="8" w:color="auto"/>
              <w:bottom w:val="single" w:sz="8" w:color="auto"/>
            </w:tcBorders>
          </w:tcPr>
          <w:p>
            <w:pPr>
              <w:jc w:val="right"/>
              <w:ind w:right="870"/>
              <w:spacing w:after="0"/>
              <w:rPr>
                <w:sz w:val="20"/>
                <w:szCs w:val="20"/>
                <w:color w:val="auto"/>
              </w:rPr>
            </w:pPr>
            <w:r>
              <w:rPr>
                <w:rFonts w:ascii="Times New Roman" w:cs="Times New Roman" w:eastAsia="Times New Roman" w:hAnsi="Times New Roman"/>
                <w:sz w:val="11"/>
                <w:szCs w:val="11"/>
                <w:b w:val="1"/>
                <w:bCs w:val="1"/>
                <w:color w:val="auto"/>
              </w:rPr>
              <w:t>2023</w:t>
            </w:r>
          </w:p>
        </w:tc>
      </w:tr>
      <w:tr>
        <w:trPr>
          <w:trHeight w:val="176"/>
        </w:trPr>
        <w:tc>
          <w:tcPr>
            <w:tcW w:w="6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Revenue, net</w:t>
            </w:r>
          </w:p>
        </w:tc>
        <w:tc>
          <w:tcPr>
            <w:tcW w:w="138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100.0 %</w:t>
            </w:r>
          </w:p>
        </w:tc>
        <w:tc>
          <w:tcPr>
            <w:tcW w:w="100" w:type="dxa"/>
            <w:vAlign w:val="bottom"/>
            <w:shd w:val="clear" w:color="auto" w:fill="CCEEFF"/>
          </w:tcPr>
          <w:p>
            <w:pPr>
              <w:spacing w:after="0"/>
              <w:rPr>
                <w:sz w:val="15"/>
                <w:szCs w:val="15"/>
                <w:color w:val="auto"/>
              </w:rPr>
            </w:pPr>
          </w:p>
        </w:tc>
        <w:tc>
          <w:tcPr>
            <w:tcW w:w="2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100.0 %</w:t>
            </w:r>
          </w:p>
        </w:tc>
      </w:tr>
      <w:tr>
        <w:trPr>
          <w:trHeight w:val="180"/>
        </w:trPr>
        <w:tc>
          <w:tcPr>
            <w:tcW w:w="83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Cost of sales</w:t>
            </w:r>
          </w:p>
        </w:tc>
        <w:tc>
          <w:tcPr>
            <w:tcW w:w="72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20.7</w:t>
            </w:r>
          </w:p>
        </w:tc>
        <w:tc>
          <w:tcPr>
            <w:tcW w:w="100" w:type="dxa"/>
            <w:vAlign w:val="bottom"/>
          </w:tcPr>
          <w:p>
            <w:pPr>
              <w:spacing w:after="0"/>
              <w:rPr>
                <w:sz w:val="15"/>
                <w:szCs w:val="15"/>
                <w:color w:val="auto"/>
              </w:rPr>
            </w:pPr>
          </w:p>
        </w:tc>
        <w:tc>
          <w:tcPr>
            <w:tcW w:w="210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20.3</w:t>
            </w:r>
          </w:p>
        </w:tc>
      </w:tr>
      <w:tr>
        <w:trPr>
          <w:trHeight w:val="171"/>
        </w:trPr>
        <w:tc>
          <w:tcPr>
            <w:tcW w:w="6960" w:type="dxa"/>
            <w:vAlign w:val="bottom"/>
            <w:tcBorders>
              <w:top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Gross profit</w:t>
            </w:r>
          </w:p>
        </w:tc>
        <w:tc>
          <w:tcPr>
            <w:tcW w:w="1380" w:type="dxa"/>
            <w:vAlign w:val="bottom"/>
            <w:tcBorders>
              <w:top w:val="single" w:sz="8" w:color="auto"/>
            </w:tcBorders>
            <w:shd w:val="clear" w:color="auto" w:fill="CCEEFF"/>
          </w:tcPr>
          <w:p>
            <w:pPr>
              <w:spacing w:after="0"/>
              <w:rPr>
                <w:sz w:val="14"/>
                <w:szCs w:val="14"/>
                <w:color w:val="auto"/>
              </w:rPr>
            </w:pPr>
          </w:p>
        </w:tc>
        <w:tc>
          <w:tcPr>
            <w:tcW w:w="720" w:type="dxa"/>
            <w:vAlign w:val="bottom"/>
            <w:tcBorders>
              <w:top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79.3</w:t>
            </w:r>
          </w:p>
        </w:tc>
        <w:tc>
          <w:tcPr>
            <w:tcW w:w="100" w:type="dxa"/>
            <w:vAlign w:val="bottom"/>
            <w:tcBorders>
              <w:top w:val="single" w:sz="8" w:color="CCEEFF"/>
            </w:tcBorders>
            <w:shd w:val="clear" w:color="auto" w:fill="CCEEFF"/>
          </w:tcPr>
          <w:p>
            <w:pPr>
              <w:spacing w:after="0"/>
              <w:rPr>
                <w:sz w:val="14"/>
                <w:szCs w:val="14"/>
                <w:color w:val="auto"/>
              </w:rPr>
            </w:pPr>
          </w:p>
        </w:tc>
        <w:tc>
          <w:tcPr>
            <w:tcW w:w="21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79.7</w:t>
            </w:r>
          </w:p>
        </w:tc>
      </w:tr>
      <w:tr>
        <w:trPr>
          <w:trHeight w:val="180"/>
        </w:trPr>
        <w:tc>
          <w:tcPr>
            <w:tcW w:w="83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Operating expenses:</w:t>
            </w: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00" w:type="dxa"/>
            <w:vAlign w:val="bottom"/>
          </w:tcPr>
          <w:p>
            <w:pPr>
              <w:spacing w:after="0"/>
              <w:rPr>
                <w:sz w:val="15"/>
                <w:szCs w:val="15"/>
                <w:color w:val="auto"/>
              </w:rPr>
            </w:pPr>
          </w:p>
        </w:tc>
      </w:tr>
      <w:tr>
        <w:trPr>
          <w:trHeight w:val="180"/>
        </w:trPr>
        <w:tc>
          <w:tcPr>
            <w:tcW w:w="834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Commissions and incentives</w:t>
            </w:r>
          </w:p>
        </w:tc>
        <w:tc>
          <w:tcPr>
            <w:tcW w:w="72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42.9</w:t>
            </w:r>
          </w:p>
        </w:tc>
        <w:tc>
          <w:tcPr>
            <w:tcW w:w="100" w:type="dxa"/>
            <w:vAlign w:val="bottom"/>
            <w:shd w:val="clear" w:color="auto" w:fill="CCEEFF"/>
          </w:tcPr>
          <w:p>
            <w:pPr>
              <w:spacing w:after="0"/>
              <w:rPr>
                <w:sz w:val="15"/>
                <w:szCs w:val="15"/>
                <w:color w:val="auto"/>
              </w:rPr>
            </w:pPr>
          </w:p>
        </w:tc>
        <w:tc>
          <w:tcPr>
            <w:tcW w:w="21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44.4</w:t>
            </w:r>
          </w:p>
        </w:tc>
      </w:tr>
      <w:tr>
        <w:trPr>
          <w:trHeight w:val="180"/>
        </w:trPr>
        <w:tc>
          <w:tcPr>
            <w:tcW w:w="834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Selling, general and administrative</w:t>
            </w:r>
          </w:p>
        </w:tc>
        <w:tc>
          <w:tcPr>
            <w:tcW w:w="72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34.2</w:t>
            </w:r>
          </w:p>
        </w:tc>
        <w:tc>
          <w:tcPr>
            <w:tcW w:w="100" w:type="dxa"/>
            <w:vAlign w:val="bottom"/>
          </w:tcPr>
          <w:p>
            <w:pPr>
              <w:spacing w:after="0"/>
              <w:rPr>
                <w:sz w:val="15"/>
                <w:szCs w:val="15"/>
                <w:color w:val="auto"/>
              </w:rPr>
            </w:pPr>
          </w:p>
        </w:tc>
        <w:tc>
          <w:tcPr>
            <w:tcW w:w="210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33.3</w:t>
            </w:r>
          </w:p>
        </w:tc>
      </w:tr>
      <w:tr>
        <w:trPr>
          <w:trHeight w:val="171"/>
        </w:trPr>
        <w:tc>
          <w:tcPr>
            <w:tcW w:w="6960" w:type="dxa"/>
            <w:vAlign w:val="bottom"/>
            <w:tcBorders>
              <w:top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Total operating expenses</w:t>
            </w:r>
          </w:p>
        </w:tc>
        <w:tc>
          <w:tcPr>
            <w:tcW w:w="1380" w:type="dxa"/>
            <w:vAlign w:val="bottom"/>
            <w:tcBorders>
              <w:top w:val="single" w:sz="8" w:color="auto"/>
              <w:bottom w:val="single" w:sz="8" w:color="auto"/>
            </w:tcBorders>
            <w:shd w:val="clear" w:color="auto" w:fill="CCEEFF"/>
          </w:tcPr>
          <w:p>
            <w:pPr>
              <w:spacing w:after="0"/>
              <w:rPr>
                <w:sz w:val="14"/>
                <w:szCs w:val="14"/>
                <w:color w:val="auto"/>
              </w:rPr>
            </w:pPr>
          </w:p>
        </w:tc>
        <w:tc>
          <w:tcPr>
            <w:tcW w:w="720" w:type="dxa"/>
            <w:vAlign w:val="bottom"/>
            <w:tcBorders>
              <w:top w:val="single" w:sz="8" w:color="auto"/>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77.1</w:t>
            </w:r>
          </w:p>
        </w:tc>
        <w:tc>
          <w:tcPr>
            <w:tcW w:w="100" w:type="dxa"/>
            <w:vAlign w:val="bottom"/>
            <w:tcBorders>
              <w:top w:val="single" w:sz="8" w:color="CCEEFF"/>
            </w:tcBorders>
            <w:shd w:val="clear" w:color="auto" w:fill="CCEEFF"/>
          </w:tcPr>
          <w:p>
            <w:pPr>
              <w:spacing w:after="0"/>
              <w:rPr>
                <w:sz w:val="14"/>
                <w:szCs w:val="14"/>
                <w:color w:val="auto"/>
              </w:rPr>
            </w:pPr>
          </w:p>
        </w:tc>
        <w:tc>
          <w:tcPr>
            <w:tcW w:w="21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77.7</w:t>
            </w:r>
          </w:p>
        </w:tc>
      </w:tr>
      <w:tr>
        <w:trPr>
          <w:trHeight w:val="171"/>
        </w:trPr>
        <w:tc>
          <w:tcPr>
            <w:tcW w:w="696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Operating income</w:t>
            </w:r>
          </w:p>
        </w:tc>
        <w:tc>
          <w:tcPr>
            <w:tcW w:w="1380" w:type="dxa"/>
            <w:vAlign w:val="bottom"/>
          </w:tcPr>
          <w:p>
            <w:pPr>
              <w:spacing w:after="0"/>
              <w:rPr>
                <w:sz w:val="14"/>
                <w:szCs w:val="14"/>
                <w:color w:val="auto"/>
              </w:rPr>
            </w:pPr>
          </w:p>
        </w:tc>
        <w:tc>
          <w:tcPr>
            <w:tcW w:w="72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2.2</w:t>
            </w:r>
          </w:p>
        </w:tc>
        <w:tc>
          <w:tcPr>
            <w:tcW w:w="100" w:type="dxa"/>
            <w:vAlign w:val="bottom"/>
          </w:tcPr>
          <w:p>
            <w:pPr>
              <w:spacing w:after="0"/>
              <w:rPr>
                <w:sz w:val="14"/>
                <w:szCs w:val="14"/>
                <w:color w:val="auto"/>
              </w:rPr>
            </w:pPr>
          </w:p>
        </w:tc>
        <w:tc>
          <w:tcPr>
            <w:tcW w:w="210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2.0</w:t>
            </w:r>
          </w:p>
        </w:tc>
      </w:tr>
      <w:tr>
        <w:trPr>
          <w:trHeight w:val="180"/>
        </w:trPr>
        <w:tc>
          <w:tcPr>
            <w:tcW w:w="8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income (expense):</w:t>
            </w: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100" w:type="dxa"/>
            <w:vAlign w:val="bottom"/>
            <w:shd w:val="clear" w:color="auto" w:fill="CCEEFF"/>
          </w:tcPr>
          <w:p>
            <w:pPr>
              <w:spacing w:after="0"/>
              <w:rPr>
                <w:sz w:val="15"/>
                <w:szCs w:val="15"/>
                <w:color w:val="auto"/>
              </w:rPr>
            </w:pPr>
          </w:p>
        </w:tc>
      </w:tr>
      <w:tr>
        <w:trPr>
          <w:trHeight w:val="180"/>
        </w:trPr>
        <w:tc>
          <w:tcPr>
            <w:tcW w:w="834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Interest income, net</w:t>
            </w:r>
          </w:p>
        </w:tc>
        <w:tc>
          <w:tcPr>
            <w:tcW w:w="72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0.2</w:t>
            </w:r>
          </w:p>
        </w:tc>
        <w:tc>
          <w:tcPr>
            <w:tcW w:w="100" w:type="dxa"/>
            <w:vAlign w:val="bottom"/>
          </w:tcPr>
          <w:p>
            <w:pPr>
              <w:spacing w:after="0"/>
              <w:rPr>
                <w:sz w:val="15"/>
                <w:szCs w:val="15"/>
                <w:color w:val="auto"/>
              </w:rPr>
            </w:pPr>
          </w:p>
        </w:tc>
        <w:tc>
          <w:tcPr>
            <w:tcW w:w="210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0.1</w:t>
            </w:r>
          </w:p>
        </w:tc>
      </w:tr>
      <w:tr>
        <w:trPr>
          <w:trHeight w:val="180"/>
        </w:trPr>
        <w:tc>
          <w:tcPr>
            <w:tcW w:w="834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Other expense, net</w:t>
            </w:r>
          </w:p>
        </w:tc>
        <w:tc>
          <w:tcPr>
            <w:tcW w:w="72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(0.2)</w:t>
            </w:r>
          </w:p>
        </w:tc>
        <w:tc>
          <w:tcPr>
            <w:tcW w:w="100" w:type="dxa"/>
            <w:vAlign w:val="bottom"/>
            <w:shd w:val="clear" w:color="auto" w:fill="CCEEFF"/>
          </w:tcPr>
          <w:p>
            <w:pPr>
              <w:spacing w:after="0"/>
              <w:rPr>
                <w:sz w:val="15"/>
                <w:szCs w:val="15"/>
                <w:color w:val="auto"/>
              </w:rPr>
            </w:pPr>
          </w:p>
        </w:tc>
        <w:tc>
          <w:tcPr>
            <w:tcW w:w="21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rPr>
              <w:t>(0.2)</w:t>
            </w:r>
          </w:p>
        </w:tc>
      </w:tr>
      <w:tr>
        <w:trPr>
          <w:trHeight w:val="171"/>
        </w:trPr>
        <w:tc>
          <w:tcPr>
            <w:tcW w:w="6960" w:type="dxa"/>
            <w:vAlign w:val="bottom"/>
            <w:tcBorders>
              <w:bottom w:val="single" w:sz="8" w:color="CCEEFF"/>
            </w:tcBorders>
          </w:tcPr>
          <w:p>
            <w:pPr>
              <w:ind w:left="280"/>
              <w:spacing w:after="0"/>
              <w:rPr>
                <w:sz w:val="20"/>
                <w:szCs w:val="20"/>
                <w:color w:val="auto"/>
              </w:rPr>
            </w:pPr>
            <w:r>
              <w:rPr>
                <w:rFonts w:ascii="Times New Roman" w:cs="Times New Roman" w:eastAsia="Times New Roman" w:hAnsi="Times New Roman"/>
                <w:sz w:val="14"/>
                <w:szCs w:val="14"/>
                <w:color w:val="auto"/>
              </w:rPr>
              <w:t>Total other expense</w:t>
            </w:r>
          </w:p>
        </w:tc>
        <w:tc>
          <w:tcPr>
            <w:tcW w:w="1380" w:type="dxa"/>
            <w:vAlign w:val="bottom"/>
            <w:tcBorders>
              <w:top w:val="single" w:sz="8" w:color="auto"/>
              <w:bottom w:val="single" w:sz="8" w:color="auto"/>
            </w:tcBorders>
          </w:tcPr>
          <w:p>
            <w:pPr>
              <w:spacing w:after="0"/>
              <w:rPr>
                <w:sz w:val="14"/>
                <w:szCs w:val="14"/>
                <w:color w:val="auto"/>
              </w:rPr>
            </w:pPr>
          </w:p>
        </w:tc>
        <w:tc>
          <w:tcPr>
            <w:tcW w:w="720" w:type="dxa"/>
            <w:vAlign w:val="bottom"/>
            <w:tcBorders>
              <w:top w:val="single" w:sz="8" w:color="auto"/>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tcPr>
          <w:p>
            <w:pPr>
              <w:spacing w:after="0"/>
              <w:rPr>
                <w:sz w:val="14"/>
                <w:szCs w:val="14"/>
                <w:color w:val="auto"/>
              </w:rPr>
            </w:pPr>
          </w:p>
        </w:tc>
        <w:tc>
          <w:tcPr>
            <w:tcW w:w="210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4"/>
                <w:szCs w:val="14"/>
                <w:color w:val="auto"/>
              </w:rPr>
              <w:t>(0.1)</w:t>
            </w:r>
          </w:p>
        </w:tc>
      </w:tr>
      <w:tr>
        <w:trPr>
          <w:trHeight w:val="171"/>
        </w:trPr>
        <w:tc>
          <w:tcPr>
            <w:tcW w:w="6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Income before income taxes</w:t>
            </w:r>
          </w:p>
        </w:tc>
        <w:tc>
          <w:tcPr>
            <w:tcW w:w="138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2.2</w:t>
            </w:r>
          </w:p>
        </w:tc>
        <w:tc>
          <w:tcPr>
            <w:tcW w:w="100" w:type="dxa"/>
            <w:vAlign w:val="bottom"/>
            <w:shd w:val="clear" w:color="auto" w:fill="CCEEFF"/>
          </w:tcPr>
          <w:p>
            <w:pPr>
              <w:spacing w:after="0"/>
              <w:rPr>
                <w:sz w:val="14"/>
                <w:szCs w:val="14"/>
                <w:color w:val="auto"/>
              </w:rPr>
            </w:pPr>
          </w:p>
        </w:tc>
        <w:tc>
          <w:tcPr>
            <w:tcW w:w="21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1.9</w:t>
            </w:r>
          </w:p>
        </w:tc>
      </w:tr>
      <w:tr>
        <w:trPr>
          <w:trHeight w:val="180"/>
        </w:trPr>
        <w:tc>
          <w:tcPr>
            <w:tcW w:w="834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Income tax expense</w:t>
            </w:r>
          </w:p>
        </w:tc>
        <w:tc>
          <w:tcPr>
            <w:tcW w:w="72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(0.7)</w:t>
            </w:r>
          </w:p>
        </w:tc>
        <w:tc>
          <w:tcPr>
            <w:tcW w:w="100" w:type="dxa"/>
            <w:vAlign w:val="bottom"/>
          </w:tcPr>
          <w:p>
            <w:pPr>
              <w:spacing w:after="0"/>
              <w:rPr>
                <w:sz w:val="15"/>
                <w:szCs w:val="15"/>
                <w:color w:val="auto"/>
              </w:rPr>
            </w:pPr>
          </w:p>
        </w:tc>
        <w:tc>
          <w:tcPr>
            <w:tcW w:w="210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(0.7)</w:t>
            </w:r>
          </w:p>
        </w:tc>
      </w:tr>
      <w:tr>
        <w:trPr>
          <w:trHeight w:val="196"/>
        </w:trPr>
        <w:tc>
          <w:tcPr>
            <w:tcW w:w="69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1380" w:type="dxa"/>
            <w:vAlign w:val="bottom"/>
            <w:tcBorders>
              <w:top w:val="single" w:sz="8" w:color="auto"/>
              <w:bottom w:val="single" w:sz="8" w:color="auto"/>
            </w:tcBorders>
            <w:shd w:val="clear" w:color="auto" w:fill="CCEEFF"/>
          </w:tcPr>
          <w:p>
            <w:pPr>
              <w:spacing w:after="0"/>
              <w:rPr>
                <w:sz w:val="16"/>
                <w:szCs w:val="16"/>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1.5 %</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2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1.2 %</w:t>
            </w:r>
          </w:p>
        </w:tc>
      </w:tr>
      <w:tr>
        <w:trPr>
          <w:trHeight w:val="20"/>
        </w:trPr>
        <w:tc>
          <w:tcPr>
            <w:tcW w:w="696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100" w:type="dxa"/>
            <w:vAlign w:val="bottom"/>
            <w:tcBorders>
              <w:top w:val="single" w:sz="8" w:color="CCEEFF"/>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Comparison of Fiscal Years Ended June 30, 2024 and 2023</w:t>
      </w:r>
    </w:p>
    <w:p>
      <w:pPr>
        <w:spacing w:after="0" w:line="123" w:lineRule="exact"/>
        <w:rPr>
          <w:sz w:val="20"/>
          <w:szCs w:val="20"/>
          <w:color w:val="auto"/>
        </w:rPr>
      </w:pPr>
    </w:p>
    <w:p>
      <w:pPr>
        <w:ind w:right="80" w:firstLine="255"/>
        <w:spacing w:after="0" w:line="237" w:lineRule="auto"/>
        <w:rPr>
          <w:sz w:val="20"/>
          <w:szCs w:val="20"/>
          <w:color w:val="auto"/>
        </w:rPr>
      </w:pPr>
      <w:r>
        <w:rPr>
          <w:rFonts w:ascii="Times New Roman" w:cs="Times New Roman" w:eastAsia="Times New Roman" w:hAnsi="Times New Roman"/>
          <w:sz w:val="14"/>
          <w:szCs w:val="14"/>
          <w:u w:val="single" w:color="auto"/>
          <w:color w:val="auto"/>
        </w:rPr>
        <w:t>Net Revenue</w:t>
      </w:r>
      <w:r>
        <w:rPr>
          <w:rFonts w:ascii="Times New Roman" w:cs="Times New Roman" w:eastAsia="Times New Roman" w:hAnsi="Times New Roman"/>
          <w:sz w:val="14"/>
          <w:szCs w:val="14"/>
          <w:i w:val="1"/>
          <w:iCs w:val="1"/>
          <w:color w:val="auto"/>
        </w:rPr>
        <w:t>.</w:t>
      </w:r>
      <w:r>
        <w:rPr>
          <w:rFonts w:ascii="Times New Roman" w:cs="Times New Roman" w:eastAsia="Times New Roman" w:hAnsi="Times New Roman"/>
          <w:sz w:val="14"/>
          <w:szCs w:val="14"/>
          <w:color w:val="auto"/>
        </w:rPr>
        <w:t xml:space="preserve"> We generated net revenue of $200.2 million and $213.4 million during the fiscal years ended June 30, 2024 and 2023, respectively. The overall decrease in revenue is attributed mainly to a decrease in our total Active Accounts, which declined by 10.5% during fiscal year 2024. The decrease was partially offset by an increase average revenue per account driven by our TrueScience</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Liquid Collagen product, which is now available in most of our markets. Total TrueScience</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Liquid Collagen related revenue, including the product when sold as part of a bundle, was $48.5 million for the fiscal year ended June 30, 2024 compared to $39.8 million for the fiscal year ended June 30, 2023. We also increased product and shipping prices during the fiscal year ended June 30, 2024. Offsetting the increase in our TrueScience</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Liquid Collagen product was a decrease of $15.6 million in sales from our Protandim</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products as well as decreases in other product lines of approximately $6.3 million, and the negative impacts of foreign currency fluctuations compared to fiscal year ended June 30, 2023. In fiscal year 2024, foreign currency fluctuations negatively impacted our net revenue $2.2 million or 1.0%.</w:t>
      </w:r>
    </w:p>
    <w:p>
      <w:pPr>
        <w:spacing w:after="0" w:line="10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u w:val="single" w:color="auto"/>
          <w:color w:val="auto"/>
        </w:rPr>
        <w:t>Americas</w:t>
      </w:r>
      <w:r>
        <w:rPr>
          <w:rFonts w:ascii="Times New Roman" w:cs="Times New Roman" w:eastAsia="Times New Roman" w:hAnsi="Times New Roman"/>
          <w:sz w:val="14"/>
          <w:szCs w:val="14"/>
          <w:color w:val="auto"/>
        </w:rPr>
        <w:t>. The following table sets forth revenue for the fiscal years ended June 30, 2024 and 2023 for the Americas region (in thousands):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5960" w:type="dxa"/>
            <w:vAlign w:val="bottom"/>
          </w:tcPr>
          <w:p>
            <w:pPr>
              <w:spacing w:after="0"/>
              <w:rPr>
                <w:sz w:val="13"/>
                <w:szCs w:val="13"/>
                <w:color w:val="auto"/>
              </w:rPr>
            </w:pPr>
          </w:p>
        </w:tc>
        <w:tc>
          <w:tcPr>
            <w:tcW w:w="2780" w:type="dxa"/>
            <w:vAlign w:val="bottom"/>
            <w:tcBorders>
              <w:bottom w:val="single" w:sz="8" w:color="auto"/>
            </w:tcBorders>
            <w:gridSpan w:val="4"/>
          </w:tcPr>
          <w:p>
            <w:pPr>
              <w:jc w:val="right"/>
              <w:ind w:right="174"/>
              <w:spacing w:after="0"/>
              <w:rPr>
                <w:sz w:val="20"/>
                <w:szCs w:val="20"/>
                <w:color w:val="auto"/>
              </w:rPr>
            </w:pPr>
            <w:r>
              <w:rPr>
                <w:rFonts w:ascii="Times New Roman" w:cs="Times New Roman" w:eastAsia="Times New Roman" w:hAnsi="Times New Roman"/>
                <w:sz w:val="11"/>
                <w:szCs w:val="11"/>
                <w:b w:val="1"/>
                <w:bCs w:val="1"/>
                <w:color w:val="auto"/>
              </w:rPr>
              <w:t>For the fiscal years ended June 30,</w:t>
            </w:r>
          </w:p>
        </w:tc>
        <w:tc>
          <w:tcPr>
            <w:tcW w:w="6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780" w:type="dxa"/>
            <w:vAlign w:val="bottom"/>
          </w:tcPr>
          <w:p>
            <w:pPr>
              <w:spacing w:after="0"/>
              <w:rPr>
                <w:sz w:val="13"/>
                <w:szCs w:val="13"/>
                <w:color w:val="auto"/>
              </w:rPr>
            </w:pPr>
          </w:p>
        </w:tc>
      </w:tr>
      <w:tr>
        <w:trPr>
          <w:trHeight w:val="154"/>
        </w:trPr>
        <w:tc>
          <w:tcPr>
            <w:tcW w:w="5960" w:type="dxa"/>
            <w:vAlign w:val="bottom"/>
            <w:tcBorders>
              <w:bottom w:val="single" w:sz="8" w:color="CCEEFF"/>
            </w:tcBorders>
          </w:tcPr>
          <w:p>
            <w:pPr>
              <w:spacing w:after="0"/>
              <w:rPr>
                <w:sz w:val="13"/>
                <w:szCs w:val="13"/>
                <w:color w:val="auto"/>
              </w:rPr>
            </w:pPr>
          </w:p>
        </w:tc>
        <w:tc>
          <w:tcPr>
            <w:tcW w:w="104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1"/>
                <w:szCs w:val="11"/>
                <w:b w:val="1"/>
                <w:bCs w:val="1"/>
                <w:color w:val="auto"/>
              </w:rPr>
              <w:t>2024</w:t>
            </w:r>
          </w:p>
        </w:tc>
        <w:tc>
          <w:tcPr>
            <w:tcW w:w="62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104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1"/>
                <w:szCs w:val="11"/>
                <w:b w:val="1"/>
                <w:bCs w:val="1"/>
                <w:color w:val="auto"/>
              </w:rPr>
              <w:t>2023</w:t>
            </w:r>
          </w:p>
        </w:tc>
        <w:tc>
          <w:tcPr>
            <w:tcW w:w="62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1780" w:type="dxa"/>
            <w:vAlign w:val="bottom"/>
            <w:tcBorders>
              <w:bottom w:val="single" w:sz="8" w:color="auto"/>
            </w:tcBorders>
          </w:tcPr>
          <w:p>
            <w:pPr>
              <w:jc w:val="right"/>
              <w:ind w:right="596"/>
              <w:spacing w:after="0"/>
              <w:rPr>
                <w:sz w:val="20"/>
                <w:szCs w:val="20"/>
                <w:color w:val="auto"/>
              </w:rPr>
            </w:pPr>
            <w:r>
              <w:rPr>
                <w:rFonts w:ascii="Times New Roman" w:cs="Times New Roman" w:eastAsia="Times New Roman" w:hAnsi="Times New Roman"/>
                <w:sz w:val="11"/>
                <w:szCs w:val="11"/>
                <w:b w:val="1"/>
                <w:bCs w:val="1"/>
                <w:color w:val="auto"/>
              </w:rPr>
              <w:t>% change</w:t>
            </w:r>
          </w:p>
        </w:tc>
      </w:tr>
      <w:tr>
        <w:trPr>
          <w:trHeight w:val="176"/>
        </w:trPr>
        <w:tc>
          <w:tcPr>
            <w:tcW w:w="5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United States</w:t>
            </w:r>
          </w:p>
        </w:tc>
        <w:tc>
          <w:tcPr>
            <w:tcW w:w="1040" w:type="dxa"/>
            <w:vAlign w:val="bottom"/>
            <w:shd w:val="clear" w:color="auto" w:fill="CCEEFF"/>
          </w:tcPr>
          <w:p>
            <w:pPr>
              <w:jc w:val="right"/>
              <w:ind w:right="896"/>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145,679</w:t>
            </w:r>
          </w:p>
        </w:tc>
        <w:tc>
          <w:tcPr>
            <w:tcW w:w="80" w:type="dxa"/>
            <w:vAlign w:val="bottom"/>
            <w:shd w:val="clear" w:color="auto" w:fill="CCEEFF"/>
          </w:tcPr>
          <w:p>
            <w:pPr>
              <w:spacing w:after="0"/>
              <w:rPr>
                <w:sz w:val="15"/>
                <w:szCs w:val="15"/>
                <w:color w:val="auto"/>
              </w:rPr>
            </w:pPr>
          </w:p>
        </w:tc>
        <w:tc>
          <w:tcPr>
            <w:tcW w:w="1040" w:type="dxa"/>
            <w:vAlign w:val="bottom"/>
            <w:shd w:val="clear" w:color="auto" w:fill="CCEEFF"/>
          </w:tcPr>
          <w:p>
            <w:pPr>
              <w:jc w:val="right"/>
              <w:ind w:right="874"/>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148,522</w:t>
            </w:r>
          </w:p>
        </w:tc>
        <w:tc>
          <w:tcPr>
            <w:tcW w:w="100" w:type="dxa"/>
            <w:vAlign w:val="bottom"/>
            <w:shd w:val="clear" w:color="auto" w:fill="CCEEFF"/>
          </w:tcPr>
          <w:p>
            <w:pPr>
              <w:spacing w:after="0"/>
              <w:rPr>
                <w:sz w:val="15"/>
                <w:szCs w:val="15"/>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w:t>
            </w:r>
          </w:p>
        </w:tc>
      </w:tr>
      <w:tr>
        <w:trPr>
          <w:trHeight w:val="180"/>
        </w:trPr>
        <w:tc>
          <w:tcPr>
            <w:tcW w:w="59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Other</w:t>
            </w:r>
          </w:p>
        </w:tc>
        <w:tc>
          <w:tcPr>
            <w:tcW w:w="104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7,228</w:t>
            </w:r>
          </w:p>
        </w:tc>
        <w:tc>
          <w:tcPr>
            <w:tcW w:w="80" w:type="dxa"/>
            <w:vAlign w:val="bottom"/>
            <w:tcBorders>
              <w:bottom w:val="single" w:sz="8" w:color="CCEEFF"/>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6,839</w:t>
            </w:r>
          </w:p>
        </w:tc>
        <w:tc>
          <w:tcPr>
            <w:tcW w:w="188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4"/>
                <w:szCs w:val="14"/>
                <w:color w:val="auto"/>
              </w:rPr>
              <w:t>5.7 %</w:t>
            </w:r>
          </w:p>
        </w:tc>
      </w:tr>
      <w:tr>
        <w:trPr>
          <w:trHeight w:val="196"/>
        </w:trPr>
        <w:tc>
          <w:tcPr>
            <w:tcW w:w="5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Americas Total</w:t>
            </w:r>
          </w:p>
        </w:tc>
        <w:tc>
          <w:tcPr>
            <w:tcW w:w="1040" w:type="dxa"/>
            <w:vAlign w:val="bottom"/>
            <w:tcBorders>
              <w:bottom w:val="single" w:sz="8" w:color="auto"/>
            </w:tcBorders>
            <w:shd w:val="clear" w:color="auto" w:fill="CCEEFF"/>
          </w:tcPr>
          <w:p>
            <w:pPr>
              <w:jc w:val="right"/>
              <w:ind w:right="896"/>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152,907</w:t>
            </w:r>
          </w:p>
        </w:tc>
        <w:tc>
          <w:tcPr>
            <w:tcW w:w="8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jc w:val="right"/>
              <w:ind w:right="874"/>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155,361</w:t>
            </w:r>
          </w:p>
        </w:tc>
        <w:tc>
          <w:tcPr>
            <w:tcW w:w="18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w:t>
            </w:r>
          </w:p>
        </w:tc>
      </w:tr>
      <w:tr>
        <w:trPr>
          <w:trHeight w:val="20"/>
        </w:trPr>
        <w:tc>
          <w:tcPr>
            <w:tcW w:w="596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80" w:type="dxa"/>
            <w:vAlign w:val="bottom"/>
            <w:tcBorders>
              <w:top w:val="single" w:sz="8" w:color="CCEEFF"/>
            </w:tcBorders>
          </w:tcPr>
          <w:p>
            <w:pPr>
              <w:spacing w:after="0" w:line="20" w:lineRule="exact"/>
              <w:rPr>
                <w:sz w:val="1"/>
                <w:szCs w:val="1"/>
                <w:color w:val="auto"/>
              </w:rPr>
            </w:pPr>
          </w:p>
        </w:tc>
      </w:tr>
    </w:tbl>
    <w:p>
      <w:pPr>
        <w:spacing w:after="0" w:line="166" w:lineRule="exact"/>
        <w:rPr>
          <w:sz w:val="20"/>
          <w:szCs w:val="20"/>
          <w:color w:val="auto"/>
        </w:rPr>
      </w:pPr>
    </w:p>
    <w:p>
      <w:pPr>
        <w:ind w:right="40" w:firstLine="255"/>
        <w:spacing w:after="0" w:line="250" w:lineRule="auto"/>
        <w:rPr>
          <w:sz w:val="20"/>
          <w:szCs w:val="20"/>
          <w:color w:val="auto"/>
        </w:rPr>
      </w:pPr>
      <w:r>
        <w:rPr>
          <w:rFonts w:ascii="Times New Roman" w:cs="Times New Roman" w:eastAsia="Times New Roman" w:hAnsi="Times New Roman"/>
          <w:sz w:val="14"/>
          <w:szCs w:val="14"/>
          <w:color w:val="auto"/>
        </w:rPr>
        <w:t>Revenue in the Americas region for the fiscal year ended June 30, 2024 decreased $2.5 million, or 1.6%, compared to the prior year. Total Active Accounts decreased 7.8% in the region compared to the prior fiscal year which contributed to the decrease in revenue. In the United States, the decrease in revenue due to the decrease in Active Accounts was partially offset by revenue from TrueScience</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Liquid Collagen of $39.5 million for the fiscal year ended June 30, 2024 compared to $36.2 million for the fiscal year ended June 30, 2023. Revenue from Mexico, increased $1.0 million in fiscal year 2024 as a result of an increase in Active Accounts in this market by 61.9% and the launch of TrueScience</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Liquid Collagen in this market.</w:t>
      </w: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846" w:right="339" w:bottom="1440" w:gutter="0" w:footer="0" w:header="0"/>
        </w:sectPr>
      </w:pPr>
    </w:p>
    <w:bookmarkStart w:id="48" w:name="page49"/>
    <w:bookmarkEnd w:id="48"/>
    <w:p>
      <w:pPr>
        <w:ind w:left="260"/>
        <w:spacing w:after="0"/>
        <w:rPr>
          <w:sz w:val="20"/>
          <w:szCs w:val="20"/>
          <w:color w:val="auto"/>
        </w:rPr>
      </w:pPr>
      <w:r>
        <w:rPr>
          <w:rFonts w:ascii="Times New Roman" w:cs="Times New Roman" w:eastAsia="Times New Roman" w:hAnsi="Times New Roman"/>
          <w:sz w:val="14"/>
          <w:szCs w:val="14"/>
          <w:u w:val="single" w:color="auto"/>
          <w:color w:val="auto"/>
        </w:rPr>
        <w:t>Asia/Pacific &amp; Europe</w:t>
      </w:r>
      <w:r>
        <w:rPr>
          <w:rFonts w:ascii="Times New Roman" w:cs="Times New Roman" w:eastAsia="Times New Roman" w:hAnsi="Times New Roman"/>
          <w:sz w:val="14"/>
          <w:szCs w:val="14"/>
          <w:color w:val="auto"/>
        </w:rPr>
        <w:t>. The following table sets forth revenue for the fiscal years ended June 30, 2024 and 2023 for the Asia/Pacific and Europe region and its principal markets (in thousands):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5960" w:type="dxa"/>
            <w:vAlign w:val="bottom"/>
          </w:tcPr>
          <w:p>
            <w:pPr>
              <w:spacing w:after="0"/>
              <w:rPr>
                <w:sz w:val="13"/>
                <w:szCs w:val="13"/>
                <w:color w:val="auto"/>
              </w:rPr>
            </w:pPr>
          </w:p>
        </w:tc>
        <w:tc>
          <w:tcPr>
            <w:tcW w:w="2820" w:type="dxa"/>
            <w:vAlign w:val="bottom"/>
            <w:tcBorders>
              <w:bottom w:val="single" w:sz="8" w:color="auto"/>
            </w:tcBorders>
            <w:gridSpan w:val="4"/>
          </w:tcPr>
          <w:p>
            <w:pPr>
              <w:jc w:val="right"/>
              <w:ind w:right="214"/>
              <w:spacing w:after="0"/>
              <w:rPr>
                <w:sz w:val="20"/>
                <w:szCs w:val="20"/>
                <w:color w:val="auto"/>
              </w:rPr>
            </w:pPr>
            <w:r>
              <w:rPr>
                <w:rFonts w:ascii="Times New Roman" w:cs="Times New Roman" w:eastAsia="Times New Roman" w:hAnsi="Times New Roman"/>
                <w:sz w:val="11"/>
                <w:szCs w:val="11"/>
                <w:b w:val="1"/>
                <w:bCs w:val="1"/>
                <w:color w:val="auto"/>
              </w:rPr>
              <w:t>For the fiscal years ended June 30,</w:t>
            </w:r>
          </w:p>
        </w:tc>
        <w:tc>
          <w:tcPr>
            <w:tcW w:w="58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780" w:type="dxa"/>
            <w:vAlign w:val="bottom"/>
          </w:tcPr>
          <w:p>
            <w:pPr>
              <w:spacing w:after="0"/>
              <w:rPr>
                <w:sz w:val="13"/>
                <w:szCs w:val="13"/>
                <w:color w:val="auto"/>
              </w:rPr>
            </w:pPr>
          </w:p>
        </w:tc>
      </w:tr>
      <w:tr>
        <w:trPr>
          <w:trHeight w:val="154"/>
        </w:trPr>
        <w:tc>
          <w:tcPr>
            <w:tcW w:w="5960" w:type="dxa"/>
            <w:vAlign w:val="bottom"/>
            <w:tcBorders>
              <w:bottom w:val="single" w:sz="8" w:color="CCEEFF"/>
            </w:tcBorders>
          </w:tcPr>
          <w:p>
            <w:pPr>
              <w:spacing w:after="0"/>
              <w:rPr>
                <w:sz w:val="13"/>
                <w:szCs w:val="13"/>
                <w:color w:val="auto"/>
              </w:rPr>
            </w:pPr>
          </w:p>
        </w:tc>
        <w:tc>
          <w:tcPr>
            <w:tcW w:w="108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1"/>
                <w:szCs w:val="11"/>
                <w:b w:val="1"/>
                <w:bCs w:val="1"/>
                <w:color w:val="auto"/>
              </w:rPr>
              <w:t>2024</w:t>
            </w:r>
          </w:p>
        </w:tc>
        <w:tc>
          <w:tcPr>
            <w:tcW w:w="58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108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1"/>
                <w:szCs w:val="11"/>
                <w:b w:val="1"/>
                <w:bCs w:val="1"/>
                <w:color w:val="auto"/>
              </w:rPr>
              <w:t>2023</w:t>
            </w:r>
          </w:p>
        </w:tc>
        <w:tc>
          <w:tcPr>
            <w:tcW w:w="58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1780" w:type="dxa"/>
            <w:vAlign w:val="bottom"/>
            <w:tcBorders>
              <w:bottom w:val="single" w:sz="8" w:color="auto"/>
            </w:tcBorders>
          </w:tcPr>
          <w:p>
            <w:pPr>
              <w:jc w:val="right"/>
              <w:ind w:right="596"/>
              <w:spacing w:after="0"/>
              <w:rPr>
                <w:sz w:val="20"/>
                <w:szCs w:val="20"/>
                <w:color w:val="auto"/>
              </w:rPr>
            </w:pPr>
            <w:r>
              <w:rPr>
                <w:rFonts w:ascii="Times New Roman" w:cs="Times New Roman" w:eastAsia="Times New Roman" w:hAnsi="Times New Roman"/>
                <w:sz w:val="11"/>
                <w:szCs w:val="11"/>
                <w:b w:val="1"/>
                <w:bCs w:val="1"/>
                <w:color w:val="auto"/>
              </w:rPr>
              <w:t>% change</w:t>
            </w:r>
          </w:p>
        </w:tc>
      </w:tr>
      <w:tr>
        <w:trPr>
          <w:trHeight w:val="176"/>
        </w:trPr>
        <w:tc>
          <w:tcPr>
            <w:tcW w:w="5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Japan</w:t>
            </w:r>
          </w:p>
        </w:tc>
        <w:tc>
          <w:tcPr>
            <w:tcW w:w="1080" w:type="dxa"/>
            <w:vAlign w:val="bottom"/>
            <w:shd w:val="clear" w:color="auto" w:fill="CCEEFF"/>
          </w:tcPr>
          <w:p>
            <w:pPr>
              <w:jc w:val="right"/>
              <w:ind w:right="916"/>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26,989</w:t>
            </w:r>
          </w:p>
        </w:tc>
        <w:tc>
          <w:tcPr>
            <w:tcW w:w="80" w:type="dxa"/>
            <w:vAlign w:val="bottom"/>
            <w:shd w:val="clear" w:color="auto" w:fill="CCEEFF"/>
          </w:tcPr>
          <w:p>
            <w:pPr>
              <w:spacing w:after="0"/>
              <w:rPr>
                <w:sz w:val="15"/>
                <w:szCs w:val="15"/>
                <w:color w:val="auto"/>
              </w:rPr>
            </w:pPr>
          </w:p>
        </w:tc>
        <w:tc>
          <w:tcPr>
            <w:tcW w:w="1080" w:type="dxa"/>
            <w:vAlign w:val="bottom"/>
            <w:shd w:val="clear" w:color="auto" w:fill="CCEEFF"/>
          </w:tcPr>
          <w:p>
            <w:pPr>
              <w:jc w:val="right"/>
              <w:ind w:right="914"/>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32,083</w:t>
            </w:r>
          </w:p>
        </w:tc>
        <w:tc>
          <w:tcPr>
            <w:tcW w:w="100" w:type="dxa"/>
            <w:vAlign w:val="bottom"/>
            <w:shd w:val="clear" w:color="auto" w:fill="CCEEFF"/>
          </w:tcPr>
          <w:p>
            <w:pPr>
              <w:spacing w:after="0"/>
              <w:rPr>
                <w:sz w:val="15"/>
                <w:szCs w:val="15"/>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(15.9)%</w:t>
            </w:r>
          </w:p>
        </w:tc>
      </w:tr>
      <w:tr>
        <w:trPr>
          <w:trHeight w:val="180"/>
        </w:trPr>
        <w:tc>
          <w:tcPr>
            <w:tcW w:w="59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Australia &amp; New Zealand</w:t>
            </w:r>
          </w:p>
        </w:tc>
        <w:tc>
          <w:tcPr>
            <w:tcW w:w="10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8,020</w:t>
            </w:r>
          </w:p>
        </w:tc>
        <w:tc>
          <w:tcPr>
            <w:tcW w:w="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8,922</w:t>
            </w:r>
          </w:p>
        </w:tc>
        <w:tc>
          <w:tcPr>
            <w:tcW w:w="18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(10.1)%</w:t>
            </w:r>
          </w:p>
        </w:tc>
      </w:tr>
      <w:tr>
        <w:trPr>
          <w:trHeight w:val="180"/>
        </w:trPr>
        <w:tc>
          <w:tcPr>
            <w:tcW w:w="5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Greater China</w:t>
            </w:r>
          </w:p>
        </w:tc>
        <w:tc>
          <w:tcPr>
            <w:tcW w:w="108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2,882</w:t>
            </w:r>
          </w:p>
        </w:tc>
        <w:tc>
          <w:tcPr>
            <w:tcW w:w="8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3,526</w:t>
            </w:r>
          </w:p>
        </w:tc>
        <w:tc>
          <w:tcPr>
            <w:tcW w:w="1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(18.3)%</w:t>
            </w:r>
          </w:p>
        </w:tc>
      </w:tr>
      <w:tr>
        <w:trPr>
          <w:trHeight w:val="180"/>
        </w:trPr>
        <w:tc>
          <w:tcPr>
            <w:tcW w:w="59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Other</w:t>
            </w:r>
          </w:p>
        </w:tc>
        <w:tc>
          <w:tcPr>
            <w:tcW w:w="108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9,366</w:t>
            </w:r>
          </w:p>
        </w:tc>
        <w:tc>
          <w:tcPr>
            <w:tcW w:w="80" w:type="dxa"/>
            <w:vAlign w:val="bottom"/>
            <w:tcBorders>
              <w:bottom w:val="single" w:sz="8" w:color="CCEEFF"/>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13,506</w:t>
            </w:r>
          </w:p>
        </w:tc>
        <w:tc>
          <w:tcPr>
            <w:tcW w:w="188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4"/>
                <w:szCs w:val="14"/>
                <w:color w:val="auto"/>
              </w:rPr>
              <w:t>(30.7)%</w:t>
            </w:r>
          </w:p>
        </w:tc>
      </w:tr>
      <w:tr>
        <w:trPr>
          <w:trHeight w:val="196"/>
        </w:trPr>
        <w:tc>
          <w:tcPr>
            <w:tcW w:w="5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Asia/Pacific &amp; Europe Total</w:t>
            </w:r>
          </w:p>
        </w:tc>
        <w:tc>
          <w:tcPr>
            <w:tcW w:w="1080" w:type="dxa"/>
            <w:vAlign w:val="bottom"/>
            <w:tcBorders>
              <w:bottom w:val="single" w:sz="8" w:color="auto"/>
            </w:tcBorders>
            <w:shd w:val="clear" w:color="auto" w:fill="CCEEFF"/>
          </w:tcPr>
          <w:p>
            <w:pPr>
              <w:jc w:val="right"/>
              <w:ind w:right="916"/>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47,257</w:t>
            </w:r>
          </w:p>
        </w:tc>
        <w:tc>
          <w:tcPr>
            <w:tcW w:w="8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right"/>
              <w:ind w:right="914"/>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58,037</w:t>
            </w:r>
          </w:p>
        </w:tc>
        <w:tc>
          <w:tcPr>
            <w:tcW w:w="18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(18.6)%</w:t>
            </w:r>
          </w:p>
        </w:tc>
      </w:tr>
      <w:tr>
        <w:trPr>
          <w:trHeight w:val="20"/>
        </w:trPr>
        <w:tc>
          <w:tcPr>
            <w:tcW w:w="596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80" w:type="dxa"/>
            <w:vAlign w:val="bottom"/>
            <w:tcBorders>
              <w:top w:val="single" w:sz="8" w:color="CCEEFF"/>
            </w:tcBorders>
          </w:tcPr>
          <w:p>
            <w:pPr>
              <w:spacing w:after="0" w:line="20" w:lineRule="exact"/>
              <w:rPr>
                <w:sz w:val="1"/>
                <w:szCs w:val="1"/>
                <w:color w:val="auto"/>
              </w:rPr>
            </w:pPr>
          </w:p>
        </w:tc>
      </w:tr>
    </w:tbl>
    <w:p>
      <w:pPr>
        <w:spacing w:after="0" w:line="166" w:lineRule="exact"/>
        <w:rPr>
          <w:sz w:val="20"/>
          <w:szCs w:val="20"/>
          <w:color w:val="auto"/>
        </w:rPr>
      </w:pPr>
    </w:p>
    <w:p>
      <w:pPr>
        <w:ind w:right="380" w:firstLine="255"/>
        <w:spacing w:after="0" w:line="287" w:lineRule="auto"/>
        <w:rPr>
          <w:sz w:val="20"/>
          <w:szCs w:val="20"/>
          <w:color w:val="auto"/>
        </w:rPr>
      </w:pPr>
      <w:r>
        <w:rPr>
          <w:rFonts w:ascii="Times New Roman" w:cs="Times New Roman" w:eastAsia="Times New Roman" w:hAnsi="Times New Roman"/>
          <w:sz w:val="14"/>
          <w:szCs w:val="14"/>
          <w:color w:val="auto"/>
        </w:rPr>
        <w:t>Revenue in the Asia/Pacific and Europe region for the fiscal year ended June 30, 2024 decreased $10.8 million, or 18.6%, compared to the prior year. Revenue in the region was negatively impacted approximately $2.4 million, or 4.3%, by foreign currency exchange rate fluctuations.</w:t>
      </w:r>
    </w:p>
    <w:p>
      <w:pPr>
        <w:spacing w:after="0" w:line="71" w:lineRule="exact"/>
        <w:rPr>
          <w:sz w:val="20"/>
          <w:szCs w:val="20"/>
          <w:color w:val="auto"/>
        </w:rPr>
      </w:pPr>
    </w:p>
    <w:p>
      <w:pPr>
        <w:ind w:right="40" w:firstLine="255"/>
        <w:spacing w:after="0" w:line="241" w:lineRule="auto"/>
        <w:rPr>
          <w:sz w:val="20"/>
          <w:szCs w:val="20"/>
          <w:color w:val="auto"/>
        </w:rPr>
      </w:pPr>
      <w:r>
        <w:rPr>
          <w:rFonts w:ascii="Times New Roman" w:cs="Times New Roman" w:eastAsia="Times New Roman" w:hAnsi="Times New Roman"/>
          <w:sz w:val="14"/>
          <w:szCs w:val="14"/>
          <w:color w:val="auto"/>
        </w:rPr>
        <w:t>Revenue in our Japan market decreased 15.9% year over year on a U.S. Dollar basis and decreased 9.0% on a constant currency basis. Contributing to the decrease in revenue on a constant currency basis was revenue related to the decrease in Active Accounts by 11.6% year over year. Total revenue related to the sale of TrueScience</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Liquid Collagen was $4.3 million for the fiscal year ended June 30, 2024 compared to $2.3 million from the prior year, which partially offset the decrease in revenue. During the fiscal year ended June 30, 2024, the Japanese yen, on average, weakened against the U.S. Dollar, negatively impacting our revenue in this market by $2.2 million or 6.9%.</w:t>
      </w:r>
    </w:p>
    <w:p>
      <w:pPr>
        <w:spacing w:after="0" w:line="103" w:lineRule="exact"/>
        <w:rPr>
          <w:sz w:val="20"/>
          <w:szCs w:val="20"/>
          <w:color w:val="auto"/>
        </w:rPr>
      </w:pPr>
    </w:p>
    <w:p>
      <w:pPr>
        <w:ind w:right="60" w:firstLine="255"/>
        <w:spacing w:after="0" w:line="237" w:lineRule="auto"/>
        <w:rPr>
          <w:sz w:val="20"/>
          <w:szCs w:val="20"/>
          <w:color w:val="auto"/>
        </w:rPr>
      </w:pPr>
      <w:r>
        <w:rPr>
          <w:rFonts w:ascii="Times New Roman" w:cs="Times New Roman" w:eastAsia="Times New Roman" w:hAnsi="Times New Roman"/>
          <w:sz w:val="14"/>
          <w:szCs w:val="14"/>
          <w:color w:val="auto"/>
        </w:rPr>
        <w:t>Revenue in our Australia and New Zealand markets decreased $0.9 million, or 10.1%, during fiscal year 2024. The decrease in revenue in these markets primarily resulted from a decrease in the number of Active Accounts, partially offset by revenue from the launch of TrueScience</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Liquid Collagen in March 2023. Revenue related to the sale of TrueScience</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Liquid Collagen was $0.5 million for the fiscal year ended June 30, 2024 compared to $0.2 million from the prior year.</w:t>
      </w:r>
    </w:p>
    <w:p>
      <w:pPr>
        <w:spacing w:after="0" w:line="93" w:lineRule="exact"/>
        <w:rPr>
          <w:sz w:val="20"/>
          <w:szCs w:val="20"/>
          <w:color w:val="auto"/>
        </w:rPr>
      </w:pPr>
    </w:p>
    <w:p>
      <w:pPr>
        <w:ind w:right="140" w:firstLine="255"/>
        <w:spacing w:after="0" w:line="287" w:lineRule="auto"/>
        <w:rPr>
          <w:sz w:val="20"/>
          <w:szCs w:val="20"/>
          <w:color w:val="auto"/>
        </w:rPr>
      </w:pPr>
      <w:r>
        <w:rPr>
          <w:rFonts w:ascii="Times New Roman" w:cs="Times New Roman" w:eastAsia="Times New Roman" w:hAnsi="Times New Roman"/>
          <w:sz w:val="14"/>
          <w:szCs w:val="14"/>
          <w:color w:val="auto"/>
        </w:rPr>
        <w:t>Revenue in our Greater China region decreased by 18.3% year over year primarily due to a 15.7% decline in our average number of Active Accounts within the market from fiscal year 2023 to fiscal year 2024. Also contributing to the decline in revenue was the closure of our e-commerce business in China in March 2023.</w:t>
      </w:r>
    </w:p>
    <w:p>
      <w:pPr>
        <w:spacing w:after="0" w:line="71" w:lineRule="exact"/>
        <w:rPr>
          <w:sz w:val="20"/>
          <w:szCs w:val="20"/>
          <w:color w:val="auto"/>
        </w:rPr>
      </w:pPr>
    </w:p>
    <w:p>
      <w:pPr>
        <w:ind w:firstLine="255"/>
        <w:spacing w:after="0" w:line="287" w:lineRule="auto"/>
        <w:rPr>
          <w:sz w:val="20"/>
          <w:szCs w:val="20"/>
          <w:color w:val="auto"/>
        </w:rPr>
      </w:pPr>
      <w:r>
        <w:rPr>
          <w:rFonts w:ascii="Times New Roman" w:cs="Times New Roman" w:eastAsia="Times New Roman" w:hAnsi="Times New Roman"/>
          <w:sz w:val="14"/>
          <w:szCs w:val="14"/>
          <w:color w:val="auto"/>
        </w:rPr>
        <w:t>The decline in revenue in our other markets was driven by a decrease in revenue from the Philippines. Revenue from our Philippines market was $2.6 million during fiscal year 2024 compared to $5.9 million during fiscal year 2023. Total Active Accounts decreased by 49.0% in the current fiscal year.</w:t>
      </w:r>
    </w:p>
    <w:p>
      <w:pPr>
        <w:spacing w:after="0" w:line="71" w:lineRule="exact"/>
        <w:rPr>
          <w:sz w:val="20"/>
          <w:szCs w:val="20"/>
          <w:color w:val="auto"/>
        </w:rPr>
      </w:pPr>
    </w:p>
    <w:p>
      <w:pPr>
        <w:ind w:firstLine="255"/>
        <w:spacing w:after="0"/>
        <w:rPr>
          <w:sz w:val="20"/>
          <w:szCs w:val="20"/>
          <w:color w:val="auto"/>
        </w:rPr>
      </w:pPr>
      <w:r>
        <w:rPr>
          <w:rFonts w:ascii="Times New Roman" w:cs="Times New Roman" w:eastAsia="Times New Roman" w:hAnsi="Times New Roman"/>
          <w:sz w:val="14"/>
          <w:szCs w:val="14"/>
          <w:color w:val="auto"/>
        </w:rPr>
        <w:t>Globally, our sales and marketing efforts continue to be directed toward strengthening our core business through our fiscal year initiatives and building our worldwide sales. In October 2023, we relaunched our TrueScience</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Skin Care line with entirely new branding premium packaging, and improved formulas. Rebranded as the TrueScience</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Activated Skin Care Collection, this line includes TrueClean Refining Cleanser, TrueRenew Daily Firming Complex, TrueLift Illuminating Eye Cream, and TrueHydrate Brightening Moisturizer. This was a global launch in all markets. In the United States, we also launched TrueScience</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TrueProtect Daily Mineral Sunstick, a broad-spectrum, 30 SPF mineral sunscreen that addresses the appearance of sun-induced hyperpigmentation and wrinkles as it protects against future damage. We will continue the refinement and expansion of our product offerings internationally during fiscal year 2025 and beyond. We expect this expansion will continue to drive revenue growth globally through increased average order size and increased ability to attract and retain new independent consultants and customers with a compelling product lineup.</w:t>
      </w:r>
    </w:p>
    <w:p>
      <w:pPr>
        <w:spacing w:after="0" w:line="236" w:lineRule="exact"/>
        <w:rPr>
          <w:sz w:val="20"/>
          <w:szCs w:val="20"/>
          <w:color w:val="auto"/>
        </w:rPr>
      </w:pPr>
    </w:p>
    <w:p>
      <w:pPr>
        <w:jc w:val="both"/>
        <w:ind w:right="420" w:firstLine="255"/>
        <w:spacing w:after="0" w:line="270" w:lineRule="auto"/>
        <w:rPr>
          <w:sz w:val="20"/>
          <w:szCs w:val="20"/>
          <w:color w:val="auto"/>
        </w:rPr>
      </w:pPr>
      <w:r>
        <w:rPr>
          <w:rFonts w:ascii="Times New Roman" w:cs="Times New Roman" w:eastAsia="Times New Roman" w:hAnsi="Times New Roman"/>
          <w:sz w:val="14"/>
          <w:szCs w:val="14"/>
          <w:color w:val="auto"/>
        </w:rPr>
        <w:t>In January 2023, we announced the adoption our Evolve Compensation Plan for our independent consultants, which became effective in March 2023, in our United States, Australia, New Zealand and Japan markets. In February 2024, we launched the Evolve Compensation Plan in our Canada, Mexico, and Europe markets. This new compensation plan is designed to reward our independent consultants for product sales to their customers as well as the product sales made through the sales networks they have developed and trained.</w:t>
      </w:r>
    </w:p>
    <w:p>
      <w:pPr>
        <w:spacing w:after="0" w:line="83" w:lineRule="exact"/>
        <w:rPr>
          <w:sz w:val="20"/>
          <w:szCs w:val="20"/>
          <w:color w:val="auto"/>
        </w:rPr>
      </w:pPr>
    </w:p>
    <w:p>
      <w:pPr>
        <w:ind w:right="340" w:firstLine="255"/>
        <w:spacing w:after="0" w:line="264" w:lineRule="auto"/>
        <w:rPr>
          <w:sz w:val="20"/>
          <w:szCs w:val="20"/>
          <w:color w:val="auto"/>
        </w:rPr>
      </w:pPr>
      <w:r>
        <w:rPr>
          <w:rFonts w:ascii="Times New Roman" w:cs="Times New Roman" w:eastAsia="Times New Roman" w:hAnsi="Times New Roman"/>
          <w:sz w:val="14"/>
          <w:szCs w:val="14"/>
          <w:color w:val="auto"/>
        </w:rPr>
        <w:t>In March 2023, we launched Rewards Circle, our first-ever customer loyalty program, in the United States, Australia, New Zealand, and Japan. This program was introduced to our Canada, Mexico, and Europe markets in February 2024. Rewards Circle is focused on supporting customer retention for independent consultants, supporting their efforts to grow and maintain their LifeVantage business. We have seen an increase in average revenue per account since the launch of this program and continue to monitor retention trends for our independent consultants and customers.</w:t>
      </w:r>
    </w:p>
    <w:p>
      <w:pPr>
        <w:spacing w:after="0" w:line="200" w:lineRule="exact"/>
        <w:rPr>
          <w:sz w:val="20"/>
          <w:szCs w:val="20"/>
          <w:color w:val="auto"/>
        </w:rPr>
      </w:pPr>
    </w:p>
    <w:p>
      <w:pPr>
        <w:spacing w:after="0" w:line="3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846" w:right="339" w:bottom="1440" w:gutter="0" w:footer="0" w:header="0"/>
        </w:sectPr>
      </w:pPr>
    </w:p>
    <w:bookmarkStart w:id="49" w:name="page50"/>
    <w:bookmarkEnd w:id="49"/>
    <w:p>
      <w:pPr>
        <w:ind w:right="60" w:firstLine="255"/>
        <w:spacing w:after="0" w:line="261" w:lineRule="auto"/>
        <w:rPr>
          <w:sz w:val="20"/>
          <w:szCs w:val="20"/>
          <w:color w:val="auto"/>
        </w:rPr>
      </w:pPr>
      <w:r>
        <w:rPr>
          <w:rFonts w:ascii="Times New Roman" w:cs="Times New Roman" w:eastAsia="Times New Roman" w:hAnsi="Times New Roman"/>
          <w:sz w:val="14"/>
          <w:szCs w:val="14"/>
          <w:color w:val="auto"/>
        </w:rPr>
        <w:t>During fiscal year 2025, our main focus will be to increase our average account base through concentrating our efforts on the enrollment of new independent consultants and customers, who will in turn help grow the business through incremental product sales, and on increasing the number of accounts that place an order in the month following their initial enrollment. This will be achieved through continued focus on our Evolve Compensation Plan and Rewards Circle loyalty program. We will continue investing in our red-carpet program, which we believe has increased our ability to attract and retain strong consultant leadership and is a significant opportunity to drive revenue growth throughout our markets. We remain committed to further expanding the functionality and availability of our digital tools, which we believe will aid independent consultants in initiating and expanding their businesses.</w:t>
      </w:r>
    </w:p>
    <w:p>
      <w:pPr>
        <w:spacing w:after="0" w:line="78" w:lineRule="exact"/>
        <w:rPr>
          <w:sz w:val="20"/>
          <w:szCs w:val="20"/>
          <w:color w:val="auto"/>
        </w:rPr>
      </w:pPr>
    </w:p>
    <w:p>
      <w:pPr>
        <w:ind w:right="60" w:firstLine="255"/>
        <w:spacing w:after="0" w:line="271" w:lineRule="auto"/>
        <w:rPr>
          <w:sz w:val="20"/>
          <w:szCs w:val="20"/>
          <w:color w:val="auto"/>
        </w:rPr>
      </w:pPr>
      <w:r>
        <w:rPr>
          <w:rFonts w:ascii="Times New Roman" w:cs="Times New Roman" w:eastAsia="Times New Roman" w:hAnsi="Times New Roman"/>
          <w:sz w:val="14"/>
          <w:szCs w:val="14"/>
          <w:u w:val="single" w:color="auto"/>
          <w:color w:val="auto"/>
        </w:rPr>
        <w:t>Cost of Sales</w:t>
      </w:r>
      <w:r>
        <w:rPr>
          <w:rFonts w:ascii="Times New Roman" w:cs="Times New Roman" w:eastAsia="Times New Roman" w:hAnsi="Times New Roman"/>
          <w:sz w:val="14"/>
          <w:szCs w:val="14"/>
          <w:i w:val="1"/>
          <w:iCs w:val="1"/>
          <w:color w:val="auto"/>
        </w:rPr>
        <w:t>.</w:t>
      </w:r>
      <w:r>
        <w:rPr>
          <w:rFonts w:ascii="Times New Roman" w:cs="Times New Roman" w:eastAsia="Times New Roman" w:hAnsi="Times New Roman"/>
          <w:sz w:val="14"/>
          <w:szCs w:val="14"/>
          <w:color w:val="auto"/>
        </w:rPr>
        <w:t xml:space="preserve"> Cost of sales were $41.4 million for the fiscal year ended June 30, 2024, and $43.4 million for the fiscal year ended June 30, 2023, resulting in a gross margin of $158.7 million, or 79.3%, and $170.0 million, or 79.7%, respectively. The increase in cost of sales as a percentage of revenue is primarily due to shift in product mix, increased raw material and manufacturing related costs, shipping expenses, and warehouse fulfillment expenses during the current fiscal year.</w:t>
      </w:r>
    </w:p>
    <w:p>
      <w:pPr>
        <w:spacing w:after="0" w:line="81" w:lineRule="exact"/>
        <w:rPr>
          <w:sz w:val="20"/>
          <w:szCs w:val="20"/>
          <w:color w:val="auto"/>
        </w:rPr>
      </w:pPr>
    </w:p>
    <w:p>
      <w:pPr>
        <w:ind w:right="120" w:firstLine="255"/>
        <w:spacing w:after="0" w:line="265" w:lineRule="auto"/>
        <w:rPr>
          <w:sz w:val="20"/>
          <w:szCs w:val="20"/>
          <w:color w:val="auto"/>
        </w:rPr>
      </w:pPr>
      <w:r>
        <w:rPr>
          <w:rFonts w:ascii="Times New Roman" w:cs="Times New Roman" w:eastAsia="Times New Roman" w:hAnsi="Times New Roman"/>
          <w:sz w:val="14"/>
          <w:szCs w:val="14"/>
          <w:u w:val="single" w:color="auto"/>
          <w:color w:val="auto"/>
        </w:rPr>
        <w:t>Commissions and Incentives</w:t>
      </w:r>
      <w:r>
        <w:rPr>
          <w:rFonts w:ascii="Times New Roman" w:cs="Times New Roman" w:eastAsia="Times New Roman" w:hAnsi="Times New Roman"/>
          <w:sz w:val="14"/>
          <w:szCs w:val="14"/>
          <w:i w:val="1"/>
          <w:iCs w:val="1"/>
          <w:color w:val="auto"/>
        </w:rPr>
        <w:t>.</w:t>
      </w:r>
      <w:r>
        <w:rPr>
          <w:rFonts w:ascii="Times New Roman" w:cs="Times New Roman" w:eastAsia="Times New Roman" w:hAnsi="Times New Roman"/>
          <w:sz w:val="14"/>
          <w:szCs w:val="14"/>
          <w:color w:val="auto"/>
        </w:rPr>
        <w:t xml:space="preserve"> Commissions and incentives expenses for the fiscal year ended June 30, 2024 were $85.9 million or 42.9% of revenue compared to $94.7 million or 44.4% of revenue for the fiscal year ended June 30, 2023. The decrease of $8.8 million in fiscal year 2024 was primarily due to the overall decrease in commissionable sales during fiscal year 2024 compared to fiscal year 2023 along with decreases in promotion payouts to our independent consultants. The decrease in percentage of commissions and incentives to revenue was primarily due to changes in sales mix and the impact of price increases, as well as the timing and magnitude of promotional and incentive programs.</w:t>
      </w:r>
    </w:p>
    <w:p>
      <w:pPr>
        <w:spacing w:after="0" w:line="87" w:lineRule="exact"/>
        <w:rPr>
          <w:sz w:val="20"/>
          <w:szCs w:val="20"/>
          <w:color w:val="auto"/>
        </w:rPr>
      </w:pPr>
    </w:p>
    <w:p>
      <w:pPr>
        <w:ind w:right="540" w:firstLine="255"/>
        <w:spacing w:after="0" w:line="287" w:lineRule="auto"/>
        <w:rPr>
          <w:sz w:val="20"/>
          <w:szCs w:val="20"/>
          <w:color w:val="auto"/>
        </w:rPr>
      </w:pPr>
      <w:r>
        <w:rPr>
          <w:rFonts w:ascii="Times New Roman" w:cs="Times New Roman" w:eastAsia="Times New Roman" w:hAnsi="Times New Roman"/>
          <w:sz w:val="14"/>
          <w:szCs w:val="14"/>
          <w:color w:val="auto"/>
        </w:rPr>
        <w:t>Commissions and incentives expenses, as a percentage of revenue, may fluctuate in future periods based on our ability to hold incentive trips and events and the timing and magnitude of compensation, incentive, and promotional programs.</w:t>
      </w:r>
    </w:p>
    <w:p>
      <w:pPr>
        <w:spacing w:after="0" w:line="59" w:lineRule="exact"/>
        <w:rPr>
          <w:sz w:val="20"/>
          <w:szCs w:val="20"/>
          <w:color w:val="auto"/>
        </w:rPr>
      </w:pPr>
    </w:p>
    <w:p>
      <w:pPr>
        <w:ind w:right="180" w:firstLine="255"/>
        <w:spacing w:after="0" w:line="265" w:lineRule="auto"/>
        <w:rPr>
          <w:sz w:val="20"/>
          <w:szCs w:val="20"/>
          <w:color w:val="auto"/>
        </w:rPr>
      </w:pPr>
      <w:r>
        <w:rPr>
          <w:rFonts w:ascii="Times New Roman" w:cs="Times New Roman" w:eastAsia="Times New Roman" w:hAnsi="Times New Roman"/>
          <w:sz w:val="14"/>
          <w:szCs w:val="14"/>
          <w:u w:val="single" w:color="auto"/>
          <w:color w:val="auto"/>
        </w:rPr>
        <w:t>Selling, General and Administrative</w:t>
      </w:r>
      <w:r>
        <w:rPr>
          <w:rFonts w:ascii="Times New Roman" w:cs="Times New Roman" w:eastAsia="Times New Roman" w:hAnsi="Times New Roman"/>
          <w:sz w:val="14"/>
          <w:szCs w:val="14"/>
          <w:i w:val="1"/>
          <w:iCs w:val="1"/>
          <w:color w:val="auto"/>
        </w:rPr>
        <w:t>.</w:t>
      </w:r>
      <w:r>
        <w:rPr>
          <w:rFonts w:ascii="Times New Roman" w:cs="Times New Roman" w:eastAsia="Times New Roman" w:hAnsi="Times New Roman"/>
          <w:sz w:val="14"/>
          <w:szCs w:val="14"/>
          <w:color w:val="auto"/>
        </w:rPr>
        <w:t xml:space="preserve"> Selling, general and administrative expenses for the fiscal year ended June 30, 2024 were $68.5 million or 34.2% of revenue compared to $71.1 million or 33.3% of revenue for the fiscal year ended June 30, 2023. The increase in selling, general, and administrative expenses as a percentage of revenue during fiscal year 2024 primarily was due to primarily due to increased proxy contest related expenses of $5.1 million. These increases have been partially offset by decreases in event costs, endorsement agreements, employee compensation related expenses, office lease and professional services expenses.</w:t>
      </w:r>
    </w:p>
    <w:p>
      <w:pPr>
        <w:spacing w:after="0" w:line="87" w:lineRule="exact"/>
        <w:rPr>
          <w:sz w:val="20"/>
          <w:szCs w:val="20"/>
          <w:color w:val="auto"/>
        </w:rPr>
      </w:pPr>
    </w:p>
    <w:p>
      <w:pPr>
        <w:ind w:right="140" w:firstLine="255"/>
        <w:spacing w:after="0" w:line="270" w:lineRule="auto"/>
        <w:rPr>
          <w:sz w:val="20"/>
          <w:szCs w:val="20"/>
          <w:color w:val="auto"/>
        </w:rPr>
      </w:pPr>
      <w:r>
        <w:rPr>
          <w:rFonts w:ascii="Times New Roman" w:cs="Times New Roman" w:eastAsia="Times New Roman" w:hAnsi="Times New Roman"/>
          <w:sz w:val="14"/>
          <w:szCs w:val="14"/>
          <w:color w:val="auto"/>
        </w:rPr>
        <w:t>Primary factors that may cause our selling, general and administrative expenses to fluctuate in the future include changes in the number of employees, the timing and number of events we hold, the termination of material agreements like our agreement with Real Salt Lake, marketing and branding initiatives and costs related to legal matters, if and as they arise. A fluctuation in our stock price may also impact our stock-based compensation expense relating to equity awards made in future years.</w:t>
      </w:r>
    </w:p>
    <w:p>
      <w:pPr>
        <w:spacing w:after="0" w:line="83" w:lineRule="exact"/>
        <w:rPr>
          <w:sz w:val="20"/>
          <w:szCs w:val="20"/>
          <w:color w:val="auto"/>
        </w:rPr>
      </w:pPr>
    </w:p>
    <w:p>
      <w:pPr>
        <w:ind w:right="340" w:firstLine="255"/>
        <w:spacing w:after="0" w:line="287" w:lineRule="auto"/>
        <w:rPr>
          <w:sz w:val="20"/>
          <w:szCs w:val="20"/>
          <w:color w:val="auto"/>
        </w:rPr>
      </w:pPr>
      <w:r>
        <w:rPr>
          <w:rFonts w:ascii="Times New Roman" w:cs="Times New Roman" w:eastAsia="Times New Roman" w:hAnsi="Times New Roman"/>
          <w:sz w:val="14"/>
          <w:szCs w:val="14"/>
          <w:u w:val="single" w:color="auto"/>
          <w:color w:val="auto"/>
        </w:rPr>
        <w:t>Interest Income</w:t>
      </w:r>
      <w:r>
        <w:rPr>
          <w:rFonts w:ascii="Times New Roman" w:cs="Times New Roman" w:eastAsia="Times New Roman" w:hAnsi="Times New Roman"/>
          <w:sz w:val="14"/>
          <w:szCs w:val="14"/>
          <w:color w:val="auto"/>
        </w:rPr>
        <w:t>. Interest income, net, for the fiscal year ended June 30, 2024 was $0.4 million as compared $0.2 million for the fiscal year ended June 30, 2023. During the fiscal year ended June 30, 2024, we benefited from higher interest rates earned on our money market accounts.</w:t>
      </w:r>
    </w:p>
    <w:p>
      <w:pPr>
        <w:spacing w:after="0" w:line="59" w:lineRule="exact"/>
        <w:rPr>
          <w:sz w:val="20"/>
          <w:szCs w:val="20"/>
          <w:color w:val="auto"/>
        </w:rPr>
      </w:pPr>
    </w:p>
    <w:p>
      <w:pPr>
        <w:ind w:right="140" w:firstLine="255"/>
        <w:spacing w:after="0" w:line="290" w:lineRule="auto"/>
        <w:rPr>
          <w:sz w:val="20"/>
          <w:szCs w:val="20"/>
          <w:color w:val="auto"/>
        </w:rPr>
      </w:pPr>
      <w:r>
        <w:rPr>
          <w:rFonts w:ascii="Times New Roman" w:cs="Times New Roman" w:eastAsia="Times New Roman" w:hAnsi="Times New Roman"/>
          <w:sz w:val="14"/>
          <w:szCs w:val="14"/>
          <w:u w:val="single" w:color="auto"/>
          <w:color w:val="auto"/>
        </w:rPr>
        <w:t>Other Expense, Net</w:t>
      </w:r>
      <w:r>
        <w:rPr>
          <w:rFonts w:ascii="Times New Roman" w:cs="Times New Roman" w:eastAsia="Times New Roman" w:hAnsi="Times New Roman"/>
          <w:sz w:val="14"/>
          <w:szCs w:val="14"/>
          <w:i w:val="1"/>
          <w:iCs w:val="1"/>
          <w:color w:val="auto"/>
        </w:rPr>
        <w:t>.</w:t>
      </w:r>
      <w:r>
        <w:rPr>
          <w:rFonts w:ascii="Times New Roman" w:cs="Times New Roman" w:eastAsia="Times New Roman" w:hAnsi="Times New Roman"/>
          <w:sz w:val="14"/>
          <w:szCs w:val="14"/>
          <w:color w:val="auto"/>
        </w:rPr>
        <w:t xml:space="preserve"> We recognized other expense, net, for the fiscal year ended June 30, 2024 of $0.4 million as compared to $0.5 million for the fiscal year ended June 30, 2023. The decrease was primarily due to the impact of foreign currency fluctuations recognized during fiscal year 2024.</w:t>
      </w:r>
    </w:p>
    <w:p>
      <w:pPr>
        <w:spacing w:after="0" w:line="6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u w:val="single" w:color="auto"/>
          <w:color w:val="auto"/>
        </w:rPr>
        <w:t>Income Tax Expense</w:t>
      </w:r>
      <w:r>
        <w:rPr>
          <w:rFonts w:ascii="Times New Roman" w:cs="Times New Roman" w:eastAsia="Times New Roman" w:hAnsi="Times New Roman"/>
          <w:sz w:val="14"/>
          <w:szCs w:val="14"/>
          <w:color w:val="auto"/>
        </w:rPr>
        <w:t>. Our income tax expense for the fiscal year ended June 30, 2024 was $1.4 million as compared to income tax expense of $1.5 million for the fiscal year ended June 30, 2023.</w:t>
      </w:r>
    </w:p>
    <w:p>
      <w:pPr>
        <w:spacing w:after="0" w:line="125" w:lineRule="exact"/>
        <w:rPr>
          <w:sz w:val="20"/>
          <w:szCs w:val="20"/>
          <w:color w:val="auto"/>
        </w:rPr>
      </w:pPr>
    </w:p>
    <w:p>
      <w:pPr>
        <w:ind w:right="140" w:firstLine="255"/>
        <w:spacing w:after="0" w:line="287" w:lineRule="auto"/>
        <w:rPr>
          <w:sz w:val="20"/>
          <w:szCs w:val="20"/>
          <w:color w:val="auto"/>
        </w:rPr>
      </w:pPr>
      <w:r>
        <w:rPr>
          <w:rFonts w:ascii="Times New Roman" w:cs="Times New Roman" w:eastAsia="Times New Roman" w:hAnsi="Times New Roman"/>
          <w:sz w:val="14"/>
          <w:szCs w:val="14"/>
          <w:color w:val="auto"/>
        </w:rPr>
        <w:t>The effective tax rate was 32.5% of pre-tax income for the fiscal year ended June 30, 2024, compared to 36.5% for the fiscal year ended June 30, 2023. The decrease in the effective tax rate for fiscal year 2024 compared to the prior year is mainly due to the impact of permanent items in relation to pre-tax income.</w:t>
      </w:r>
    </w:p>
    <w:p>
      <w:pPr>
        <w:spacing w:after="0" w:line="61" w:lineRule="exact"/>
        <w:rPr>
          <w:sz w:val="20"/>
          <w:szCs w:val="20"/>
          <w:color w:val="auto"/>
        </w:rPr>
      </w:pPr>
    </w:p>
    <w:p>
      <w:pPr>
        <w:ind w:right="160" w:firstLine="255"/>
        <w:spacing w:after="0" w:line="287" w:lineRule="auto"/>
        <w:rPr>
          <w:sz w:val="20"/>
          <w:szCs w:val="20"/>
          <w:color w:val="auto"/>
        </w:rPr>
      </w:pPr>
      <w:r>
        <w:rPr>
          <w:rFonts w:ascii="Times New Roman" w:cs="Times New Roman" w:eastAsia="Times New Roman" w:hAnsi="Times New Roman"/>
          <w:sz w:val="14"/>
          <w:szCs w:val="14"/>
          <w:color w:val="auto"/>
        </w:rPr>
        <w:t>Our provision for income taxes for the fiscal year ended June 30, 2024 consisted primarily of federal, state, and foreign tax on anticipated fiscal year 2024 income which was partially offset by tax benefits. We expect our effective rate to fluctuate in future periods based on the impact of permanent items in relation to pre-tax income.</w:t>
      </w:r>
    </w:p>
    <w:p>
      <w:pPr>
        <w:spacing w:after="0" w:line="69" w:lineRule="exact"/>
        <w:rPr>
          <w:sz w:val="20"/>
          <w:szCs w:val="20"/>
          <w:color w:val="auto"/>
        </w:rPr>
      </w:pPr>
    </w:p>
    <w:p>
      <w:pPr>
        <w:ind w:right="220" w:firstLine="255"/>
        <w:spacing w:after="0" w:line="420" w:lineRule="auto"/>
        <w:rPr>
          <w:sz w:val="20"/>
          <w:szCs w:val="20"/>
          <w:color w:val="auto"/>
        </w:rPr>
      </w:pPr>
      <w:r>
        <w:rPr>
          <w:rFonts w:ascii="Times New Roman" w:cs="Times New Roman" w:eastAsia="Times New Roman" w:hAnsi="Times New Roman"/>
          <w:sz w:val="14"/>
          <w:szCs w:val="14"/>
          <w:u w:val="single" w:color="auto"/>
          <w:color w:val="auto"/>
        </w:rPr>
        <w:t>Net Income</w:t>
      </w:r>
      <w:r>
        <w:rPr>
          <w:rFonts w:ascii="Times New Roman" w:cs="Times New Roman" w:eastAsia="Times New Roman" w:hAnsi="Times New Roman"/>
          <w:sz w:val="14"/>
          <w:szCs w:val="14"/>
          <w:i w:val="1"/>
          <w:iCs w:val="1"/>
          <w:color w:val="auto"/>
        </w:rPr>
        <w:t>.</w:t>
      </w:r>
      <w:r>
        <w:rPr>
          <w:rFonts w:ascii="Times New Roman" w:cs="Times New Roman" w:eastAsia="Times New Roman" w:hAnsi="Times New Roman"/>
          <w:sz w:val="14"/>
          <w:szCs w:val="14"/>
          <w:color w:val="auto"/>
        </w:rPr>
        <w:t xml:space="preserve"> As a result of the foregoing factors, net income for the fiscal year ended June 30, 2024 increased to $2.9 million compared to $2.5 million for the fiscal year ended June 30, 2023. </w:t>
      </w:r>
      <w:r>
        <w:rPr>
          <w:rFonts w:ascii="Times New Roman" w:cs="Times New Roman" w:eastAsia="Times New Roman" w:hAnsi="Times New Roman"/>
          <w:sz w:val="14"/>
          <w:szCs w:val="14"/>
          <w:u w:val="single" w:color="auto"/>
          <w:color w:val="auto"/>
        </w:rPr>
        <w:t>Comparison of Fiscal Years Ended June 30, 2023 and 2022</w:t>
      </w:r>
    </w:p>
    <w:p>
      <w:pPr>
        <w:spacing w:after="0" w:line="1" w:lineRule="exact"/>
        <w:rPr>
          <w:sz w:val="20"/>
          <w:szCs w:val="20"/>
          <w:color w:val="auto"/>
        </w:rPr>
      </w:pPr>
    </w:p>
    <w:p>
      <w:pPr>
        <w:ind w:right="140" w:firstLine="255"/>
        <w:spacing w:after="0" w:line="287" w:lineRule="auto"/>
        <w:rPr>
          <w:sz w:val="20"/>
          <w:szCs w:val="20"/>
          <w:color w:val="auto"/>
        </w:rPr>
      </w:pPr>
      <w:r>
        <w:rPr>
          <w:rFonts w:ascii="Times New Roman" w:cs="Times New Roman" w:eastAsia="Times New Roman" w:hAnsi="Times New Roman"/>
          <w:sz w:val="14"/>
          <w:szCs w:val="14"/>
          <w:color w:val="auto"/>
        </w:rPr>
        <w:t>For a discussion of our results of operations for the fiscal year 2023 compared with fiscal year 2022, refer to “Part II. Item 7. Management's Discussion and Analysis of Financial Condition and Results of Operations" in our annual report on Form 10-K for the fiscal year ended June 30, 2023, as filed with the SEC on August 28, 2023.</w:t>
      </w:r>
    </w:p>
    <w:p>
      <w:pPr>
        <w:spacing w:after="0" w:line="200" w:lineRule="exact"/>
        <w:rPr>
          <w:sz w:val="20"/>
          <w:szCs w:val="20"/>
          <w:color w:val="auto"/>
        </w:rPr>
      </w:pPr>
    </w:p>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46" w:right="31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4"/>
          <w:szCs w:val="14"/>
          <w:b w:val="1"/>
          <w:bCs w:val="1"/>
          <w:color w:val="auto"/>
        </w:rPr>
        <w:t>Liquidity and Capital Resources</w:t>
      </w:r>
    </w:p>
    <w:p>
      <w:pPr>
        <w:spacing w:after="0" w:line="117" w:lineRule="exact"/>
        <w:rPr>
          <w:sz w:val="20"/>
          <w:szCs w:val="20"/>
          <w:color w:val="auto"/>
        </w:rPr>
      </w:pPr>
    </w:p>
    <w:p>
      <w:pPr>
        <w:ind w:firstLine="255"/>
        <w:spacing w:after="0" w:line="287" w:lineRule="auto"/>
        <w:rPr>
          <w:sz w:val="20"/>
          <w:szCs w:val="20"/>
          <w:color w:val="auto"/>
        </w:rPr>
      </w:pPr>
      <w:r>
        <w:rPr>
          <w:rFonts w:ascii="Times New Roman" w:cs="Times New Roman" w:eastAsia="Times New Roman" w:hAnsi="Times New Roman"/>
          <w:sz w:val="14"/>
          <w:szCs w:val="14"/>
          <w:color w:val="auto"/>
        </w:rPr>
        <w:t>We continually assess our capital allocation strategy to maximize stockholder value. Our current capital allocation strategy follows a balanced approach focused on supporting and re-investing in the business, as well as returning stockholder value through quarterly dividends and opportunistic share repurchases, where appropriate.</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Liquidity</w:t>
      </w:r>
    </w:p>
    <w:p>
      <w:pPr>
        <w:spacing w:after="0" w:line="125" w:lineRule="exact"/>
        <w:rPr>
          <w:sz w:val="20"/>
          <w:szCs w:val="20"/>
          <w:color w:val="auto"/>
        </w:rPr>
      </w:pPr>
    </w:p>
    <w:p>
      <w:pPr>
        <w:ind w:right="160" w:firstLine="255"/>
        <w:spacing w:after="0" w:line="270" w:lineRule="auto"/>
        <w:rPr>
          <w:sz w:val="20"/>
          <w:szCs w:val="20"/>
          <w:color w:val="auto"/>
        </w:rPr>
      </w:pPr>
      <w:r>
        <w:rPr>
          <w:rFonts w:ascii="Times New Roman" w:cs="Times New Roman" w:eastAsia="Times New Roman" w:hAnsi="Times New Roman"/>
          <w:sz w:val="14"/>
          <w:szCs w:val="14"/>
          <w:color w:val="auto"/>
        </w:rPr>
        <w:t>Our primary liquidity and capital resource requirements are to service our debt, which includes any outstanding balances under the 2024 Credit Facility, and finance the cost of our planned operating expenses and working capital (principally inventory purchases), as well as capital expenditures. We have generally relied on cash flow from operations to fund operating activities and we have, at times, incurred long-term debt in order to fund stock repurchases and strategic transactions.</w:t>
      </w:r>
    </w:p>
    <w:p>
      <w:pPr>
        <w:spacing w:after="0" w:line="7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At June 30, 2024, our cash and cash equivalents were $16.9 million. This represented a decrease of $4.7 million from the $21.6 million in cash and cash equivalents as of June 30, 2023.</w:t>
      </w:r>
    </w:p>
    <w:p>
      <w:pPr>
        <w:spacing w:after="0" w:line="125" w:lineRule="exact"/>
        <w:rPr>
          <w:sz w:val="20"/>
          <w:szCs w:val="20"/>
          <w:color w:val="auto"/>
        </w:rPr>
      </w:pPr>
    </w:p>
    <w:p>
      <w:pPr>
        <w:ind w:right="120" w:firstLine="255"/>
        <w:spacing w:after="0" w:line="270" w:lineRule="auto"/>
        <w:rPr>
          <w:sz w:val="20"/>
          <w:szCs w:val="20"/>
          <w:color w:val="auto"/>
        </w:rPr>
      </w:pPr>
      <w:r>
        <w:rPr>
          <w:rFonts w:ascii="Times New Roman" w:cs="Times New Roman" w:eastAsia="Times New Roman" w:hAnsi="Times New Roman"/>
          <w:sz w:val="14"/>
          <w:szCs w:val="14"/>
          <w:color w:val="auto"/>
        </w:rPr>
        <w:t>During the fiscal year ended June 30, 2024, our net cash provided by operating activities was $12.2 million as compared to $6.8 million during the fiscal year ended June 30, 2023. The increase in cash provided by operating activities during the fiscal year ended June 30, 2024 primarily was due to increases in net income, accounts payable, and decreases in prepaid expenses offset by increases in accounts receivable.</w:t>
      </w:r>
    </w:p>
    <w:p>
      <w:pPr>
        <w:spacing w:after="0" w:line="83" w:lineRule="exact"/>
        <w:rPr>
          <w:sz w:val="20"/>
          <w:szCs w:val="20"/>
          <w:color w:val="auto"/>
        </w:rPr>
      </w:pPr>
    </w:p>
    <w:p>
      <w:pPr>
        <w:ind w:right="100" w:firstLine="255"/>
        <w:spacing w:after="0" w:line="270" w:lineRule="auto"/>
        <w:rPr>
          <w:sz w:val="20"/>
          <w:szCs w:val="20"/>
          <w:color w:val="auto"/>
        </w:rPr>
      </w:pPr>
      <w:r>
        <w:rPr>
          <w:rFonts w:ascii="Times New Roman" w:cs="Times New Roman" w:eastAsia="Times New Roman" w:hAnsi="Times New Roman"/>
          <w:sz w:val="14"/>
          <w:szCs w:val="14"/>
          <w:color w:val="auto"/>
        </w:rPr>
        <w:t>During the fiscal year ended June 30, 2024, our net cash used in investing activities was $2.2 million, which was attributable to capital expenditures including leasehold improvements related to moving our Tokyo, Japan office. During the fiscal year ended June 30, 2023, our net cash used in investing activities was $3.1 million, as a result of the purchase of fixed assets, primarily from investing in changes to our Evolve Compensation Plan and Rewards Circle loyalty program through software, website, and mobile application development.</w:t>
      </w:r>
    </w:p>
    <w:p>
      <w:pPr>
        <w:spacing w:after="0" w:line="72" w:lineRule="exact"/>
        <w:rPr>
          <w:sz w:val="20"/>
          <w:szCs w:val="20"/>
          <w:color w:val="auto"/>
        </w:rPr>
      </w:pPr>
    </w:p>
    <w:p>
      <w:pPr>
        <w:ind w:right="100" w:firstLine="255"/>
        <w:spacing w:after="0" w:line="261" w:lineRule="auto"/>
        <w:rPr>
          <w:sz w:val="20"/>
          <w:szCs w:val="20"/>
          <w:color w:val="auto"/>
        </w:rPr>
      </w:pPr>
      <w:r>
        <w:rPr>
          <w:rFonts w:ascii="Times New Roman" w:cs="Times New Roman" w:eastAsia="Times New Roman" w:hAnsi="Times New Roman"/>
          <w:sz w:val="14"/>
          <w:szCs w:val="14"/>
          <w:color w:val="auto"/>
        </w:rPr>
        <w:t>Cash used in financing activities during the fiscal year ended June 30, 2024 was $14.4 million, as a result of the payment of a one-time cash dividend in September 2023, quarterly cash dividends, the repurchase of company stock, and shares purchased as payment of tax withholding upon vesting of employee equity awards, partially offset by proceeds from purchases of company stock under our employee stock purchase plan. Cash used in financing activities during the fiscal year ended June 30, 2023 was $2.4 million, as a result of the repurchase of company stock, payment of quarterly cash dividends, and shares purchased as payment of tax withholding upon vesting of employee equity awards, partially offset by proceeds from stock option exercises and proceeds from purchases of company stock under our employee stock purchase plan.</w:t>
      </w:r>
    </w:p>
    <w:p>
      <w:pPr>
        <w:spacing w:after="0" w:line="90" w:lineRule="exact"/>
        <w:rPr>
          <w:sz w:val="20"/>
          <w:szCs w:val="20"/>
          <w:color w:val="auto"/>
        </w:rPr>
      </w:pPr>
    </w:p>
    <w:p>
      <w:pPr>
        <w:ind w:right="200" w:firstLine="255"/>
        <w:spacing w:after="0" w:line="287" w:lineRule="auto"/>
        <w:rPr>
          <w:sz w:val="20"/>
          <w:szCs w:val="20"/>
          <w:color w:val="auto"/>
        </w:rPr>
      </w:pPr>
      <w:r>
        <w:rPr>
          <w:rFonts w:ascii="Times New Roman" w:cs="Times New Roman" w:eastAsia="Times New Roman" w:hAnsi="Times New Roman"/>
          <w:sz w:val="14"/>
          <w:szCs w:val="14"/>
          <w:color w:val="auto"/>
        </w:rPr>
        <w:t>At June 30, 2024 and 2023, the total amount of our foreign subsidiary cash was $7.3 million and $6.2 million, respectively. Under current U.S. tax law, in the future, if needed, we expect to be able to repatriate cash from foreign subsidiaries without paying additional U.S. taxes.</w:t>
      </w:r>
    </w:p>
    <w:p>
      <w:pPr>
        <w:spacing w:after="0" w:line="71" w:lineRule="exact"/>
        <w:rPr>
          <w:sz w:val="20"/>
          <w:szCs w:val="20"/>
          <w:color w:val="auto"/>
        </w:rPr>
      </w:pPr>
    </w:p>
    <w:p>
      <w:pPr>
        <w:ind w:right="20" w:firstLine="255"/>
        <w:spacing w:after="0" w:line="257" w:lineRule="auto"/>
        <w:rPr>
          <w:sz w:val="20"/>
          <w:szCs w:val="20"/>
          <w:color w:val="auto"/>
        </w:rPr>
      </w:pPr>
      <w:r>
        <w:rPr>
          <w:rFonts w:ascii="Times New Roman" w:cs="Times New Roman" w:eastAsia="Times New Roman" w:hAnsi="Times New Roman"/>
          <w:sz w:val="14"/>
          <w:szCs w:val="14"/>
          <w:color w:val="auto"/>
        </w:rPr>
        <w:t>At June 30, 2024, we had working capital (current assets minus current liabilities) of $15.3 million compared to working capital of $24.7 million at June 30, 2023. The decrease in working capital primarily was due to decreases in cash, inventory, and prepaid expenses and increases in accounts payable, partially offset by increase in accounts receivable. We believe that our cash and cash equivalents balances and our ongoing cash flow from operations will be sufficient to satisfy our cash requirements for at least the next 12 months. The majority of our historical expenses have been variable in nature and as such, a potential reduction in the level of revenue would reduce our cash flow. In the event that our current cash balances and future cash flow from operations are not sufficient to meet our obligations or strategic needs, we would consider raising additional funds, which may not be available on terms that are acceptable to us, or at all. Our 2024 Credit Facility, however, contains covenants that in certain circumstances restrict our ability to incur additional indebtedness, make certain investments, purchase or otherwise acquire all or substantially all the assets or equity interests of other companies, or transfer any part of the business. Additionally, our 2024 Credit Facility provides for a line of credit in an aggregate principal amount up to $5.0 million. We would also consider realigning our strategic plans including a reduction in capital spending and expenses.</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Capital Resources</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Shelf Registration Statement</w:t>
      </w:r>
    </w:p>
    <w:p>
      <w:pPr>
        <w:spacing w:after="0" w:line="127" w:lineRule="exact"/>
        <w:rPr>
          <w:sz w:val="20"/>
          <w:szCs w:val="20"/>
          <w:color w:val="auto"/>
        </w:rPr>
      </w:pPr>
    </w:p>
    <w:p>
      <w:pPr>
        <w:ind w:right="40" w:firstLine="255"/>
        <w:spacing w:after="0" w:line="264" w:lineRule="auto"/>
        <w:rPr>
          <w:sz w:val="20"/>
          <w:szCs w:val="20"/>
          <w:color w:val="auto"/>
        </w:rPr>
      </w:pPr>
      <w:r>
        <w:rPr>
          <w:rFonts w:ascii="Times New Roman" w:cs="Times New Roman" w:eastAsia="Times New Roman" w:hAnsi="Times New Roman"/>
          <w:sz w:val="14"/>
          <w:szCs w:val="14"/>
          <w:color w:val="auto"/>
        </w:rPr>
        <w:t>On March 31, 2023, we filed a shelf registration statement on Form S-3 (the “2023 Shelf Registration”) with the SEC that was declared effective on April 6, 2023, which permits us to offer up to $75 million of common stock, preferred stock, debt securities and warrants in one or more offerings and in any combination, including in units from time to time. Our 2023 Shelf Registration is intended to provide us with additional flexibility to access capital markets for general corporate purposes, which may include, among other purposes, working capital, capital expenditures, other corporate expenses and acquisitions of assets, licenses, products, technologies, or businesses.</w:t>
      </w:r>
    </w:p>
    <w:p>
      <w:pPr>
        <w:spacing w:after="0" w:line="200" w:lineRule="exact"/>
        <w:rPr>
          <w:sz w:val="20"/>
          <w:szCs w:val="20"/>
          <w:color w:val="auto"/>
        </w:rPr>
      </w:pPr>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44" w:right="31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4"/>
          <w:szCs w:val="14"/>
          <w:i w:val="1"/>
          <w:iCs w:val="1"/>
          <w:color w:val="auto"/>
        </w:rPr>
        <w:t>2016 Credit Facility</w:t>
      </w:r>
    </w:p>
    <w:p>
      <w:pPr>
        <w:spacing w:after="0" w:line="117" w:lineRule="exact"/>
        <w:rPr>
          <w:sz w:val="20"/>
          <w:szCs w:val="20"/>
          <w:color w:val="auto"/>
        </w:rPr>
      </w:pPr>
    </w:p>
    <w:p>
      <w:pPr>
        <w:ind w:right="60" w:firstLine="255"/>
        <w:spacing w:after="0" w:line="264" w:lineRule="auto"/>
        <w:rPr>
          <w:sz w:val="20"/>
          <w:szCs w:val="20"/>
          <w:color w:val="auto"/>
        </w:rPr>
      </w:pPr>
      <w:r>
        <w:rPr>
          <w:rFonts w:ascii="Times New Roman" w:cs="Times New Roman" w:eastAsia="Times New Roman" w:hAnsi="Times New Roman"/>
          <w:sz w:val="14"/>
          <w:szCs w:val="14"/>
          <w:color w:val="auto"/>
        </w:rPr>
        <w:t>On March 30, 2016, we entered into a loan agreement (the "2016 Loan Agreement") and a security agreement (the "2016 Security Agreement"). The 2016 Loan Agreement provided for a term loan in an aggregate principal amount of $10.0 million (the "2016 Term Loan") and a revolving loan facility in an aggregate principal amount not to exceed $2.0 million (the "2016 Revolving Loan," and collectively with the 2016 Term Loan, the 2016 Loan Agreement and the 2016 Security Agreement, and with the amendments described below, the "2016 Credit Facility"). During the fiscal year ended June 30, 2020, we repaid, in full, the balance of the 2016 Term Loan.</w:t>
      </w:r>
    </w:p>
    <w:p>
      <w:pPr>
        <w:spacing w:after="0" w:line="87" w:lineRule="exact"/>
        <w:rPr>
          <w:sz w:val="20"/>
          <w:szCs w:val="20"/>
          <w:color w:val="auto"/>
        </w:rPr>
      </w:pPr>
    </w:p>
    <w:p>
      <w:pPr>
        <w:ind w:right="20" w:firstLine="255"/>
        <w:spacing w:after="0" w:line="287" w:lineRule="auto"/>
        <w:rPr>
          <w:sz w:val="20"/>
          <w:szCs w:val="20"/>
          <w:color w:val="auto"/>
        </w:rPr>
      </w:pPr>
      <w:r>
        <w:rPr>
          <w:rFonts w:ascii="Times New Roman" w:cs="Times New Roman" w:eastAsia="Times New Roman" w:hAnsi="Times New Roman"/>
          <w:sz w:val="14"/>
          <w:szCs w:val="14"/>
          <w:color w:val="auto"/>
        </w:rPr>
        <w:t>On May 4, 2018 and February 1, 2019, we entered into loan modification agreements (“Amendment No. 1” and “Amendment No. 2”, respectively). These loan modification agreements amended certain financial covenants and the available borrowing amount under the 2016 Revolving Loan.</w:t>
      </w:r>
    </w:p>
    <w:p>
      <w:pPr>
        <w:spacing w:after="0" w:line="71" w:lineRule="exact"/>
        <w:rPr>
          <w:sz w:val="20"/>
          <w:szCs w:val="20"/>
          <w:color w:val="auto"/>
        </w:rPr>
      </w:pPr>
    </w:p>
    <w:p>
      <w:pPr>
        <w:ind w:firstLine="255"/>
        <w:spacing w:after="0" w:line="261" w:lineRule="auto"/>
        <w:rPr>
          <w:sz w:val="20"/>
          <w:szCs w:val="20"/>
          <w:color w:val="auto"/>
        </w:rPr>
      </w:pPr>
      <w:r>
        <w:rPr>
          <w:rFonts w:ascii="Times New Roman" w:cs="Times New Roman" w:eastAsia="Times New Roman" w:hAnsi="Times New Roman"/>
          <w:sz w:val="14"/>
          <w:szCs w:val="14"/>
          <w:color w:val="auto"/>
        </w:rPr>
        <w:t>On April 1, 2021, we entered into a loan modification agreement ("Amendment No. 3"), which further amended the 2016 Credit Facility, as previously amended, to provide for an available borrowing amount of $5.0 million, a revised maturity date from March 31, 2021 to March 31, 2024, and a modified variable interest rate based on the one-month United States Treasury Rate, plus a margin of 3.00%, with an interest rate floor of 4.00%. Amendment No. 3 also revised the debt (total liabilities) to tangible net worth ratio (as defined in Amendment No. 3) covenant to require that we maintain this ratio not in excess of 2.00 to 1.00, measured as of the end of each fiscal quarter, and revised the definition and calculation of the minimum fixed charge coverage ratio (as defined in Amendment No. 3). There were no other changes to the minimum fixed charge coverage ratio of 1.10 to 1.00 or the minimum working capital of $6.0 million as set forth in previous amendments.</w:t>
      </w:r>
    </w:p>
    <w:p>
      <w:pPr>
        <w:spacing w:after="0" w:line="80"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We entered into a loan modification agreement ("Amendment No. 4"), effective September 30, 2022, which further amended the 2016 Credit Facility. Amendment No. 4 revised the calculation of the minimum fixed charge coverage ratio (as defined in Amendment No. 4) and allowed us to declare and pay dividends, up to $500,000 per quarter, through September 30, 2023. There were no other changes to the covenants or revolving loan facility as set forth in Amendment No. 3.</w:t>
      </w:r>
    </w:p>
    <w:p>
      <w:pPr>
        <w:spacing w:after="0" w:line="83" w:lineRule="exact"/>
        <w:rPr>
          <w:sz w:val="20"/>
          <w:szCs w:val="20"/>
          <w:color w:val="auto"/>
        </w:rPr>
      </w:pPr>
    </w:p>
    <w:p>
      <w:pPr>
        <w:ind w:right="100" w:firstLine="255"/>
        <w:spacing w:after="0" w:line="287" w:lineRule="auto"/>
        <w:rPr>
          <w:sz w:val="20"/>
          <w:szCs w:val="20"/>
          <w:color w:val="auto"/>
        </w:rPr>
      </w:pPr>
      <w:r>
        <w:rPr>
          <w:rFonts w:ascii="Times New Roman" w:cs="Times New Roman" w:eastAsia="Times New Roman" w:hAnsi="Times New Roman"/>
          <w:sz w:val="14"/>
          <w:szCs w:val="14"/>
          <w:color w:val="auto"/>
        </w:rPr>
        <w:t>On August 28, 2023, we received approval, without modifying Amendment No. 4, to declare and pay a one-time cash dividend of $0.40 per share of common stock, to be paid on September 22, 2023. We also received approval to declare and pay dividends, up to $750,000 per quarter, through September 30, 2024.</w:t>
      </w:r>
    </w:p>
    <w:p>
      <w:pPr>
        <w:spacing w:after="0" w:line="7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On March 31, 2024, the 2016 Credit Facility reached the maturity date and was terminated. As of March 31, 2024, there was no balance outstanding under the 2016 Credit Facility.</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2024 Credit Facility</w:t>
      </w:r>
    </w:p>
    <w:p>
      <w:pPr>
        <w:spacing w:after="0" w:line="127" w:lineRule="exact"/>
        <w:rPr>
          <w:sz w:val="20"/>
          <w:szCs w:val="20"/>
          <w:color w:val="auto"/>
        </w:rPr>
      </w:pPr>
    </w:p>
    <w:p>
      <w:pPr>
        <w:ind w:right="100" w:firstLine="255"/>
        <w:spacing w:after="0" w:line="264" w:lineRule="auto"/>
        <w:rPr>
          <w:sz w:val="20"/>
          <w:szCs w:val="20"/>
          <w:color w:val="auto"/>
        </w:rPr>
      </w:pPr>
      <w:r>
        <w:rPr>
          <w:rFonts w:ascii="Times New Roman" w:cs="Times New Roman" w:eastAsia="Times New Roman" w:hAnsi="Times New Roman"/>
          <w:sz w:val="14"/>
          <w:szCs w:val="14"/>
          <w:color w:val="auto"/>
        </w:rPr>
        <w:t>On April 12, 2024, we entered into a Loan Agreement (the “Loan Agreement”) with Bank of America, N.A., as Lender (the “Lender”). In connection with the Loan Agreement and on the same date, we, Lifeline Nutraceuticals Corporation, as Guarantor (the “Guarantor”), and the Lender also entered into a Continuing and Unconditional Guaranty (the “Continuing and Unconditional Guaranty”) and a Security and Pledge Agreement (the “Security and Pledge Agreement”). The Loan Agreement provides for a revolving line of credit in an aggregate principal amount not to exceed $5.0 million (the “Line of Credit”) and collectively with the Loan Agreement, the Continuing and Unconditional Guaranty and the Security and Pledge Agreement, the “2024 Credit Facility”).</w:t>
      </w:r>
    </w:p>
    <w:p>
      <w:pPr>
        <w:spacing w:after="0" w:line="87" w:lineRule="exact"/>
        <w:rPr>
          <w:sz w:val="20"/>
          <w:szCs w:val="20"/>
          <w:color w:val="auto"/>
        </w:rPr>
      </w:pPr>
    </w:p>
    <w:p>
      <w:pPr>
        <w:ind w:right="40" w:firstLine="255"/>
        <w:spacing w:after="0" w:line="264" w:lineRule="auto"/>
        <w:rPr>
          <w:sz w:val="20"/>
          <w:szCs w:val="20"/>
          <w:color w:val="auto"/>
        </w:rPr>
      </w:pPr>
      <w:r>
        <w:rPr>
          <w:rFonts w:ascii="Times New Roman" w:cs="Times New Roman" w:eastAsia="Times New Roman" w:hAnsi="Times New Roman"/>
          <w:sz w:val="14"/>
          <w:szCs w:val="14"/>
          <w:color w:val="auto"/>
        </w:rPr>
        <w:t>In the event we borrow under the Line of Credit, interest will be payable commencing May 31, 2024, and then on the last day of each month thereafter until payment in full of all principal outstanding under the Line of Credit, with all unpaid principal and interest due on April 12, 2027 (the “Expiration Date”). The Line of Credit will bear interest at a rate per year equal to the sum of (i) the greater of the Term SOFR Daily Floating Rate (as defined in the Loan Agreement) or 0.00%, plus (ii) 2.00%. Amounts under the Line of Credit may be repaid and re-borrowed from time to time until the Expiration Date.</w:t>
      </w:r>
    </w:p>
    <w:p>
      <w:pPr>
        <w:spacing w:after="0" w:line="77" w:lineRule="exact"/>
        <w:rPr>
          <w:sz w:val="20"/>
          <w:szCs w:val="20"/>
          <w:color w:val="auto"/>
        </w:rPr>
      </w:pPr>
    </w:p>
    <w:p>
      <w:pPr>
        <w:ind w:right="40" w:firstLine="255"/>
        <w:spacing w:after="0" w:line="287" w:lineRule="auto"/>
        <w:rPr>
          <w:sz w:val="20"/>
          <w:szCs w:val="20"/>
          <w:color w:val="auto"/>
        </w:rPr>
      </w:pPr>
      <w:r>
        <w:rPr>
          <w:rFonts w:ascii="Times New Roman" w:cs="Times New Roman" w:eastAsia="Times New Roman" w:hAnsi="Times New Roman"/>
          <w:sz w:val="14"/>
          <w:szCs w:val="14"/>
          <w:color w:val="auto"/>
        </w:rPr>
        <w:t>Our obligations under the Loan Agreement are secured by a security interest in substantially all of the assets of the Company and the Guarantor, as further provided for in the Security and Pledge Agreement. Pursuant to the Continuing and Unconditional Guaranty, the Guarantor guarantees and promises to pay promptly to the Lender all indebtedness of the Company when due.</w:t>
      </w:r>
    </w:p>
    <w:p>
      <w:pPr>
        <w:spacing w:after="0" w:line="71" w:lineRule="exact"/>
        <w:rPr>
          <w:sz w:val="20"/>
          <w:szCs w:val="20"/>
          <w:color w:val="auto"/>
        </w:rPr>
      </w:pPr>
    </w:p>
    <w:p>
      <w:pPr>
        <w:jc w:val="both"/>
        <w:ind w:right="120" w:firstLine="255"/>
        <w:spacing w:after="0" w:line="270" w:lineRule="auto"/>
        <w:rPr>
          <w:sz w:val="20"/>
          <w:szCs w:val="20"/>
          <w:color w:val="auto"/>
        </w:rPr>
      </w:pPr>
      <w:r>
        <w:rPr>
          <w:rFonts w:ascii="Times New Roman" w:cs="Times New Roman" w:eastAsia="Times New Roman" w:hAnsi="Times New Roman"/>
          <w:sz w:val="14"/>
          <w:szCs w:val="14"/>
          <w:color w:val="auto"/>
        </w:rPr>
        <w:t>The Loan Agreement contains customary covenants, including affirmative and negative covenants that in certain circumstances restrict our ability to incur additional indebtedness, make certain investments, purchase or otherwise acquire all or substantially all the assets or equity interests of other companies, or transfer any part of the business or any assets of the Company or the Guarantor. The Loan Agreement requires us to maintain specified financial ratios and satisfy certain financial condition tests.</w:t>
      </w:r>
    </w:p>
    <w:p>
      <w:pPr>
        <w:spacing w:after="0" w:line="83" w:lineRule="exact"/>
        <w:rPr>
          <w:sz w:val="20"/>
          <w:szCs w:val="20"/>
          <w:color w:val="auto"/>
        </w:rPr>
      </w:pPr>
    </w:p>
    <w:p>
      <w:pPr>
        <w:ind w:right="580" w:firstLine="255"/>
        <w:spacing w:after="0" w:line="287" w:lineRule="auto"/>
        <w:rPr>
          <w:sz w:val="20"/>
          <w:szCs w:val="20"/>
          <w:color w:val="auto"/>
        </w:rPr>
      </w:pPr>
      <w:r>
        <w:rPr>
          <w:rFonts w:ascii="Times New Roman" w:cs="Times New Roman" w:eastAsia="Times New Roman" w:hAnsi="Times New Roman"/>
          <w:sz w:val="14"/>
          <w:szCs w:val="14"/>
          <w:color w:val="auto"/>
        </w:rPr>
        <w:t>The Loan Agreement contains certain customary events of default, including, among other things, our failure to make required payments under the Loan Agreement, certain breaches of representations made by us or the Guarantor, insolvency or</w:t>
      </w: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44" w:right="319" w:bottom="1440" w:gutter="0" w:footer="0" w:header="0"/>
        </w:sectPr>
      </w:pPr>
    </w:p>
    <w:bookmarkStart w:id="52" w:name="page53"/>
    <w:bookmarkEnd w:id="52"/>
    <w:p>
      <w:pPr>
        <w:ind w:right="100"/>
        <w:spacing w:after="0" w:line="261" w:lineRule="auto"/>
        <w:rPr>
          <w:sz w:val="20"/>
          <w:szCs w:val="20"/>
          <w:color w:val="auto"/>
        </w:rPr>
      </w:pPr>
      <w:r>
        <w:rPr>
          <w:rFonts w:ascii="Times New Roman" w:cs="Times New Roman" w:eastAsia="Times New Roman" w:hAnsi="Times New Roman"/>
          <w:sz w:val="14"/>
          <w:szCs w:val="14"/>
          <w:color w:val="auto"/>
        </w:rPr>
        <w:t>bankruptcy of the Company or the Guarantor, failure to have an enforceable first lien or security interest in any property given as security for the Loan Agreement, or our failure to comply with covenants set forth in the Loan Agreement. If an event of default occurs under the Loan Agreement, the obligation of the Lender to make any additional credit available to us may be terminated and the amounts outstanding may become immediately due and payable in the discretion of the Lender, provided that in the event of insolvency or bankruptcy of the Company or the Guarantor, all debts outstanding under the Loan Agreement will automatically become due and payable. Upon the occurrence of any default or after maturity, all amounts outstanding under the Loan Agreement will at the option of the Lender bear interest at a rate which is 2.00% higher than the rate of interest otherwise provided under the Loan Agreement.</w:t>
      </w:r>
    </w:p>
    <w:p>
      <w:pPr>
        <w:spacing w:after="0" w:line="7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As of June 30, 2024, there was no outstanding balance under the 2024 Credit Facility</w:t>
      </w:r>
      <w:r>
        <w:rPr>
          <w:rFonts w:ascii="Times New Roman" w:cs="Times New Roman" w:eastAsia="Times New Roman" w:hAnsi="Times New Roman"/>
          <w:sz w:val="14"/>
          <w:szCs w:val="14"/>
          <w:i w:val="1"/>
          <w:iCs w:val="1"/>
          <w:color w:val="auto"/>
        </w:rPr>
        <w:t>.</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Commitments and Obligations</w:t>
      </w:r>
    </w:p>
    <w:p>
      <w:pPr>
        <w:spacing w:after="0" w:line="12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Please refer to Note 13 to the consolidated financial statements contained in this report for information regarding our contingent liabilities.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Critical Accounting Policies and Estimates</w:t>
      </w:r>
    </w:p>
    <w:p>
      <w:pPr>
        <w:spacing w:after="0" w:line="127" w:lineRule="exact"/>
        <w:rPr>
          <w:sz w:val="20"/>
          <w:szCs w:val="20"/>
          <w:color w:val="auto"/>
        </w:rPr>
      </w:pPr>
    </w:p>
    <w:p>
      <w:pPr>
        <w:ind w:firstLine="255"/>
        <w:spacing w:after="0" w:line="258" w:lineRule="auto"/>
        <w:rPr>
          <w:sz w:val="20"/>
          <w:szCs w:val="20"/>
          <w:color w:val="auto"/>
        </w:rPr>
      </w:pPr>
      <w:r>
        <w:rPr>
          <w:rFonts w:ascii="Times New Roman" w:cs="Times New Roman" w:eastAsia="Times New Roman" w:hAnsi="Times New Roman"/>
          <w:sz w:val="14"/>
          <w:szCs w:val="14"/>
          <w:color w:val="auto"/>
        </w:rPr>
        <w:t>We prepare our financial statements in conformity with accounting principles generally accepted in the United States of America. As such, we are required to make certain estimates, judgments, and assumptions that we believe are reasonable based upon the information available. These estimates and assumptions affect the reported amounts of assets and liabilities at the date of the financial statements and the reported amounts of revenue and expenses during the periods presented. Actual results could differ from these estimates. Our significant accounting policies are described in Note 2 to our consolidated financial statements. Certain of these significant accounting policies require us to make difficult, subjective, or complex judgments or estimates. We consider an accounting estimate to be critical if: (1) the accounting estimate requires us to make assumptions about matters that were highly uncertain at the time the accounting estimate was made and (2) changes in the estimate that are reasonably likely to occur from period to period, or use of different estimates that we reasonably could have used in the current period, would have a material impact on our financial condition or results of operations.</w:t>
      </w:r>
    </w:p>
    <w:p>
      <w:pPr>
        <w:spacing w:after="0" w:line="94" w:lineRule="exact"/>
        <w:rPr>
          <w:sz w:val="20"/>
          <w:szCs w:val="20"/>
          <w:color w:val="auto"/>
        </w:rPr>
      </w:pPr>
    </w:p>
    <w:p>
      <w:pPr>
        <w:ind w:firstLine="255"/>
        <w:spacing w:after="0" w:line="270" w:lineRule="auto"/>
        <w:rPr>
          <w:sz w:val="20"/>
          <w:szCs w:val="20"/>
          <w:color w:val="auto"/>
        </w:rPr>
      </w:pPr>
      <w:r>
        <w:rPr>
          <w:rFonts w:ascii="Times New Roman" w:cs="Times New Roman" w:eastAsia="Times New Roman" w:hAnsi="Times New Roman"/>
          <w:sz w:val="14"/>
          <w:szCs w:val="14"/>
          <w:color w:val="auto"/>
        </w:rPr>
        <w:t>There are other items within our financial statements that require estimation but are not deemed critical as defined above. Changes in estimates used in these and other items could have a material impact on our financial statements. Management has discussed the development and selection of these critical accounting estimates with our board, and the audit committee has reviewed the disclosures noted below.</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Inventory Valuation</w:t>
      </w:r>
    </w:p>
    <w:p>
      <w:pPr>
        <w:spacing w:after="0" w:line="125" w:lineRule="exact"/>
        <w:rPr>
          <w:sz w:val="20"/>
          <w:szCs w:val="20"/>
          <w:color w:val="auto"/>
        </w:rPr>
      </w:pPr>
    </w:p>
    <w:p>
      <w:pPr>
        <w:ind w:right="40" w:firstLine="255"/>
        <w:spacing w:after="0" w:line="261" w:lineRule="auto"/>
        <w:rPr>
          <w:sz w:val="20"/>
          <w:szCs w:val="20"/>
          <w:color w:val="auto"/>
        </w:rPr>
      </w:pPr>
      <w:r>
        <w:rPr>
          <w:rFonts w:ascii="Times New Roman" w:cs="Times New Roman" w:eastAsia="Times New Roman" w:hAnsi="Times New Roman"/>
          <w:sz w:val="14"/>
          <w:szCs w:val="14"/>
          <w:color w:val="auto"/>
        </w:rPr>
        <w:t>We reduce our inventories for the diminution of value resulting from product obsolescence, damage or other issues affecting marketability equal to the difference between the cost of the inventory and its estimated net realizable value. Factors utilized in the determination of estimated net realizable value include: (i) current sales data and historical return rates, (ii) estimates of future demand, (iii) competitive pricing pressures, (iv) new production introductions, (v) product expiration dates, and (vi) component and packaging obsolescence. If inventory on hand exceeds projected demand or the expected market value is less than the carrying value, the excess is written down to its net realizable value. If actual demand or the estimate of market value decreases, additional write-downs would be required.</w:t>
      </w:r>
    </w:p>
    <w:p>
      <w:pPr>
        <w:spacing w:after="0" w:line="90" w:lineRule="exact"/>
        <w:rPr>
          <w:sz w:val="20"/>
          <w:szCs w:val="20"/>
          <w:color w:val="auto"/>
        </w:rPr>
      </w:pPr>
    </w:p>
    <w:p>
      <w:pPr>
        <w:ind w:right="1220" w:firstLine="255"/>
        <w:spacing w:after="0" w:line="419" w:lineRule="auto"/>
        <w:rPr>
          <w:sz w:val="20"/>
          <w:szCs w:val="20"/>
          <w:color w:val="auto"/>
        </w:rPr>
      </w:pPr>
      <w:r>
        <w:rPr>
          <w:rFonts w:ascii="Times New Roman" w:cs="Times New Roman" w:eastAsia="Times New Roman" w:hAnsi="Times New Roman"/>
          <w:sz w:val="14"/>
          <w:szCs w:val="14"/>
          <w:color w:val="auto"/>
        </w:rPr>
        <w:t xml:space="preserve">During the fiscal years ended June 30, 2024 and 2023, we recognized expenses of $0.9 million and $1.2 million, respectively, related to obsolete and slow-moving inventory. </w:t>
      </w:r>
      <w:r>
        <w:rPr>
          <w:rFonts w:ascii="Times New Roman" w:cs="Times New Roman" w:eastAsia="Times New Roman" w:hAnsi="Times New Roman"/>
          <w:sz w:val="14"/>
          <w:szCs w:val="14"/>
          <w:u w:val="single" w:color="auto"/>
          <w:color w:val="auto"/>
        </w:rPr>
        <w:t>Stock-Based Compensation</w:t>
      </w:r>
    </w:p>
    <w:p>
      <w:pPr>
        <w:ind w:right="40" w:firstLine="255"/>
        <w:spacing w:after="0" w:line="264" w:lineRule="auto"/>
        <w:rPr>
          <w:sz w:val="20"/>
          <w:szCs w:val="20"/>
          <w:color w:val="auto"/>
        </w:rPr>
      </w:pPr>
      <w:r>
        <w:rPr>
          <w:rFonts w:ascii="Times New Roman" w:cs="Times New Roman" w:eastAsia="Times New Roman" w:hAnsi="Times New Roman"/>
          <w:sz w:val="14"/>
          <w:szCs w:val="14"/>
          <w:color w:val="auto"/>
        </w:rPr>
        <w:t>We use the fair value approach to account for stock-based compensation in accordance with current accounting guidance. We recognize compensation costs for awards with performance conditions when we conclude it is probable that the performance conditions will be achieved. We reassess the probability of vesting at each balance sheet date and adjust compensation costs based on our probability assessment. For awards with market-based performance conditions, the cost of the awards is recognized as the requisite service is rendered by the employees, regardless of when, if ever, the market-based performance conditions are satisfied.</w:t>
      </w:r>
    </w:p>
    <w:p>
      <w:pPr>
        <w:spacing w:after="0" w:line="87" w:lineRule="exact"/>
        <w:rPr>
          <w:sz w:val="20"/>
          <w:szCs w:val="20"/>
          <w:color w:val="auto"/>
        </w:rPr>
      </w:pPr>
    </w:p>
    <w:p>
      <w:pPr>
        <w:ind w:right="20" w:firstLine="255"/>
        <w:spacing w:after="0" w:line="264" w:lineRule="auto"/>
        <w:rPr>
          <w:sz w:val="20"/>
          <w:szCs w:val="20"/>
          <w:color w:val="auto"/>
        </w:rPr>
      </w:pPr>
      <w:r>
        <w:rPr>
          <w:rFonts w:ascii="Times New Roman" w:cs="Times New Roman" w:eastAsia="Times New Roman" w:hAnsi="Times New Roman"/>
          <w:sz w:val="14"/>
          <w:szCs w:val="14"/>
          <w:color w:val="auto"/>
        </w:rPr>
        <w:t>Historically, our estimates and underlying assumptions have not materially deviated from our actual reported results and rates. However, we base assumptions we use on our best estimates, which involves inherent uncertainties based on market conditions that are outside of our control. If actual results are not consistent with the assumptions we use, the stock-based compensation expense reported in our consolidated financial statements may not be representative of the actual economic cost of stock-based compensation. For example, if actual employee forfeitures significantly differ from our estimated forfeitures, we may be required to adjust our consolidated financial statements in future periods.</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46" w:right="31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4"/>
          <w:szCs w:val="14"/>
          <w:u w:val="single" w:color="auto"/>
          <w:color w:val="auto"/>
        </w:rPr>
        <w:t>Income Taxes</w:t>
      </w:r>
    </w:p>
    <w:p>
      <w:pPr>
        <w:spacing w:after="0" w:line="115" w:lineRule="exact"/>
        <w:rPr>
          <w:sz w:val="20"/>
          <w:szCs w:val="20"/>
          <w:color w:val="auto"/>
        </w:rPr>
      </w:pPr>
    </w:p>
    <w:p>
      <w:pPr>
        <w:ind w:right="40" w:firstLine="255"/>
        <w:spacing w:after="0" w:line="287" w:lineRule="auto"/>
        <w:rPr>
          <w:sz w:val="20"/>
          <w:szCs w:val="20"/>
          <w:color w:val="auto"/>
        </w:rPr>
      </w:pPr>
      <w:r>
        <w:rPr>
          <w:rFonts w:ascii="Times New Roman" w:cs="Times New Roman" w:eastAsia="Times New Roman" w:hAnsi="Times New Roman"/>
          <w:sz w:val="14"/>
          <w:szCs w:val="14"/>
          <w:color w:val="auto"/>
        </w:rPr>
        <w:t>The provision for income taxes includes income from U.S. and foreign subsidiaries taxed at statutory rates, the accrual or release of amounts for tax uncertainties, and U.S. tax impacts of foreign income in the U.S.</w:t>
      </w:r>
    </w:p>
    <w:p>
      <w:pPr>
        <w:spacing w:after="0" w:line="71" w:lineRule="exact"/>
        <w:rPr>
          <w:sz w:val="20"/>
          <w:szCs w:val="20"/>
          <w:color w:val="auto"/>
        </w:rPr>
      </w:pPr>
    </w:p>
    <w:p>
      <w:pPr>
        <w:ind w:right="60" w:firstLine="255"/>
        <w:spacing w:after="0" w:line="258" w:lineRule="auto"/>
        <w:rPr>
          <w:sz w:val="20"/>
          <w:szCs w:val="20"/>
          <w:color w:val="auto"/>
        </w:rPr>
      </w:pPr>
      <w:r>
        <w:rPr>
          <w:rFonts w:ascii="Times New Roman" w:cs="Times New Roman" w:eastAsia="Times New Roman" w:hAnsi="Times New Roman"/>
          <w:sz w:val="14"/>
          <w:szCs w:val="14"/>
          <w:color w:val="auto"/>
        </w:rPr>
        <w:t>Deferred tax assets and liabilities are recognized for the future tax consequences attributable to temporary differences between the carrying amounts of assets and liabilities on the financial statements and their respective tax bases. Deferred tax assets also are recognized for net operating losses and credit carryforwards. Deferred tax assets and liabilities are measured using the enacted rates applicable to taxable income in the years in which the temporary differences are expected to reverse and the credits are expected to be used. The effect on deferred tax assets and liabilities of a change in tax rates is recognized in income in the period that includes the enactment date. An assessment is made as to whether or not a valuation allowance is required to offset deferred tax assets. This assessment requires estimates as to future operating results, as well as an evaluation of the effectiveness of our tax planning strategies. These estimates are made on an ongoing basis based upon our business plans and growth strategies in each market and consequently, future material changes in the valuation allowance are possible. The valuation allowance reduces the deferred tax assets to an amount that management determined is more-likely-than-not to be realized.</w:t>
      </w:r>
    </w:p>
    <w:p>
      <w:pPr>
        <w:spacing w:after="0" w:line="94" w:lineRule="exact"/>
        <w:rPr>
          <w:sz w:val="20"/>
          <w:szCs w:val="20"/>
          <w:color w:val="auto"/>
        </w:rPr>
      </w:pPr>
    </w:p>
    <w:p>
      <w:pPr>
        <w:ind w:right="20" w:firstLine="255"/>
        <w:spacing w:after="0" w:line="258" w:lineRule="auto"/>
        <w:rPr>
          <w:sz w:val="20"/>
          <w:szCs w:val="20"/>
          <w:color w:val="auto"/>
        </w:rPr>
      </w:pPr>
      <w:r>
        <w:rPr>
          <w:rFonts w:ascii="Times New Roman" w:cs="Times New Roman" w:eastAsia="Times New Roman" w:hAnsi="Times New Roman"/>
          <w:sz w:val="14"/>
          <w:szCs w:val="14"/>
          <w:color w:val="auto"/>
        </w:rPr>
        <w:t>We operate in and file income tax returns in the U.S. and numerous foreign jurisdictions with complex tax laws and regulations, which are subject to examination by tax authorities. The complexity of our global structure requires specialized knowledge and judgment in determining the application of tax laws in various jurisdictions. Years open to examination contain matters that could be subject to differing interpretations of applicable tax laws and regulations related to the amount and/or timing of income, deductions, and tax credits. We account for uncertain tax positions in accordance with Accounting Standards Codification ("ASC) 740, Income Taxes. This guidance prescribes a minimum probability threshold that a tax position must meet before a financial statement benefit is recognized. The minimum threshold is defined as a tax position that is more likely than not to be sustained upon examination by the applicable taxing authority, including resolution of any related appeals or litigation processes, based on the technical merits of the position. The tax benefit to be recognized is measured as the largest amount of benefit that is greater than 50 percent likely of being realized upon ultimate settlement.</w:t>
      </w:r>
    </w:p>
    <w:p>
      <w:pPr>
        <w:spacing w:after="0" w:line="83" w:lineRule="exact"/>
        <w:rPr>
          <w:sz w:val="20"/>
          <w:szCs w:val="20"/>
          <w:color w:val="auto"/>
        </w:rPr>
      </w:pPr>
    </w:p>
    <w:p>
      <w:pPr>
        <w:ind w:right="780" w:firstLine="255"/>
        <w:spacing w:after="0" w:line="287" w:lineRule="auto"/>
        <w:rPr>
          <w:sz w:val="20"/>
          <w:szCs w:val="20"/>
          <w:color w:val="auto"/>
        </w:rPr>
      </w:pPr>
      <w:r>
        <w:rPr>
          <w:rFonts w:ascii="Times New Roman" w:cs="Times New Roman" w:eastAsia="Times New Roman" w:hAnsi="Times New Roman"/>
          <w:sz w:val="14"/>
          <w:szCs w:val="14"/>
          <w:color w:val="auto"/>
        </w:rPr>
        <w:t>Interest and penalties related to tax contingency or settlement items are recorded as a component of the provision for income taxes in our Consolidated Statements of Operations and Comprehensive Income. We record accruals for tax contingencies as a component of accrued liabilities or other long-term liabilities on our Consolidated Balance Sheet.</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Recently Issued Accounting Standards</w:t>
      </w:r>
    </w:p>
    <w:p>
      <w:pPr>
        <w:spacing w:after="0" w:line="127" w:lineRule="exact"/>
        <w:rPr>
          <w:sz w:val="20"/>
          <w:szCs w:val="20"/>
          <w:color w:val="auto"/>
        </w:rPr>
      </w:pPr>
    </w:p>
    <w:p>
      <w:pPr>
        <w:ind w:firstLine="255"/>
        <w:spacing w:after="0" w:line="287" w:lineRule="auto"/>
        <w:rPr>
          <w:sz w:val="20"/>
          <w:szCs w:val="20"/>
          <w:color w:val="auto"/>
        </w:rPr>
      </w:pPr>
      <w:r>
        <w:rPr>
          <w:rFonts w:ascii="Times New Roman" w:cs="Times New Roman" w:eastAsia="Times New Roman" w:hAnsi="Times New Roman"/>
          <w:sz w:val="14"/>
          <w:szCs w:val="14"/>
          <w:color w:val="auto"/>
        </w:rPr>
        <w:t>Refer to “Item 8. Financial Statements and Supplementary Data” and Note 2 to our consolidated financial statements included in Part IV, Item 15 of this report for discussion regarding the impact of accounting standards that were recently issued but not yet effective, on our consolidated financial statements.</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7A — QUANTITATIVE AND QUALITATIVE DISCLOSURES ABOUT MARKET RISK</w:t>
      </w:r>
    </w:p>
    <w:p>
      <w:pPr>
        <w:spacing w:after="0" w:line="12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Not required for smaller reporting companies.</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8 — FINANCIAL STATEMENTS AND SUPPLEMENTARY DATA</w:t>
      </w:r>
    </w:p>
    <w:p>
      <w:pPr>
        <w:spacing w:after="0" w:line="11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information required by this Item 8 is set forth in the consolidated financial statements included in Part IV, Item 15 of this report and is incorporated into this Item 8 by reference.</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9 — CHANGES IN AND DISAGREEMENTS WITH ACCOUNTANTS ON ACCOUNTING AND FINANCIAL DISCLOSURE</w:t>
      </w:r>
    </w:p>
    <w:p>
      <w:pPr>
        <w:spacing w:after="0" w:line="12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None.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9A — CONTROLS AND PROCEDURES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Disclosure Controls and Procedures</w:t>
      </w:r>
    </w:p>
    <w:p>
      <w:pPr>
        <w:spacing w:after="0" w:line="127" w:lineRule="exact"/>
        <w:rPr>
          <w:sz w:val="20"/>
          <w:szCs w:val="20"/>
          <w:color w:val="auto"/>
        </w:rPr>
      </w:pPr>
    </w:p>
    <w:p>
      <w:pPr>
        <w:ind w:right="40" w:firstLine="255"/>
        <w:spacing w:after="0" w:line="261" w:lineRule="auto"/>
        <w:rPr>
          <w:sz w:val="20"/>
          <w:szCs w:val="20"/>
          <w:color w:val="auto"/>
        </w:rPr>
      </w:pPr>
      <w:r>
        <w:rPr>
          <w:rFonts w:ascii="Times New Roman" w:cs="Times New Roman" w:eastAsia="Times New Roman" w:hAnsi="Times New Roman"/>
          <w:sz w:val="14"/>
          <w:szCs w:val="14"/>
          <w:color w:val="auto"/>
        </w:rPr>
        <w:t>We maintain disclosure controls and procedures (as defined in Rules 13a-15(e) and 15d-15(e) of the Exchange Act) that are designed to ensure that the information required to be disclosed in the reports we file or submit under the Exchange Act is (a) recorded, processed, summarized and reported within the time periods specified in the rules and forms of the SEC and (b) accumulated and communicated to management, including our Chief Executive Officer and Chief Financial Officer, as appropriate, to allow timely decisions regarding required disclosure. As of June 30, 2024, we carried out an evaluation, under the supervision and with the participation of our management, including our Chief Executive Officer and Chief Financial Officer, of the effectiveness and design and operation of such disclosure controls and procedures, as defined in Rules 13a-15(e)</w:t>
      </w: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846" w:right="339" w:bottom="1440" w:gutter="0" w:footer="0" w:header="0"/>
        </w:sectPr>
      </w:pPr>
    </w:p>
    <w:bookmarkStart w:id="54" w:name="page55"/>
    <w:bookmarkEnd w:id="54"/>
    <w:p>
      <w:pPr>
        <w:ind w:right="440"/>
        <w:spacing w:after="0" w:line="287" w:lineRule="auto"/>
        <w:rPr>
          <w:sz w:val="20"/>
          <w:szCs w:val="20"/>
          <w:color w:val="auto"/>
        </w:rPr>
      </w:pPr>
      <w:r>
        <w:rPr>
          <w:rFonts w:ascii="Times New Roman" w:cs="Times New Roman" w:eastAsia="Times New Roman" w:hAnsi="Times New Roman"/>
          <w:sz w:val="14"/>
          <w:szCs w:val="14"/>
          <w:color w:val="auto"/>
        </w:rPr>
        <w:t>and 15d-15(e) under the Exchange. Based on that evaluation, our Chief Executive Officer and Chief Financial Officer concluded that our disclosure controls and procedures were designed and operating effectively as of June 30, 2024.</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Management’s Annual Report on Internal Control Over Financial Reporting</w:t>
      </w:r>
    </w:p>
    <w:p>
      <w:pPr>
        <w:spacing w:after="0" w:line="127" w:lineRule="exact"/>
        <w:rPr>
          <w:sz w:val="20"/>
          <w:szCs w:val="20"/>
          <w:color w:val="auto"/>
        </w:rPr>
      </w:pPr>
    </w:p>
    <w:p>
      <w:pPr>
        <w:ind w:right="100" w:firstLine="255"/>
        <w:spacing w:after="0" w:line="270" w:lineRule="auto"/>
        <w:rPr>
          <w:sz w:val="20"/>
          <w:szCs w:val="20"/>
          <w:color w:val="auto"/>
        </w:rPr>
      </w:pPr>
      <w:r>
        <w:rPr>
          <w:rFonts w:ascii="Times New Roman" w:cs="Times New Roman" w:eastAsia="Times New Roman" w:hAnsi="Times New Roman"/>
          <w:sz w:val="14"/>
          <w:szCs w:val="14"/>
          <w:color w:val="auto"/>
        </w:rPr>
        <w:t>Our management is responsible for establishing and maintaining adequate internal control over financial reporting, as defined in Exchange Act Rules 13a-15(f) and 15d-15(f). Our system of internal control over financial reporting is designed to provide reasonable assurance to our management and board of directors regarding the preparation and fair presentation of our consolidated and combined financial statements for external purposes in accordance with generally accepted accounting principles ("GAAP").</w:t>
      </w:r>
    </w:p>
    <w:p>
      <w:pPr>
        <w:spacing w:after="0" w:line="83" w:lineRule="exact"/>
        <w:rPr>
          <w:sz w:val="20"/>
          <w:szCs w:val="20"/>
          <w:color w:val="auto"/>
        </w:rPr>
      </w:pPr>
    </w:p>
    <w:p>
      <w:pPr>
        <w:jc w:val="both"/>
        <w:ind w:right="60" w:firstLine="255"/>
        <w:spacing w:after="0" w:line="270" w:lineRule="auto"/>
        <w:rPr>
          <w:sz w:val="20"/>
          <w:szCs w:val="20"/>
          <w:color w:val="auto"/>
        </w:rPr>
      </w:pPr>
      <w:r>
        <w:rPr>
          <w:rFonts w:ascii="Times New Roman" w:cs="Times New Roman" w:eastAsia="Times New Roman" w:hAnsi="Times New Roman"/>
          <w:sz w:val="14"/>
          <w:szCs w:val="14"/>
          <w:color w:val="auto"/>
        </w:rPr>
        <w:t>Our management, under the supervision of our Chief Executive Officer and Chief Financial Officer, assessed the effectiveness of our internal control over financial reporting as of June 30, 2024. In making this assessment, we used the framework included in Internal Control - Integrated Framework published by the Committee of Sponsoring Organizations of the Treadway Commission 2013 (COSO). Based on that evaluation, our management has concluded that internal control over financing reporting was effective as of June 30, 2024.</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Changes in Internal Control over Financial Reporting</w:t>
      </w:r>
    </w:p>
    <w:p>
      <w:pPr>
        <w:spacing w:after="0" w:line="127" w:lineRule="exact"/>
        <w:rPr>
          <w:sz w:val="20"/>
          <w:szCs w:val="20"/>
          <w:color w:val="auto"/>
        </w:rPr>
      </w:pPr>
    </w:p>
    <w:p>
      <w:pPr>
        <w:ind w:right="20" w:firstLine="255"/>
        <w:spacing w:after="0" w:line="287" w:lineRule="auto"/>
        <w:rPr>
          <w:sz w:val="20"/>
          <w:szCs w:val="20"/>
          <w:color w:val="auto"/>
        </w:rPr>
      </w:pPr>
      <w:r>
        <w:rPr>
          <w:rFonts w:ascii="Times New Roman" w:cs="Times New Roman" w:eastAsia="Times New Roman" w:hAnsi="Times New Roman"/>
          <w:sz w:val="14"/>
          <w:szCs w:val="14"/>
          <w:color w:val="auto"/>
        </w:rPr>
        <w:t>There were no changes in our internal control over financial reporting during the quarter ended June 30, 2024 that have materially affected or are reasonably likely to materially affect our internal control over financial reporting.</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Inherent Limitations on Effectiveness of Controls</w:t>
      </w:r>
    </w:p>
    <w:p>
      <w:pPr>
        <w:spacing w:after="0" w:line="117" w:lineRule="exact"/>
        <w:rPr>
          <w:sz w:val="20"/>
          <w:szCs w:val="20"/>
          <w:color w:val="auto"/>
        </w:rPr>
      </w:pPr>
    </w:p>
    <w:p>
      <w:pPr>
        <w:ind w:firstLine="255"/>
        <w:spacing w:after="0" w:line="257" w:lineRule="auto"/>
        <w:rPr>
          <w:sz w:val="20"/>
          <w:szCs w:val="20"/>
          <w:color w:val="auto"/>
        </w:rPr>
      </w:pPr>
      <w:r>
        <w:rPr>
          <w:rFonts w:ascii="Times New Roman" w:cs="Times New Roman" w:eastAsia="Times New Roman" w:hAnsi="Times New Roman"/>
          <w:sz w:val="14"/>
          <w:szCs w:val="14"/>
          <w:color w:val="auto"/>
        </w:rPr>
        <w:t>Our management, including our Chief Executive Officer and Chief Financial Officer, cannot provide absolute assurance that our disclosure controls or our internal control over financial reporting will prevent or detect all error and all fraud. A control system, no matter how well designed and operated, can provide only reasonable, not absolute, assurance that the control system’s objectives will be met. The design of a control system must reflect the fact that there are resource constraints, and the benefits of controls must be considered relative to their costs. Further, because of the inherent limitations in all control systems, no evaluation of controls can provide absolute assurance that misstatements due to error or fraud will not occur or that all control issues and instances of fraud, if any, have been detected. These inherent limitations include the realities that judgments in decision-making can be faulty and that breakdowns can occur because of simple error or mistake. Controls can also be circumvented by the individual acts of some persons, by collusion of two or more people, or by management override of the controls. The design of any system of controls is based in part on certain assumptions about the likelihood of future events, and there can be no assurance that any design will succeed in achieving its stated goals under all potential future conditions. Projections of any evaluation of controls effectiveness to future periods are subject to risks. Over time, controls may become inadequate because of changes in conditions or deterioration in the degree of compliance with policies or procedures.</w:t>
      </w:r>
    </w:p>
    <w:p>
      <w:pPr>
        <w:spacing w:after="0" w:line="9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color w:val="auto"/>
        </w:rPr>
        <w:t>ITEM 9B — OTHER INFORMATION</w:t>
      </w:r>
    </w:p>
    <w:p>
      <w:pPr>
        <w:spacing w:after="0" w:line="12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During quarter ended June 30, 2024, none of our officers or directors, as defined in Rule 16a-1(f), informed us of the adoption or termination of a Rule 10b5-1 trading arrangement or a non-Rule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10b5-1 trading arrangement, each as defined in Regulation S-K Item 408.</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9C — DISCLOSURE REGARDING FOREIGN JURISDICTIONS THAT PREVENT INSPECTIONS</w:t>
      </w:r>
    </w:p>
    <w:p>
      <w:pPr>
        <w:spacing w:after="0" w:line="12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None.</w:t>
      </w:r>
    </w:p>
    <w:p>
      <w:pPr>
        <w:spacing w:after="0" w:line="1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PART III</w:t>
      </w:r>
    </w:p>
    <w:p>
      <w:pPr>
        <w:spacing w:after="0" w:line="117" w:lineRule="exact"/>
        <w:rPr>
          <w:sz w:val="20"/>
          <w:szCs w:val="20"/>
          <w:color w:val="auto"/>
        </w:rPr>
      </w:pPr>
    </w:p>
    <w:p>
      <w:pPr>
        <w:ind w:right="120" w:firstLine="255"/>
        <w:spacing w:after="0" w:line="270" w:lineRule="auto"/>
        <w:rPr>
          <w:sz w:val="20"/>
          <w:szCs w:val="20"/>
          <w:color w:val="auto"/>
        </w:rPr>
      </w:pPr>
      <w:r>
        <w:rPr>
          <w:rFonts w:ascii="Times New Roman" w:cs="Times New Roman" w:eastAsia="Times New Roman" w:hAnsi="Times New Roman"/>
          <w:sz w:val="14"/>
          <w:szCs w:val="14"/>
          <w:color w:val="auto"/>
        </w:rPr>
        <w:t>Certain information required by Part III of this report is omitted from this report pursuant to General Instruction G(3) of Form 10-K because we will file a definitive proxy statement pursuant to Regulation 14A for our fiscal year 2025 annual meeting of stockholders (the “Proxy Statement”) not later than 120 days after the end of the fiscal year covered by this report, and the information included in the Proxy Statement that is required by Part III of this report is incorporated herein by reference.</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10 — DIRECTORS, EXECUTIVE OFFICERS AND CORPORATE GOVERNANCE</w:t>
      </w:r>
    </w:p>
    <w:p>
      <w:pPr>
        <w:spacing w:after="0" w:line="12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Incorporated herein by reference to the information to be set forth in the Proxy Statement.</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11 — EXECUTIVE COMPENSATION</w:t>
      </w:r>
    </w:p>
    <w:p>
      <w:pPr>
        <w:spacing w:after="0" w:line="12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Incorporated herein by reference to the information to be set forth in the Proxy Statement.</w:t>
      </w:r>
    </w:p>
    <w:p>
      <w:pPr>
        <w:spacing w:after="0" w:line="200" w:lineRule="exact"/>
        <w:rPr>
          <w:sz w:val="20"/>
          <w:szCs w:val="20"/>
          <w:color w:val="auto"/>
        </w:rPr>
      </w:pPr>
    </w:p>
    <w:p>
      <w:pPr>
        <w:spacing w:after="0" w:line="3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46" w:right="31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4"/>
          <w:szCs w:val="14"/>
          <w:b w:val="1"/>
          <w:bCs w:val="1"/>
          <w:color w:val="auto"/>
        </w:rPr>
        <w:t>ITEM 12 — SECURITY OWNERSHIP OF CERTAIN BENEFICIAL OWNERS AND MANAGEMENT AND RELATED STOCKHOLDER MATTERS.</w:t>
      </w:r>
    </w:p>
    <w:p>
      <w:pPr>
        <w:spacing w:after="0" w:line="11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Incorporated herein by reference to the information to be set forth in the Proxy Statement.</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13 — CERTAIN RELATIONSHIP AND RELATED TRANSACTIONS, AND DIRECTORS INDEPENDENCE</w:t>
      </w:r>
    </w:p>
    <w:p>
      <w:pPr>
        <w:spacing w:after="0" w:line="12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Incorporated herein by reference to the information to be set forth in the Proxy Statement.</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14 — PRINCIPAL ACCOUNTING FEES AND SERVICES</w:t>
      </w:r>
    </w:p>
    <w:p>
      <w:pPr>
        <w:spacing w:after="0" w:line="12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Incorporated herein by reference to the information to be set forth in the Proxy Statement.</w:t>
      </w:r>
    </w:p>
    <w:p>
      <w:pPr>
        <w:spacing w:after="0" w:line="123"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b w:val="1"/>
          <w:bCs w:val="1"/>
          <w:color w:val="auto"/>
        </w:rPr>
        <w:t>PART IV</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15 — EXHIBITS, FINANCIAL STATEMENT SCHEDULES</w:t>
      </w:r>
    </w:p>
    <w:p>
      <w:pPr>
        <w:spacing w:after="0" w:line="12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The following documents are being filed as part of this report:</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Financial Statements</w:t>
      </w:r>
    </w:p>
    <w:p>
      <w:pPr>
        <w:spacing w:after="0" w:line="117" w:lineRule="exact"/>
        <w:rPr>
          <w:sz w:val="20"/>
          <w:szCs w:val="20"/>
          <w:color w:val="auto"/>
        </w:rPr>
      </w:pPr>
    </w:p>
    <w:p>
      <w:pPr>
        <w:ind w:right="460" w:firstLine="318"/>
        <w:spacing w:after="0" w:line="287" w:lineRule="auto"/>
        <w:rPr>
          <w:sz w:val="20"/>
          <w:szCs w:val="20"/>
          <w:color w:val="auto"/>
        </w:rPr>
      </w:pPr>
      <w:r>
        <w:rPr>
          <w:rFonts w:ascii="Times New Roman" w:cs="Times New Roman" w:eastAsia="Times New Roman" w:hAnsi="Times New Roman"/>
          <w:sz w:val="14"/>
          <w:szCs w:val="14"/>
          <w:color w:val="auto"/>
        </w:rPr>
        <w:t>(a)(1) Financial Statements. The following consolidated financial statements of LifeVantage Corporation and Report of Independent Registered Public Accounting Firm are included in a separate section of this Annual Report on Form 10-K.</w:t>
      </w:r>
    </w:p>
    <w:p>
      <w:pPr>
        <w:spacing w:after="0" w:line="71" w:lineRule="exact"/>
        <w:rPr>
          <w:sz w:val="20"/>
          <w:szCs w:val="20"/>
          <w:color w:val="auto"/>
        </w:rPr>
      </w:pPr>
    </w:p>
    <w:p>
      <w:pPr>
        <w:ind w:right="180" w:firstLine="318"/>
        <w:spacing w:after="0" w:line="287" w:lineRule="auto"/>
        <w:rPr>
          <w:sz w:val="20"/>
          <w:szCs w:val="20"/>
          <w:color w:val="auto"/>
        </w:rPr>
      </w:pPr>
      <w:r>
        <w:rPr>
          <w:rFonts w:ascii="Times New Roman" w:cs="Times New Roman" w:eastAsia="Times New Roman" w:hAnsi="Times New Roman"/>
          <w:sz w:val="14"/>
          <w:szCs w:val="14"/>
          <w:color w:val="auto"/>
        </w:rPr>
        <w:t>(a)(2) All schedules for which provision is made in the applicable accounting regulations of the SEC are not required under the related instructions or are inapplicable, or because the required information is included in the financial statements or notes thereto, and therefore have been omitted.</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Exhibits</w:t>
      </w:r>
    </w:p>
    <w:p>
      <w:pPr>
        <w:spacing w:after="0" w:line="11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(a)(3) The following exhibits are filed as part of, or incorporated by reference into, the Annual Report on Form 10-K.</w:t>
      </w:r>
    </w:p>
    <w:p>
      <w:pPr>
        <w:sectPr>
          <w:pgSz w:w="11900" w:h="16838" w:orient="portrait"/>
          <w:cols w:equalWidth="0" w:num="1">
            <w:col w:w="11280"/>
          </w:cols>
          <w:pgMar w:left="300" w:top="844" w:right="319" w:bottom="1440" w:gutter="0" w:footer="0" w:header="0"/>
        </w:sect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1100" w:type="dxa"/>
            <w:vAlign w:val="bottom"/>
            <w:gridSpan w:val="2"/>
          </w:tcPr>
          <w:p>
            <w:pPr>
              <w:ind w:left="320"/>
              <w:spacing w:after="0"/>
              <w:rPr>
                <w:sz w:val="20"/>
                <w:szCs w:val="20"/>
                <w:color w:val="auto"/>
              </w:rPr>
            </w:pPr>
            <w:r>
              <w:rPr>
                <w:rFonts w:ascii="Times New Roman" w:cs="Times New Roman" w:eastAsia="Times New Roman" w:hAnsi="Times New Roman"/>
                <w:sz w:val="11"/>
                <w:szCs w:val="11"/>
                <w:b w:val="1"/>
                <w:bCs w:val="1"/>
                <w:color w:val="auto"/>
              </w:rPr>
              <w:t>Exhibit</w:t>
            </w:r>
          </w:p>
        </w:tc>
        <w:tc>
          <w:tcPr>
            <w:tcW w:w="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240" w:type="dxa"/>
            <w:vAlign w:val="bottom"/>
            <w:gridSpan w:val="7"/>
            <w:vMerge w:val="restart"/>
          </w:tcPr>
          <w:p>
            <w:pPr>
              <w:ind w:left="180"/>
              <w:spacing w:after="0"/>
              <w:rPr>
                <w:sz w:val="20"/>
                <w:szCs w:val="20"/>
                <w:color w:val="auto"/>
              </w:rPr>
            </w:pPr>
            <w:r>
              <w:rPr>
                <w:rFonts w:ascii="Times New Roman" w:cs="Times New Roman" w:eastAsia="Times New Roman" w:hAnsi="Times New Roman"/>
                <w:sz w:val="11"/>
                <w:szCs w:val="11"/>
                <w:b w:val="1"/>
                <w:bCs w:val="1"/>
                <w:color w:val="auto"/>
              </w:rPr>
              <w:t>Document Description</w:t>
            </w:r>
          </w:p>
        </w:tc>
        <w:tc>
          <w:tcPr>
            <w:tcW w:w="0" w:type="dxa"/>
            <w:vAlign w:val="bottom"/>
          </w:tcPr>
          <w:p>
            <w:pPr>
              <w:spacing w:after="0"/>
              <w:rPr>
                <w:sz w:val="1"/>
                <w:szCs w:val="1"/>
                <w:color w:val="auto"/>
              </w:rPr>
            </w:pPr>
          </w:p>
        </w:tc>
      </w:tr>
      <w:tr>
        <w:trPr>
          <w:trHeight w:val="154"/>
        </w:trPr>
        <w:tc>
          <w:tcPr>
            <w:tcW w:w="1100" w:type="dxa"/>
            <w:vAlign w:val="bottom"/>
            <w:gridSpan w:val="2"/>
          </w:tcPr>
          <w:p>
            <w:pPr>
              <w:ind w:left="420"/>
              <w:spacing w:after="0"/>
              <w:rPr>
                <w:sz w:val="20"/>
                <w:szCs w:val="20"/>
                <w:color w:val="auto"/>
              </w:rPr>
            </w:pPr>
            <w:r>
              <w:rPr>
                <w:rFonts w:ascii="Times New Roman" w:cs="Times New Roman" w:eastAsia="Times New Roman" w:hAnsi="Times New Roman"/>
                <w:sz w:val="11"/>
                <w:szCs w:val="11"/>
                <w:b w:val="1"/>
                <w:bCs w:val="1"/>
                <w:color w:val="auto"/>
              </w:rPr>
              <w:t>No.</w:t>
            </w:r>
          </w:p>
        </w:tc>
        <w:tc>
          <w:tcPr>
            <w:tcW w:w="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240" w:type="dxa"/>
            <w:vAlign w:val="bottom"/>
            <w:gridSpan w:val="7"/>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61"/>
        </w:trPr>
        <w:tc>
          <w:tcPr>
            <w:tcW w:w="10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3.1</w:t>
            </w:r>
          </w:p>
        </w:tc>
        <w:tc>
          <w:tcPr>
            <w:tcW w:w="100" w:type="dxa"/>
            <w:vAlign w:val="bottom"/>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5000" w:type="dxa"/>
            <w:vAlign w:val="bottom"/>
            <w:tcBorders>
              <w:top w:val="single" w:sz="8" w:color="auto"/>
            </w:tcBorders>
            <w:gridSpan w:val="12"/>
          </w:tcPr>
          <w:p>
            <w:pPr>
              <w:spacing w:after="0"/>
              <w:rPr>
                <w:rFonts w:ascii="Times New Roman" w:cs="Times New Roman" w:eastAsia="Times New Roman" w:hAnsi="Times New Roman"/>
                <w:sz w:val="14"/>
                <w:szCs w:val="14"/>
                <w:color w:val="0000FF"/>
              </w:rPr>
            </w:pPr>
            <w:hyperlink r:id="rId68">
              <w:r>
                <w:rPr>
                  <w:rFonts w:ascii="Times New Roman" w:cs="Times New Roman" w:eastAsia="Times New Roman" w:hAnsi="Times New Roman"/>
                  <w:sz w:val="14"/>
                  <w:szCs w:val="14"/>
                  <w:color w:val="0000FF"/>
                </w:rPr>
                <w:t>Certificate of Incorporation</w:t>
              </w:r>
            </w:hyperlink>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8"/>
        </w:trPr>
        <w:tc>
          <w:tcPr>
            <w:tcW w:w="1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3.2</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0" w:type="dxa"/>
            <w:vAlign w:val="bottom"/>
            <w:gridSpan w:val="12"/>
          </w:tcPr>
          <w:p>
            <w:pPr>
              <w:spacing w:after="0"/>
              <w:rPr>
                <w:rFonts w:ascii="Times New Roman" w:cs="Times New Roman" w:eastAsia="Times New Roman" w:hAnsi="Times New Roman"/>
                <w:sz w:val="14"/>
                <w:szCs w:val="14"/>
                <w:color w:val="0000FF"/>
              </w:rPr>
            </w:pPr>
            <w:hyperlink r:id="rId69">
              <w:r>
                <w:rPr>
                  <w:rFonts w:ascii="Times New Roman" w:cs="Times New Roman" w:eastAsia="Times New Roman" w:hAnsi="Times New Roman"/>
                  <w:sz w:val="14"/>
                  <w:szCs w:val="14"/>
                  <w:color w:val="0000FF"/>
                </w:rPr>
                <w:t>Amended and Restated Bylaws</w:t>
              </w:r>
            </w:hyperlink>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8"/>
        </w:trPr>
        <w:tc>
          <w:tcPr>
            <w:tcW w:w="1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3.3</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0" w:type="dxa"/>
            <w:vAlign w:val="bottom"/>
            <w:gridSpan w:val="12"/>
          </w:tcPr>
          <w:p>
            <w:pPr>
              <w:spacing w:after="0"/>
              <w:rPr>
                <w:rFonts w:ascii="Times New Roman" w:cs="Times New Roman" w:eastAsia="Times New Roman" w:hAnsi="Times New Roman"/>
                <w:sz w:val="14"/>
                <w:szCs w:val="14"/>
                <w:color w:val="0000FF"/>
              </w:rPr>
            </w:pPr>
            <w:hyperlink r:id="rId70">
              <w:r>
                <w:rPr>
                  <w:rFonts w:ascii="Times New Roman" w:cs="Times New Roman" w:eastAsia="Times New Roman" w:hAnsi="Times New Roman"/>
                  <w:sz w:val="14"/>
                  <w:szCs w:val="14"/>
                  <w:color w:val="0000FF"/>
                </w:rPr>
                <w:t>Certificate of Designation of Series A Junior Participating Preferred Stock of the</w:t>
              </w:r>
            </w:hyperlink>
          </w:p>
        </w:tc>
        <w:tc>
          <w:tcPr>
            <w:tcW w:w="0" w:type="dxa"/>
            <w:vAlign w:val="bottom"/>
          </w:tcPr>
          <w:p>
            <w:pPr>
              <w:spacing w:after="0"/>
              <w:rPr>
                <w:sz w:val="1"/>
                <w:szCs w:val="1"/>
                <w:color w:val="auto"/>
              </w:rPr>
            </w:pPr>
          </w:p>
        </w:tc>
      </w:tr>
      <w:tr>
        <w:trPr>
          <w:trHeight w:val="118"/>
        </w:trPr>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560" w:type="dxa"/>
            <w:vAlign w:val="bottom"/>
            <w:tcBorders>
              <w:top w:val="single" w:sz="8" w:color="0000FF"/>
            </w:tcBorders>
            <w:gridSpan w:val="8"/>
          </w:tcPr>
          <w:p>
            <w:pPr>
              <w:spacing w:after="0" w:line="118" w:lineRule="exact"/>
              <w:rPr>
                <w:rFonts w:ascii="Times New Roman" w:cs="Times New Roman" w:eastAsia="Times New Roman" w:hAnsi="Times New Roman"/>
                <w:sz w:val="13"/>
                <w:szCs w:val="13"/>
                <w:color w:val="0000FF"/>
              </w:rPr>
            </w:pPr>
            <w:hyperlink r:id="rId70">
              <w:r>
                <w:rPr>
                  <w:rFonts w:ascii="Times New Roman" w:cs="Times New Roman" w:eastAsia="Times New Roman" w:hAnsi="Times New Roman"/>
                  <w:sz w:val="13"/>
                  <w:szCs w:val="13"/>
                  <w:color w:val="0000FF"/>
                </w:rPr>
                <w:t>Company</w:t>
              </w:r>
            </w:hyperlink>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8"/>
        </w:trPr>
        <w:tc>
          <w:tcPr>
            <w:tcW w:w="1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4.1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0" w:type="dxa"/>
            <w:vAlign w:val="bottom"/>
            <w:gridSpan w:val="12"/>
          </w:tcPr>
          <w:p>
            <w:pPr>
              <w:spacing w:after="0"/>
              <w:rPr>
                <w:rFonts w:ascii="Times New Roman" w:cs="Times New Roman" w:eastAsia="Times New Roman" w:hAnsi="Times New Roman"/>
                <w:sz w:val="14"/>
                <w:szCs w:val="14"/>
                <w:color w:val="0000FF"/>
              </w:rPr>
            </w:pPr>
            <w:hyperlink r:id="rId71">
              <w:r>
                <w:rPr>
                  <w:rFonts w:ascii="Times New Roman" w:cs="Times New Roman" w:eastAsia="Times New Roman" w:hAnsi="Times New Roman"/>
                  <w:sz w:val="14"/>
                  <w:szCs w:val="14"/>
                  <w:color w:val="0000FF"/>
                </w:rPr>
                <w:t>Form of Common Stock Certificate</w:t>
              </w:r>
            </w:hyperlink>
          </w:p>
        </w:tc>
        <w:tc>
          <w:tcPr>
            <w:tcW w:w="0" w:type="dxa"/>
            <w:vAlign w:val="bottom"/>
          </w:tcPr>
          <w:p>
            <w:pPr>
              <w:spacing w:after="0"/>
              <w:rPr>
                <w:sz w:val="1"/>
                <w:szCs w:val="1"/>
                <w:color w:val="auto"/>
              </w:rPr>
            </w:pPr>
          </w:p>
        </w:tc>
      </w:tr>
      <w:tr>
        <w:trPr>
          <w:trHeight w:val="288"/>
        </w:trPr>
        <w:tc>
          <w:tcPr>
            <w:tcW w:w="1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4.2</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0" w:type="dxa"/>
            <w:vAlign w:val="bottom"/>
            <w:tcBorders>
              <w:top w:val="single" w:sz="8" w:color="0000FF"/>
            </w:tcBorders>
            <w:gridSpan w:val="6"/>
          </w:tcPr>
          <w:p>
            <w:pPr>
              <w:spacing w:after="0"/>
              <w:rPr>
                <w:rFonts w:ascii="Times New Roman" w:cs="Times New Roman" w:eastAsia="Times New Roman" w:hAnsi="Times New Roman"/>
                <w:sz w:val="14"/>
                <w:szCs w:val="14"/>
                <w:color w:val="0000FF"/>
              </w:rPr>
            </w:pPr>
            <w:hyperlink r:id="rId72">
              <w:r>
                <w:rPr>
                  <w:rFonts w:ascii="Times New Roman" w:cs="Times New Roman" w:eastAsia="Times New Roman" w:hAnsi="Times New Roman"/>
                  <w:sz w:val="14"/>
                  <w:szCs w:val="14"/>
                  <w:color w:val="0000FF"/>
                </w:rPr>
                <w:t>Description of Capital Stock</w:t>
              </w:r>
            </w:hyperlink>
          </w:p>
        </w:tc>
        <w:tc>
          <w:tcPr>
            <w:tcW w:w="3000" w:type="dxa"/>
            <w:vAlign w:val="bottom"/>
            <w:gridSpan w:val="6"/>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gridSpan w:val="2"/>
            <w:shd w:val="clear" w:color="auto" w:fill="0000FF"/>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1480" w:type="dxa"/>
            <w:vAlign w:val="bottom"/>
            <w:gridSpan w:val="3"/>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8"/>
        </w:trPr>
        <w:tc>
          <w:tcPr>
            <w:tcW w:w="1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4.3</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0" w:type="dxa"/>
            <w:vAlign w:val="bottom"/>
            <w:gridSpan w:val="12"/>
          </w:tcPr>
          <w:p>
            <w:pPr>
              <w:spacing w:after="0"/>
              <w:rPr>
                <w:rFonts w:ascii="Times New Roman" w:cs="Times New Roman" w:eastAsia="Times New Roman" w:hAnsi="Times New Roman"/>
                <w:sz w:val="14"/>
                <w:szCs w:val="14"/>
                <w:color w:val="0000FF"/>
              </w:rPr>
            </w:pPr>
            <w:hyperlink r:id="rId73">
              <w:r>
                <w:rPr>
                  <w:rFonts w:ascii="Times New Roman" w:cs="Times New Roman" w:eastAsia="Times New Roman" w:hAnsi="Times New Roman"/>
                  <w:sz w:val="14"/>
                  <w:szCs w:val="14"/>
                  <w:color w:val="0000FF"/>
                </w:rPr>
                <w:t>Rights Agreement, dated as of August 30, 2023, by and between the Company and</w:t>
              </w:r>
            </w:hyperlink>
          </w:p>
        </w:tc>
        <w:tc>
          <w:tcPr>
            <w:tcW w:w="0" w:type="dxa"/>
            <w:vAlign w:val="bottom"/>
          </w:tcPr>
          <w:p>
            <w:pPr>
              <w:spacing w:after="0"/>
              <w:rPr>
                <w:sz w:val="1"/>
                <w:szCs w:val="1"/>
                <w:color w:val="auto"/>
              </w:rPr>
            </w:pPr>
          </w:p>
        </w:tc>
      </w:tr>
      <w:tr>
        <w:trPr>
          <w:trHeight w:val="118"/>
        </w:trPr>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680" w:type="dxa"/>
            <w:vAlign w:val="bottom"/>
            <w:tcBorders>
              <w:top w:val="single" w:sz="8" w:color="0000FF"/>
            </w:tcBorders>
            <w:gridSpan w:val="9"/>
          </w:tcPr>
          <w:p>
            <w:pPr>
              <w:spacing w:after="0" w:line="118" w:lineRule="exact"/>
              <w:rPr>
                <w:rFonts w:ascii="Times New Roman" w:cs="Times New Roman" w:eastAsia="Times New Roman" w:hAnsi="Times New Roman"/>
                <w:sz w:val="13"/>
                <w:szCs w:val="13"/>
                <w:color w:val="0000FF"/>
              </w:rPr>
            </w:pPr>
            <w:hyperlink r:id="rId73">
              <w:r>
                <w:rPr>
                  <w:rFonts w:ascii="Times New Roman" w:cs="Times New Roman" w:eastAsia="Times New Roman" w:hAnsi="Times New Roman"/>
                  <w:sz w:val="13"/>
                  <w:szCs w:val="13"/>
                  <w:color w:val="0000FF"/>
                </w:rPr>
                <w:t>Computershare Trust Company, N.A., as Rights Agent</w:t>
              </w:r>
            </w:hyperlink>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gridSpan w:val="2"/>
            <w:shd w:val="clear" w:color="auto" w:fill="0000FF"/>
          </w:tcPr>
          <w:p>
            <w:pPr>
              <w:spacing w:after="0" w:line="20" w:lineRule="exact"/>
              <w:rPr>
                <w:sz w:val="1"/>
                <w:szCs w:val="1"/>
                <w:color w:val="auto"/>
              </w:rPr>
            </w:pPr>
          </w:p>
        </w:tc>
        <w:tc>
          <w:tcPr>
            <w:tcW w:w="2120" w:type="dxa"/>
            <w:vAlign w:val="bottom"/>
            <w:gridSpan w:val="5"/>
            <w:shd w:val="clear" w:color="auto" w:fill="0000FF"/>
          </w:tcPr>
          <w:p>
            <w:pPr>
              <w:spacing w:after="0" w:line="20" w:lineRule="exact"/>
              <w:rPr>
                <w:sz w:val="1"/>
                <w:szCs w:val="1"/>
                <w:color w:val="auto"/>
              </w:rPr>
            </w:pPr>
          </w:p>
        </w:tc>
        <w:tc>
          <w:tcPr>
            <w:tcW w:w="16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8"/>
        </w:trPr>
        <w:tc>
          <w:tcPr>
            <w:tcW w:w="1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10.1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0" w:type="dxa"/>
            <w:vAlign w:val="bottom"/>
            <w:gridSpan w:val="12"/>
          </w:tcPr>
          <w:p>
            <w:pPr>
              <w:spacing w:after="0"/>
              <w:rPr>
                <w:rFonts w:ascii="Times New Roman" w:cs="Times New Roman" w:eastAsia="Times New Roman" w:hAnsi="Times New Roman"/>
                <w:sz w:val="14"/>
                <w:szCs w:val="14"/>
                <w:color w:val="0000FF"/>
              </w:rPr>
            </w:pPr>
            <w:hyperlink r:id="rId74">
              <w:r>
                <w:rPr>
                  <w:rFonts w:ascii="Times New Roman" w:cs="Times New Roman" w:eastAsia="Times New Roman" w:hAnsi="Times New Roman"/>
                  <w:sz w:val="14"/>
                  <w:szCs w:val="14"/>
                  <w:color w:val="0000FF"/>
                </w:rPr>
                <w:t>Cooperation Agreement, dated February 14, 2024, by and among the Company, the</w:t>
              </w:r>
            </w:hyperlink>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gridSpan w:val="2"/>
            <w:shd w:val="clear" w:color="auto" w:fill="0000FF"/>
          </w:tcPr>
          <w:p>
            <w:pPr>
              <w:spacing w:after="0" w:line="20" w:lineRule="exact"/>
              <w:rPr>
                <w:sz w:val="1"/>
                <w:szCs w:val="1"/>
                <w:color w:val="auto"/>
              </w:rPr>
            </w:pPr>
          </w:p>
        </w:tc>
        <w:tc>
          <w:tcPr>
            <w:tcW w:w="3740" w:type="dxa"/>
            <w:vAlign w:val="bottom"/>
            <w:gridSpan w:val="8"/>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8"/>
        </w:trPr>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000" w:type="dxa"/>
            <w:vAlign w:val="bottom"/>
            <w:gridSpan w:val="12"/>
          </w:tcPr>
          <w:p>
            <w:pPr>
              <w:spacing w:after="0" w:line="118" w:lineRule="exact"/>
              <w:rPr>
                <w:rFonts w:ascii="Times New Roman" w:cs="Times New Roman" w:eastAsia="Times New Roman" w:hAnsi="Times New Roman"/>
                <w:sz w:val="13"/>
                <w:szCs w:val="13"/>
                <w:color w:val="0000FF"/>
              </w:rPr>
            </w:pPr>
            <w:hyperlink r:id="rId74">
              <w:r>
                <w:rPr>
                  <w:rFonts w:ascii="Times New Roman" w:cs="Times New Roman" w:eastAsia="Times New Roman" w:hAnsi="Times New Roman"/>
                  <w:sz w:val="13"/>
                  <w:szCs w:val="13"/>
                  <w:color w:val="0000FF"/>
                </w:rPr>
                <w:t>entities and persons listed on Exhibit A thereto, and the entities and persons listed on</w:t>
              </w:r>
            </w:hyperlink>
          </w:p>
        </w:tc>
        <w:tc>
          <w:tcPr>
            <w:tcW w:w="0" w:type="dxa"/>
            <w:vAlign w:val="bottom"/>
          </w:tcPr>
          <w:p>
            <w:pPr>
              <w:spacing w:after="0"/>
              <w:rPr>
                <w:sz w:val="1"/>
                <w:szCs w:val="1"/>
                <w:color w:val="auto"/>
              </w:rPr>
            </w:pPr>
          </w:p>
        </w:tc>
      </w:tr>
      <w:tr>
        <w:trPr>
          <w:trHeight w:val="118"/>
        </w:trPr>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800" w:type="dxa"/>
            <w:vAlign w:val="bottom"/>
            <w:tcBorders>
              <w:top w:val="single" w:sz="8" w:color="0000FF"/>
            </w:tcBorders>
            <w:gridSpan w:val="11"/>
          </w:tcPr>
          <w:p>
            <w:pPr>
              <w:spacing w:after="0" w:line="118" w:lineRule="exact"/>
              <w:rPr>
                <w:rFonts w:ascii="Times New Roman" w:cs="Times New Roman" w:eastAsia="Times New Roman" w:hAnsi="Times New Roman"/>
                <w:sz w:val="13"/>
                <w:szCs w:val="13"/>
                <w:color w:val="0000FF"/>
              </w:rPr>
            </w:pPr>
            <w:hyperlink r:id="rId74">
              <w:r>
                <w:rPr>
                  <w:rFonts w:ascii="Times New Roman" w:cs="Times New Roman" w:eastAsia="Times New Roman" w:hAnsi="Times New Roman"/>
                  <w:sz w:val="13"/>
                  <w:szCs w:val="13"/>
                  <w:color w:val="0000FF"/>
                </w:rPr>
                <w:t>Exhibit B thereto</w:t>
              </w:r>
            </w:hyperlink>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31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1"/>
          <w:szCs w:val="11"/>
          <w:b w:val="1"/>
          <w:bCs w:val="1"/>
          <w:color w:val="auto"/>
        </w:rPr>
        <w:t>Filed Herewith or Incorporated by Reference From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26035</wp:posOffset>
            </wp:positionV>
            <wp:extent cx="3186430" cy="698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5">
                      <a:extLst>
                        <a:ext uri="{28A0092B-C50C-407E-A947-70E740481C1C}"/>
                      </a:extLst>
                    </a:blip>
                    <a:srcRect/>
                    <a:stretch>
                      <a:fillRect/>
                    </a:stretch>
                  </pic:blipFill>
                  <pic:spPr bwMode="auto">
                    <a:xfrm>
                      <a:off x="0" y="0"/>
                      <a:ext cx="3186430" cy="6985"/>
                    </a:xfrm>
                    <a:prstGeom prst="rect">
                      <a:avLst/>
                    </a:prstGeom>
                    <a:noFill/>
                  </pic:spPr>
                </pic:pic>
              </a:graphicData>
            </a:graphic>
          </wp:anchor>
        </w:drawing>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Exhibit 3.1 to Form 8-K filed on March 13, 2018.</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Exhibit 3.1 to Form 8-K filed on August 15, 2019.</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Exhibit 3.1 to Form 8-K filed on August 31, 2023.</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Exhibit 4.1 to Form 8-K filed on March 13, 2018.</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Exhibit 4.2 to Form 10-K filed on August 23, 2022.</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Exhibit 4.1 to Form 8-K filed on August 31, 2023.</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Exhibit 10.1 to Form 8-K filed on February 15, 2024.</w:t>
      </w:r>
    </w:p>
    <w:p>
      <w:pPr>
        <w:spacing w:after="0" w:line="478" w:lineRule="exact"/>
        <w:rPr>
          <w:sz w:val="20"/>
          <w:szCs w:val="20"/>
          <w:color w:val="auto"/>
        </w:rPr>
      </w:pPr>
    </w:p>
    <w:p>
      <w:pPr>
        <w:sectPr>
          <w:pgSz w:w="11900" w:h="16838" w:orient="portrait"/>
          <w:cols w:equalWidth="0" w:num="2">
            <w:col w:w="6120" w:space="100"/>
            <w:col w:w="5060"/>
          </w:cols>
          <w:pgMar w:left="300" w:top="844" w:right="319" w:bottom="1440" w:gutter="0" w:footer="0" w:header="0"/>
          <w:type w:val="continuous"/>
        </w:sectPr>
      </w:pP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10.2#</w:t>
            </w:r>
          </w:p>
        </w:tc>
        <w:tc>
          <w:tcPr>
            <w:tcW w:w="2160" w:type="dxa"/>
            <w:vAlign w:val="bottom"/>
            <w:tcBorders>
              <w:bottom w:val="single" w:sz="8" w:color="0000FF"/>
            </w:tcBorders>
          </w:tcPr>
          <w:p>
            <w:pPr>
              <w:spacing w:after="0"/>
              <w:rPr>
                <w:rFonts w:ascii="Times New Roman" w:cs="Times New Roman" w:eastAsia="Times New Roman" w:hAnsi="Times New Roman"/>
                <w:sz w:val="14"/>
                <w:szCs w:val="14"/>
                <w:color w:val="0000FF"/>
                <w:w w:val="99"/>
              </w:rPr>
            </w:pPr>
            <w:hyperlink r:id="rId76">
              <w:r>
                <w:rPr>
                  <w:rFonts w:ascii="Times New Roman" w:cs="Times New Roman" w:eastAsia="Times New Roman" w:hAnsi="Times New Roman"/>
                  <w:sz w:val="14"/>
                  <w:szCs w:val="14"/>
                  <w:color w:val="0000FF"/>
                  <w:w w:val="99"/>
                </w:rPr>
                <w:t>LifeVantage Sales Compensation Plan</w:t>
              </w:r>
            </w:hyperlink>
          </w:p>
        </w:tc>
        <w:tc>
          <w:tcPr>
            <w:tcW w:w="1280" w:type="dxa"/>
            <w:vAlign w:val="bottom"/>
            <w:gridSpan w:val="3"/>
          </w:tcPr>
          <w:p>
            <w:pPr>
              <w:spacing w:after="0"/>
              <w:rPr>
                <w:sz w:val="13"/>
                <w:szCs w:val="13"/>
                <w:color w:val="auto"/>
              </w:rPr>
            </w:pPr>
          </w:p>
        </w:tc>
        <w:tc>
          <w:tcPr>
            <w:tcW w:w="6720" w:type="dxa"/>
            <w:vAlign w:val="bottom"/>
          </w:tcPr>
          <w:p>
            <w:pPr>
              <w:ind w:left="1660"/>
              <w:spacing w:after="0"/>
              <w:rPr>
                <w:sz w:val="20"/>
                <w:szCs w:val="20"/>
                <w:color w:val="auto"/>
              </w:rPr>
            </w:pPr>
            <w:r>
              <w:rPr>
                <w:rFonts w:ascii="Times New Roman" w:cs="Times New Roman" w:eastAsia="Times New Roman" w:hAnsi="Times New Roman"/>
                <w:sz w:val="14"/>
                <w:szCs w:val="14"/>
                <w:color w:val="auto"/>
              </w:rPr>
              <w:t>Exhibit 10.1 to Form 10-K filed on August 23, 2022.</w:t>
            </w:r>
          </w:p>
        </w:tc>
      </w:tr>
      <w:tr>
        <w:trPr>
          <w:trHeight w:val="288"/>
        </w:trPr>
        <w:tc>
          <w:tcPr>
            <w:tcW w:w="1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10.2.1#</w:t>
            </w:r>
          </w:p>
        </w:tc>
        <w:tc>
          <w:tcPr>
            <w:tcW w:w="2420" w:type="dxa"/>
            <w:vAlign w:val="bottom"/>
            <w:tcBorders>
              <w:bottom w:val="single" w:sz="8" w:color="0000FF"/>
            </w:tcBorders>
            <w:gridSpan w:val="3"/>
          </w:tcPr>
          <w:p>
            <w:pPr>
              <w:spacing w:after="0"/>
              <w:rPr>
                <w:rFonts w:ascii="Times New Roman" w:cs="Times New Roman" w:eastAsia="Times New Roman" w:hAnsi="Times New Roman"/>
                <w:sz w:val="14"/>
                <w:szCs w:val="14"/>
                <w:color w:val="0000FF"/>
                <w:w w:val="99"/>
              </w:rPr>
            </w:pPr>
            <w:hyperlink r:id="rId77">
              <w:r>
                <w:rPr>
                  <w:rFonts w:ascii="Times New Roman" w:cs="Times New Roman" w:eastAsia="Times New Roman" w:hAnsi="Times New Roman"/>
                  <w:sz w:val="14"/>
                  <w:szCs w:val="14"/>
                  <w:color w:val="0000FF"/>
                  <w:w w:val="99"/>
                </w:rPr>
                <w:t>Evolve Compensation Plan (United States)</w:t>
              </w:r>
            </w:hyperlink>
          </w:p>
        </w:tc>
        <w:tc>
          <w:tcPr>
            <w:tcW w:w="1020" w:type="dxa"/>
            <w:vAlign w:val="bottom"/>
          </w:tcPr>
          <w:p>
            <w:pPr>
              <w:spacing w:after="0"/>
              <w:rPr>
                <w:sz w:val="24"/>
                <w:szCs w:val="24"/>
                <w:color w:val="auto"/>
              </w:rPr>
            </w:pPr>
          </w:p>
        </w:tc>
        <w:tc>
          <w:tcPr>
            <w:tcW w:w="6720" w:type="dxa"/>
            <w:vAlign w:val="bottom"/>
          </w:tcPr>
          <w:p>
            <w:pPr>
              <w:ind w:left="1660"/>
              <w:spacing w:after="0"/>
              <w:rPr>
                <w:sz w:val="20"/>
                <w:szCs w:val="20"/>
                <w:color w:val="auto"/>
              </w:rPr>
            </w:pPr>
            <w:r>
              <w:rPr>
                <w:rFonts w:ascii="Times New Roman" w:cs="Times New Roman" w:eastAsia="Times New Roman" w:hAnsi="Times New Roman"/>
                <w:sz w:val="14"/>
                <w:szCs w:val="14"/>
                <w:color w:val="auto"/>
              </w:rPr>
              <w:t>Exhibit 10.1.1 to Form 10-K filed on August 28, 2023.</w:t>
            </w:r>
          </w:p>
        </w:tc>
      </w:tr>
      <w:tr>
        <w:trPr>
          <w:trHeight w:val="288"/>
        </w:trPr>
        <w:tc>
          <w:tcPr>
            <w:tcW w:w="1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10.2.2#</w:t>
            </w:r>
          </w:p>
        </w:tc>
        <w:tc>
          <w:tcPr>
            <w:tcW w:w="2180" w:type="dxa"/>
            <w:vAlign w:val="bottom"/>
            <w:tcBorders>
              <w:bottom w:val="single" w:sz="8" w:color="0000FF"/>
            </w:tcBorders>
            <w:gridSpan w:val="2"/>
          </w:tcPr>
          <w:p>
            <w:pPr>
              <w:spacing w:after="0"/>
              <w:rPr>
                <w:rFonts w:ascii="Times New Roman" w:cs="Times New Roman" w:eastAsia="Times New Roman" w:hAnsi="Times New Roman"/>
                <w:sz w:val="14"/>
                <w:szCs w:val="14"/>
                <w:color w:val="0000FF"/>
                <w:w w:val="99"/>
              </w:rPr>
            </w:pPr>
            <w:hyperlink r:id="rId78">
              <w:r>
                <w:rPr>
                  <w:rFonts w:ascii="Times New Roman" w:cs="Times New Roman" w:eastAsia="Times New Roman" w:hAnsi="Times New Roman"/>
                  <w:sz w:val="14"/>
                  <w:szCs w:val="14"/>
                  <w:color w:val="0000FF"/>
                  <w:w w:val="99"/>
                </w:rPr>
                <w:t>Evolve Compensation Plan (Australia)</w:t>
              </w:r>
            </w:hyperlink>
          </w:p>
        </w:tc>
        <w:tc>
          <w:tcPr>
            <w:tcW w:w="1260" w:type="dxa"/>
            <w:vAlign w:val="bottom"/>
            <w:gridSpan w:val="2"/>
          </w:tcPr>
          <w:p>
            <w:pPr>
              <w:spacing w:after="0"/>
              <w:rPr>
                <w:sz w:val="24"/>
                <w:szCs w:val="24"/>
                <w:color w:val="auto"/>
              </w:rPr>
            </w:pPr>
          </w:p>
        </w:tc>
        <w:tc>
          <w:tcPr>
            <w:tcW w:w="6720" w:type="dxa"/>
            <w:vAlign w:val="bottom"/>
          </w:tcPr>
          <w:p>
            <w:pPr>
              <w:ind w:left="1660"/>
              <w:spacing w:after="0"/>
              <w:rPr>
                <w:sz w:val="20"/>
                <w:szCs w:val="20"/>
                <w:color w:val="auto"/>
              </w:rPr>
            </w:pPr>
            <w:r>
              <w:rPr>
                <w:rFonts w:ascii="Times New Roman" w:cs="Times New Roman" w:eastAsia="Times New Roman" w:hAnsi="Times New Roman"/>
                <w:sz w:val="14"/>
                <w:szCs w:val="14"/>
                <w:color w:val="auto"/>
              </w:rPr>
              <w:t>Exhibit 10.1.2 to Form 10-K filed on August 28, 2023.</w:t>
            </w:r>
          </w:p>
        </w:tc>
      </w:tr>
      <w:tr>
        <w:trPr>
          <w:trHeight w:val="288"/>
        </w:trPr>
        <w:tc>
          <w:tcPr>
            <w:tcW w:w="1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10.2.3#</w:t>
            </w:r>
          </w:p>
        </w:tc>
        <w:tc>
          <w:tcPr>
            <w:tcW w:w="3440" w:type="dxa"/>
            <w:vAlign w:val="bottom"/>
            <w:gridSpan w:val="4"/>
          </w:tcPr>
          <w:p>
            <w:pPr>
              <w:spacing w:after="0"/>
              <w:rPr>
                <w:rFonts w:ascii="Times New Roman" w:cs="Times New Roman" w:eastAsia="Times New Roman" w:hAnsi="Times New Roman"/>
                <w:sz w:val="14"/>
                <w:szCs w:val="14"/>
                <w:color w:val="0000FF"/>
              </w:rPr>
            </w:pPr>
            <w:hyperlink r:id="rId79">
              <w:r>
                <w:rPr>
                  <w:rFonts w:ascii="Times New Roman" w:cs="Times New Roman" w:eastAsia="Times New Roman" w:hAnsi="Times New Roman"/>
                  <w:sz w:val="14"/>
                  <w:szCs w:val="14"/>
                  <w:color w:val="0000FF"/>
                </w:rPr>
                <w:t>Evolve Compensation Plan (New Zealand)</w:t>
              </w:r>
            </w:hyperlink>
          </w:p>
        </w:tc>
        <w:tc>
          <w:tcPr>
            <w:tcW w:w="6720" w:type="dxa"/>
            <w:vAlign w:val="bottom"/>
          </w:tcPr>
          <w:p>
            <w:pPr>
              <w:ind w:left="1660"/>
              <w:spacing w:after="0"/>
              <w:rPr>
                <w:sz w:val="20"/>
                <w:szCs w:val="20"/>
                <w:color w:val="auto"/>
              </w:rPr>
            </w:pPr>
            <w:r>
              <w:rPr>
                <w:rFonts w:ascii="Times New Roman" w:cs="Times New Roman" w:eastAsia="Times New Roman" w:hAnsi="Times New Roman"/>
                <w:sz w:val="14"/>
                <w:szCs w:val="14"/>
                <w:color w:val="auto"/>
              </w:rPr>
              <w:t>Exhibit 10.1.3 to Form 10-K filed on August 28, 2023.</w:t>
            </w:r>
          </w:p>
        </w:tc>
      </w:tr>
      <w:tr>
        <w:trPr>
          <w:trHeight w:val="924"/>
        </w:trPr>
        <w:tc>
          <w:tcPr>
            <w:tcW w:w="1120" w:type="dxa"/>
            <w:vAlign w:val="bottom"/>
          </w:tcPr>
          <w:p>
            <w:pPr>
              <w:spacing w:after="0"/>
              <w:rPr>
                <w:sz w:val="24"/>
                <w:szCs w:val="24"/>
                <w:color w:val="auto"/>
              </w:rPr>
            </w:pPr>
          </w:p>
        </w:tc>
        <w:tc>
          <w:tcPr>
            <w:tcW w:w="216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1020" w:type="dxa"/>
            <w:vAlign w:val="bottom"/>
          </w:tcPr>
          <w:p>
            <w:pPr>
              <w:spacing w:after="0"/>
              <w:rPr>
                <w:sz w:val="24"/>
                <w:szCs w:val="24"/>
                <w:color w:val="auto"/>
              </w:rPr>
            </w:pPr>
          </w:p>
        </w:tc>
        <w:tc>
          <w:tcPr>
            <w:tcW w:w="6720" w:type="dxa"/>
            <w:vAlign w:val="bottom"/>
          </w:tcPr>
          <w:p>
            <w:pPr>
              <w:ind w:left="1020"/>
              <w:spacing w:after="0"/>
              <w:rPr>
                <w:sz w:val="20"/>
                <w:szCs w:val="20"/>
                <w:color w:val="auto"/>
              </w:rPr>
            </w:pPr>
            <w:r>
              <w:rPr>
                <w:rFonts w:ascii="Times New Roman" w:cs="Times New Roman" w:eastAsia="Times New Roman" w:hAnsi="Times New Roman"/>
                <w:sz w:val="14"/>
                <w:szCs w:val="14"/>
                <w:color w:val="auto"/>
              </w:rPr>
              <w:t>56</w:t>
            </w:r>
          </w:p>
        </w:tc>
      </w:tr>
      <w:tr>
        <w:trPr>
          <w:trHeight w:val="87"/>
        </w:trPr>
        <w:tc>
          <w:tcPr>
            <w:tcW w:w="1120" w:type="dxa"/>
            <w:vAlign w:val="bottom"/>
            <w:tcBorders>
              <w:bottom w:val="single" w:sz="8" w:color="9A9A9A"/>
            </w:tcBorders>
          </w:tcPr>
          <w:p>
            <w:pPr>
              <w:spacing w:after="0"/>
              <w:rPr>
                <w:sz w:val="7"/>
                <w:szCs w:val="7"/>
                <w:color w:val="auto"/>
              </w:rPr>
            </w:pPr>
          </w:p>
        </w:tc>
        <w:tc>
          <w:tcPr>
            <w:tcW w:w="216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1020" w:type="dxa"/>
            <w:vAlign w:val="bottom"/>
            <w:tcBorders>
              <w:bottom w:val="single" w:sz="8" w:color="9A9A9A"/>
            </w:tcBorders>
          </w:tcPr>
          <w:p>
            <w:pPr>
              <w:spacing w:after="0"/>
              <w:rPr>
                <w:sz w:val="7"/>
                <w:szCs w:val="7"/>
                <w:color w:val="auto"/>
              </w:rPr>
            </w:pPr>
          </w:p>
        </w:tc>
        <w:tc>
          <w:tcPr>
            <w:tcW w:w="672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80">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81">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844" w:right="319" w:bottom="1440" w:gutter="0" w:footer="0" w:header="0"/>
          <w:type w:val="continuous"/>
        </w:sectPr>
      </w:pPr>
    </w:p>
    <w:bookmarkStart w:id="56" w:name="page57"/>
    <w:bookmarkEnd w:id="56"/>
    <w:tbl>
      <w:tblPr>
        <w:tblLayout w:type="fixed"/>
        <w:tblInd w:w="0" w:type="dxa"/>
        <w:tblCellMar>
          <w:top w:w="0" w:type="dxa"/>
          <w:left w:w="0" w:type="dxa"/>
          <w:bottom w:w="0" w:type="dxa"/>
          <w:right w:w="0" w:type="dxa"/>
        </w:tblCellMar>
      </w:tblPr>
      <w:tr>
        <w:trPr>
          <w:trHeight w:val="126"/>
        </w:trPr>
        <w:tc>
          <w:tcPr>
            <w:tcW w:w="1100" w:type="dxa"/>
            <w:vAlign w:val="bottom"/>
            <w:gridSpan w:val="2"/>
          </w:tcPr>
          <w:p>
            <w:pPr>
              <w:ind w:left="320"/>
              <w:spacing w:after="0"/>
              <w:rPr>
                <w:sz w:val="20"/>
                <w:szCs w:val="20"/>
                <w:color w:val="auto"/>
              </w:rPr>
            </w:pPr>
            <w:r>
              <w:rPr>
                <w:rFonts w:ascii="Times New Roman" w:cs="Times New Roman" w:eastAsia="Times New Roman" w:hAnsi="Times New Roman"/>
                <w:sz w:val="11"/>
                <w:szCs w:val="11"/>
                <w:b w:val="1"/>
                <w:bCs w:val="1"/>
                <w:color w:val="auto"/>
              </w:rPr>
              <w:t>Exhibit</w:t>
            </w: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140" w:type="dxa"/>
            <w:vAlign w:val="bottom"/>
            <w:gridSpan w:val="25"/>
            <w:vMerge w:val="restart"/>
          </w:tcPr>
          <w:p>
            <w:pPr>
              <w:ind w:left="80"/>
              <w:spacing w:after="0"/>
              <w:rPr>
                <w:sz w:val="20"/>
                <w:szCs w:val="20"/>
                <w:color w:val="auto"/>
              </w:rPr>
            </w:pPr>
            <w:r>
              <w:rPr>
                <w:rFonts w:ascii="Times New Roman" w:cs="Times New Roman" w:eastAsia="Times New Roman" w:hAnsi="Times New Roman"/>
                <w:sz w:val="11"/>
                <w:szCs w:val="11"/>
                <w:b w:val="1"/>
                <w:bCs w:val="1"/>
                <w:color w:val="auto"/>
              </w:rPr>
              <w:t>Document Description</w:t>
            </w:r>
          </w:p>
        </w:tc>
        <w:tc>
          <w:tcPr>
            <w:tcW w:w="0" w:type="dxa"/>
            <w:vAlign w:val="bottom"/>
          </w:tcPr>
          <w:p>
            <w:pPr>
              <w:spacing w:after="0"/>
              <w:rPr>
                <w:sz w:val="1"/>
                <w:szCs w:val="1"/>
                <w:color w:val="auto"/>
              </w:rPr>
            </w:pPr>
          </w:p>
        </w:tc>
      </w:tr>
      <w:tr>
        <w:trPr>
          <w:trHeight w:val="153"/>
        </w:trPr>
        <w:tc>
          <w:tcPr>
            <w:tcW w:w="1100" w:type="dxa"/>
            <w:vAlign w:val="bottom"/>
            <w:gridSpan w:val="2"/>
          </w:tcPr>
          <w:p>
            <w:pPr>
              <w:ind w:left="420"/>
              <w:spacing w:after="0"/>
              <w:rPr>
                <w:sz w:val="20"/>
                <w:szCs w:val="20"/>
                <w:color w:val="auto"/>
              </w:rPr>
            </w:pPr>
            <w:r>
              <w:rPr>
                <w:rFonts w:ascii="Times New Roman" w:cs="Times New Roman" w:eastAsia="Times New Roman" w:hAnsi="Times New Roman"/>
                <w:sz w:val="11"/>
                <w:szCs w:val="11"/>
                <w:b w:val="1"/>
                <w:bCs w:val="1"/>
                <w:color w:val="auto"/>
              </w:rPr>
              <w:t>No.</w:t>
            </w: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140" w:type="dxa"/>
            <w:vAlign w:val="bottom"/>
            <w:gridSpan w:val="25"/>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1000" w:type="dxa"/>
            <w:vAlign w:val="bottom"/>
            <w:tcBorders>
              <w:top w:val="single" w:sz="8" w:color="auto"/>
            </w:tcBorders>
          </w:tcPr>
          <w:p>
            <w:pPr>
              <w:ind w:left="20"/>
              <w:spacing w:after="0" w:line="143" w:lineRule="exact"/>
              <w:rPr>
                <w:sz w:val="20"/>
                <w:szCs w:val="20"/>
                <w:color w:val="auto"/>
              </w:rPr>
            </w:pPr>
            <w:r>
              <w:rPr>
                <w:rFonts w:ascii="Times New Roman" w:cs="Times New Roman" w:eastAsia="Times New Roman" w:hAnsi="Times New Roman"/>
                <w:sz w:val="14"/>
                <w:szCs w:val="14"/>
                <w:color w:val="auto"/>
              </w:rPr>
              <w:t>10.2.4#</w:t>
            </w:r>
          </w:p>
        </w:tc>
        <w:tc>
          <w:tcPr>
            <w:tcW w:w="100" w:type="dxa"/>
            <w:vAlign w:val="bottom"/>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3260" w:type="dxa"/>
            <w:vAlign w:val="bottom"/>
            <w:tcBorders>
              <w:top w:val="single" w:sz="8" w:color="auto"/>
              <w:bottom w:val="single" w:sz="8" w:color="0000FF"/>
            </w:tcBorders>
            <w:gridSpan w:val="13"/>
          </w:tcPr>
          <w:p>
            <w:pPr>
              <w:spacing w:after="0" w:line="143" w:lineRule="exact"/>
              <w:rPr>
                <w:rFonts w:ascii="Times New Roman" w:cs="Times New Roman" w:eastAsia="Times New Roman" w:hAnsi="Times New Roman"/>
                <w:sz w:val="14"/>
                <w:szCs w:val="14"/>
                <w:color w:val="0000FF"/>
              </w:rPr>
            </w:pPr>
            <w:hyperlink r:id="rId82">
              <w:r>
                <w:rPr>
                  <w:rFonts w:ascii="Times New Roman" w:cs="Times New Roman" w:eastAsia="Times New Roman" w:hAnsi="Times New Roman"/>
                  <w:sz w:val="14"/>
                  <w:szCs w:val="14"/>
                  <w:color w:val="0000FF"/>
                </w:rPr>
                <w:t>Evolve Compensation Plan (Japan) in US/English Format</w:t>
              </w:r>
            </w:hyperlink>
          </w:p>
        </w:tc>
        <w:tc>
          <w:tcPr>
            <w:tcW w:w="1740" w:type="dxa"/>
            <w:vAlign w:val="bottom"/>
            <w:tcBorders>
              <w:top w:val="single" w:sz="8" w:color="auto"/>
            </w:tcBorders>
            <w:gridSpan w:val="18"/>
          </w:tcPr>
          <w:p>
            <w:pPr>
              <w:spacing w:after="0"/>
              <w:rPr>
                <w:sz w:val="12"/>
                <w:szCs w:val="12"/>
                <w:color w:val="auto"/>
              </w:rPr>
            </w:pPr>
          </w:p>
        </w:tc>
        <w:tc>
          <w:tcPr>
            <w:tcW w:w="0" w:type="dxa"/>
            <w:vAlign w:val="bottom"/>
          </w:tcPr>
          <w:p>
            <w:pPr>
              <w:spacing w:after="0"/>
              <w:rPr>
                <w:sz w:val="1"/>
                <w:szCs w:val="1"/>
                <w:color w:val="auto"/>
              </w:rPr>
            </w:pPr>
          </w:p>
        </w:tc>
      </w:tr>
      <w:tr>
        <w:trPr>
          <w:trHeight w:val="288"/>
        </w:trPr>
        <w:tc>
          <w:tcPr>
            <w:tcW w:w="1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10.2.5#</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0" w:type="dxa"/>
            <w:vAlign w:val="bottom"/>
            <w:gridSpan w:val="31"/>
          </w:tcPr>
          <w:p>
            <w:pPr>
              <w:spacing w:after="0"/>
              <w:rPr>
                <w:rFonts w:ascii="Times New Roman" w:cs="Times New Roman" w:eastAsia="Times New Roman" w:hAnsi="Times New Roman"/>
                <w:sz w:val="14"/>
                <w:szCs w:val="14"/>
                <w:color w:val="0000FF"/>
              </w:rPr>
            </w:pPr>
            <w:hyperlink r:id="rId83">
              <w:r>
                <w:rPr>
                  <w:rFonts w:ascii="Times New Roman" w:cs="Times New Roman" w:eastAsia="Times New Roman" w:hAnsi="Times New Roman"/>
                  <w:sz w:val="14"/>
                  <w:szCs w:val="14"/>
                  <w:color w:val="0000FF"/>
                </w:rPr>
                <w:t>Evolve Compensation Plan (Canada)</w:t>
              </w:r>
            </w:hyperlink>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6"/>
        </w:trPr>
        <w:tc>
          <w:tcPr>
            <w:tcW w:w="1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10.2.6#</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100" w:type="dxa"/>
            <w:vAlign w:val="bottom"/>
            <w:tcBorders>
              <w:bottom w:val="single" w:sz="8" w:color="0000FF"/>
            </w:tcBorders>
            <w:gridSpan w:val="9"/>
          </w:tcPr>
          <w:p>
            <w:pPr>
              <w:spacing w:after="0"/>
              <w:rPr>
                <w:rFonts w:ascii="Times New Roman" w:cs="Times New Roman" w:eastAsia="Times New Roman" w:hAnsi="Times New Roman"/>
                <w:sz w:val="14"/>
                <w:szCs w:val="14"/>
                <w:color w:val="0000FF"/>
                <w:w w:val="99"/>
              </w:rPr>
            </w:pPr>
            <w:hyperlink r:id="rId84">
              <w:r>
                <w:rPr>
                  <w:rFonts w:ascii="Times New Roman" w:cs="Times New Roman" w:eastAsia="Times New Roman" w:hAnsi="Times New Roman"/>
                  <w:sz w:val="14"/>
                  <w:szCs w:val="14"/>
                  <w:color w:val="0000FF"/>
                  <w:w w:val="99"/>
                </w:rPr>
                <w:t>Evolve Compensation Plan (Mexico)</w:t>
              </w:r>
            </w:hyperlink>
          </w:p>
        </w:tc>
        <w:tc>
          <w:tcPr>
            <w:tcW w:w="2900" w:type="dxa"/>
            <w:vAlign w:val="bottom"/>
            <w:gridSpan w:val="22"/>
          </w:tcPr>
          <w:p>
            <w:pPr>
              <w:spacing w:after="0"/>
              <w:rPr>
                <w:sz w:val="24"/>
                <w:szCs w:val="24"/>
                <w:color w:val="auto"/>
              </w:rPr>
            </w:pPr>
          </w:p>
        </w:tc>
        <w:tc>
          <w:tcPr>
            <w:tcW w:w="0" w:type="dxa"/>
            <w:vAlign w:val="bottom"/>
          </w:tcPr>
          <w:p>
            <w:pPr>
              <w:spacing w:after="0"/>
              <w:rPr>
                <w:sz w:val="1"/>
                <w:szCs w:val="1"/>
                <w:color w:val="auto"/>
              </w:rPr>
            </w:pPr>
          </w:p>
        </w:tc>
      </w:tr>
      <w:tr>
        <w:trPr>
          <w:trHeight w:val="436"/>
        </w:trPr>
        <w:tc>
          <w:tcPr>
            <w:tcW w:w="1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10.2.7#</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0" w:type="dxa"/>
            <w:vAlign w:val="bottom"/>
            <w:gridSpan w:val="31"/>
          </w:tcPr>
          <w:p>
            <w:pPr>
              <w:spacing w:after="0"/>
              <w:rPr>
                <w:rFonts w:ascii="Times New Roman" w:cs="Times New Roman" w:eastAsia="Times New Roman" w:hAnsi="Times New Roman"/>
                <w:sz w:val="14"/>
                <w:szCs w:val="14"/>
                <w:color w:val="0000FF"/>
              </w:rPr>
            </w:pPr>
            <w:hyperlink r:id="rId85">
              <w:r>
                <w:rPr>
                  <w:rFonts w:ascii="Times New Roman" w:cs="Times New Roman" w:eastAsia="Times New Roman" w:hAnsi="Times New Roman"/>
                  <w:sz w:val="14"/>
                  <w:szCs w:val="14"/>
                  <w:color w:val="0000FF"/>
                </w:rPr>
                <w:t>Evolve Compensation Plan (UK)</w:t>
              </w:r>
            </w:hyperlink>
          </w:p>
        </w:tc>
        <w:tc>
          <w:tcPr>
            <w:tcW w:w="0" w:type="dxa"/>
            <w:vAlign w:val="bottom"/>
          </w:tcPr>
          <w:p>
            <w:pPr>
              <w:spacing w:after="0"/>
              <w:rPr>
                <w:sz w:val="1"/>
                <w:szCs w:val="1"/>
                <w:color w:val="auto"/>
              </w:rPr>
            </w:pPr>
          </w:p>
        </w:tc>
      </w:tr>
      <w:tr>
        <w:trPr>
          <w:trHeight w:val="436"/>
        </w:trPr>
        <w:tc>
          <w:tcPr>
            <w:tcW w:w="1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10.2.8#</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60" w:type="dxa"/>
            <w:vAlign w:val="bottom"/>
            <w:tcBorders>
              <w:top w:val="single" w:sz="8" w:color="0000FF"/>
            </w:tcBorders>
            <w:gridSpan w:val="6"/>
          </w:tcPr>
          <w:p>
            <w:pPr>
              <w:spacing w:after="0"/>
              <w:rPr>
                <w:rFonts w:ascii="Times New Roman" w:cs="Times New Roman" w:eastAsia="Times New Roman" w:hAnsi="Times New Roman"/>
                <w:sz w:val="14"/>
                <w:szCs w:val="14"/>
                <w:color w:val="0000FF"/>
              </w:rPr>
            </w:pPr>
            <w:hyperlink r:id="rId86">
              <w:r>
                <w:rPr>
                  <w:rFonts w:ascii="Times New Roman" w:cs="Times New Roman" w:eastAsia="Times New Roman" w:hAnsi="Times New Roman"/>
                  <w:sz w:val="14"/>
                  <w:szCs w:val="14"/>
                  <w:color w:val="0000FF"/>
                </w:rPr>
                <w:t>Evolve Compensation Plan (EU)</w:t>
              </w:r>
            </w:hyperlink>
          </w:p>
        </w:tc>
        <w:tc>
          <w:tcPr>
            <w:tcW w:w="3140" w:type="dxa"/>
            <w:vAlign w:val="bottom"/>
            <w:gridSpan w:val="25"/>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6"/>
        </w:trPr>
        <w:tc>
          <w:tcPr>
            <w:tcW w:w="1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10.3#</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0" w:type="dxa"/>
            <w:vAlign w:val="bottom"/>
            <w:tcBorders>
              <w:bottom w:val="single" w:sz="8" w:color="0000FF"/>
            </w:tcBorders>
            <w:gridSpan w:val="20"/>
          </w:tcPr>
          <w:p>
            <w:pPr>
              <w:spacing w:after="0"/>
              <w:rPr>
                <w:sz w:val="20"/>
                <w:szCs w:val="20"/>
                <w:color w:val="auto"/>
              </w:rPr>
            </w:pPr>
            <w:r>
              <w:rPr>
                <w:rFonts w:ascii="Times New Roman" w:cs="Times New Roman" w:eastAsia="Times New Roman" w:hAnsi="Times New Roman"/>
                <w:sz w:val="14"/>
                <w:szCs w:val="14"/>
                <w:color w:val="0000FF"/>
                <w:w w:val="99"/>
              </w:rPr>
              <w:t>Amended and Restated LifeVantage Corporation 2017 Long-Term Incentive Plan</w:t>
            </w:r>
          </w:p>
        </w:tc>
        <w:tc>
          <w:tcPr>
            <w:tcW w:w="400" w:type="dxa"/>
            <w:vAlign w:val="bottom"/>
            <w:gridSpan w:val="11"/>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1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10.4#</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700" w:type="dxa"/>
            <w:vAlign w:val="bottom"/>
            <w:tcBorders>
              <w:bottom w:val="single" w:sz="8" w:color="0000FF"/>
            </w:tcBorders>
            <w:gridSpan w:val="22"/>
          </w:tcPr>
          <w:p>
            <w:pPr>
              <w:spacing w:after="0"/>
              <w:rPr>
                <w:rFonts w:ascii="Times New Roman" w:cs="Times New Roman" w:eastAsia="Times New Roman" w:hAnsi="Times New Roman"/>
                <w:sz w:val="14"/>
                <w:szCs w:val="14"/>
                <w:color w:val="0000FF"/>
              </w:rPr>
            </w:pPr>
            <w:hyperlink r:id="rId87">
              <w:r>
                <w:rPr>
                  <w:rFonts w:ascii="Times New Roman" w:cs="Times New Roman" w:eastAsia="Times New Roman" w:hAnsi="Times New Roman"/>
                  <w:sz w:val="14"/>
                  <w:szCs w:val="14"/>
                  <w:color w:val="0000FF"/>
                </w:rPr>
                <w:t>Form of Restricted Stock Grant Agreement for the 2017 Long-Term Incentive Plan</w:t>
              </w:r>
            </w:hyperlink>
          </w:p>
        </w:tc>
        <w:tc>
          <w:tcPr>
            <w:tcW w:w="300" w:type="dxa"/>
            <w:vAlign w:val="bottom"/>
            <w:gridSpan w:val="9"/>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1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10.5#</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20" w:type="dxa"/>
            <w:vAlign w:val="bottom"/>
            <w:tcBorders>
              <w:bottom w:val="single" w:sz="8" w:color="0000FF"/>
            </w:tcBorders>
            <w:gridSpan w:val="18"/>
          </w:tcPr>
          <w:p>
            <w:pPr>
              <w:spacing w:after="0"/>
              <w:rPr>
                <w:rFonts w:ascii="Times New Roman" w:cs="Times New Roman" w:eastAsia="Times New Roman" w:hAnsi="Times New Roman"/>
                <w:sz w:val="14"/>
                <w:szCs w:val="14"/>
                <w:color w:val="0000FF"/>
              </w:rPr>
            </w:pPr>
            <w:hyperlink r:id="rId88">
              <w:r>
                <w:rPr>
                  <w:rFonts w:ascii="Times New Roman" w:cs="Times New Roman" w:eastAsia="Times New Roman" w:hAnsi="Times New Roman"/>
                  <w:sz w:val="14"/>
                  <w:szCs w:val="14"/>
                  <w:color w:val="0000FF"/>
                </w:rPr>
                <w:t>Form of Stock Unit Agreement for the 2017 Long-Term Incentive Plan</w:t>
              </w:r>
            </w:hyperlink>
          </w:p>
        </w:tc>
        <w:tc>
          <w:tcPr>
            <w:tcW w:w="980" w:type="dxa"/>
            <w:vAlign w:val="bottom"/>
            <w:gridSpan w:val="13"/>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1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10.6#</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560" w:type="dxa"/>
            <w:vAlign w:val="bottom"/>
            <w:tcBorders>
              <w:bottom w:val="single" w:sz="8" w:color="0000FF"/>
            </w:tcBorders>
            <w:gridSpan w:val="16"/>
          </w:tcPr>
          <w:p>
            <w:pPr>
              <w:spacing w:after="0"/>
              <w:rPr>
                <w:rFonts w:ascii="Times New Roman" w:cs="Times New Roman" w:eastAsia="Times New Roman" w:hAnsi="Times New Roman"/>
                <w:sz w:val="14"/>
                <w:szCs w:val="14"/>
                <w:color w:val="0000FF"/>
              </w:rPr>
            </w:pPr>
            <w:hyperlink r:id="rId89">
              <w:r>
                <w:rPr>
                  <w:rFonts w:ascii="Times New Roman" w:cs="Times New Roman" w:eastAsia="Times New Roman" w:hAnsi="Times New Roman"/>
                  <w:sz w:val="14"/>
                  <w:szCs w:val="14"/>
                  <w:color w:val="0000FF"/>
                </w:rPr>
                <w:t>LifeVantage Corporation 2019 Employee Stock Purchase Plan</w:t>
              </w:r>
            </w:hyperlink>
          </w:p>
        </w:tc>
        <w:tc>
          <w:tcPr>
            <w:tcW w:w="1440" w:type="dxa"/>
            <w:vAlign w:val="bottom"/>
            <w:gridSpan w:val="15"/>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1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10.7</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80" w:type="dxa"/>
            <w:vAlign w:val="bottom"/>
            <w:tcBorders>
              <w:bottom w:val="single" w:sz="8" w:color="0000FF"/>
            </w:tcBorders>
            <w:gridSpan w:val="8"/>
          </w:tcPr>
          <w:p>
            <w:pPr>
              <w:spacing w:after="0"/>
              <w:rPr>
                <w:rFonts w:ascii="Times New Roman" w:cs="Times New Roman" w:eastAsia="Times New Roman" w:hAnsi="Times New Roman"/>
                <w:sz w:val="14"/>
                <w:szCs w:val="14"/>
                <w:color w:val="0000FF"/>
                <w:w w:val="99"/>
              </w:rPr>
            </w:pPr>
            <w:hyperlink r:id="rId90">
              <w:r>
                <w:rPr>
                  <w:rFonts w:ascii="Times New Roman" w:cs="Times New Roman" w:eastAsia="Times New Roman" w:hAnsi="Times New Roman"/>
                  <w:sz w:val="14"/>
                  <w:szCs w:val="14"/>
                  <w:color w:val="0000FF"/>
                  <w:w w:val="99"/>
                </w:rPr>
                <w:t>Form of Indemnification Agreement</w:t>
              </w:r>
            </w:hyperlink>
          </w:p>
        </w:tc>
        <w:tc>
          <w:tcPr>
            <w:tcW w:w="2920" w:type="dxa"/>
            <w:vAlign w:val="bottom"/>
            <w:gridSpan w:val="23"/>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1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10.8#</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0" w:type="dxa"/>
            <w:vAlign w:val="bottom"/>
            <w:gridSpan w:val="31"/>
          </w:tcPr>
          <w:p>
            <w:pPr>
              <w:spacing w:after="0"/>
              <w:rPr>
                <w:rFonts w:ascii="Times New Roman" w:cs="Times New Roman" w:eastAsia="Times New Roman" w:hAnsi="Times New Roman"/>
                <w:sz w:val="14"/>
                <w:szCs w:val="14"/>
                <w:color w:val="0000FF"/>
              </w:rPr>
            </w:pPr>
            <w:hyperlink r:id="rId91">
              <w:r>
                <w:rPr>
                  <w:rFonts w:ascii="Times New Roman" w:cs="Times New Roman" w:eastAsia="Times New Roman" w:hAnsi="Times New Roman"/>
                  <w:sz w:val="14"/>
                  <w:szCs w:val="14"/>
                  <w:color w:val="0000FF"/>
                </w:rPr>
                <w:t>CEO Offer Letter, dated January 31, 2021, by and between the Company and Steven R.</w:t>
              </w:r>
            </w:hyperlink>
          </w:p>
        </w:tc>
        <w:tc>
          <w:tcPr>
            <w:tcW w:w="0" w:type="dxa"/>
            <w:vAlign w:val="bottom"/>
          </w:tcPr>
          <w:p>
            <w:pPr>
              <w:spacing w:after="0"/>
              <w:rPr>
                <w:sz w:val="1"/>
                <w:szCs w:val="1"/>
                <w:color w:val="auto"/>
              </w:rPr>
            </w:pPr>
          </w:p>
        </w:tc>
      </w:tr>
      <w:tr>
        <w:trPr>
          <w:trHeight w:val="129"/>
        </w:trPr>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Borders>
              <w:top w:val="single" w:sz="8" w:color="0000FF"/>
              <w:bottom w:val="single" w:sz="8" w:color="0000FF"/>
            </w:tcBorders>
          </w:tcPr>
          <w:p>
            <w:pPr>
              <w:spacing w:after="0" w:line="129" w:lineRule="exact"/>
              <w:rPr>
                <w:rFonts w:ascii="Times New Roman" w:cs="Times New Roman" w:eastAsia="Times New Roman" w:hAnsi="Times New Roman"/>
                <w:sz w:val="14"/>
                <w:szCs w:val="14"/>
                <w:color w:val="0000FF"/>
                <w:w w:val="88"/>
              </w:rPr>
            </w:pPr>
            <w:hyperlink r:id="rId91">
              <w:r>
                <w:rPr>
                  <w:rFonts w:ascii="Times New Roman" w:cs="Times New Roman" w:eastAsia="Times New Roman" w:hAnsi="Times New Roman"/>
                  <w:sz w:val="14"/>
                  <w:szCs w:val="14"/>
                  <w:color w:val="0000FF"/>
                  <w:w w:val="88"/>
                </w:rPr>
                <w:t>Fife</w:t>
              </w:r>
            </w:hyperlink>
          </w:p>
        </w:tc>
        <w:tc>
          <w:tcPr>
            <w:tcW w:w="4740" w:type="dxa"/>
            <w:vAlign w:val="bottom"/>
            <w:tcBorders>
              <w:top w:val="single" w:sz="8" w:color="0000FF"/>
            </w:tcBorders>
            <w:gridSpan w:val="28"/>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88"/>
        </w:trPr>
        <w:tc>
          <w:tcPr>
            <w:tcW w:w="1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10.9#</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500" w:type="dxa"/>
            <w:vAlign w:val="bottom"/>
            <w:tcBorders>
              <w:bottom w:val="single" w:sz="8" w:color="0000FF"/>
            </w:tcBorders>
            <w:gridSpan w:val="11"/>
          </w:tcPr>
          <w:p>
            <w:pPr>
              <w:spacing w:after="0"/>
              <w:rPr>
                <w:sz w:val="20"/>
                <w:szCs w:val="20"/>
                <w:color w:val="auto"/>
              </w:rPr>
            </w:pPr>
            <w:r>
              <w:rPr>
                <w:rFonts w:ascii="Times New Roman" w:cs="Times New Roman" w:eastAsia="Times New Roman" w:hAnsi="Times New Roman"/>
                <w:sz w:val="14"/>
                <w:szCs w:val="14"/>
                <w:color w:val="0000FF"/>
              </w:rPr>
              <w:t>Form of Key Executive Benefits Agreement</w:t>
            </w:r>
          </w:p>
        </w:tc>
        <w:tc>
          <w:tcPr>
            <w:tcW w:w="2500" w:type="dxa"/>
            <w:vAlign w:val="bottom"/>
            <w:gridSpan w:val="20"/>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1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10.10</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0" w:type="dxa"/>
            <w:vAlign w:val="bottom"/>
            <w:gridSpan w:val="31"/>
          </w:tcPr>
          <w:p>
            <w:pPr>
              <w:spacing w:after="0"/>
              <w:rPr>
                <w:rFonts w:ascii="Times New Roman" w:cs="Times New Roman" w:eastAsia="Times New Roman" w:hAnsi="Times New Roman"/>
                <w:sz w:val="14"/>
                <w:szCs w:val="14"/>
                <w:color w:val="0000FF"/>
              </w:rPr>
            </w:pPr>
            <w:hyperlink r:id="rId92">
              <w:r>
                <w:rPr>
                  <w:rFonts w:ascii="Times New Roman" w:cs="Times New Roman" w:eastAsia="Times New Roman" w:hAnsi="Times New Roman"/>
                  <w:sz w:val="14"/>
                  <w:szCs w:val="14"/>
                  <w:color w:val="0000FF"/>
                </w:rPr>
                <w:t>Loan Agreement, dated April 12, 2024, by and between the Company and Bank of</w:t>
              </w:r>
            </w:hyperlink>
          </w:p>
        </w:tc>
        <w:tc>
          <w:tcPr>
            <w:tcW w:w="0" w:type="dxa"/>
            <w:vAlign w:val="bottom"/>
          </w:tcPr>
          <w:p>
            <w:pPr>
              <w:spacing w:after="0"/>
              <w:rPr>
                <w:sz w:val="1"/>
                <w:szCs w:val="1"/>
                <w:color w:val="auto"/>
              </w:rPr>
            </w:pPr>
          </w:p>
        </w:tc>
      </w:tr>
      <w:tr>
        <w:trPr>
          <w:trHeight w:val="129"/>
        </w:trPr>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60" w:type="dxa"/>
            <w:vAlign w:val="bottom"/>
            <w:tcBorders>
              <w:top w:val="single" w:sz="8" w:color="0000FF"/>
            </w:tcBorders>
            <w:gridSpan w:val="21"/>
          </w:tcPr>
          <w:p>
            <w:pPr>
              <w:spacing w:after="0" w:line="129" w:lineRule="exact"/>
              <w:rPr>
                <w:rFonts w:ascii="Times New Roman" w:cs="Times New Roman" w:eastAsia="Times New Roman" w:hAnsi="Times New Roman"/>
                <w:sz w:val="14"/>
                <w:szCs w:val="14"/>
                <w:color w:val="0000FF"/>
              </w:rPr>
            </w:pPr>
            <w:hyperlink r:id="rId92">
              <w:r>
                <w:rPr>
                  <w:rFonts w:ascii="Times New Roman" w:cs="Times New Roman" w:eastAsia="Times New Roman" w:hAnsi="Times New Roman"/>
                  <w:sz w:val="14"/>
                  <w:szCs w:val="14"/>
                  <w:color w:val="0000FF"/>
                </w:rPr>
                <w:t>America, N.A.</w:t>
              </w:r>
            </w:hyperlink>
          </w:p>
        </w:tc>
        <w:tc>
          <w:tcPr>
            <w:tcW w:w="60" w:type="dxa"/>
            <w:vAlign w:val="bottom"/>
            <w:gridSpan w:val="2"/>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8"/>
        </w:trPr>
        <w:tc>
          <w:tcPr>
            <w:tcW w:w="1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10.11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0" w:type="dxa"/>
            <w:vAlign w:val="bottom"/>
            <w:gridSpan w:val="31"/>
          </w:tcPr>
          <w:p>
            <w:pPr>
              <w:spacing w:after="0"/>
              <w:rPr>
                <w:rFonts w:ascii="Times New Roman" w:cs="Times New Roman" w:eastAsia="Times New Roman" w:hAnsi="Times New Roman"/>
                <w:sz w:val="14"/>
                <w:szCs w:val="14"/>
                <w:color w:val="0000FF"/>
              </w:rPr>
            </w:pPr>
            <w:hyperlink r:id="rId93">
              <w:r>
                <w:rPr>
                  <w:rFonts w:ascii="Times New Roman" w:cs="Times New Roman" w:eastAsia="Times New Roman" w:hAnsi="Times New Roman"/>
                  <w:sz w:val="14"/>
                  <w:szCs w:val="14"/>
                  <w:color w:val="0000FF"/>
                </w:rPr>
                <w:t>Continuing and Unconditional Guaranty, dated April 12, 2024, by and among the</w:t>
              </w:r>
            </w:hyperlink>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700" w:type="dxa"/>
            <w:vAlign w:val="bottom"/>
            <w:gridSpan w:val="3"/>
            <w:shd w:val="clear" w:color="auto" w:fill="0000FF"/>
          </w:tcPr>
          <w:p>
            <w:pPr>
              <w:spacing w:after="0" w:line="20" w:lineRule="exact"/>
              <w:rPr>
                <w:sz w:val="1"/>
                <w:szCs w:val="1"/>
                <w:color w:val="auto"/>
              </w:rPr>
            </w:pPr>
          </w:p>
        </w:tc>
        <w:tc>
          <w:tcPr>
            <w:tcW w:w="220" w:type="dxa"/>
            <w:vAlign w:val="bottom"/>
            <w:gridSpan w:val="3"/>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0" w:type="dxa"/>
            <w:vAlign w:val="bottom"/>
            <w:gridSpan w:val="31"/>
          </w:tcPr>
          <w:p>
            <w:pPr>
              <w:spacing w:after="0" w:line="129" w:lineRule="exact"/>
              <w:rPr>
                <w:rFonts w:ascii="Times New Roman" w:cs="Times New Roman" w:eastAsia="Times New Roman" w:hAnsi="Times New Roman"/>
                <w:sz w:val="14"/>
                <w:szCs w:val="14"/>
                <w:color w:val="0000FF"/>
              </w:rPr>
            </w:pPr>
            <w:hyperlink r:id="rId93">
              <w:r>
                <w:rPr>
                  <w:rFonts w:ascii="Times New Roman" w:cs="Times New Roman" w:eastAsia="Times New Roman" w:hAnsi="Times New Roman"/>
                  <w:sz w:val="14"/>
                  <w:szCs w:val="14"/>
                  <w:color w:val="0000FF"/>
                </w:rPr>
                <w:t>Company, as Borrower, Lifeline Nutraceuticals Corporation, as Guarantor, and Bank of</w:t>
              </w:r>
            </w:hyperlink>
          </w:p>
        </w:tc>
        <w:tc>
          <w:tcPr>
            <w:tcW w:w="0" w:type="dxa"/>
            <w:vAlign w:val="bottom"/>
          </w:tcPr>
          <w:p>
            <w:pPr>
              <w:spacing w:after="0"/>
              <w:rPr>
                <w:sz w:val="1"/>
                <w:szCs w:val="1"/>
                <w:color w:val="auto"/>
              </w:rPr>
            </w:pPr>
          </w:p>
        </w:tc>
      </w:tr>
      <w:tr>
        <w:trPr>
          <w:trHeight w:val="118"/>
        </w:trPr>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940" w:type="dxa"/>
            <w:vAlign w:val="bottom"/>
            <w:tcBorders>
              <w:top w:val="single" w:sz="8" w:color="0000FF"/>
            </w:tcBorders>
            <w:gridSpan w:val="28"/>
          </w:tcPr>
          <w:p>
            <w:pPr>
              <w:spacing w:after="0" w:line="118" w:lineRule="exact"/>
              <w:rPr>
                <w:rFonts w:ascii="Times New Roman" w:cs="Times New Roman" w:eastAsia="Times New Roman" w:hAnsi="Times New Roman"/>
                <w:sz w:val="13"/>
                <w:szCs w:val="13"/>
                <w:color w:val="0000FF"/>
              </w:rPr>
            </w:pPr>
            <w:hyperlink r:id="rId93">
              <w:r>
                <w:rPr>
                  <w:rFonts w:ascii="Times New Roman" w:cs="Times New Roman" w:eastAsia="Times New Roman" w:hAnsi="Times New Roman"/>
                  <w:sz w:val="13"/>
                  <w:szCs w:val="13"/>
                  <w:color w:val="0000FF"/>
                </w:rPr>
                <w:t>America, N.A.</w:t>
              </w:r>
            </w:hyperlink>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740" w:type="dxa"/>
            <w:vAlign w:val="bottom"/>
            <w:gridSpan w:val="6"/>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8"/>
        </w:trPr>
        <w:tc>
          <w:tcPr>
            <w:tcW w:w="1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10.12</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0" w:type="dxa"/>
            <w:vAlign w:val="bottom"/>
            <w:gridSpan w:val="31"/>
          </w:tcPr>
          <w:p>
            <w:pPr>
              <w:spacing w:after="0"/>
              <w:rPr>
                <w:rFonts w:ascii="Times New Roman" w:cs="Times New Roman" w:eastAsia="Times New Roman" w:hAnsi="Times New Roman"/>
                <w:sz w:val="14"/>
                <w:szCs w:val="14"/>
                <w:color w:val="0000FF"/>
              </w:rPr>
            </w:pPr>
            <w:hyperlink r:id="rId94">
              <w:r>
                <w:rPr>
                  <w:rFonts w:ascii="Times New Roman" w:cs="Times New Roman" w:eastAsia="Times New Roman" w:hAnsi="Times New Roman"/>
                  <w:sz w:val="14"/>
                  <w:szCs w:val="14"/>
                  <w:color w:val="0000FF"/>
                </w:rPr>
                <w:t>Security and Pledge Agreement, dated April 12, 2024, by and among the Company, as</w:t>
              </w:r>
            </w:hyperlink>
          </w:p>
        </w:tc>
        <w:tc>
          <w:tcPr>
            <w:tcW w:w="0" w:type="dxa"/>
            <w:vAlign w:val="bottom"/>
          </w:tcPr>
          <w:p>
            <w:pPr>
              <w:spacing w:after="0"/>
              <w:rPr>
                <w:sz w:val="1"/>
                <w:szCs w:val="1"/>
                <w:color w:val="auto"/>
              </w:rPr>
            </w:pPr>
          </w:p>
        </w:tc>
      </w:tr>
      <w:tr>
        <w:trPr>
          <w:trHeight w:val="129"/>
        </w:trPr>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520" w:type="dxa"/>
            <w:vAlign w:val="bottom"/>
            <w:tcBorders>
              <w:top w:val="single" w:sz="8" w:color="0000FF"/>
            </w:tcBorders>
            <w:gridSpan w:val="14"/>
          </w:tcPr>
          <w:p>
            <w:pPr>
              <w:spacing w:after="0" w:line="129" w:lineRule="exact"/>
              <w:rPr>
                <w:rFonts w:ascii="Times New Roman" w:cs="Times New Roman" w:eastAsia="Times New Roman" w:hAnsi="Times New Roman"/>
                <w:sz w:val="14"/>
                <w:szCs w:val="14"/>
                <w:color w:val="0000FF"/>
              </w:rPr>
            </w:pPr>
            <w:hyperlink r:id="rId94">
              <w:r>
                <w:rPr>
                  <w:rFonts w:ascii="Times New Roman" w:cs="Times New Roman" w:eastAsia="Times New Roman" w:hAnsi="Times New Roman"/>
                  <w:sz w:val="14"/>
                  <w:szCs w:val="14"/>
                  <w:color w:val="0000FF"/>
                </w:rPr>
                <w:t>Borrower, Lifeline Nutraceuticals Corporation, as Guarantor,</w:t>
              </w:r>
            </w:hyperlink>
          </w:p>
        </w:tc>
        <w:tc>
          <w:tcPr>
            <w:tcW w:w="20" w:type="dxa"/>
            <w:vAlign w:val="bottom"/>
          </w:tcPr>
          <w:p>
            <w:pPr>
              <w:spacing w:after="0"/>
              <w:rPr>
                <w:sz w:val="11"/>
                <w:szCs w:val="11"/>
                <w:color w:val="auto"/>
              </w:rPr>
            </w:pPr>
          </w:p>
        </w:tc>
        <w:tc>
          <w:tcPr>
            <w:tcW w:w="440" w:type="dxa"/>
            <w:vAlign w:val="bottom"/>
            <w:tcBorders>
              <w:top w:val="single" w:sz="8" w:color="0000FF"/>
            </w:tcBorders>
            <w:gridSpan w:val="2"/>
          </w:tcPr>
          <w:p>
            <w:pPr>
              <w:spacing w:after="0" w:line="129" w:lineRule="exact"/>
              <w:rPr>
                <w:rFonts w:ascii="Times New Roman" w:cs="Times New Roman" w:eastAsia="Times New Roman" w:hAnsi="Times New Roman"/>
                <w:sz w:val="14"/>
                <w:szCs w:val="14"/>
                <w:color w:val="0000FF"/>
                <w:w w:val="78"/>
              </w:rPr>
            </w:pPr>
            <w:hyperlink r:id="rId94">
              <w:r>
                <w:rPr>
                  <w:rFonts w:ascii="Times New Roman" w:cs="Times New Roman" w:eastAsia="Times New Roman" w:hAnsi="Times New Roman"/>
                  <w:sz w:val="14"/>
                  <w:szCs w:val="14"/>
                  <w:color w:val="0000FF"/>
                  <w:w w:val="78"/>
                </w:rPr>
                <w:t>and Bank</w:t>
              </w:r>
            </w:hyperlink>
          </w:p>
        </w:tc>
        <w:tc>
          <w:tcPr>
            <w:tcW w:w="920" w:type="dxa"/>
            <w:vAlign w:val="bottom"/>
            <w:tcBorders>
              <w:top w:val="single" w:sz="8" w:color="0000FF"/>
            </w:tcBorders>
            <w:gridSpan w:val="9"/>
          </w:tcPr>
          <w:p>
            <w:pPr>
              <w:ind w:left="80"/>
              <w:spacing w:after="0" w:line="129" w:lineRule="exact"/>
              <w:rPr>
                <w:rFonts w:ascii="Times New Roman" w:cs="Times New Roman" w:eastAsia="Times New Roman" w:hAnsi="Times New Roman"/>
                <w:sz w:val="14"/>
                <w:szCs w:val="14"/>
                <w:color w:val="0000FF"/>
              </w:rPr>
            </w:pPr>
            <w:hyperlink r:id="rId94">
              <w:r>
                <w:rPr>
                  <w:rFonts w:ascii="Times New Roman" w:cs="Times New Roman" w:eastAsia="Times New Roman" w:hAnsi="Times New Roman"/>
                  <w:sz w:val="14"/>
                  <w:szCs w:val="14"/>
                  <w:color w:val="0000FF"/>
                </w:rPr>
                <w:t>of America,</w:t>
              </w:r>
            </w:hyperlink>
          </w:p>
        </w:tc>
        <w:tc>
          <w:tcPr>
            <w:tcW w:w="20" w:type="dxa"/>
            <w:vAlign w:val="bottom"/>
          </w:tcPr>
          <w:p>
            <w:pPr>
              <w:spacing w:after="0"/>
              <w:rPr>
                <w:sz w:val="11"/>
                <w:szCs w:val="11"/>
                <w:color w:val="auto"/>
              </w:rPr>
            </w:pPr>
          </w:p>
        </w:tc>
        <w:tc>
          <w:tcPr>
            <w:tcW w:w="60" w:type="dxa"/>
            <w:vAlign w:val="bottom"/>
            <w:gridSpan w:val="3"/>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8"/>
        </w:trPr>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720" w:type="dxa"/>
            <w:vAlign w:val="bottom"/>
            <w:tcBorders>
              <w:top w:val="single" w:sz="8" w:color="0000FF"/>
            </w:tcBorders>
            <w:gridSpan w:val="23"/>
          </w:tcPr>
          <w:p>
            <w:pPr>
              <w:spacing w:after="0" w:line="118" w:lineRule="exact"/>
              <w:rPr>
                <w:rFonts w:ascii="Times New Roman" w:cs="Times New Roman" w:eastAsia="Times New Roman" w:hAnsi="Times New Roman"/>
                <w:sz w:val="13"/>
                <w:szCs w:val="13"/>
                <w:color w:val="0000FF"/>
              </w:rPr>
            </w:pPr>
            <w:hyperlink r:id="rId94">
              <w:r>
                <w:rPr>
                  <w:rFonts w:ascii="Times New Roman" w:cs="Times New Roman" w:eastAsia="Times New Roman" w:hAnsi="Times New Roman"/>
                  <w:sz w:val="13"/>
                  <w:szCs w:val="13"/>
                  <w:color w:val="0000FF"/>
                </w:rPr>
                <w:t>N.A.</w:t>
              </w:r>
            </w:hyperlink>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60" w:type="dxa"/>
            <w:vAlign w:val="bottom"/>
            <w:gridSpan w:val="3"/>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140" w:type="dxa"/>
            <w:vAlign w:val="bottom"/>
            <w:gridSpan w:val="5"/>
          </w:tcPr>
          <w:p>
            <w:pPr>
              <w:spacing w:after="0" w:line="20" w:lineRule="exact"/>
              <w:rPr>
                <w:sz w:val="1"/>
                <w:szCs w:val="1"/>
                <w:color w:val="auto"/>
              </w:rPr>
            </w:pPr>
          </w:p>
        </w:tc>
        <w:tc>
          <w:tcPr>
            <w:tcW w:w="88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8"/>
        </w:trPr>
        <w:tc>
          <w:tcPr>
            <w:tcW w:w="1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10.13</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0" w:type="dxa"/>
            <w:vAlign w:val="bottom"/>
            <w:gridSpan w:val="31"/>
          </w:tcPr>
          <w:p>
            <w:pPr>
              <w:spacing w:after="0"/>
              <w:rPr>
                <w:rFonts w:ascii="Times New Roman" w:cs="Times New Roman" w:eastAsia="Times New Roman" w:hAnsi="Times New Roman"/>
                <w:sz w:val="14"/>
                <w:szCs w:val="14"/>
                <w:color w:val="0000FF"/>
              </w:rPr>
            </w:pPr>
            <w:hyperlink r:id="rId95">
              <w:r>
                <w:rPr>
                  <w:rFonts w:ascii="Times New Roman" w:cs="Times New Roman" w:eastAsia="Times New Roman" w:hAnsi="Times New Roman"/>
                  <w:sz w:val="14"/>
                  <w:szCs w:val="14"/>
                  <w:color w:val="0000FF"/>
                </w:rPr>
                <w:t>Loan Agreement, dated March 30, 2016, by and between Z.B., N.A., the Company and</w:t>
              </w:r>
            </w:hyperlink>
          </w:p>
        </w:tc>
        <w:tc>
          <w:tcPr>
            <w:tcW w:w="0" w:type="dxa"/>
            <w:vAlign w:val="bottom"/>
          </w:tcPr>
          <w:p>
            <w:pPr>
              <w:spacing w:after="0"/>
              <w:rPr>
                <w:sz w:val="1"/>
                <w:szCs w:val="1"/>
                <w:color w:val="auto"/>
              </w:rPr>
            </w:pPr>
          </w:p>
        </w:tc>
      </w:tr>
      <w:tr>
        <w:trPr>
          <w:trHeight w:val="129"/>
        </w:trPr>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20" w:type="dxa"/>
            <w:vAlign w:val="bottom"/>
            <w:tcBorders>
              <w:top w:val="single" w:sz="8" w:color="0000FF"/>
              <w:bottom w:val="single" w:sz="8" w:color="0000FF"/>
            </w:tcBorders>
            <w:gridSpan w:val="7"/>
          </w:tcPr>
          <w:p>
            <w:pPr>
              <w:spacing w:after="0" w:line="129" w:lineRule="exact"/>
              <w:rPr>
                <w:rFonts w:ascii="Times New Roman" w:cs="Times New Roman" w:eastAsia="Times New Roman" w:hAnsi="Times New Roman"/>
                <w:sz w:val="14"/>
                <w:szCs w:val="14"/>
                <w:color w:val="0000FF"/>
              </w:rPr>
            </w:pPr>
            <w:hyperlink r:id="rId95">
              <w:r>
                <w:rPr>
                  <w:rFonts w:ascii="Times New Roman" w:cs="Times New Roman" w:eastAsia="Times New Roman" w:hAnsi="Times New Roman"/>
                  <w:sz w:val="14"/>
                  <w:szCs w:val="14"/>
                  <w:color w:val="0000FF"/>
                </w:rPr>
                <w:t>Lifeline Nutraceuticals Corporation</w:t>
              </w:r>
            </w:hyperlink>
          </w:p>
        </w:tc>
        <w:tc>
          <w:tcPr>
            <w:tcW w:w="1960" w:type="dxa"/>
            <w:vAlign w:val="bottom"/>
            <w:tcBorders>
              <w:top w:val="single" w:sz="8" w:color="0000FF"/>
            </w:tcBorders>
            <w:gridSpan w:val="10"/>
          </w:tcPr>
          <w:p>
            <w:pPr>
              <w:spacing w:after="0"/>
              <w:rPr>
                <w:sz w:val="11"/>
                <w:szCs w:val="11"/>
                <w:color w:val="auto"/>
              </w:rPr>
            </w:pPr>
          </w:p>
        </w:tc>
        <w:tc>
          <w:tcPr>
            <w:tcW w:w="880" w:type="dxa"/>
            <w:vAlign w:val="bottom"/>
            <w:tcBorders>
              <w:top w:val="single" w:sz="8" w:color="0000FF"/>
            </w:tcBorders>
            <w:gridSpan w:val="7"/>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40" w:type="dxa"/>
            <w:vAlign w:val="bottom"/>
            <w:tcBorders>
              <w:top w:val="single" w:sz="8" w:color="0000FF"/>
            </w:tcBorders>
            <w:gridSpan w:val="2"/>
          </w:tcPr>
          <w:p>
            <w:pPr>
              <w:spacing w:after="0"/>
              <w:rPr>
                <w:sz w:val="11"/>
                <w:szCs w:val="11"/>
                <w:color w:val="auto"/>
              </w:rPr>
            </w:pPr>
          </w:p>
        </w:tc>
        <w:tc>
          <w:tcPr>
            <w:tcW w:w="60" w:type="dxa"/>
            <w:vAlign w:val="bottom"/>
            <w:gridSpan w:val="3"/>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88"/>
        </w:trPr>
        <w:tc>
          <w:tcPr>
            <w:tcW w:w="1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10.14</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0" w:type="dxa"/>
            <w:vAlign w:val="bottom"/>
            <w:gridSpan w:val="31"/>
          </w:tcPr>
          <w:p>
            <w:pPr>
              <w:spacing w:after="0"/>
              <w:rPr>
                <w:rFonts w:ascii="Times New Roman" w:cs="Times New Roman" w:eastAsia="Times New Roman" w:hAnsi="Times New Roman"/>
                <w:sz w:val="14"/>
                <w:szCs w:val="14"/>
                <w:color w:val="0000FF"/>
              </w:rPr>
            </w:pPr>
            <w:hyperlink r:id="rId96">
              <w:r>
                <w:rPr>
                  <w:rFonts w:ascii="Times New Roman" w:cs="Times New Roman" w:eastAsia="Times New Roman" w:hAnsi="Times New Roman"/>
                  <w:sz w:val="14"/>
                  <w:szCs w:val="14"/>
                  <w:color w:val="0000FF"/>
                </w:rPr>
                <w:t>Security Agreement, dated March 30, 2016, by and between Z.B., N.A., the Company</w:t>
              </w:r>
            </w:hyperlink>
          </w:p>
        </w:tc>
        <w:tc>
          <w:tcPr>
            <w:tcW w:w="0" w:type="dxa"/>
            <w:vAlign w:val="bottom"/>
          </w:tcPr>
          <w:p>
            <w:pPr>
              <w:spacing w:after="0"/>
              <w:rPr>
                <w:sz w:val="1"/>
                <w:szCs w:val="1"/>
                <w:color w:val="auto"/>
              </w:rPr>
            </w:pPr>
          </w:p>
        </w:tc>
      </w:tr>
      <w:tr>
        <w:trPr>
          <w:trHeight w:val="129"/>
        </w:trPr>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60" w:type="dxa"/>
            <w:vAlign w:val="bottom"/>
            <w:tcBorders>
              <w:top w:val="single" w:sz="8" w:color="0000FF"/>
            </w:tcBorders>
            <w:gridSpan w:val="24"/>
          </w:tcPr>
          <w:p>
            <w:pPr>
              <w:spacing w:after="0" w:line="129" w:lineRule="exact"/>
              <w:rPr>
                <w:rFonts w:ascii="Times New Roman" w:cs="Times New Roman" w:eastAsia="Times New Roman" w:hAnsi="Times New Roman"/>
                <w:sz w:val="14"/>
                <w:szCs w:val="14"/>
                <w:color w:val="0000FF"/>
              </w:rPr>
            </w:pPr>
            <w:hyperlink r:id="rId96">
              <w:r>
                <w:rPr>
                  <w:rFonts w:ascii="Times New Roman" w:cs="Times New Roman" w:eastAsia="Times New Roman" w:hAnsi="Times New Roman"/>
                  <w:sz w:val="14"/>
                  <w:szCs w:val="14"/>
                  <w:color w:val="0000FF"/>
                </w:rPr>
                <w:t>and Lifeline Nutraceuticals Corporation</w:t>
              </w:r>
            </w:hyperlink>
          </w:p>
        </w:tc>
        <w:tc>
          <w:tcPr>
            <w:tcW w:w="20" w:type="dxa"/>
            <w:vAlign w:val="bottom"/>
          </w:tcPr>
          <w:p>
            <w:pPr>
              <w:spacing w:after="0"/>
              <w:rPr>
                <w:sz w:val="11"/>
                <w:szCs w:val="11"/>
                <w:color w:val="auto"/>
              </w:rPr>
            </w:pPr>
          </w:p>
        </w:tc>
        <w:tc>
          <w:tcPr>
            <w:tcW w:w="100" w:type="dxa"/>
            <w:vAlign w:val="bottom"/>
            <w:gridSpan w:val="5"/>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20" w:type="dxa"/>
            <w:vAlign w:val="bottom"/>
            <w:gridSpan w:val="4"/>
            <w:shd w:val="clear" w:color="auto" w:fill="0000FF"/>
          </w:tcPr>
          <w:p>
            <w:pPr>
              <w:spacing w:after="0" w:line="20" w:lineRule="exact"/>
              <w:rPr>
                <w:sz w:val="1"/>
                <w:szCs w:val="1"/>
                <w:color w:val="auto"/>
              </w:rPr>
            </w:pPr>
          </w:p>
        </w:tc>
        <w:tc>
          <w:tcPr>
            <w:tcW w:w="920" w:type="dxa"/>
            <w:vAlign w:val="bottom"/>
            <w:gridSpan w:val="6"/>
            <w:shd w:val="clear" w:color="auto" w:fill="0000FF"/>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140" w:type="dxa"/>
            <w:vAlign w:val="bottom"/>
            <w:gridSpan w:val="5"/>
          </w:tcPr>
          <w:p>
            <w:pPr>
              <w:spacing w:after="0" w:line="20" w:lineRule="exact"/>
              <w:rPr>
                <w:sz w:val="1"/>
                <w:szCs w:val="1"/>
                <w:color w:val="auto"/>
              </w:rPr>
            </w:pPr>
          </w:p>
        </w:tc>
        <w:tc>
          <w:tcPr>
            <w:tcW w:w="900" w:type="dxa"/>
            <w:vAlign w:val="bottom"/>
            <w:gridSpan w:val="8"/>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8"/>
        </w:trPr>
        <w:tc>
          <w:tcPr>
            <w:tcW w:w="1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10.15</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0" w:type="dxa"/>
            <w:vAlign w:val="bottom"/>
            <w:gridSpan w:val="31"/>
          </w:tcPr>
          <w:p>
            <w:pPr>
              <w:spacing w:after="0"/>
              <w:rPr>
                <w:rFonts w:ascii="Times New Roman" w:cs="Times New Roman" w:eastAsia="Times New Roman" w:hAnsi="Times New Roman"/>
                <w:sz w:val="14"/>
                <w:szCs w:val="14"/>
                <w:color w:val="0000FF"/>
              </w:rPr>
            </w:pPr>
            <w:hyperlink r:id="rId97">
              <w:r>
                <w:rPr>
                  <w:rFonts w:ascii="Times New Roman" w:cs="Times New Roman" w:eastAsia="Times New Roman" w:hAnsi="Times New Roman"/>
                  <w:sz w:val="14"/>
                  <w:szCs w:val="14"/>
                  <w:color w:val="0000FF"/>
                </w:rPr>
                <w:t>Amended No.1 to Loan Agreement, dated May 4, 2018, by and between Z.B., N.A., the</w:t>
              </w:r>
            </w:hyperlink>
          </w:p>
        </w:tc>
        <w:tc>
          <w:tcPr>
            <w:tcW w:w="0" w:type="dxa"/>
            <w:vAlign w:val="bottom"/>
          </w:tcPr>
          <w:p>
            <w:pPr>
              <w:spacing w:after="0"/>
              <w:rPr>
                <w:sz w:val="1"/>
                <w:szCs w:val="1"/>
                <w:color w:val="auto"/>
              </w:rPr>
            </w:pPr>
          </w:p>
        </w:tc>
      </w:tr>
      <w:tr>
        <w:trPr>
          <w:trHeight w:val="129"/>
        </w:trPr>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40" w:type="dxa"/>
            <w:vAlign w:val="bottom"/>
            <w:tcBorders>
              <w:top w:val="single" w:sz="8" w:color="0000FF"/>
              <w:bottom w:val="single" w:sz="8" w:color="0000FF"/>
            </w:tcBorders>
            <w:gridSpan w:val="12"/>
          </w:tcPr>
          <w:p>
            <w:pPr>
              <w:spacing w:after="0" w:line="129" w:lineRule="exact"/>
              <w:rPr>
                <w:rFonts w:ascii="Times New Roman" w:cs="Times New Roman" w:eastAsia="Times New Roman" w:hAnsi="Times New Roman"/>
                <w:sz w:val="14"/>
                <w:szCs w:val="14"/>
                <w:color w:val="0000FF"/>
              </w:rPr>
            </w:pPr>
            <w:hyperlink r:id="rId97">
              <w:r>
                <w:rPr>
                  <w:rFonts w:ascii="Times New Roman" w:cs="Times New Roman" w:eastAsia="Times New Roman" w:hAnsi="Times New Roman"/>
                  <w:sz w:val="14"/>
                  <w:szCs w:val="14"/>
                  <w:color w:val="0000FF"/>
                </w:rPr>
                <w:t>Company and Lifeline Nutraceuticals Corporation</w:t>
              </w:r>
            </w:hyperlink>
          </w:p>
        </w:tc>
        <w:tc>
          <w:tcPr>
            <w:tcW w:w="2140" w:type="dxa"/>
            <w:vAlign w:val="bottom"/>
            <w:tcBorders>
              <w:top w:val="single" w:sz="8" w:color="0000FF"/>
            </w:tcBorders>
            <w:gridSpan w:val="18"/>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88"/>
        </w:trPr>
        <w:tc>
          <w:tcPr>
            <w:tcW w:w="1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10.16</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0" w:type="dxa"/>
            <w:vAlign w:val="bottom"/>
            <w:gridSpan w:val="31"/>
          </w:tcPr>
          <w:p>
            <w:pPr>
              <w:spacing w:after="0"/>
              <w:rPr>
                <w:rFonts w:ascii="Times New Roman" w:cs="Times New Roman" w:eastAsia="Times New Roman" w:hAnsi="Times New Roman"/>
                <w:sz w:val="14"/>
                <w:szCs w:val="14"/>
                <w:color w:val="0000FF"/>
              </w:rPr>
            </w:pPr>
            <w:hyperlink r:id="rId98">
              <w:r>
                <w:rPr>
                  <w:rFonts w:ascii="Times New Roman" w:cs="Times New Roman" w:eastAsia="Times New Roman" w:hAnsi="Times New Roman"/>
                  <w:sz w:val="14"/>
                  <w:szCs w:val="14"/>
                  <w:color w:val="0000FF"/>
                </w:rPr>
                <w:t>Second Loan Modification Agreement, dated February 1, 2019, by and between Zions</w:t>
              </w:r>
            </w:hyperlink>
          </w:p>
        </w:tc>
        <w:tc>
          <w:tcPr>
            <w:tcW w:w="0" w:type="dxa"/>
            <w:vAlign w:val="bottom"/>
          </w:tcPr>
          <w:p>
            <w:pPr>
              <w:spacing w:after="0"/>
              <w:rPr>
                <w:sz w:val="1"/>
                <w:szCs w:val="1"/>
                <w:color w:val="auto"/>
              </w:rPr>
            </w:pPr>
          </w:p>
        </w:tc>
      </w:tr>
      <w:tr>
        <w:trPr>
          <w:trHeight w:val="129"/>
        </w:trPr>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980" w:type="dxa"/>
            <w:vAlign w:val="bottom"/>
            <w:tcBorders>
              <w:top w:val="single" w:sz="8" w:color="0000FF"/>
            </w:tcBorders>
            <w:gridSpan w:val="17"/>
          </w:tcPr>
          <w:p>
            <w:pPr>
              <w:spacing w:after="0" w:line="129" w:lineRule="exact"/>
              <w:rPr>
                <w:rFonts w:ascii="Times New Roman" w:cs="Times New Roman" w:eastAsia="Times New Roman" w:hAnsi="Times New Roman"/>
                <w:sz w:val="14"/>
                <w:szCs w:val="14"/>
                <w:color w:val="0000FF"/>
              </w:rPr>
            </w:pPr>
            <w:hyperlink r:id="rId98">
              <w:r>
                <w:rPr>
                  <w:rFonts w:ascii="Times New Roman" w:cs="Times New Roman" w:eastAsia="Times New Roman" w:hAnsi="Times New Roman"/>
                  <w:sz w:val="14"/>
                  <w:szCs w:val="14"/>
                  <w:color w:val="0000FF"/>
                </w:rPr>
                <w:t>Bank and the Company</w:t>
              </w:r>
            </w:hyperlink>
          </w:p>
        </w:tc>
        <w:tc>
          <w:tcPr>
            <w:tcW w:w="900" w:type="dxa"/>
            <w:vAlign w:val="bottom"/>
            <w:tcBorders>
              <w:top w:val="single" w:sz="8" w:color="0000FF"/>
            </w:tcBorders>
            <w:gridSpan w:val="8"/>
          </w:tcPr>
          <w:p>
            <w:pPr>
              <w:spacing w:after="0"/>
              <w:rPr>
                <w:sz w:val="11"/>
                <w:szCs w:val="11"/>
                <w:color w:val="auto"/>
              </w:rPr>
            </w:pPr>
          </w:p>
        </w:tc>
        <w:tc>
          <w:tcPr>
            <w:tcW w:w="120" w:type="dxa"/>
            <w:vAlign w:val="bottom"/>
            <w:gridSpan w:val="6"/>
          </w:tcPr>
          <w:p>
            <w:pPr>
              <w:spacing w:after="0"/>
              <w:rPr>
                <w:sz w:val="11"/>
                <w:szCs w:val="11"/>
                <w:color w:val="auto"/>
              </w:rPr>
            </w:pPr>
          </w:p>
        </w:tc>
        <w:tc>
          <w:tcPr>
            <w:tcW w:w="0" w:type="dxa"/>
            <w:vAlign w:val="bottom"/>
          </w:tcPr>
          <w:p>
            <w:pPr>
              <w:spacing w:after="0"/>
              <w:rPr>
                <w:sz w:val="1"/>
                <w:szCs w:val="1"/>
                <w:color w:val="auto"/>
              </w:rPr>
            </w:pPr>
          </w:p>
        </w:tc>
      </w:tr>
      <w:tr>
        <w:trPr>
          <w:trHeight w:val="807"/>
        </w:trPr>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20" w:type="dxa"/>
            <w:vAlign w:val="bottom"/>
            <w:tcBorders>
              <w:top w:val="single" w:sz="8" w:color="0000FF"/>
            </w:tcBorders>
            <w:gridSpan w:val="4"/>
          </w:tcPr>
          <w:p>
            <w:pPr>
              <w:spacing w:after="0"/>
              <w:rPr>
                <w:sz w:val="24"/>
                <w:szCs w:val="24"/>
                <w:color w:val="auto"/>
              </w:rPr>
            </w:pPr>
          </w:p>
        </w:tc>
        <w:tc>
          <w:tcPr>
            <w:tcW w:w="3340" w:type="dxa"/>
            <w:vAlign w:val="bottom"/>
            <w:gridSpan w:val="17"/>
          </w:tcPr>
          <w:p>
            <w:pPr>
              <w:jc w:val="right"/>
              <w:ind w:right="60"/>
              <w:spacing w:after="0"/>
              <w:rPr>
                <w:sz w:val="20"/>
                <w:szCs w:val="20"/>
                <w:color w:val="auto"/>
              </w:rPr>
            </w:pPr>
            <w:r>
              <w:rPr>
                <w:rFonts w:ascii="Times New Roman" w:cs="Times New Roman" w:eastAsia="Times New Roman" w:hAnsi="Times New Roman"/>
                <w:sz w:val="14"/>
                <w:szCs w:val="14"/>
                <w:color w:val="auto"/>
              </w:rPr>
              <w:t>57</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41275</wp:posOffset>
            </wp:positionV>
            <wp:extent cx="7186930"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9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9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1"/>
          <w:szCs w:val="11"/>
          <w:b w:val="1"/>
          <w:bCs w:val="1"/>
          <w:color w:val="auto"/>
        </w:rPr>
        <w:t>Filed Herewith or Incorporated by Reference From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26035</wp:posOffset>
            </wp:positionV>
            <wp:extent cx="3186430" cy="698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100">
                      <a:extLst>
                        <a:ext uri="{28A0092B-C50C-407E-A947-70E740481C1C}"/>
                      </a:extLst>
                    </a:blip>
                    <a:srcRect/>
                    <a:stretch>
                      <a:fillRect/>
                    </a:stretch>
                  </pic:blipFill>
                  <pic:spPr bwMode="auto">
                    <a:xfrm>
                      <a:off x="0" y="0"/>
                      <a:ext cx="3186430" cy="6985"/>
                    </a:xfrm>
                    <a:prstGeom prst="rect">
                      <a:avLst/>
                    </a:prstGeom>
                    <a:noFill/>
                  </pic:spPr>
                </pic:pic>
              </a:graphicData>
            </a:graphic>
          </wp:anchor>
        </w:drawing>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Exhibit 10.1.4 to Form 10-K filed on August 28, 2023.</w:t>
      </w:r>
    </w:p>
    <w:p>
      <w:pPr>
        <w:spacing w:after="0" w:line="147"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4"/>
          <w:szCs w:val="14"/>
          <w:color w:val="auto"/>
        </w:rPr>
        <w:t>Exhibit 10.5 to Form 10-Q filed for the fiscal quarter ended March 31, 2024 filed on May 2, 2024.</w:t>
      </w:r>
    </w:p>
    <w:p>
      <w:pPr>
        <w:spacing w:after="0" w:line="114"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4"/>
          <w:szCs w:val="14"/>
          <w:color w:val="auto"/>
        </w:rPr>
        <w:t>Exhibit 10.6 to Form 10-Q filed for the fiscal quarter ended March 31, 2024 filed on May 2, 2024.</w:t>
      </w:r>
    </w:p>
    <w:p>
      <w:pPr>
        <w:spacing w:after="0" w:line="114"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4"/>
          <w:szCs w:val="14"/>
          <w:color w:val="auto"/>
        </w:rPr>
        <w:t>Exhibit 10.7 to Form 10-Q filed for the fiscal quarter ended March 31, 2024 filed on May 2, 2024.</w:t>
      </w:r>
    </w:p>
    <w:p>
      <w:pPr>
        <w:spacing w:after="0" w:line="114"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4"/>
          <w:szCs w:val="14"/>
          <w:color w:val="auto"/>
        </w:rPr>
        <w:t>Exhibit 10.8 to Form 10-Q filed for the fiscal quarter ended March 31, 2024 filed on May 2, 2024.</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Filed herewith.</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Exhibit 99.2 to the Registration Statement on Form S-8 filed on March 27, 2017.</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Exhibit 99.3 to the Registration Statement on Form S-8 filed on March 27, 2017.</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Exhibit 10.2 to Form 8-K filed on November 19, 2018.</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Exhibit to 99.1 to Form 8-K filed on March 13, 2018.</w:t>
      </w:r>
    </w:p>
    <w:p>
      <w:pPr>
        <w:spacing w:after="0" w:line="147"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4"/>
          <w:szCs w:val="14"/>
          <w:color w:val="auto"/>
        </w:rPr>
        <w:t>Exhibit 10.1 to Form 10-Q filed for the fiscal quarter ended March 31, 2021 filed on April 29, 2021.</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Filed herewith.</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Exhibit 10.1 to Form 8-K filed on April 16, 2024.</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Exhibit 10.2 to Form 8-K filed on April 16, 2024.</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Exhibit 10.3 to Form 8-K filed on April 16, 2024.</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Exhibit 10.1 to Form 8-K filed on April 4, 2016.</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Exhibit 10.2 to Form 8-K filed on April 4, 2016.</w:t>
      </w:r>
    </w:p>
    <w:p>
      <w:pPr>
        <w:spacing w:after="0" w:line="29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4"/>
          <w:szCs w:val="14"/>
          <w:color w:val="auto"/>
        </w:rPr>
        <w:t>Exhibit 10.1 to Form 10-Q filed for the fiscal quarter ended March 31, 2018 filed on May 9, 2018.</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Exhibit 10.1 to Form 8-K filed on February 4, 2019.</w:t>
      </w:r>
    </w:p>
    <w:p>
      <w:pPr>
        <w:sectPr>
          <w:pgSz w:w="11900" w:h="16838" w:orient="portrait"/>
          <w:cols w:equalWidth="0" w:num="2">
            <w:col w:w="6120" w:space="100"/>
            <w:col w:w="4780"/>
          </w:cols>
          <w:pgMar w:left="300" w:top="927" w:right="599" w:bottom="1440" w:gutter="0" w:footer="0" w:header="0"/>
        </w:sectPr>
      </w:pPr>
    </w:p>
    <w:bookmarkStart w:id="57" w:name="page58"/>
    <w:bookmarkEnd w:id="57"/>
    <w:tbl>
      <w:tblPr>
        <w:tblLayout w:type="fixed"/>
        <w:tblInd w:w="301" w:type="dxa"/>
        <w:tblCellMar>
          <w:top w:w="0" w:type="dxa"/>
          <w:left w:w="0" w:type="dxa"/>
          <w:bottom w:w="0" w:type="dxa"/>
          <w:right w:w="0" w:type="dxa"/>
        </w:tblCellMar>
      </w:tblPr>
      <w:tr>
        <w:trPr>
          <w:trHeight w:val="126"/>
        </w:trPr>
        <w:tc>
          <w:tcPr>
            <w:tcW w:w="1560" w:type="dxa"/>
            <w:vAlign w:val="bottom"/>
          </w:tcPr>
          <w:p>
            <w:pPr>
              <w:jc w:val="center"/>
              <w:ind w:right="1143"/>
              <w:spacing w:after="0"/>
              <w:rPr>
                <w:sz w:val="20"/>
                <w:szCs w:val="20"/>
                <w:color w:val="auto"/>
              </w:rPr>
            </w:pPr>
            <w:r>
              <w:rPr>
                <w:rFonts w:ascii="Times New Roman" w:cs="Times New Roman" w:eastAsia="Times New Roman" w:hAnsi="Times New Roman"/>
                <w:sz w:val="11"/>
                <w:szCs w:val="11"/>
                <w:b w:val="1"/>
                <w:bCs w:val="1"/>
                <w:color w:val="auto"/>
              </w:rPr>
              <w:t>Exhibit</w:t>
            </w:r>
          </w:p>
        </w:tc>
        <w:tc>
          <w:tcPr>
            <w:tcW w:w="3940" w:type="dxa"/>
            <w:vAlign w:val="bottom"/>
            <w:vMerge w:val="restart"/>
          </w:tcPr>
          <w:p>
            <w:pPr>
              <w:ind w:left="1180"/>
              <w:spacing w:after="0"/>
              <w:rPr>
                <w:sz w:val="20"/>
                <w:szCs w:val="20"/>
                <w:color w:val="auto"/>
              </w:rPr>
            </w:pPr>
            <w:r>
              <w:rPr>
                <w:rFonts w:ascii="Times New Roman" w:cs="Times New Roman" w:eastAsia="Times New Roman" w:hAnsi="Times New Roman"/>
                <w:sz w:val="11"/>
                <w:szCs w:val="11"/>
                <w:b w:val="1"/>
                <w:bCs w:val="1"/>
                <w:color w:val="auto"/>
              </w:rPr>
              <w:t>Document Description</w:t>
            </w:r>
          </w:p>
        </w:tc>
        <w:tc>
          <w:tcPr>
            <w:tcW w:w="4140" w:type="dxa"/>
            <w:vAlign w:val="bottom"/>
            <w:vMerge w:val="restart"/>
          </w:tcPr>
          <w:p>
            <w:pPr>
              <w:ind w:left="1660"/>
              <w:spacing w:after="0"/>
              <w:rPr>
                <w:sz w:val="20"/>
                <w:szCs w:val="20"/>
                <w:color w:val="auto"/>
              </w:rPr>
            </w:pPr>
            <w:r>
              <w:rPr>
                <w:rFonts w:ascii="Times New Roman" w:cs="Times New Roman" w:eastAsia="Times New Roman" w:hAnsi="Times New Roman"/>
                <w:sz w:val="11"/>
                <w:szCs w:val="11"/>
                <w:b w:val="1"/>
                <w:bCs w:val="1"/>
                <w:color w:val="auto"/>
              </w:rPr>
              <w:t>Filed Herewith or Incorporated by Reference From</w:t>
            </w:r>
          </w:p>
        </w:tc>
        <w:tc>
          <w:tcPr>
            <w:tcW w:w="0" w:type="dxa"/>
            <w:vAlign w:val="bottom"/>
          </w:tcPr>
          <w:p>
            <w:pPr>
              <w:spacing w:after="0"/>
              <w:rPr>
                <w:sz w:val="1"/>
                <w:szCs w:val="1"/>
                <w:color w:val="auto"/>
              </w:rPr>
            </w:pPr>
          </w:p>
        </w:tc>
      </w:tr>
      <w:tr>
        <w:trPr>
          <w:trHeight w:val="149"/>
        </w:trPr>
        <w:tc>
          <w:tcPr>
            <w:tcW w:w="1560" w:type="dxa"/>
            <w:vAlign w:val="bottom"/>
          </w:tcPr>
          <w:p>
            <w:pPr>
              <w:jc w:val="center"/>
              <w:ind w:right="1143"/>
              <w:spacing w:after="0"/>
              <w:rPr>
                <w:sz w:val="20"/>
                <w:szCs w:val="20"/>
                <w:color w:val="auto"/>
              </w:rPr>
            </w:pPr>
            <w:r>
              <w:rPr>
                <w:rFonts w:ascii="Times New Roman" w:cs="Times New Roman" w:eastAsia="Times New Roman" w:hAnsi="Times New Roman"/>
                <w:sz w:val="11"/>
                <w:szCs w:val="11"/>
                <w:b w:val="1"/>
                <w:bCs w:val="1"/>
                <w:color w:val="auto"/>
                <w:w w:val="98"/>
              </w:rPr>
              <w:t>No.</w:t>
            </w:r>
          </w:p>
        </w:tc>
        <w:tc>
          <w:tcPr>
            <w:tcW w:w="3940" w:type="dxa"/>
            <w:vAlign w:val="bottom"/>
            <w:vMerge w:val="continue"/>
          </w:tcPr>
          <w:p>
            <w:pPr>
              <w:spacing w:after="0"/>
              <w:rPr>
                <w:sz w:val="12"/>
                <w:szCs w:val="12"/>
                <w:color w:val="auto"/>
              </w:rPr>
            </w:pPr>
          </w:p>
        </w:tc>
        <w:tc>
          <w:tcPr>
            <w:tcW w:w="41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5080</wp:posOffset>
            </wp:positionV>
            <wp:extent cx="7127875" cy="698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101">
                      <a:extLst>
                        <a:ext uri="{28A0092B-C50C-407E-A947-70E740481C1C}"/>
                      </a:extLst>
                    </a:blip>
                    <a:srcRect/>
                    <a:stretch>
                      <a:fillRect/>
                    </a:stretch>
                  </pic:blipFill>
                  <pic:spPr bwMode="auto">
                    <a:xfrm>
                      <a:off x="0" y="0"/>
                      <a:ext cx="7127875" cy="6985"/>
                    </a:xfrm>
                    <a:prstGeom prst="rect">
                      <a:avLst/>
                    </a:prstGeom>
                    <a:noFill/>
                  </pic:spPr>
                </pic:pic>
              </a:graphicData>
            </a:graphic>
          </wp:anchor>
        </w:drawing>
      </w:r>
    </w:p>
    <w:p>
      <w:pPr>
        <w:sectPr>
          <w:pgSz w:w="11900" w:h="16838" w:orient="portrait"/>
          <w:cols w:equalWidth="0" w:num="1">
            <w:col w:w="11121"/>
          </w:cols>
          <w:pgMar w:left="319" w:top="927" w:right="459" w:bottom="1440" w:gutter="0" w:footer="0" w:header="0"/>
        </w:sectPr>
      </w:pPr>
    </w:p>
    <w:p>
      <w:pPr>
        <w:spacing w:after="0" w:line="123" w:lineRule="exact"/>
        <w:rPr>
          <w:sz w:val="20"/>
          <w:szCs w:val="20"/>
          <w:color w:val="auto"/>
        </w:rPr>
      </w:pPr>
    </w:p>
    <w:tbl>
      <w:tblPr>
        <w:tblLayout w:type="fixed"/>
        <w:tblInd w:w="1" w:type="dxa"/>
        <w:tblCellMar>
          <w:top w:w="0" w:type="dxa"/>
          <w:left w:w="0" w:type="dxa"/>
          <w:bottom w:w="0" w:type="dxa"/>
          <w:right w:w="0" w:type="dxa"/>
        </w:tblCellMar>
      </w:tblPr>
      <w:tr>
        <w:trPr>
          <w:trHeight w:val="161"/>
        </w:trPr>
        <w:tc>
          <w:tcPr>
            <w:tcW w:w="1100" w:type="dxa"/>
            <w:vAlign w:val="bottom"/>
          </w:tcPr>
          <w:p>
            <w:pPr>
              <w:spacing w:after="0"/>
              <w:rPr>
                <w:sz w:val="20"/>
                <w:szCs w:val="20"/>
                <w:color w:val="auto"/>
              </w:rPr>
            </w:pPr>
            <w:r>
              <w:rPr>
                <w:rFonts w:ascii="Times New Roman" w:cs="Times New Roman" w:eastAsia="Times New Roman" w:hAnsi="Times New Roman"/>
                <w:sz w:val="14"/>
                <w:szCs w:val="14"/>
                <w:color w:val="auto"/>
              </w:rPr>
              <w:t>10.17</w:t>
            </w:r>
          </w:p>
        </w:tc>
        <w:tc>
          <w:tcPr>
            <w:tcW w:w="5020" w:type="dxa"/>
            <w:vAlign w:val="bottom"/>
            <w:gridSpan w:val="21"/>
          </w:tcPr>
          <w:p>
            <w:pPr>
              <w:spacing w:after="0"/>
              <w:rPr>
                <w:rFonts w:ascii="Times New Roman" w:cs="Times New Roman" w:eastAsia="Times New Roman" w:hAnsi="Times New Roman"/>
                <w:sz w:val="14"/>
                <w:szCs w:val="14"/>
                <w:color w:val="0000FF"/>
              </w:rPr>
            </w:pPr>
            <w:hyperlink r:id="rId102">
              <w:r>
                <w:rPr>
                  <w:rFonts w:ascii="Times New Roman" w:cs="Times New Roman" w:eastAsia="Times New Roman" w:hAnsi="Times New Roman"/>
                  <w:sz w:val="14"/>
                  <w:szCs w:val="14"/>
                  <w:color w:val="0000FF"/>
                </w:rPr>
                <w:t>Change in Terms Agreement, dated April 1, 2021, by and between Zions Bank and the</w:t>
              </w:r>
            </w:hyperlink>
          </w:p>
        </w:tc>
      </w:tr>
      <w:tr>
        <w:trPr>
          <w:trHeight w:val="129"/>
        </w:trPr>
        <w:tc>
          <w:tcPr>
            <w:tcW w:w="1100" w:type="dxa"/>
            <w:vAlign w:val="bottom"/>
          </w:tcPr>
          <w:p>
            <w:pPr>
              <w:spacing w:after="0"/>
              <w:rPr>
                <w:sz w:val="11"/>
                <w:szCs w:val="11"/>
                <w:color w:val="auto"/>
              </w:rPr>
            </w:pPr>
          </w:p>
        </w:tc>
        <w:tc>
          <w:tcPr>
            <w:tcW w:w="3040" w:type="dxa"/>
            <w:vAlign w:val="bottom"/>
            <w:tcBorders>
              <w:top w:val="single" w:sz="8" w:color="0000FF"/>
            </w:tcBorders>
            <w:gridSpan w:val="10"/>
          </w:tcPr>
          <w:p>
            <w:pPr>
              <w:spacing w:after="0" w:line="129" w:lineRule="exact"/>
              <w:rPr>
                <w:rFonts w:ascii="Times New Roman" w:cs="Times New Roman" w:eastAsia="Times New Roman" w:hAnsi="Times New Roman"/>
                <w:sz w:val="14"/>
                <w:szCs w:val="14"/>
                <w:color w:val="0000FF"/>
              </w:rPr>
            </w:pPr>
            <w:hyperlink r:id="rId102">
              <w:r>
                <w:rPr>
                  <w:rFonts w:ascii="Times New Roman" w:cs="Times New Roman" w:eastAsia="Times New Roman" w:hAnsi="Times New Roman"/>
                  <w:sz w:val="14"/>
                  <w:szCs w:val="14"/>
                  <w:color w:val="0000FF"/>
                </w:rPr>
                <w:t>Company</w:t>
              </w:r>
            </w:hyperlink>
          </w:p>
        </w:tc>
        <w:tc>
          <w:tcPr>
            <w:tcW w:w="1620" w:type="dxa"/>
            <w:vAlign w:val="bottom"/>
            <w:tcBorders>
              <w:top w:val="single" w:sz="8" w:color="0000FF"/>
            </w:tcBorders>
          </w:tcPr>
          <w:p>
            <w:pPr>
              <w:spacing w:after="0"/>
              <w:rPr>
                <w:sz w:val="11"/>
                <w:szCs w:val="11"/>
                <w:color w:val="auto"/>
              </w:rPr>
            </w:pPr>
          </w:p>
        </w:tc>
        <w:tc>
          <w:tcPr>
            <w:tcW w:w="80" w:type="dxa"/>
            <w:vAlign w:val="bottom"/>
            <w:tcBorders>
              <w:top w:val="single" w:sz="8" w:color="0000FF"/>
            </w:tcBorders>
          </w:tcPr>
          <w:p>
            <w:pPr>
              <w:spacing w:after="0"/>
              <w:rPr>
                <w:sz w:val="11"/>
                <w:szCs w:val="11"/>
                <w:color w:val="auto"/>
              </w:rPr>
            </w:pPr>
          </w:p>
        </w:tc>
        <w:tc>
          <w:tcPr>
            <w:tcW w:w="12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20"/>
        </w:trPr>
        <w:tc>
          <w:tcPr>
            <w:tcW w:w="110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88"/>
        </w:trPr>
        <w:tc>
          <w:tcPr>
            <w:tcW w:w="1100" w:type="dxa"/>
            <w:vAlign w:val="bottom"/>
          </w:tcPr>
          <w:p>
            <w:pPr>
              <w:spacing w:after="0"/>
              <w:rPr>
                <w:sz w:val="20"/>
                <w:szCs w:val="20"/>
                <w:color w:val="auto"/>
              </w:rPr>
            </w:pPr>
            <w:r>
              <w:rPr>
                <w:rFonts w:ascii="Times New Roman" w:cs="Times New Roman" w:eastAsia="Times New Roman" w:hAnsi="Times New Roman"/>
                <w:sz w:val="14"/>
                <w:szCs w:val="14"/>
                <w:color w:val="auto"/>
              </w:rPr>
              <w:t>10.18</w:t>
            </w:r>
          </w:p>
        </w:tc>
        <w:tc>
          <w:tcPr>
            <w:tcW w:w="5020" w:type="dxa"/>
            <w:vAlign w:val="bottom"/>
            <w:gridSpan w:val="21"/>
          </w:tcPr>
          <w:p>
            <w:pPr>
              <w:spacing w:after="0"/>
              <w:rPr>
                <w:rFonts w:ascii="Times New Roman" w:cs="Times New Roman" w:eastAsia="Times New Roman" w:hAnsi="Times New Roman"/>
                <w:sz w:val="14"/>
                <w:szCs w:val="14"/>
                <w:color w:val="0000FF"/>
              </w:rPr>
            </w:pPr>
            <w:hyperlink r:id="rId103">
              <w:r>
                <w:rPr>
                  <w:rFonts w:ascii="Times New Roman" w:cs="Times New Roman" w:eastAsia="Times New Roman" w:hAnsi="Times New Roman"/>
                  <w:sz w:val="14"/>
                  <w:szCs w:val="14"/>
                  <w:color w:val="0000FF"/>
                </w:rPr>
                <w:t>Change in Terms Agreement, dated September 30, 2022 by and between the Company</w:t>
              </w:r>
            </w:hyperlink>
          </w:p>
        </w:tc>
      </w:tr>
      <w:tr>
        <w:trPr>
          <w:trHeight w:val="129"/>
        </w:trPr>
        <w:tc>
          <w:tcPr>
            <w:tcW w:w="1100" w:type="dxa"/>
            <w:vAlign w:val="bottom"/>
          </w:tcPr>
          <w:p>
            <w:pPr>
              <w:spacing w:after="0"/>
              <w:rPr>
                <w:sz w:val="11"/>
                <w:szCs w:val="11"/>
                <w:color w:val="auto"/>
              </w:rPr>
            </w:pPr>
          </w:p>
        </w:tc>
        <w:tc>
          <w:tcPr>
            <w:tcW w:w="4900" w:type="dxa"/>
            <w:vAlign w:val="bottom"/>
            <w:tcBorders>
              <w:top w:val="single" w:sz="8" w:color="0000FF"/>
            </w:tcBorders>
            <w:gridSpan w:val="15"/>
          </w:tcPr>
          <w:p>
            <w:pPr>
              <w:spacing w:after="0" w:line="129" w:lineRule="exact"/>
              <w:rPr>
                <w:rFonts w:ascii="Times New Roman" w:cs="Times New Roman" w:eastAsia="Times New Roman" w:hAnsi="Times New Roman"/>
                <w:sz w:val="14"/>
                <w:szCs w:val="14"/>
                <w:color w:val="0000FF"/>
              </w:rPr>
            </w:pPr>
            <w:hyperlink r:id="rId103">
              <w:r>
                <w:rPr>
                  <w:rFonts w:ascii="Times New Roman" w:cs="Times New Roman" w:eastAsia="Times New Roman" w:hAnsi="Times New Roman"/>
                  <w:sz w:val="14"/>
                  <w:szCs w:val="14"/>
                  <w:color w:val="0000FF"/>
                </w:rPr>
                <w:t>and Zions Bank</w:t>
              </w:r>
            </w:hyperlink>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20"/>
        </w:trPr>
        <w:tc>
          <w:tcPr>
            <w:tcW w:w="110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88"/>
        </w:trPr>
        <w:tc>
          <w:tcPr>
            <w:tcW w:w="1100" w:type="dxa"/>
            <w:vAlign w:val="bottom"/>
          </w:tcPr>
          <w:p>
            <w:pPr>
              <w:spacing w:after="0"/>
              <w:rPr>
                <w:sz w:val="20"/>
                <w:szCs w:val="20"/>
                <w:color w:val="auto"/>
              </w:rPr>
            </w:pPr>
            <w:r>
              <w:rPr>
                <w:rFonts w:ascii="Times New Roman" w:cs="Times New Roman" w:eastAsia="Times New Roman" w:hAnsi="Times New Roman"/>
                <w:sz w:val="14"/>
                <w:szCs w:val="14"/>
                <w:color w:val="auto"/>
              </w:rPr>
              <w:t>10.19</w:t>
            </w:r>
          </w:p>
        </w:tc>
        <w:tc>
          <w:tcPr>
            <w:tcW w:w="5020" w:type="dxa"/>
            <w:vAlign w:val="bottom"/>
            <w:gridSpan w:val="21"/>
          </w:tcPr>
          <w:p>
            <w:pPr>
              <w:spacing w:after="0"/>
              <w:rPr>
                <w:rFonts w:ascii="Times New Roman" w:cs="Times New Roman" w:eastAsia="Times New Roman" w:hAnsi="Times New Roman"/>
                <w:sz w:val="14"/>
                <w:szCs w:val="14"/>
                <w:color w:val="0000FF"/>
              </w:rPr>
            </w:pPr>
            <w:hyperlink r:id="rId104">
              <w:r>
                <w:rPr>
                  <w:rFonts w:ascii="Times New Roman" w:cs="Times New Roman" w:eastAsia="Times New Roman" w:hAnsi="Times New Roman"/>
                  <w:sz w:val="14"/>
                  <w:szCs w:val="14"/>
                  <w:color w:val="0000FF"/>
                </w:rPr>
                <w:t>Lease Agreement, dated November 14, 2019, by and between Traverse Ridge Center III</w:t>
              </w:r>
            </w:hyperlink>
          </w:p>
        </w:tc>
      </w:tr>
      <w:tr>
        <w:trPr>
          <w:trHeight w:val="129"/>
        </w:trPr>
        <w:tc>
          <w:tcPr>
            <w:tcW w:w="1100" w:type="dxa"/>
            <w:vAlign w:val="bottom"/>
          </w:tcPr>
          <w:p>
            <w:pPr>
              <w:spacing w:after="0"/>
              <w:rPr>
                <w:sz w:val="11"/>
                <w:szCs w:val="11"/>
                <w:color w:val="auto"/>
              </w:rPr>
            </w:pPr>
          </w:p>
        </w:tc>
        <w:tc>
          <w:tcPr>
            <w:tcW w:w="5000" w:type="dxa"/>
            <w:vAlign w:val="bottom"/>
            <w:tcBorders>
              <w:top w:val="single" w:sz="8" w:color="0000FF"/>
            </w:tcBorders>
            <w:gridSpan w:val="20"/>
          </w:tcPr>
          <w:p>
            <w:pPr>
              <w:spacing w:after="0" w:line="129" w:lineRule="exact"/>
              <w:rPr>
                <w:rFonts w:ascii="Times New Roman" w:cs="Times New Roman" w:eastAsia="Times New Roman" w:hAnsi="Times New Roman"/>
                <w:sz w:val="14"/>
                <w:szCs w:val="14"/>
                <w:color w:val="0000FF"/>
              </w:rPr>
            </w:pPr>
            <w:hyperlink r:id="rId104">
              <w:r>
                <w:rPr>
                  <w:rFonts w:ascii="Times New Roman" w:cs="Times New Roman" w:eastAsia="Times New Roman" w:hAnsi="Times New Roman"/>
                  <w:sz w:val="14"/>
                  <w:szCs w:val="14"/>
                  <w:color w:val="0000FF"/>
                </w:rPr>
                <w:t>and the Company</w:t>
              </w:r>
            </w:hyperlink>
          </w:p>
        </w:tc>
        <w:tc>
          <w:tcPr>
            <w:tcW w:w="20" w:type="dxa"/>
            <w:vAlign w:val="bottom"/>
          </w:tcPr>
          <w:p>
            <w:pPr>
              <w:spacing w:after="0"/>
              <w:rPr>
                <w:sz w:val="11"/>
                <w:szCs w:val="11"/>
                <w:color w:val="auto"/>
              </w:rPr>
            </w:pPr>
          </w:p>
        </w:tc>
      </w:tr>
      <w:tr>
        <w:trPr>
          <w:trHeight w:val="20"/>
        </w:trPr>
        <w:tc>
          <w:tcPr>
            <w:tcW w:w="110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88"/>
        </w:trPr>
        <w:tc>
          <w:tcPr>
            <w:tcW w:w="1100" w:type="dxa"/>
            <w:vAlign w:val="bottom"/>
          </w:tcPr>
          <w:p>
            <w:pPr>
              <w:spacing w:after="0"/>
              <w:rPr>
                <w:sz w:val="20"/>
                <w:szCs w:val="20"/>
                <w:color w:val="auto"/>
              </w:rPr>
            </w:pPr>
            <w:r>
              <w:rPr>
                <w:rFonts w:ascii="Times New Roman" w:cs="Times New Roman" w:eastAsia="Times New Roman" w:hAnsi="Times New Roman"/>
                <w:sz w:val="14"/>
                <w:szCs w:val="14"/>
                <w:color w:val="auto"/>
              </w:rPr>
              <w:t>10.20</w:t>
            </w:r>
          </w:p>
        </w:tc>
        <w:tc>
          <w:tcPr>
            <w:tcW w:w="5020" w:type="dxa"/>
            <w:vAlign w:val="bottom"/>
            <w:gridSpan w:val="21"/>
          </w:tcPr>
          <w:p>
            <w:pPr>
              <w:spacing w:after="0"/>
              <w:rPr>
                <w:rFonts w:ascii="Times New Roman" w:cs="Times New Roman" w:eastAsia="Times New Roman" w:hAnsi="Times New Roman"/>
                <w:sz w:val="14"/>
                <w:szCs w:val="14"/>
                <w:color w:val="0000FF"/>
              </w:rPr>
            </w:pPr>
            <w:hyperlink r:id="rId105">
              <w:r>
                <w:rPr>
                  <w:rFonts w:ascii="Times New Roman" w:cs="Times New Roman" w:eastAsia="Times New Roman" w:hAnsi="Times New Roman"/>
                  <w:sz w:val="14"/>
                  <w:szCs w:val="14"/>
                  <w:color w:val="0000FF"/>
                </w:rPr>
                <w:t>Lease Agreement, dated May 26, 2023, by and between Sumitomo Mitsui Trust Bank,</w:t>
              </w:r>
            </w:hyperlink>
          </w:p>
        </w:tc>
      </w:tr>
      <w:tr>
        <w:trPr>
          <w:trHeight w:val="129"/>
        </w:trPr>
        <w:tc>
          <w:tcPr>
            <w:tcW w:w="1100" w:type="dxa"/>
            <w:vAlign w:val="bottom"/>
          </w:tcPr>
          <w:p>
            <w:pPr>
              <w:spacing w:after="0"/>
              <w:rPr>
                <w:sz w:val="11"/>
                <w:szCs w:val="11"/>
                <w:color w:val="auto"/>
              </w:rPr>
            </w:pPr>
          </w:p>
        </w:tc>
        <w:tc>
          <w:tcPr>
            <w:tcW w:w="3040" w:type="dxa"/>
            <w:vAlign w:val="bottom"/>
            <w:tcBorders>
              <w:top w:val="single" w:sz="8" w:color="0000FF"/>
              <w:bottom w:val="single" w:sz="8" w:color="0000FF"/>
            </w:tcBorders>
            <w:gridSpan w:val="10"/>
          </w:tcPr>
          <w:p>
            <w:pPr>
              <w:spacing w:after="0" w:line="129" w:lineRule="exact"/>
              <w:rPr>
                <w:rFonts w:ascii="Times New Roman" w:cs="Times New Roman" w:eastAsia="Times New Roman" w:hAnsi="Times New Roman"/>
                <w:sz w:val="14"/>
                <w:szCs w:val="14"/>
                <w:color w:val="0000FF"/>
                <w:w w:val="99"/>
              </w:rPr>
            </w:pPr>
            <w:hyperlink r:id="rId105">
              <w:r>
                <w:rPr>
                  <w:rFonts w:ascii="Times New Roman" w:cs="Times New Roman" w:eastAsia="Times New Roman" w:hAnsi="Times New Roman"/>
                  <w:sz w:val="14"/>
                  <w:szCs w:val="14"/>
                  <w:color w:val="0000FF"/>
                  <w:w w:val="99"/>
                </w:rPr>
                <w:t>Limited and LifeVantage Japan in US/English Format</w:t>
              </w:r>
            </w:hyperlink>
          </w:p>
        </w:tc>
        <w:tc>
          <w:tcPr>
            <w:tcW w:w="1840" w:type="dxa"/>
            <w:vAlign w:val="bottom"/>
            <w:tcBorders>
              <w:top w:val="single" w:sz="8" w:color="0000FF"/>
            </w:tcBorders>
            <w:gridSpan w:val="4"/>
          </w:tcPr>
          <w:p>
            <w:pPr>
              <w:spacing w:after="0"/>
              <w:rPr>
                <w:sz w:val="11"/>
                <w:szCs w:val="11"/>
                <w:color w:val="auto"/>
              </w:rPr>
            </w:pPr>
          </w:p>
        </w:tc>
        <w:tc>
          <w:tcPr>
            <w:tcW w:w="40" w:type="dxa"/>
            <w:vAlign w:val="bottom"/>
            <w:gridSpan w:val="2"/>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r>
      <w:tr>
        <w:trPr>
          <w:trHeight w:val="288"/>
        </w:trPr>
        <w:tc>
          <w:tcPr>
            <w:tcW w:w="1100" w:type="dxa"/>
            <w:vAlign w:val="bottom"/>
          </w:tcPr>
          <w:p>
            <w:pPr>
              <w:spacing w:after="0"/>
              <w:rPr>
                <w:sz w:val="20"/>
                <w:szCs w:val="20"/>
                <w:color w:val="auto"/>
              </w:rPr>
            </w:pPr>
            <w:r>
              <w:rPr>
                <w:rFonts w:ascii="Times New Roman" w:cs="Times New Roman" w:eastAsia="Times New Roman" w:hAnsi="Times New Roman"/>
                <w:sz w:val="14"/>
                <w:szCs w:val="14"/>
                <w:color w:val="auto"/>
              </w:rPr>
              <w:t>10.21*</w:t>
            </w:r>
          </w:p>
        </w:tc>
        <w:tc>
          <w:tcPr>
            <w:tcW w:w="5020" w:type="dxa"/>
            <w:vAlign w:val="bottom"/>
            <w:gridSpan w:val="21"/>
          </w:tcPr>
          <w:p>
            <w:pPr>
              <w:spacing w:after="0"/>
              <w:rPr>
                <w:rFonts w:ascii="Times New Roman" w:cs="Times New Roman" w:eastAsia="Times New Roman" w:hAnsi="Times New Roman"/>
                <w:sz w:val="14"/>
                <w:szCs w:val="14"/>
                <w:color w:val="0000FF"/>
              </w:rPr>
            </w:pPr>
            <w:hyperlink r:id="rId106">
              <w:r>
                <w:rPr>
                  <w:rFonts w:ascii="Times New Roman" w:cs="Times New Roman" w:eastAsia="Times New Roman" w:hAnsi="Times New Roman"/>
                  <w:sz w:val="14"/>
                  <w:szCs w:val="14"/>
                  <w:color w:val="0000FF"/>
                </w:rPr>
                <w:t>Commercial Supply Agreement, dated January 31, 2014, by and between the Company</w:t>
              </w:r>
            </w:hyperlink>
          </w:p>
        </w:tc>
      </w:tr>
      <w:tr>
        <w:trPr>
          <w:trHeight w:val="129"/>
        </w:trPr>
        <w:tc>
          <w:tcPr>
            <w:tcW w:w="1100" w:type="dxa"/>
            <w:vAlign w:val="bottom"/>
          </w:tcPr>
          <w:p>
            <w:pPr>
              <w:spacing w:after="0"/>
              <w:rPr>
                <w:sz w:val="11"/>
                <w:szCs w:val="11"/>
                <w:color w:val="auto"/>
              </w:rPr>
            </w:pPr>
          </w:p>
        </w:tc>
        <w:tc>
          <w:tcPr>
            <w:tcW w:w="1700" w:type="dxa"/>
            <w:vAlign w:val="bottom"/>
            <w:tcBorders>
              <w:top w:val="single" w:sz="8" w:color="0000FF"/>
              <w:bottom w:val="single" w:sz="8" w:color="0000FF"/>
            </w:tcBorders>
            <w:gridSpan w:val="7"/>
          </w:tcPr>
          <w:p>
            <w:pPr>
              <w:spacing w:after="0" w:line="129" w:lineRule="exact"/>
              <w:rPr>
                <w:rFonts w:ascii="Times New Roman" w:cs="Times New Roman" w:eastAsia="Times New Roman" w:hAnsi="Times New Roman"/>
                <w:sz w:val="14"/>
                <w:szCs w:val="14"/>
                <w:color w:val="0000FF"/>
                <w:w w:val="99"/>
              </w:rPr>
            </w:pPr>
            <w:hyperlink r:id="rId106">
              <w:r>
                <w:rPr>
                  <w:rFonts w:ascii="Times New Roman" w:cs="Times New Roman" w:eastAsia="Times New Roman" w:hAnsi="Times New Roman"/>
                  <w:sz w:val="14"/>
                  <w:szCs w:val="14"/>
                  <w:color w:val="0000FF"/>
                  <w:w w:val="99"/>
                </w:rPr>
                <w:t>and Deseret Laboratories, Inc.</w:t>
              </w:r>
            </w:hyperlink>
          </w:p>
        </w:tc>
        <w:tc>
          <w:tcPr>
            <w:tcW w:w="3260" w:type="dxa"/>
            <w:vAlign w:val="bottom"/>
            <w:tcBorders>
              <w:top w:val="single" w:sz="8" w:color="0000FF"/>
            </w:tcBorders>
            <w:gridSpan w:val="11"/>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r>
      <w:tr>
        <w:trPr>
          <w:trHeight w:val="288"/>
        </w:trPr>
        <w:tc>
          <w:tcPr>
            <w:tcW w:w="1100" w:type="dxa"/>
            <w:vAlign w:val="bottom"/>
          </w:tcPr>
          <w:p>
            <w:pPr>
              <w:spacing w:after="0"/>
              <w:rPr>
                <w:sz w:val="20"/>
                <w:szCs w:val="20"/>
                <w:color w:val="auto"/>
              </w:rPr>
            </w:pPr>
            <w:r>
              <w:rPr>
                <w:rFonts w:ascii="Times New Roman" w:cs="Times New Roman" w:eastAsia="Times New Roman" w:hAnsi="Times New Roman"/>
                <w:sz w:val="14"/>
                <w:szCs w:val="14"/>
                <w:color w:val="auto"/>
              </w:rPr>
              <w:t>10.22*</w:t>
            </w:r>
          </w:p>
        </w:tc>
        <w:tc>
          <w:tcPr>
            <w:tcW w:w="5020" w:type="dxa"/>
            <w:vAlign w:val="bottom"/>
            <w:gridSpan w:val="21"/>
          </w:tcPr>
          <w:p>
            <w:pPr>
              <w:spacing w:after="0"/>
              <w:rPr>
                <w:rFonts w:ascii="Times New Roman" w:cs="Times New Roman" w:eastAsia="Times New Roman" w:hAnsi="Times New Roman"/>
                <w:sz w:val="14"/>
                <w:szCs w:val="14"/>
                <w:color w:val="0000FF"/>
              </w:rPr>
            </w:pPr>
            <w:hyperlink r:id="rId107">
              <w:r>
                <w:rPr>
                  <w:rFonts w:ascii="Times New Roman" w:cs="Times New Roman" w:eastAsia="Times New Roman" w:hAnsi="Times New Roman"/>
                  <w:sz w:val="14"/>
                  <w:szCs w:val="14"/>
                  <w:color w:val="0000FF"/>
                </w:rPr>
                <w:t>Service Agreement, dated June 1, 2014, by and between IntegraCore, LLC and the</w:t>
              </w:r>
            </w:hyperlink>
          </w:p>
        </w:tc>
      </w:tr>
      <w:tr>
        <w:trPr>
          <w:trHeight w:val="129"/>
        </w:trPr>
        <w:tc>
          <w:tcPr>
            <w:tcW w:w="1100" w:type="dxa"/>
            <w:vAlign w:val="bottom"/>
          </w:tcPr>
          <w:p>
            <w:pPr>
              <w:spacing w:after="0"/>
              <w:rPr>
                <w:sz w:val="11"/>
                <w:szCs w:val="11"/>
                <w:color w:val="auto"/>
              </w:rPr>
            </w:pPr>
          </w:p>
        </w:tc>
        <w:tc>
          <w:tcPr>
            <w:tcW w:w="4660" w:type="dxa"/>
            <w:vAlign w:val="bottom"/>
            <w:tcBorders>
              <w:top w:val="single" w:sz="8" w:color="0000FF"/>
            </w:tcBorders>
            <w:gridSpan w:val="11"/>
          </w:tcPr>
          <w:p>
            <w:pPr>
              <w:spacing w:after="0" w:line="129" w:lineRule="exact"/>
              <w:rPr>
                <w:rFonts w:ascii="Times New Roman" w:cs="Times New Roman" w:eastAsia="Times New Roman" w:hAnsi="Times New Roman"/>
                <w:sz w:val="14"/>
                <w:szCs w:val="14"/>
                <w:color w:val="0000FF"/>
              </w:rPr>
            </w:pPr>
            <w:hyperlink r:id="rId107">
              <w:r>
                <w:rPr>
                  <w:rFonts w:ascii="Times New Roman" w:cs="Times New Roman" w:eastAsia="Times New Roman" w:hAnsi="Times New Roman"/>
                  <w:sz w:val="14"/>
                  <w:szCs w:val="14"/>
                  <w:color w:val="0000FF"/>
                </w:rPr>
                <w:t>Company</w:t>
              </w:r>
            </w:hyperlink>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gridSpan w:val="3"/>
          </w:tcPr>
          <w:p>
            <w:pPr>
              <w:spacing w:after="0"/>
              <w:rPr>
                <w:sz w:val="11"/>
                <w:szCs w:val="11"/>
                <w:color w:val="auto"/>
              </w:rPr>
            </w:pPr>
          </w:p>
        </w:tc>
        <w:tc>
          <w:tcPr>
            <w:tcW w:w="60" w:type="dxa"/>
            <w:vAlign w:val="bottom"/>
            <w:gridSpan w:val="3"/>
          </w:tcPr>
          <w:p>
            <w:pPr>
              <w:spacing w:after="0"/>
              <w:rPr>
                <w:sz w:val="11"/>
                <w:szCs w:val="11"/>
                <w:color w:val="auto"/>
              </w:rPr>
            </w:pPr>
          </w:p>
        </w:tc>
        <w:tc>
          <w:tcPr>
            <w:tcW w:w="40" w:type="dxa"/>
            <w:vAlign w:val="bottom"/>
            <w:gridSpan w:val="2"/>
          </w:tcPr>
          <w:p>
            <w:pPr>
              <w:spacing w:after="0"/>
              <w:rPr>
                <w:sz w:val="11"/>
                <w:szCs w:val="11"/>
                <w:color w:val="auto"/>
              </w:rPr>
            </w:pPr>
          </w:p>
        </w:tc>
      </w:tr>
      <w:tr>
        <w:trPr>
          <w:trHeight w:val="20"/>
        </w:trPr>
        <w:tc>
          <w:tcPr>
            <w:tcW w:w="110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72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88"/>
        </w:trPr>
        <w:tc>
          <w:tcPr>
            <w:tcW w:w="1100" w:type="dxa"/>
            <w:vAlign w:val="bottom"/>
          </w:tcPr>
          <w:p>
            <w:pPr>
              <w:spacing w:after="0"/>
              <w:rPr>
                <w:sz w:val="20"/>
                <w:szCs w:val="20"/>
                <w:color w:val="auto"/>
              </w:rPr>
            </w:pPr>
            <w:r>
              <w:rPr>
                <w:rFonts w:ascii="Times New Roman" w:cs="Times New Roman" w:eastAsia="Times New Roman" w:hAnsi="Times New Roman"/>
                <w:sz w:val="14"/>
                <w:szCs w:val="14"/>
                <w:color w:val="auto"/>
              </w:rPr>
              <w:t>10.23*</w:t>
            </w:r>
          </w:p>
        </w:tc>
        <w:tc>
          <w:tcPr>
            <w:tcW w:w="5020" w:type="dxa"/>
            <w:vAlign w:val="bottom"/>
            <w:gridSpan w:val="21"/>
          </w:tcPr>
          <w:p>
            <w:pPr>
              <w:spacing w:after="0"/>
              <w:rPr>
                <w:rFonts w:ascii="Times New Roman" w:cs="Times New Roman" w:eastAsia="Times New Roman" w:hAnsi="Times New Roman"/>
                <w:sz w:val="14"/>
                <w:szCs w:val="14"/>
                <w:color w:val="0000FF"/>
              </w:rPr>
            </w:pPr>
            <w:hyperlink r:id="rId108">
              <w:r>
                <w:rPr>
                  <w:rFonts w:ascii="Times New Roman" w:cs="Times New Roman" w:eastAsia="Times New Roman" w:hAnsi="Times New Roman"/>
                  <w:sz w:val="14"/>
                  <w:szCs w:val="14"/>
                  <w:color w:val="0000FF"/>
                </w:rPr>
                <w:t>Commercial Supply Agreement, dated May 30, 2014, by and between the Company</w:t>
              </w:r>
            </w:hyperlink>
          </w:p>
        </w:tc>
      </w:tr>
      <w:tr>
        <w:trPr>
          <w:trHeight w:val="129"/>
        </w:trPr>
        <w:tc>
          <w:tcPr>
            <w:tcW w:w="1100" w:type="dxa"/>
            <w:vAlign w:val="bottom"/>
          </w:tcPr>
          <w:p>
            <w:pPr>
              <w:spacing w:after="0"/>
              <w:rPr>
                <w:sz w:val="11"/>
                <w:szCs w:val="11"/>
                <w:color w:val="auto"/>
              </w:rPr>
            </w:pPr>
          </w:p>
        </w:tc>
        <w:tc>
          <w:tcPr>
            <w:tcW w:w="1980" w:type="dxa"/>
            <w:vAlign w:val="bottom"/>
            <w:tcBorders>
              <w:top w:val="single" w:sz="8" w:color="0000FF"/>
              <w:bottom w:val="single" w:sz="8" w:color="0000FF"/>
            </w:tcBorders>
            <w:gridSpan w:val="8"/>
          </w:tcPr>
          <w:p>
            <w:pPr>
              <w:spacing w:after="0" w:line="129" w:lineRule="exact"/>
              <w:rPr>
                <w:rFonts w:ascii="Times New Roman" w:cs="Times New Roman" w:eastAsia="Times New Roman" w:hAnsi="Times New Roman"/>
                <w:sz w:val="14"/>
                <w:szCs w:val="14"/>
                <w:color w:val="0000FF"/>
                <w:w w:val="99"/>
              </w:rPr>
            </w:pPr>
            <w:hyperlink r:id="rId108">
              <w:r>
                <w:rPr>
                  <w:rFonts w:ascii="Times New Roman" w:cs="Times New Roman" w:eastAsia="Times New Roman" w:hAnsi="Times New Roman"/>
                  <w:sz w:val="14"/>
                  <w:szCs w:val="14"/>
                  <w:color w:val="0000FF"/>
                  <w:w w:val="99"/>
                </w:rPr>
                <w:t>and Wasatch Product Development</w:t>
              </w:r>
            </w:hyperlink>
          </w:p>
        </w:tc>
        <w:tc>
          <w:tcPr>
            <w:tcW w:w="2760" w:type="dxa"/>
            <w:vAlign w:val="bottom"/>
            <w:tcBorders>
              <w:top w:val="single" w:sz="8" w:color="0000FF"/>
            </w:tcBorders>
            <w:gridSpan w:val="4"/>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gridSpan w:val="3"/>
          </w:tcPr>
          <w:p>
            <w:pPr>
              <w:spacing w:after="0"/>
              <w:rPr>
                <w:sz w:val="11"/>
                <w:szCs w:val="11"/>
                <w:color w:val="auto"/>
              </w:rPr>
            </w:pPr>
          </w:p>
        </w:tc>
        <w:tc>
          <w:tcPr>
            <w:tcW w:w="60" w:type="dxa"/>
            <w:vAlign w:val="bottom"/>
            <w:gridSpan w:val="3"/>
          </w:tcPr>
          <w:p>
            <w:pPr>
              <w:spacing w:after="0"/>
              <w:rPr>
                <w:sz w:val="11"/>
                <w:szCs w:val="11"/>
                <w:color w:val="auto"/>
              </w:rPr>
            </w:pPr>
          </w:p>
        </w:tc>
        <w:tc>
          <w:tcPr>
            <w:tcW w:w="40" w:type="dxa"/>
            <w:vAlign w:val="bottom"/>
            <w:gridSpan w:val="2"/>
          </w:tcPr>
          <w:p>
            <w:pPr>
              <w:spacing w:after="0"/>
              <w:rPr>
                <w:sz w:val="11"/>
                <w:szCs w:val="11"/>
                <w:color w:val="auto"/>
              </w:rPr>
            </w:pPr>
          </w:p>
        </w:tc>
      </w:tr>
      <w:tr>
        <w:trPr>
          <w:trHeight w:val="288"/>
        </w:trPr>
        <w:tc>
          <w:tcPr>
            <w:tcW w:w="1100" w:type="dxa"/>
            <w:vAlign w:val="bottom"/>
          </w:tcPr>
          <w:p>
            <w:pPr>
              <w:spacing w:after="0"/>
              <w:rPr>
                <w:sz w:val="20"/>
                <w:szCs w:val="20"/>
                <w:color w:val="auto"/>
              </w:rPr>
            </w:pPr>
            <w:r>
              <w:rPr>
                <w:rFonts w:ascii="Times New Roman" w:cs="Times New Roman" w:eastAsia="Times New Roman" w:hAnsi="Times New Roman"/>
                <w:sz w:val="14"/>
                <w:szCs w:val="14"/>
                <w:color w:val="auto"/>
              </w:rPr>
              <w:t>21.1</w:t>
            </w:r>
          </w:p>
        </w:tc>
        <w:tc>
          <w:tcPr>
            <w:tcW w:w="110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4"/>
                <w:szCs w:val="14"/>
                <w:color w:val="0000FF"/>
                <w:w w:val="99"/>
              </w:rPr>
              <w:t>List of Subsidiaries</w:t>
            </w:r>
          </w:p>
        </w:tc>
        <w:tc>
          <w:tcPr>
            <w:tcW w:w="3920" w:type="dxa"/>
            <w:vAlign w:val="bottom"/>
            <w:gridSpan w:val="15"/>
          </w:tcPr>
          <w:p>
            <w:pPr>
              <w:spacing w:after="0"/>
              <w:rPr>
                <w:sz w:val="24"/>
                <w:szCs w:val="24"/>
                <w:color w:val="auto"/>
              </w:rPr>
            </w:pPr>
          </w:p>
        </w:tc>
      </w:tr>
      <w:tr>
        <w:trPr>
          <w:trHeight w:val="288"/>
        </w:trPr>
        <w:tc>
          <w:tcPr>
            <w:tcW w:w="1100" w:type="dxa"/>
            <w:vAlign w:val="bottom"/>
          </w:tcPr>
          <w:p>
            <w:pPr>
              <w:spacing w:after="0"/>
              <w:rPr>
                <w:sz w:val="20"/>
                <w:szCs w:val="20"/>
                <w:color w:val="auto"/>
              </w:rPr>
            </w:pPr>
            <w:r>
              <w:rPr>
                <w:rFonts w:ascii="Times New Roman" w:cs="Times New Roman" w:eastAsia="Times New Roman" w:hAnsi="Times New Roman"/>
                <w:sz w:val="14"/>
                <w:szCs w:val="14"/>
                <w:color w:val="auto"/>
              </w:rPr>
              <w:t>23.1</w:t>
            </w:r>
          </w:p>
        </w:tc>
        <w:tc>
          <w:tcPr>
            <w:tcW w:w="202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4"/>
                <w:szCs w:val="14"/>
                <w:color w:val="0000FF"/>
                <w:w w:val="99"/>
              </w:rPr>
              <w:t>Consent of Deloitte &amp; Touche, LLP</w:t>
            </w:r>
          </w:p>
        </w:tc>
        <w:tc>
          <w:tcPr>
            <w:tcW w:w="3000" w:type="dxa"/>
            <w:vAlign w:val="bottom"/>
            <w:gridSpan w:val="12"/>
          </w:tcPr>
          <w:p>
            <w:pPr>
              <w:spacing w:after="0"/>
              <w:rPr>
                <w:sz w:val="24"/>
                <w:szCs w:val="24"/>
                <w:color w:val="auto"/>
              </w:rPr>
            </w:pPr>
          </w:p>
        </w:tc>
      </w:tr>
      <w:tr>
        <w:trPr>
          <w:trHeight w:val="319"/>
        </w:trPr>
        <w:tc>
          <w:tcPr>
            <w:tcW w:w="1100" w:type="dxa"/>
            <w:vAlign w:val="bottom"/>
          </w:tcPr>
          <w:p>
            <w:pPr>
              <w:spacing w:after="0"/>
              <w:rPr>
                <w:sz w:val="20"/>
                <w:szCs w:val="20"/>
                <w:color w:val="auto"/>
              </w:rPr>
            </w:pPr>
            <w:r>
              <w:rPr>
                <w:rFonts w:ascii="Times New Roman" w:cs="Times New Roman" w:eastAsia="Times New Roman" w:hAnsi="Times New Roman"/>
                <w:sz w:val="14"/>
                <w:szCs w:val="14"/>
                <w:color w:val="auto"/>
              </w:rPr>
              <w:t>24.1</w:t>
            </w:r>
          </w:p>
        </w:tc>
        <w:tc>
          <w:tcPr>
            <w:tcW w:w="5020" w:type="dxa"/>
            <w:vAlign w:val="bottom"/>
            <w:gridSpan w:val="21"/>
          </w:tcPr>
          <w:p>
            <w:pPr>
              <w:spacing w:after="0"/>
              <w:rPr>
                <w:sz w:val="20"/>
                <w:szCs w:val="20"/>
                <w:color w:val="auto"/>
              </w:rPr>
            </w:pPr>
            <w:r>
              <w:rPr>
                <w:rFonts w:ascii="Times New Roman" w:cs="Times New Roman" w:eastAsia="Times New Roman" w:hAnsi="Times New Roman"/>
                <w:sz w:val="14"/>
                <w:szCs w:val="14"/>
                <w:color w:val="auto"/>
              </w:rPr>
              <w:t>Power of Attorney</w:t>
            </w:r>
          </w:p>
        </w:tc>
      </w:tr>
      <w:tr>
        <w:trPr>
          <w:trHeight w:val="276"/>
        </w:trPr>
        <w:tc>
          <w:tcPr>
            <w:tcW w:w="1100" w:type="dxa"/>
            <w:vAlign w:val="bottom"/>
          </w:tcPr>
          <w:p>
            <w:pPr>
              <w:spacing w:after="0"/>
              <w:rPr>
                <w:sz w:val="20"/>
                <w:szCs w:val="20"/>
                <w:color w:val="auto"/>
              </w:rPr>
            </w:pPr>
            <w:r>
              <w:rPr>
                <w:rFonts w:ascii="Times New Roman" w:cs="Times New Roman" w:eastAsia="Times New Roman" w:hAnsi="Times New Roman"/>
                <w:sz w:val="14"/>
                <w:szCs w:val="14"/>
                <w:color w:val="auto"/>
              </w:rPr>
              <w:t>31.1</w:t>
            </w:r>
          </w:p>
        </w:tc>
        <w:tc>
          <w:tcPr>
            <w:tcW w:w="5020" w:type="dxa"/>
            <w:vAlign w:val="bottom"/>
            <w:gridSpan w:val="21"/>
          </w:tcPr>
          <w:p>
            <w:pPr>
              <w:spacing w:after="0"/>
              <w:rPr>
                <w:sz w:val="20"/>
                <w:szCs w:val="20"/>
                <w:color w:val="auto"/>
              </w:rPr>
            </w:pPr>
            <w:r>
              <w:rPr>
                <w:rFonts w:ascii="Times New Roman" w:cs="Times New Roman" w:eastAsia="Times New Roman" w:hAnsi="Times New Roman"/>
                <w:sz w:val="14"/>
                <w:szCs w:val="14"/>
                <w:color w:val="0000FF"/>
              </w:rPr>
              <w:t>Certification of Chief Executive Officer pursuant to Section 302 of the Sarbanes-Oxley</w:t>
            </w:r>
          </w:p>
        </w:tc>
      </w:tr>
      <w:tr>
        <w:trPr>
          <w:trHeight w:val="129"/>
        </w:trPr>
        <w:tc>
          <w:tcPr>
            <w:tcW w:w="1100" w:type="dxa"/>
            <w:vAlign w:val="bottom"/>
          </w:tcPr>
          <w:p>
            <w:pPr>
              <w:spacing w:after="0"/>
              <w:rPr>
                <w:sz w:val="11"/>
                <w:szCs w:val="11"/>
                <w:color w:val="auto"/>
              </w:rPr>
            </w:pPr>
          </w:p>
        </w:tc>
        <w:tc>
          <w:tcPr>
            <w:tcW w:w="4980" w:type="dxa"/>
            <w:vAlign w:val="bottom"/>
            <w:tcBorders>
              <w:top w:val="single" w:sz="8" w:color="0000FF"/>
            </w:tcBorders>
            <w:gridSpan w:val="19"/>
          </w:tcPr>
          <w:p>
            <w:pPr>
              <w:spacing w:after="0" w:line="129" w:lineRule="exact"/>
              <w:rPr>
                <w:sz w:val="20"/>
                <w:szCs w:val="20"/>
                <w:color w:val="auto"/>
              </w:rPr>
            </w:pPr>
            <w:r>
              <w:rPr>
                <w:rFonts w:ascii="Times New Roman" w:cs="Times New Roman" w:eastAsia="Times New Roman" w:hAnsi="Times New Roman"/>
                <w:sz w:val="14"/>
                <w:szCs w:val="14"/>
                <w:color w:val="0000FF"/>
              </w:rPr>
              <w:t>Act of 2002.</w:t>
            </w:r>
          </w:p>
        </w:tc>
        <w:tc>
          <w:tcPr>
            <w:tcW w:w="40" w:type="dxa"/>
            <w:vAlign w:val="bottom"/>
            <w:gridSpan w:val="2"/>
          </w:tcPr>
          <w:p>
            <w:pPr>
              <w:spacing w:after="0"/>
              <w:rPr>
                <w:sz w:val="11"/>
                <w:szCs w:val="11"/>
                <w:color w:val="auto"/>
              </w:rPr>
            </w:pPr>
          </w:p>
        </w:tc>
      </w:tr>
      <w:tr>
        <w:trPr>
          <w:trHeight w:val="20"/>
        </w:trPr>
        <w:tc>
          <w:tcPr>
            <w:tcW w:w="110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4160" w:type="dxa"/>
            <w:vAlign w:val="bottom"/>
            <w:gridSpan w:val="10"/>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r>
      <w:tr>
        <w:trPr>
          <w:trHeight w:val="288"/>
        </w:trPr>
        <w:tc>
          <w:tcPr>
            <w:tcW w:w="1100" w:type="dxa"/>
            <w:vAlign w:val="bottom"/>
          </w:tcPr>
          <w:p>
            <w:pPr>
              <w:spacing w:after="0"/>
              <w:rPr>
                <w:sz w:val="20"/>
                <w:szCs w:val="20"/>
                <w:color w:val="auto"/>
              </w:rPr>
            </w:pPr>
            <w:r>
              <w:rPr>
                <w:rFonts w:ascii="Times New Roman" w:cs="Times New Roman" w:eastAsia="Times New Roman" w:hAnsi="Times New Roman"/>
                <w:sz w:val="14"/>
                <w:szCs w:val="14"/>
                <w:color w:val="auto"/>
              </w:rPr>
              <w:t>31.2</w:t>
            </w:r>
          </w:p>
        </w:tc>
        <w:tc>
          <w:tcPr>
            <w:tcW w:w="5020" w:type="dxa"/>
            <w:vAlign w:val="bottom"/>
            <w:gridSpan w:val="21"/>
          </w:tcPr>
          <w:p>
            <w:pPr>
              <w:spacing w:after="0"/>
              <w:rPr>
                <w:sz w:val="20"/>
                <w:szCs w:val="20"/>
                <w:color w:val="auto"/>
              </w:rPr>
            </w:pPr>
            <w:r>
              <w:rPr>
                <w:rFonts w:ascii="Times New Roman" w:cs="Times New Roman" w:eastAsia="Times New Roman" w:hAnsi="Times New Roman"/>
                <w:sz w:val="14"/>
                <w:szCs w:val="14"/>
                <w:color w:val="0000FF"/>
              </w:rPr>
              <w:t>Certification of Chief Financial Officer pursuant to Section 302 of the Sarbanes-Oxley</w:t>
            </w:r>
          </w:p>
        </w:tc>
      </w:tr>
      <w:tr>
        <w:trPr>
          <w:trHeight w:val="129"/>
        </w:trPr>
        <w:tc>
          <w:tcPr>
            <w:tcW w:w="1100" w:type="dxa"/>
            <w:vAlign w:val="bottom"/>
          </w:tcPr>
          <w:p>
            <w:pPr>
              <w:spacing w:after="0"/>
              <w:rPr>
                <w:sz w:val="11"/>
                <w:szCs w:val="11"/>
                <w:color w:val="auto"/>
              </w:rPr>
            </w:pPr>
          </w:p>
        </w:tc>
        <w:tc>
          <w:tcPr>
            <w:tcW w:w="4920" w:type="dxa"/>
            <w:vAlign w:val="bottom"/>
            <w:tcBorders>
              <w:top w:val="single" w:sz="8" w:color="0000FF"/>
            </w:tcBorders>
            <w:gridSpan w:val="16"/>
          </w:tcPr>
          <w:p>
            <w:pPr>
              <w:spacing w:after="0" w:line="129" w:lineRule="exact"/>
              <w:rPr>
                <w:sz w:val="20"/>
                <w:szCs w:val="20"/>
                <w:color w:val="auto"/>
              </w:rPr>
            </w:pPr>
            <w:r>
              <w:rPr>
                <w:rFonts w:ascii="Times New Roman" w:cs="Times New Roman" w:eastAsia="Times New Roman" w:hAnsi="Times New Roman"/>
                <w:sz w:val="14"/>
                <w:szCs w:val="14"/>
                <w:color w:val="0000FF"/>
              </w:rPr>
              <w:t>Act of 2002.</w:t>
            </w:r>
          </w:p>
        </w:tc>
        <w:tc>
          <w:tcPr>
            <w:tcW w:w="100" w:type="dxa"/>
            <w:vAlign w:val="bottom"/>
            <w:gridSpan w:val="5"/>
          </w:tcPr>
          <w:p>
            <w:pPr>
              <w:spacing w:after="0"/>
              <w:rPr>
                <w:sz w:val="11"/>
                <w:szCs w:val="11"/>
                <w:color w:val="auto"/>
              </w:rPr>
            </w:pPr>
          </w:p>
        </w:tc>
      </w:tr>
      <w:tr>
        <w:trPr>
          <w:trHeight w:val="20"/>
        </w:trPr>
        <w:tc>
          <w:tcPr>
            <w:tcW w:w="110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4160" w:type="dxa"/>
            <w:vAlign w:val="bottom"/>
            <w:gridSpan w:val="10"/>
          </w:tcPr>
          <w:p>
            <w:pPr>
              <w:spacing w:after="0" w:line="20" w:lineRule="exact"/>
              <w:rPr>
                <w:sz w:val="1"/>
                <w:szCs w:val="1"/>
                <w:color w:val="auto"/>
              </w:rPr>
            </w:pPr>
          </w:p>
        </w:tc>
        <w:tc>
          <w:tcPr>
            <w:tcW w:w="160" w:type="dxa"/>
            <w:vAlign w:val="bottom"/>
            <w:gridSpan w:val="8"/>
          </w:tcPr>
          <w:p>
            <w:pPr>
              <w:spacing w:after="0" w:line="20" w:lineRule="exact"/>
              <w:rPr>
                <w:sz w:val="1"/>
                <w:szCs w:val="1"/>
                <w:color w:val="auto"/>
              </w:rPr>
            </w:pPr>
          </w:p>
        </w:tc>
      </w:tr>
      <w:tr>
        <w:trPr>
          <w:trHeight w:val="288"/>
        </w:trPr>
        <w:tc>
          <w:tcPr>
            <w:tcW w:w="1100" w:type="dxa"/>
            <w:vAlign w:val="bottom"/>
          </w:tcPr>
          <w:p>
            <w:pPr>
              <w:spacing w:after="0"/>
              <w:rPr>
                <w:sz w:val="20"/>
                <w:szCs w:val="20"/>
                <w:color w:val="auto"/>
              </w:rPr>
            </w:pPr>
            <w:r>
              <w:rPr>
                <w:rFonts w:ascii="Times New Roman" w:cs="Times New Roman" w:eastAsia="Times New Roman" w:hAnsi="Times New Roman"/>
                <w:sz w:val="14"/>
                <w:szCs w:val="14"/>
                <w:color w:val="auto"/>
              </w:rPr>
              <w:t>32.1</w:t>
            </w:r>
          </w:p>
        </w:tc>
        <w:tc>
          <w:tcPr>
            <w:tcW w:w="5020" w:type="dxa"/>
            <w:vAlign w:val="bottom"/>
            <w:gridSpan w:val="21"/>
          </w:tcPr>
          <w:p>
            <w:pPr>
              <w:spacing w:after="0"/>
              <w:rPr>
                <w:sz w:val="20"/>
                <w:szCs w:val="20"/>
                <w:color w:val="auto"/>
              </w:rPr>
            </w:pPr>
            <w:r>
              <w:rPr>
                <w:rFonts w:ascii="Times New Roman" w:cs="Times New Roman" w:eastAsia="Times New Roman" w:hAnsi="Times New Roman"/>
                <w:sz w:val="14"/>
                <w:szCs w:val="14"/>
                <w:color w:val="0000FF"/>
              </w:rPr>
              <w:t>Certification of Chief Executive Officer pursuant to Section 906 of the Sarbanes-Oxley</w:t>
            </w:r>
          </w:p>
        </w:tc>
      </w:tr>
      <w:tr>
        <w:trPr>
          <w:trHeight w:val="129"/>
        </w:trPr>
        <w:tc>
          <w:tcPr>
            <w:tcW w:w="1100" w:type="dxa"/>
            <w:vAlign w:val="bottom"/>
          </w:tcPr>
          <w:p>
            <w:pPr>
              <w:spacing w:after="0"/>
              <w:rPr>
                <w:sz w:val="11"/>
                <w:szCs w:val="11"/>
                <w:color w:val="auto"/>
              </w:rPr>
            </w:pPr>
          </w:p>
        </w:tc>
        <w:tc>
          <w:tcPr>
            <w:tcW w:w="4980" w:type="dxa"/>
            <w:vAlign w:val="bottom"/>
            <w:tcBorders>
              <w:top w:val="single" w:sz="8" w:color="0000FF"/>
            </w:tcBorders>
            <w:gridSpan w:val="19"/>
          </w:tcPr>
          <w:p>
            <w:pPr>
              <w:spacing w:after="0" w:line="129" w:lineRule="exact"/>
              <w:rPr>
                <w:sz w:val="20"/>
                <w:szCs w:val="20"/>
                <w:color w:val="auto"/>
              </w:rPr>
            </w:pPr>
            <w:r>
              <w:rPr>
                <w:rFonts w:ascii="Times New Roman" w:cs="Times New Roman" w:eastAsia="Times New Roman" w:hAnsi="Times New Roman"/>
                <w:sz w:val="14"/>
                <w:szCs w:val="14"/>
                <w:color w:val="0000FF"/>
              </w:rPr>
              <w:t>Act of 2002.</w:t>
            </w:r>
          </w:p>
        </w:tc>
        <w:tc>
          <w:tcPr>
            <w:tcW w:w="40" w:type="dxa"/>
            <w:vAlign w:val="bottom"/>
            <w:gridSpan w:val="2"/>
          </w:tcPr>
          <w:p>
            <w:pPr>
              <w:spacing w:after="0"/>
              <w:rPr>
                <w:sz w:val="11"/>
                <w:szCs w:val="11"/>
                <w:color w:val="auto"/>
              </w:rPr>
            </w:pPr>
          </w:p>
        </w:tc>
      </w:tr>
      <w:tr>
        <w:trPr>
          <w:trHeight w:val="20"/>
        </w:trPr>
        <w:tc>
          <w:tcPr>
            <w:tcW w:w="110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4160" w:type="dxa"/>
            <w:vAlign w:val="bottom"/>
            <w:gridSpan w:val="10"/>
          </w:tcPr>
          <w:p>
            <w:pPr>
              <w:spacing w:after="0" w:line="20" w:lineRule="exact"/>
              <w:rPr>
                <w:sz w:val="1"/>
                <w:szCs w:val="1"/>
                <w:color w:val="auto"/>
              </w:rPr>
            </w:pPr>
          </w:p>
        </w:tc>
        <w:tc>
          <w:tcPr>
            <w:tcW w:w="160" w:type="dxa"/>
            <w:vAlign w:val="bottom"/>
            <w:gridSpan w:val="8"/>
          </w:tcPr>
          <w:p>
            <w:pPr>
              <w:spacing w:after="0" w:line="20" w:lineRule="exact"/>
              <w:rPr>
                <w:sz w:val="1"/>
                <w:szCs w:val="1"/>
                <w:color w:val="auto"/>
              </w:rPr>
            </w:pPr>
          </w:p>
        </w:tc>
      </w:tr>
      <w:tr>
        <w:trPr>
          <w:trHeight w:val="288"/>
        </w:trPr>
        <w:tc>
          <w:tcPr>
            <w:tcW w:w="1100" w:type="dxa"/>
            <w:vAlign w:val="bottom"/>
          </w:tcPr>
          <w:p>
            <w:pPr>
              <w:spacing w:after="0"/>
              <w:rPr>
                <w:sz w:val="20"/>
                <w:szCs w:val="20"/>
                <w:color w:val="auto"/>
              </w:rPr>
            </w:pPr>
            <w:r>
              <w:rPr>
                <w:rFonts w:ascii="Times New Roman" w:cs="Times New Roman" w:eastAsia="Times New Roman" w:hAnsi="Times New Roman"/>
                <w:sz w:val="14"/>
                <w:szCs w:val="14"/>
                <w:color w:val="auto"/>
              </w:rPr>
              <w:t>32.2</w:t>
            </w:r>
          </w:p>
        </w:tc>
        <w:tc>
          <w:tcPr>
            <w:tcW w:w="5020" w:type="dxa"/>
            <w:vAlign w:val="bottom"/>
            <w:gridSpan w:val="21"/>
          </w:tcPr>
          <w:p>
            <w:pPr>
              <w:spacing w:after="0"/>
              <w:rPr>
                <w:sz w:val="20"/>
                <w:szCs w:val="20"/>
                <w:color w:val="auto"/>
              </w:rPr>
            </w:pPr>
            <w:r>
              <w:rPr>
                <w:rFonts w:ascii="Times New Roman" w:cs="Times New Roman" w:eastAsia="Times New Roman" w:hAnsi="Times New Roman"/>
                <w:sz w:val="14"/>
                <w:szCs w:val="14"/>
                <w:color w:val="0000FF"/>
              </w:rPr>
              <w:t>Certification of Chief Financial Officer pursuant to Section 906 of the Sarbanes-Oxley</w:t>
            </w:r>
          </w:p>
        </w:tc>
      </w:tr>
      <w:tr>
        <w:trPr>
          <w:trHeight w:val="129"/>
        </w:trPr>
        <w:tc>
          <w:tcPr>
            <w:tcW w:w="1100" w:type="dxa"/>
            <w:vAlign w:val="bottom"/>
          </w:tcPr>
          <w:p>
            <w:pPr>
              <w:spacing w:after="0"/>
              <w:rPr>
                <w:sz w:val="11"/>
                <w:szCs w:val="11"/>
                <w:color w:val="auto"/>
              </w:rPr>
            </w:pPr>
          </w:p>
        </w:tc>
        <w:tc>
          <w:tcPr>
            <w:tcW w:w="4920" w:type="dxa"/>
            <w:vAlign w:val="bottom"/>
            <w:tcBorders>
              <w:top w:val="single" w:sz="8" w:color="0000FF"/>
            </w:tcBorders>
            <w:gridSpan w:val="16"/>
          </w:tcPr>
          <w:p>
            <w:pPr>
              <w:spacing w:after="0" w:line="129" w:lineRule="exact"/>
              <w:rPr>
                <w:sz w:val="20"/>
                <w:szCs w:val="20"/>
                <w:color w:val="auto"/>
              </w:rPr>
            </w:pPr>
            <w:r>
              <w:rPr>
                <w:rFonts w:ascii="Times New Roman" w:cs="Times New Roman" w:eastAsia="Times New Roman" w:hAnsi="Times New Roman"/>
                <w:sz w:val="14"/>
                <w:szCs w:val="14"/>
                <w:color w:val="0000FF"/>
              </w:rPr>
              <w:t>Act of 2002.</w:t>
            </w:r>
          </w:p>
        </w:tc>
        <w:tc>
          <w:tcPr>
            <w:tcW w:w="100" w:type="dxa"/>
            <w:vAlign w:val="bottom"/>
            <w:gridSpan w:val="5"/>
          </w:tcPr>
          <w:p>
            <w:pPr>
              <w:spacing w:after="0"/>
              <w:rPr>
                <w:sz w:val="11"/>
                <w:szCs w:val="11"/>
                <w:color w:val="auto"/>
              </w:rPr>
            </w:pPr>
          </w:p>
        </w:tc>
      </w:tr>
      <w:tr>
        <w:trPr>
          <w:trHeight w:val="20"/>
        </w:trPr>
        <w:tc>
          <w:tcPr>
            <w:tcW w:w="110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4160" w:type="dxa"/>
            <w:vAlign w:val="bottom"/>
            <w:gridSpan w:val="10"/>
          </w:tcPr>
          <w:p>
            <w:pPr>
              <w:spacing w:after="0" w:line="20" w:lineRule="exact"/>
              <w:rPr>
                <w:sz w:val="1"/>
                <w:szCs w:val="1"/>
                <w:color w:val="auto"/>
              </w:rPr>
            </w:pPr>
          </w:p>
        </w:tc>
        <w:tc>
          <w:tcPr>
            <w:tcW w:w="160" w:type="dxa"/>
            <w:vAlign w:val="bottom"/>
            <w:gridSpan w:val="8"/>
          </w:tcPr>
          <w:p>
            <w:pPr>
              <w:spacing w:after="0" w:line="20" w:lineRule="exact"/>
              <w:rPr>
                <w:sz w:val="1"/>
                <w:szCs w:val="1"/>
                <w:color w:val="auto"/>
              </w:rPr>
            </w:pPr>
          </w:p>
        </w:tc>
      </w:tr>
      <w:tr>
        <w:trPr>
          <w:trHeight w:val="288"/>
        </w:trPr>
        <w:tc>
          <w:tcPr>
            <w:tcW w:w="1100" w:type="dxa"/>
            <w:vAlign w:val="bottom"/>
          </w:tcPr>
          <w:p>
            <w:pPr>
              <w:spacing w:after="0"/>
              <w:rPr>
                <w:sz w:val="20"/>
                <w:szCs w:val="20"/>
                <w:color w:val="auto"/>
              </w:rPr>
            </w:pPr>
            <w:r>
              <w:rPr>
                <w:rFonts w:ascii="Times New Roman" w:cs="Times New Roman" w:eastAsia="Times New Roman" w:hAnsi="Times New Roman"/>
                <w:sz w:val="14"/>
                <w:szCs w:val="14"/>
                <w:color w:val="auto"/>
              </w:rPr>
              <w:t>97.1</w:t>
            </w:r>
          </w:p>
        </w:tc>
        <w:tc>
          <w:tcPr>
            <w:tcW w:w="5020" w:type="dxa"/>
            <w:vAlign w:val="bottom"/>
            <w:gridSpan w:val="21"/>
          </w:tcPr>
          <w:p>
            <w:pPr>
              <w:spacing w:after="0"/>
              <w:rPr>
                <w:sz w:val="20"/>
                <w:szCs w:val="20"/>
                <w:color w:val="auto"/>
              </w:rPr>
            </w:pPr>
            <w:r>
              <w:rPr>
                <w:rFonts w:ascii="Times New Roman" w:cs="Times New Roman" w:eastAsia="Times New Roman" w:hAnsi="Times New Roman"/>
                <w:sz w:val="14"/>
                <w:szCs w:val="14"/>
                <w:color w:val="0000FF"/>
              </w:rPr>
              <w:t>Company Policy for the Recovery of Erroneously Awarded Compensation (Clawback</w:t>
            </w:r>
          </w:p>
        </w:tc>
      </w:tr>
      <w:tr>
        <w:trPr>
          <w:trHeight w:val="129"/>
        </w:trPr>
        <w:tc>
          <w:tcPr>
            <w:tcW w:w="1100" w:type="dxa"/>
            <w:vAlign w:val="bottom"/>
          </w:tcPr>
          <w:p>
            <w:pPr>
              <w:spacing w:after="0"/>
              <w:rPr>
                <w:sz w:val="11"/>
                <w:szCs w:val="11"/>
                <w:color w:val="auto"/>
              </w:rPr>
            </w:pPr>
          </w:p>
        </w:tc>
        <w:tc>
          <w:tcPr>
            <w:tcW w:w="4860" w:type="dxa"/>
            <w:vAlign w:val="bottom"/>
            <w:tcBorders>
              <w:top w:val="single" w:sz="8" w:color="0000FF"/>
            </w:tcBorders>
            <w:gridSpan w:val="13"/>
          </w:tcPr>
          <w:p>
            <w:pPr>
              <w:spacing w:after="0" w:line="129" w:lineRule="exact"/>
              <w:rPr>
                <w:sz w:val="20"/>
                <w:szCs w:val="20"/>
                <w:color w:val="auto"/>
              </w:rPr>
            </w:pPr>
            <w:r>
              <w:rPr>
                <w:rFonts w:ascii="Times New Roman" w:cs="Times New Roman" w:eastAsia="Times New Roman" w:hAnsi="Times New Roman"/>
                <w:sz w:val="14"/>
                <w:szCs w:val="14"/>
                <w:color w:val="0000FF"/>
              </w:rPr>
              <w:t>Policy)</w:t>
            </w:r>
          </w:p>
        </w:tc>
        <w:tc>
          <w:tcPr>
            <w:tcW w:w="160" w:type="dxa"/>
            <w:vAlign w:val="bottom"/>
            <w:gridSpan w:val="8"/>
          </w:tcPr>
          <w:p>
            <w:pPr>
              <w:spacing w:after="0"/>
              <w:rPr>
                <w:sz w:val="11"/>
                <w:szCs w:val="11"/>
                <w:color w:val="auto"/>
              </w:rPr>
            </w:pPr>
          </w:p>
        </w:tc>
      </w:tr>
      <w:tr>
        <w:trPr>
          <w:trHeight w:val="20"/>
        </w:trPr>
        <w:tc>
          <w:tcPr>
            <w:tcW w:w="110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44" w:lineRule="exact"/>
        <w:rPr>
          <w:sz w:val="20"/>
          <w:szCs w:val="20"/>
          <w:color w:val="auto"/>
        </w:rPr>
      </w:pPr>
    </w:p>
    <w:p>
      <w:pPr>
        <w:ind w:left="1101" w:right="40" w:hanging="1101"/>
        <w:spacing w:after="0" w:line="222" w:lineRule="auto"/>
        <w:tabs>
          <w:tab w:leader="none" w:pos="1101"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following financial information from the registrant’s Annual Report on Form 10-K for the year ended June 30, 2024 formatted in Inline XBRL (eXtensible Business Reporting Language): (i) Consolidated Balance Sheets; (ii) Consolidated Statements of Operations and Other Comprehensive Income; (iii) Consolidated Statement of Stockholders’ Deficit; (iv) Consolidated Statements of Cash Flows; and (v) Notes to Consolidated Financial Statements, tagged as blocks of text.</w:t>
      </w:r>
    </w:p>
    <w:p>
      <w:pPr>
        <w:spacing w:after="0" w:line="20" w:lineRule="exact"/>
        <w:rPr>
          <w:sz w:val="20"/>
          <w:szCs w:val="20"/>
          <w:color w:val="auto"/>
        </w:rPr>
      </w:pPr>
      <w:r>
        <w:rPr>
          <w:sz w:val="20"/>
          <w:szCs w:val="20"/>
          <w:color w:val="auto"/>
        </w:rPr>
        <w:br w:type="column"/>
      </w:r>
    </w:p>
    <w:p>
      <w:pPr>
        <w:spacing w:after="0" w:line="112"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4"/>
          <w:szCs w:val="14"/>
          <w:color w:val="auto"/>
        </w:rPr>
        <w:t>Exhibit 10.3 to Form 10-Q filed for the fiscal quarter ended March 31, 2021 filed on April 29, 2021.</w:t>
      </w:r>
    </w:p>
    <w:p>
      <w:pPr>
        <w:spacing w:after="0" w:line="114"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4"/>
          <w:szCs w:val="14"/>
          <w:color w:val="auto"/>
        </w:rPr>
        <w:t>Exhibit 10.1 to Form 10-Q filed for the fiscal quarter ended September 30, 2022 filed on November 2, 2022.</w:t>
      </w:r>
    </w:p>
    <w:p>
      <w:pPr>
        <w:spacing w:after="0" w:line="114" w:lineRule="exact"/>
        <w:rPr>
          <w:sz w:val="20"/>
          <w:szCs w:val="20"/>
          <w:color w:val="auto"/>
        </w:rPr>
      </w:pPr>
    </w:p>
    <w:p>
      <w:pPr>
        <w:ind w:right="220"/>
        <w:spacing w:after="0" w:line="255" w:lineRule="auto"/>
        <w:rPr>
          <w:sz w:val="20"/>
          <w:szCs w:val="20"/>
          <w:color w:val="auto"/>
        </w:rPr>
      </w:pPr>
      <w:r>
        <w:rPr>
          <w:rFonts w:ascii="Times New Roman" w:cs="Times New Roman" w:eastAsia="Times New Roman" w:hAnsi="Times New Roman"/>
          <w:sz w:val="14"/>
          <w:szCs w:val="14"/>
          <w:color w:val="auto"/>
        </w:rPr>
        <w:t>Exhibit 10.1 to Form 10-Q filed for the fiscal quarter ended December 31, 2019 on January 28, 2020.</w:t>
      </w:r>
    </w:p>
    <w:p>
      <w:pPr>
        <w:spacing w:after="0" w:line="114"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4"/>
          <w:szCs w:val="14"/>
          <w:color w:val="auto"/>
        </w:rPr>
        <w:t>Exhibit 10.1 to Form 10-Q filed for the fiscal quarter ended September 30, 2023 filed on November 9, 2023.</w:t>
      </w:r>
    </w:p>
    <w:p>
      <w:pPr>
        <w:spacing w:after="0" w:line="114"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4"/>
          <w:szCs w:val="14"/>
          <w:color w:val="auto"/>
        </w:rPr>
        <w:t>Exhibit 10.1 to Form 10-Q for the fiscal quarter ended March 31, 2014 filed on May 6, 2014.</w:t>
      </w:r>
    </w:p>
    <w:p>
      <w:pPr>
        <w:spacing w:after="0" w:line="114"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4"/>
          <w:szCs w:val="14"/>
          <w:color w:val="auto"/>
        </w:rPr>
        <w:t>Exhibit 10.29 to Form 10-K for the fiscal year ended June 30, 2014 filed on September 10, 2014.</w:t>
      </w:r>
    </w:p>
    <w:p>
      <w:pPr>
        <w:spacing w:after="0" w:line="114"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4"/>
          <w:szCs w:val="14"/>
          <w:color w:val="auto"/>
        </w:rPr>
        <w:t>Exhibit 10.30 to Form 10-K for the fiscal year ended June 30, 2014 filed on September 10, 2014.</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Filed herewith.</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Filed herewith.</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Signature page to this report.</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Filed herewith.</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Filed herewith.</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Furnished herewith.</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Furnished herewith.</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Filed herewith.</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Filed herewith.</w:t>
      </w:r>
    </w:p>
    <w:p>
      <w:pPr>
        <w:spacing w:after="0" w:line="857" w:lineRule="exact"/>
        <w:rPr>
          <w:sz w:val="20"/>
          <w:szCs w:val="20"/>
          <w:color w:val="auto"/>
        </w:rPr>
      </w:pPr>
    </w:p>
    <w:p>
      <w:pPr>
        <w:sectPr>
          <w:pgSz w:w="11900" w:h="16838" w:orient="portrait"/>
          <w:cols w:equalWidth="0" w:num="2">
            <w:col w:w="6061" w:space="140"/>
            <w:col w:w="4920"/>
          </w:cols>
          <w:pgMar w:left="319" w:top="927" w:right="459" w:bottom="1440" w:gutter="0" w:footer="0" w:header="0"/>
          <w:type w:val="continuous"/>
        </w:sectPr>
      </w:pPr>
    </w:p>
    <w:p>
      <w:pPr>
        <w:ind w:left="1"/>
        <w:spacing w:after="0"/>
        <w:tabs>
          <w:tab w:leader="none" w:pos="1081" w:val="left"/>
          <w:tab w:leader="none" w:pos="6181" w:val="left"/>
        </w:tabs>
        <w:rPr>
          <w:sz w:val="20"/>
          <w:szCs w:val="20"/>
          <w:color w:val="auto"/>
        </w:rPr>
      </w:pPr>
      <w:r>
        <w:rPr>
          <w:rFonts w:ascii="Times New Roman" w:cs="Times New Roman" w:eastAsia="Times New Roman" w:hAnsi="Times New Roman"/>
          <w:sz w:val="14"/>
          <w:szCs w:val="14"/>
          <w:color w:val="auto"/>
        </w:rPr>
        <w:t>104</w:t>
      </w:r>
      <w:r>
        <w:rPr>
          <w:sz w:val="20"/>
          <w:szCs w:val="20"/>
          <w:color w:val="auto"/>
        </w:rPr>
        <w:tab/>
      </w:r>
      <w:r>
        <w:rPr>
          <w:rFonts w:ascii="Times New Roman" w:cs="Times New Roman" w:eastAsia="Times New Roman" w:hAnsi="Times New Roman"/>
          <w:sz w:val="14"/>
          <w:szCs w:val="14"/>
          <w:color w:val="auto"/>
        </w:rPr>
        <w:t>Cover Page Interactive Data File (formatted as Inline XBRL and contained in Exhibit</w:t>
      </w:r>
      <w:r>
        <w:rPr>
          <w:sz w:val="20"/>
          <w:szCs w:val="20"/>
          <w:color w:val="auto"/>
        </w:rPr>
        <w:tab/>
      </w:r>
      <w:r>
        <w:rPr>
          <w:rFonts w:ascii="Times New Roman" w:cs="Times New Roman" w:eastAsia="Times New Roman" w:hAnsi="Times New Roman"/>
          <w:sz w:val="14"/>
          <w:szCs w:val="14"/>
          <w:color w:val="auto"/>
        </w:rPr>
        <w:t>Filed herewith.</w:t>
      </w:r>
    </w:p>
    <w:p>
      <w:pPr>
        <w:spacing w:after="0" w:line="4" w:lineRule="exact"/>
        <w:rPr>
          <w:sz w:val="20"/>
          <w:szCs w:val="20"/>
          <w:color w:val="auto"/>
        </w:rPr>
      </w:pPr>
    </w:p>
    <w:p>
      <w:pPr>
        <w:ind w:left="1101"/>
        <w:spacing w:after="0"/>
        <w:rPr>
          <w:sz w:val="20"/>
          <w:szCs w:val="20"/>
          <w:color w:val="auto"/>
        </w:rPr>
      </w:pPr>
      <w:r>
        <w:rPr>
          <w:rFonts w:ascii="Times New Roman" w:cs="Times New Roman" w:eastAsia="Times New Roman" w:hAnsi="Times New Roman"/>
          <w:sz w:val="14"/>
          <w:szCs w:val="14"/>
          <w:color w:val="auto"/>
        </w:rPr>
        <w:t>101)</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4"/>
          <w:szCs w:val="14"/>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55880</wp:posOffset>
            </wp:positionV>
            <wp:extent cx="7186930"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10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121"/>
          </w:cols>
          <w:pgMar w:left="319" w:top="927" w:right="459" w:bottom="1440" w:gutter="0" w:footer="0" w:header="0"/>
          <w:type w:val="continuous"/>
        </w:sectPr>
      </w:pPr>
    </w:p>
    <w:bookmarkStart w:id="58" w:name="page59"/>
    <w:bookmarkEnd w:id="58"/>
    <w:p>
      <w:pPr>
        <w:ind w:left="1120" w:hanging="1101"/>
        <w:spacing w:after="0"/>
        <w:tabs>
          <w:tab w:leader="none" w:pos="112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Management contract or compensatory plan.</w:t>
      </w:r>
    </w:p>
    <w:p>
      <w:pPr>
        <w:spacing w:after="0" w:line="23" w:lineRule="exact"/>
        <w:rPr>
          <w:sz w:val="20"/>
          <w:szCs w:val="20"/>
          <w:color w:val="auto"/>
        </w:rPr>
      </w:pPr>
    </w:p>
    <w:p>
      <w:pPr>
        <w:ind w:left="1120" w:right="200" w:hanging="1101"/>
        <w:spacing w:after="0" w:line="237" w:lineRule="auto"/>
        <w:tabs>
          <w:tab w:leader="none" w:pos="112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has been granted confidential treatment for portions of this agreement. Accordingly, certain portions of this agreement have been omitted in the version filed with this report and such confidential portions have been filed with the SEC.</w:t>
      </w:r>
    </w:p>
    <w:p>
      <w:pPr>
        <w:spacing w:after="0" w:line="1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SIGNATURES</w:t>
      </w:r>
    </w:p>
    <w:p>
      <w:pPr>
        <w:spacing w:after="0" w:line="127" w:lineRule="exact"/>
        <w:rPr>
          <w:sz w:val="20"/>
          <w:szCs w:val="20"/>
          <w:color w:val="auto"/>
        </w:rPr>
      </w:pPr>
    </w:p>
    <w:p>
      <w:pPr>
        <w:ind w:right="240" w:firstLine="255"/>
        <w:spacing w:after="0" w:line="287" w:lineRule="auto"/>
        <w:rPr>
          <w:sz w:val="20"/>
          <w:szCs w:val="20"/>
          <w:color w:val="auto"/>
        </w:rPr>
      </w:pPr>
      <w:r>
        <w:rPr>
          <w:rFonts w:ascii="Times New Roman" w:cs="Times New Roman" w:eastAsia="Times New Roman" w:hAnsi="Times New Roman"/>
          <w:sz w:val="14"/>
          <w:szCs w:val="14"/>
          <w:color w:val="auto"/>
        </w:rPr>
        <w:t>Pursuant to the requirements of Section 13 or 15(d) of the Securities Exchange Act of 1934, the registrant duly caused this report to be signed on its behalf by the undersigned, thereunto duly authorized.</w:t>
      </w:r>
    </w:p>
    <w:p>
      <w:pPr>
        <w:spacing w:after="0" w:line="167"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4"/>
          <w:szCs w:val="14"/>
          <w:color w:val="auto"/>
        </w:rPr>
        <w:t>LIFEVANTAGE CORPORATION</w:t>
      </w:r>
    </w:p>
    <w:p>
      <w:pPr>
        <w:spacing w:after="0" w:line="232" w:lineRule="exact"/>
        <w:rPr>
          <w:sz w:val="20"/>
          <w:szCs w:val="20"/>
          <w:color w:val="auto"/>
        </w:rPr>
      </w:pPr>
    </w:p>
    <w:p>
      <w:pPr>
        <w:ind w:left="5660"/>
        <w:spacing w:after="0"/>
        <w:tabs>
          <w:tab w:leader="none" w:pos="6160" w:val="left"/>
        </w:tabs>
        <w:rPr>
          <w:sz w:val="20"/>
          <w:szCs w:val="20"/>
          <w:color w:val="auto"/>
        </w:rPr>
      </w:pPr>
      <w:r>
        <w:rPr>
          <w:rFonts w:ascii="Times New Roman" w:cs="Times New Roman" w:eastAsia="Times New Roman" w:hAnsi="Times New Roman"/>
          <w:sz w:val="14"/>
          <w:szCs w:val="14"/>
          <w:color w:val="auto"/>
        </w:rPr>
        <w:t>By: /s/</w:t>
      </w:r>
      <w:r>
        <w:rPr>
          <w:sz w:val="20"/>
          <w:szCs w:val="20"/>
          <w:color w:val="auto"/>
        </w:rPr>
        <w:tab/>
      </w:r>
      <w:r>
        <w:rPr>
          <w:rFonts w:ascii="Times New Roman" w:cs="Times New Roman" w:eastAsia="Times New Roman" w:hAnsi="Times New Roman"/>
          <w:sz w:val="13"/>
          <w:szCs w:val="13"/>
          <w:color w:val="auto"/>
        </w:rPr>
        <w:t>Steven R. Fife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3735705</wp:posOffset>
            </wp:positionH>
            <wp:positionV relativeFrom="paragraph">
              <wp:posOffset>14605</wp:posOffset>
            </wp:positionV>
            <wp:extent cx="3429000" cy="698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110">
                      <a:extLst>
                        <a:ext uri="{28A0092B-C50C-407E-A947-70E740481C1C}"/>
                      </a:extLst>
                    </a:blip>
                    <a:srcRect/>
                    <a:stretch>
                      <a:fillRect/>
                    </a:stretch>
                  </pic:blipFill>
                  <pic:spPr bwMode="auto">
                    <a:xfrm>
                      <a:off x="0" y="0"/>
                      <a:ext cx="3429000" cy="6985"/>
                    </a:xfrm>
                    <a:prstGeom prst="rect">
                      <a:avLst/>
                    </a:prstGeom>
                    <a:noFill/>
                  </pic:spPr>
                </pic:pic>
              </a:graphicData>
            </a:graphic>
          </wp:anchor>
        </w:drawing>
      </w:r>
    </w:p>
    <w:p>
      <w:pPr>
        <w:spacing w:after="0" w:line="10"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4"/>
          <w:szCs w:val="14"/>
          <w:color w:val="auto"/>
        </w:rPr>
        <w:t>Steven R. Fife</w:t>
      </w:r>
    </w:p>
    <w:p>
      <w:pPr>
        <w:spacing w:after="0" w:line="23"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4"/>
          <w:szCs w:val="14"/>
          <w:color w:val="auto"/>
        </w:rPr>
        <w:t>President and Chief Executive Officer</w:t>
      </w:r>
    </w:p>
    <w:p>
      <w:pPr>
        <w:spacing w:after="0" w:line="19"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4"/>
          <w:szCs w:val="14"/>
          <w:color w:val="auto"/>
        </w:rPr>
        <w:t>Date: August 28, 2024</w:t>
      </w:r>
    </w:p>
    <w:p>
      <w:pPr>
        <w:spacing w:after="0" w:line="217" w:lineRule="exact"/>
        <w:rPr>
          <w:sz w:val="20"/>
          <w:szCs w:val="20"/>
          <w:color w:val="auto"/>
        </w:rPr>
      </w:pPr>
    </w:p>
    <w:p>
      <w:pPr>
        <w:ind w:left="5660"/>
        <w:spacing w:after="0"/>
        <w:tabs>
          <w:tab w:leader="none" w:pos="6160" w:val="left"/>
        </w:tabs>
        <w:rPr>
          <w:sz w:val="20"/>
          <w:szCs w:val="20"/>
          <w:color w:val="auto"/>
        </w:rPr>
      </w:pPr>
      <w:r>
        <w:rPr>
          <w:rFonts w:ascii="Times New Roman" w:cs="Times New Roman" w:eastAsia="Times New Roman" w:hAnsi="Times New Roman"/>
          <w:sz w:val="14"/>
          <w:szCs w:val="14"/>
          <w:color w:val="auto"/>
        </w:rPr>
        <w:t>By: /s/</w:t>
      </w:r>
      <w:r>
        <w:rPr>
          <w:sz w:val="20"/>
          <w:szCs w:val="20"/>
          <w:color w:val="auto"/>
        </w:rPr>
        <w:tab/>
      </w:r>
      <w:r>
        <w:rPr>
          <w:rFonts w:ascii="Times New Roman" w:cs="Times New Roman" w:eastAsia="Times New Roman" w:hAnsi="Times New Roman"/>
          <w:sz w:val="13"/>
          <w:szCs w:val="13"/>
          <w:color w:val="auto"/>
        </w:rPr>
        <w:t>Carl A. Aure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3735705</wp:posOffset>
            </wp:positionH>
            <wp:positionV relativeFrom="paragraph">
              <wp:posOffset>14605</wp:posOffset>
            </wp:positionV>
            <wp:extent cx="3429000" cy="698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111">
                      <a:extLst>
                        <a:ext uri="{28A0092B-C50C-407E-A947-70E740481C1C}"/>
                      </a:extLst>
                    </a:blip>
                    <a:srcRect/>
                    <a:stretch>
                      <a:fillRect/>
                    </a:stretch>
                  </pic:blipFill>
                  <pic:spPr bwMode="auto">
                    <a:xfrm>
                      <a:off x="0" y="0"/>
                      <a:ext cx="3429000" cy="6985"/>
                    </a:xfrm>
                    <a:prstGeom prst="rect">
                      <a:avLst/>
                    </a:prstGeom>
                    <a:noFill/>
                  </pic:spPr>
                </pic:pic>
              </a:graphicData>
            </a:graphic>
          </wp:anchor>
        </w:drawing>
      </w:r>
    </w:p>
    <w:p>
      <w:pPr>
        <w:spacing w:after="0" w:line="10"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4"/>
          <w:szCs w:val="14"/>
          <w:color w:val="auto"/>
        </w:rPr>
        <w:t>Carl A. Aure</w:t>
      </w:r>
    </w:p>
    <w:p>
      <w:pPr>
        <w:spacing w:after="0" w:line="23"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4"/>
          <w:szCs w:val="14"/>
          <w:color w:val="auto"/>
        </w:rPr>
        <w:t>Chief Financial Officer</w:t>
      </w:r>
    </w:p>
    <w:p>
      <w:pPr>
        <w:spacing w:after="0" w:line="19"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4"/>
          <w:szCs w:val="14"/>
          <w:color w:val="auto"/>
        </w:rPr>
        <w:t>(Principal Financial Officer and Principal Accounting Officer)</w:t>
      </w:r>
    </w:p>
    <w:p>
      <w:pPr>
        <w:spacing w:after="0" w:line="19"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4"/>
          <w:szCs w:val="14"/>
          <w:color w:val="auto"/>
        </w:rPr>
        <w:t>Date: August 28, 2024</w:t>
      </w:r>
    </w:p>
    <w:p>
      <w:pPr>
        <w:spacing w:after="0" w:line="185" w:lineRule="exact"/>
        <w:rPr>
          <w:sz w:val="20"/>
          <w:szCs w:val="20"/>
          <w:color w:val="auto"/>
        </w:rPr>
      </w:pPr>
    </w:p>
    <w:p>
      <w:pPr>
        <w:ind w:firstLine="255"/>
        <w:spacing w:after="0" w:line="261" w:lineRule="auto"/>
        <w:rPr>
          <w:sz w:val="20"/>
          <w:szCs w:val="20"/>
          <w:color w:val="auto"/>
        </w:rPr>
      </w:pPr>
      <w:r>
        <w:rPr>
          <w:rFonts w:ascii="Times New Roman" w:cs="Times New Roman" w:eastAsia="Times New Roman" w:hAnsi="Times New Roman"/>
          <w:sz w:val="14"/>
          <w:szCs w:val="14"/>
          <w:color w:val="auto"/>
        </w:rPr>
        <w:t>Each person whose individual signature appears below hereby constitutes and appoints Steven R. Fife with full power of substitution and re-substitution and full power to act without the other, as his or her true and lawful attorney-in-fact and agent to act in his or her name, place and stead and to execute in the name and on behalf of each person, individually and in each capacity stated below, and to file any and all amendments to this report, and to file the same, with all exhibits thereto, and other documents in connection therewith, with the Securities and Exchange Commission, granting unto said attorneys-in-fact and agents, and each of them, full power and authority to do and perform each and every act and thing, ratifying and confirming all that said attorneys-in-fact and agents or any of them or their or his substitute or substitutes may lawfully do or cause to be done by virtue thereof.</w:t>
      </w:r>
    </w:p>
    <w:p>
      <w:pPr>
        <w:spacing w:after="0" w:line="90" w:lineRule="exact"/>
        <w:rPr>
          <w:sz w:val="20"/>
          <w:szCs w:val="20"/>
          <w:color w:val="auto"/>
        </w:rPr>
      </w:pPr>
    </w:p>
    <w:p>
      <w:pPr>
        <w:ind w:right="100" w:firstLine="255"/>
        <w:spacing w:after="0" w:line="287" w:lineRule="auto"/>
        <w:rPr>
          <w:sz w:val="20"/>
          <w:szCs w:val="20"/>
          <w:color w:val="auto"/>
        </w:rPr>
      </w:pPr>
      <w:r>
        <w:rPr>
          <w:rFonts w:ascii="Times New Roman" w:cs="Times New Roman" w:eastAsia="Times New Roman" w:hAnsi="Times New Roman"/>
          <w:sz w:val="14"/>
          <w:szCs w:val="14"/>
          <w:color w:val="auto"/>
        </w:rPr>
        <w:t>Pursuant to the requirements of the Securities Exchange Act of 1934, this report has been signed below by the following persons on behalf of the registrant and in the capacities and on the dates indicated.</w:t>
      </w:r>
    </w:p>
    <w:p>
      <w:pPr>
        <w:spacing w:after="0" w:line="200" w:lineRule="exact"/>
        <w:rPr>
          <w:sz w:val="20"/>
          <w:szCs w:val="20"/>
          <w:color w:val="auto"/>
        </w:rPr>
      </w:pPr>
    </w:p>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11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878" w:right="339" w:bottom="1440" w:gutter="0" w:footer="0" w:header="0"/>
        </w:sectPr>
      </w:pPr>
    </w:p>
    <w:bookmarkStart w:id="59" w:name="page60"/>
    <w:bookmarkEnd w:id="59"/>
    <w:tbl>
      <w:tblPr>
        <w:tblLayout w:type="fixed"/>
        <w:tblInd w:w="0" w:type="dxa"/>
        <w:tblCellMar>
          <w:top w:w="0" w:type="dxa"/>
          <w:left w:w="0" w:type="dxa"/>
          <w:bottom w:w="0" w:type="dxa"/>
          <w:right w:w="0" w:type="dxa"/>
        </w:tblCellMar>
      </w:tblPr>
      <w:tr>
        <w:trPr>
          <w:trHeight w:val="149"/>
        </w:trPr>
        <w:tc>
          <w:tcPr>
            <w:tcW w:w="1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720" w:type="dxa"/>
            <w:vAlign w:val="bottom"/>
          </w:tcPr>
          <w:p>
            <w:pPr>
              <w:jc w:val="center"/>
              <w:ind w:right="1911"/>
              <w:spacing w:after="0"/>
              <w:rPr>
                <w:sz w:val="20"/>
                <w:szCs w:val="20"/>
                <w:color w:val="auto"/>
              </w:rPr>
            </w:pPr>
            <w:r>
              <w:rPr>
                <w:rFonts w:ascii="Times New Roman" w:cs="Times New Roman" w:eastAsia="Times New Roman" w:hAnsi="Times New Roman"/>
                <w:sz w:val="11"/>
                <w:szCs w:val="11"/>
                <w:b w:val="1"/>
                <w:bCs w:val="1"/>
                <w:color w:val="auto"/>
              </w:rPr>
              <w:t>Signature</w:t>
            </w:r>
          </w:p>
        </w:tc>
        <w:tc>
          <w:tcPr>
            <w:tcW w:w="2400" w:type="dxa"/>
            <w:vAlign w:val="bottom"/>
          </w:tcPr>
          <w:p>
            <w:pPr>
              <w:jc w:val="center"/>
              <w:ind w:right="151"/>
              <w:spacing w:after="0"/>
              <w:rPr>
                <w:sz w:val="20"/>
                <w:szCs w:val="20"/>
                <w:color w:val="auto"/>
              </w:rPr>
            </w:pPr>
            <w:r>
              <w:rPr>
                <w:rFonts w:ascii="Times New Roman" w:cs="Times New Roman" w:eastAsia="Times New Roman" w:hAnsi="Times New Roman"/>
                <w:sz w:val="11"/>
                <w:szCs w:val="11"/>
                <w:b w:val="1"/>
                <w:bCs w:val="1"/>
                <w:color w:val="auto"/>
                <w:w w:val="99"/>
              </w:rPr>
              <w:t>Date</w:t>
            </w:r>
          </w:p>
        </w:tc>
        <w:tc>
          <w:tcPr>
            <w:tcW w:w="3020" w:type="dxa"/>
            <w:vAlign w:val="bottom"/>
          </w:tcPr>
          <w:p>
            <w:pPr>
              <w:jc w:val="center"/>
              <w:ind w:left="791"/>
              <w:spacing w:after="0"/>
              <w:rPr>
                <w:sz w:val="20"/>
                <w:szCs w:val="20"/>
                <w:color w:val="auto"/>
              </w:rPr>
            </w:pPr>
            <w:r>
              <w:rPr>
                <w:rFonts w:ascii="Times New Roman" w:cs="Times New Roman" w:eastAsia="Times New Roman" w:hAnsi="Times New Roman"/>
                <w:sz w:val="11"/>
                <w:szCs w:val="11"/>
                <w:b w:val="1"/>
                <w:bCs w:val="1"/>
                <w:color w:val="auto"/>
              </w:rPr>
              <w:t>Title</w:t>
            </w:r>
          </w:p>
        </w:tc>
        <w:tc>
          <w:tcPr>
            <w:tcW w:w="0" w:type="dxa"/>
            <w:vAlign w:val="bottom"/>
          </w:tcPr>
          <w:p>
            <w:pPr>
              <w:spacing w:after="0"/>
              <w:rPr>
                <w:sz w:val="1"/>
                <w:szCs w:val="1"/>
                <w:color w:val="auto"/>
              </w:rPr>
            </w:pPr>
          </w:p>
        </w:tc>
      </w:tr>
      <w:tr>
        <w:trPr>
          <w:trHeight w:val="390"/>
        </w:trPr>
        <w:tc>
          <w:tcPr>
            <w:tcW w:w="2000" w:type="dxa"/>
            <w:vAlign w:val="bottom"/>
            <w:gridSpan w:val="2"/>
          </w:tcPr>
          <w:p>
            <w:pPr>
              <w:ind w:left="1820"/>
              <w:spacing w:after="0"/>
              <w:rPr>
                <w:sz w:val="20"/>
                <w:szCs w:val="20"/>
                <w:color w:val="auto"/>
              </w:rPr>
            </w:pPr>
            <w:r>
              <w:rPr>
                <w:rFonts w:ascii="Times New Roman" w:cs="Times New Roman" w:eastAsia="Times New Roman" w:hAnsi="Times New Roman"/>
                <w:sz w:val="14"/>
                <w:szCs w:val="14"/>
                <w:color w:val="auto"/>
              </w:rPr>
              <w:t>/s/</w:t>
            </w:r>
          </w:p>
        </w:tc>
        <w:tc>
          <w:tcPr>
            <w:tcW w:w="2720" w:type="dxa"/>
            <w:vAlign w:val="bottom"/>
          </w:tcPr>
          <w:p>
            <w:pPr>
              <w:jc w:val="center"/>
              <w:ind w:right="1651"/>
              <w:spacing w:after="0"/>
              <w:rPr>
                <w:sz w:val="20"/>
                <w:szCs w:val="20"/>
                <w:color w:val="auto"/>
              </w:rPr>
            </w:pPr>
            <w:r>
              <w:rPr>
                <w:rFonts w:ascii="Times New Roman" w:cs="Times New Roman" w:eastAsia="Times New Roman" w:hAnsi="Times New Roman"/>
                <w:sz w:val="14"/>
                <w:szCs w:val="14"/>
                <w:color w:val="auto"/>
                <w:w w:val="99"/>
              </w:rPr>
              <w:t>Steven R. Fife</w:t>
            </w:r>
          </w:p>
        </w:tc>
        <w:tc>
          <w:tcPr>
            <w:tcW w:w="2400" w:type="dxa"/>
            <w:vAlign w:val="bottom"/>
          </w:tcPr>
          <w:p>
            <w:pPr>
              <w:jc w:val="center"/>
              <w:ind w:right="151"/>
              <w:spacing w:after="0"/>
              <w:rPr>
                <w:sz w:val="20"/>
                <w:szCs w:val="20"/>
                <w:color w:val="auto"/>
              </w:rPr>
            </w:pPr>
            <w:r>
              <w:rPr>
                <w:rFonts w:ascii="Times New Roman" w:cs="Times New Roman" w:eastAsia="Times New Roman" w:hAnsi="Times New Roman"/>
                <w:sz w:val="14"/>
                <w:szCs w:val="14"/>
                <w:color w:val="auto"/>
              </w:rPr>
              <w:t>August 28, 2024</w:t>
            </w:r>
          </w:p>
        </w:tc>
        <w:tc>
          <w:tcPr>
            <w:tcW w:w="3020" w:type="dxa"/>
            <w:vAlign w:val="bottom"/>
          </w:tcPr>
          <w:p>
            <w:pPr>
              <w:jc w:val="center"/>
              <w:ind w:left="791"/>
              <w:spacing w:after="0"/>
              <w:rPr>
                <w:sz w:val="20"/>
                <w:szCs w:val="20"/>
                <w:color w:val="auto"/>
              </w:rPr>
            </w:pPr>
            <w:r>
              <w:rPr>
                <w:rFonts w:ascii="Times New Roman" w:cs="Times New Roman" w:eastAsia="Times New Roman" w:hAnsi="Times New Roman"/>
                <w:sz w:val="14"/>
                <w:szCs w:val="14"/>
                <w:color w:val="auto"/>
              </w:rPr>
              <w:t>President and Chief Executive Officer</w:t>
            </w:r>
          </w:p>
        </w:tc>
        <w:tc>
          <w:tcPr>
            <w:tcW w:w="0" w:type="dxa"/>
            <w:vAlign w:val="bottom"/>
          </w:tcPr>
          <w:p>
            <w:pPr>
              <w:spacing w:after="0"/>
              <w:rPr>
                <w:sz w:val="1"/>
                <w:szCs w:val="1"/>
                <w:color w:val="auto"/>
              </w:rPr>
            </w:pPr>
          </w:p>
        </w:tc>
      </w:tr>
      <w:tr>
        <w:trPr>
          <w:trHeight w:val="42"/>
        </w:trPr>
        <w:tc>
          <w:tcPr>
            <w:tcW w:w="182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2720" w:type="dxa"/>
            <w:vAlign w:val="bottom"/>
            <w:tcBorders>
              <w:bottom w:val="single" w:sz="8" w:color="auto"/>
            </w:tcBorders>
          </w:tcPr>
          <w:p>
            <w:pPr>
              <w:spacing w:after="0"/>
              <w:rPr>
                <w:sz w:val="3"/>
                <w:szCs w:val="3"/>
                <w:color w:val="auto"/>
              </w:rPr>
            </w:pPr>
          </w:p>
        </w:tc>
        <w:tc>
          <w:tcPr>
            <w:tcW w:w="2400" w:type="dxa"/>
            <w:vAlign w:val="bottom"/>
          </w:tcPr>
          <w:p>
            <w:pPr>
              <w:spacing w:after="0"/>
              <w:rPr>
                <w:sz w:val="3"/>
                <w:szCs w:val="3"/>
                <w:color w:val="auto"/>
              </w:rPr>
            </w:pPr>
          </w:p>
        </w:tc>
        <w:tc>
          <w:tcPr>
            <w:tcW w:w="3020" w:type="dxa"/>
            <w:vAlign w:val="bottom"/>
            <w:vMerge w:val="restart"/>
          </w:tcPr>
          <w:p>
            <w:pPr>
              <w:jc w:val="center"/>
              <w:ind w:left="791"/>
              <w:spacing w:after="0"/>
              <w:rPr>
                <w:sz w:val="20"/>
                <w:szCs w:val="20"/>
                <w:color w:val="auto"/>
              </w:rPr>
            </w:pPr>
            <w:r>
              <w:rPr>
                <w:rFonts w:ascii="Times New Roman" w:cs="Times New Roman" w:eastAsia="Times New Roman" w:hAnsi="Times New Roman"/>
                <w:sz w:val="14"/>
                <w:szCs w:val="14"/>
                <w:color w:val="auto"/>
              </w:rPr>
              <w:t>(Principal Executive Officer)</w:t>
            </w:r>
          </w:p>
        </w:tc>
        <w:tc>
          <w:tcPr>
            <w:tcW w:w="0" w:type="dxa"/>
            <w:vAlign w:val="bottom"/>
          </w:tcPr>
          <w:p>
            <w:pPr>
              <w:spacing w:after="0"/>
              <w:rPr>
                <w:sz w:val="1"/>
                <w:szCs w:val="1"/>
                <w:color w:val="auto"/>
              </w:rPr>
            </w:pPr>
          </w:p>
        </w:tc>
      </w:tr>
      <w:tr>
        <w:trPr>
          <w:trHeight w:val="122"/>
        </w:trPr>
        <w:tc>
          <w:tcPr>
            <w:tcW w:w="1820" w:type="dxa"/>
            <w:vAlign w:val="bottom"/>
          </w:tcPr>
          <w:p>
            <w:pPr>
              <w:spacing w:after="0"/>
              <w:rPr>
                <w:sz w:val="10"/>
                <w:szCs w:val="10"/>
                <w:color w:val="auto"/>
              </w:rPr>
            </w:pPr>
          </w:p>
        </w:tc>
        <w:tc>
          <w:tcPr>
            <w:tcW w:w="2900" w:type="dxa"/>
            <w:vAlign w:val="bottom"/>
            <w:gridSpan w:val="2"/>
            <w:vMerge w:val="restart"/>
          </w:tcPr>
          <w:p>
            <w:pPr>
              <w:jc w:val="center"/>
              <w:ind w:right="1731"/>
              <w:spacing w:after="0"/>
              <w:rPr>
                <w:sz w:val="20"/>
                <w:szCs w:val="20"/>
                <w:color w:val="auto"/>
              </w:rPr>
            </w:pPr>
            <w:r>
              <w:rPr>
                <w:rFonts w:ascii="Times New Roman" w:cs="Times New Roman" w:eastAsia="Times New Roman" w:hAnsi="Times New Roman"/>
                <w:sz w:val="14"/>
                <w:szCs w:val="14"/>
                <w:color w:val="auto"/>
              </w:rPr>
              <w:t>Steven R. Fife</w:t>
            </w:r>
          </w:p>
        </w:tc>
        <w:tc>
          <w:tcPr>
            <w:tcW w:w="2400" w:type="dxa"/>
            <w:vAlign w:val="bottom"/>
          </w:tcPr>
          <w:p>
            <w:pPr>
              <w:spacing w:after="0"/>
              <w:rPr>
                <w:sz w:val="10"/>
                <w:szCs w:val="10"/>
                <w:color w:val="auto"/>
              </w:rPr>
            </w:pPr>
          </w:p>
        </w:tc>
        <w:tc>
          <w:tcPr>
            <w:tcW w:w="3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0"/>
        </w:trPr>
        <w:tc>
          <w:tcPr>
            <w:tcW w:w="1820" w:type="dxa"/>
            <w:vAlign w:val="bottom"/>
          </w:tcPr>
          <w:p>
            <w:pPr>
              <w:spacing w:after="0"/>
              <w:rPr>
                <w:sz w:val="5"/>
                <w:szCs w:val="5"/>
                <w:color w:val="auto"/>
              </w:rPr>
            </w:pPr>
          </w:p>
        </w:tc>
        <w:tc>
          <w:tcPr>
            <w:tcW w:w="2900" w:type="dxa"/>
            <w:vAlign w:val="bottom"/>
            <w:gridSpan w:val="2"/>
            <w:vMerge w:val="continue"/>
          </w:tcPr>
          <w:p>
            <w:pPr>
              <w:spacing w:after="0"/>
              <w:rPr>
                <w:sz w:val="5"/>
                <w:szCs w:val="5"/>
                <w:color w:val="auto"/>
              </w:rPr>
            </w:pPr>
          </w:p>
        </w:tc>
        <w:tc>
          <w:tcPr>
            <w:tcW w:w="2400" w:type="dxa"/>
            <w:vAlign w:val="bottom"/>
          </w:tcPr>
          <w:p>
            <w:pPr>
              <w:spacing w:after="0"/>
              <w:rPr>
                <w:sz w:val="5"/>
                <w:szCs w:val="5"/>
                <w:color w:val="auto"/>
              </w:rPr>
            </w:pPr>
          </w:p>
        </w:tc>
        <w:tc>
          <w:tcPr>
            <w:tcW w:w="30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93"/>
        </w:trPr>
        <w:tc>
          <w:tcPr>
            <w:tcW w:w="1820" w:type="dxa"/>
            <w:vAlign w:val="bottom"/>
            <w:tcBorders>
              <w:bottom w:val="single" w:sz="8" w:color="auto"/>
            </w:tcBorders>
          </w:tcPr>
          <w:p>
            <w:pPr>
              <w:ind w:left="1700"/>
              <w:spacing w:after="0"/>
              <w:rPr>
                <w:sz w:val="20"/>
                <w:szCs w:val="20"/>
                <w:color w:val="auto"/>
              </w:rPr>
            </w:pPr>
            <w:r>
              <w:rPr>
                <w:rFonts w:ascii="Times New Roman" w:cs="Times New Roman" w:eastAsia="Times New Roman" w:hAnsi="Times New Roman"/>
                <w:sz w:val="14"/>
                <w:szCs w:val="14"/>
                <w:color w:val="auto"/>
                <w:w w:val="75"/>
              </w:rPr>
              <w:t>/s/</w:t>
            </w:r>
          </w:p>
        </w:tc>
        <w:tc>
          <w:tcPr>
            <w:tcW w:w="2900" w:type="dxa"/>
            <w:vAlign w:val="bottom"/>
            <w:tcBorders>
              <w:bottom w:val="single" w:sz="8" w:color="auto"/>
            </w:tcBorders>
            <w:gridSpan w:val="2"/>
          </w:tcPr>
          <w:p>
            <w:pPr>
              <w:jc w:val="center"/>
              <w:ind w:right="1471"/>
              <w:spacing w:after="0"/>
              <w:rPr>
                <w:sz w:val="20"/>
                <w:szCs w:val="20"/>
                <w:color w:val="auto"/>
              </w:rPr>
            </w:pPr>
            <w:r>
              <w:rPr>
                <w:rFonts w:ascii="Times New Roman" w:cs="Times New Roman" w:eastAsia="Times New Roman" w:hAnsi="Times New Roman"/>
                <w:sz w:val="14"/>
                <w:szCs w:val="14"/>
                <w:color w:val="auto"/>
              </w:rPr>
              <w:t>Raymond B. Greer</w:t>
            </w:r>
          </w:p>
        </w:tc>
        <w:tc>
          <w:tcPr>
            <w:tcW w:w="2400" w:type="dxa"/>
            <w:vAlign w:val="bottom"/>
          </w:tcPr>
          <w:p>
            <w:pPr>
              <w:jc w:val="center"/>
              <w:ind w:right="151"/>
              <w:spacing w:after="0"/>
              <w:rPr>
                <w:sz w:val="20"/>
                <w:szCs w:val="20"/>
                <w:color w:val="auto"/>
              </w:rPr>
            </w:pPr>
            <w:r>
              <w:rPr>
                <w:rFonts w:ascii="Times New Roman" w:cs="Times New Roman" w:eastAsia="Times New Roman" w:hAnsi="Times New Roman"/>
                <w:sz w:val="14"/>
                <w:szCs w:val="14"/>
                <w:color w:val="auto"/>
              </w:rPr>
              <w:t>August 28, 2024</w:t>
            </w:r>
          </w:p>
        </w:tc>
        <w:tc>
          <w:tcPr>
            <w:tcW w:w="3020" w:type="dxa"/>
            <w:vAlign w:val="bottom"/>
          </w:tcPr>
          <w:p>
            <w:pPr>
              <w:jc w:val="center"/>
              <w:ind w:left="811"/>
              <w:spacing w:after="0"/>
              <w:rPr>
                <w:sz w:val="20"/>
                <w:szCs w:val="20"/>
                <w:color w:val="auto"/>
              </w:rPr>
            </w:pPr>
            <w:r>
              <w:rPr>
                <w:rFonts w:ascii="Times New Roman" w:cs="Times New Roman" w:eastAsia="Times New Roman" w:hAnsi="Times New Roman"/>
                <w:sz w:val="14"/>
                <w:szCs w:val="14"/>
                <w:color w:val="auto"/>
              </w:rPr>
              <w:t>Chairman of the Board</w:t>
            </w:r>
          </w:p>
        </w:tc>
        <w:tc>
          <w:tcPr>
            <w:tcW w:w="0" w:type="dxa"/>
            <w:vAlign w:val="bottom"/>
          </w:tcPr>
          <w:p>
            <w:pPr>
              <w:spacing w:after="0"/>
              <w:rPr>
                <w:sz w:val="1"/>
                <w:szCs w:val="1"/>
                <w:color w:val="auto"/>
              </w:rPr>
            </w:pPr>
          </w:p>
        </w:tc>
      </w:tr>
      <w:tr>
        <w:trPr>
          <w:trHeight w:val="175"/>
        </w:trPr>
        <w:tc>
          <w:tcPr>
            <w:tcW w:w="1820" w:type="dxa"/>
            <w:vAlign w:val="bottom"/>
          </w:tcPr>
          <w:p>
            <w:pPr>
              <w:spacing w:after="0"/>
              <w:rPr>
                <w:sz w:val="15"/>
                <w:szCs w:val="15"/>
                <w:color w:val="auto"/>
              </w:rPr>
            </w:pPr>
          </w:p>
        </w:tc>
        <w:tc>
          <w:tcPr>
            <w:tcW w:w="2900" w:type="dxa"/>
            <w:vAlign w:val="bottom"/>
            <w:gridSpan w:val="2"/>
          </w:tcPr>
          <w:p>
            <w:pPr>
              <w:jc w:val="center"/>
              <w:ind w:right="1751"/>
              <w:spacing w:after="0"/>
              <w:rPr>
                <w:sz w:val="20"/>
                <w:szCs w:val="20"/>
                <w:color w:val="auto"/>
              </w:rPr>
            </w:pPr>
            <w:r>
              <w:rPr>
                <w:rFonts w:ascii="Times New Roman" w:cs="Times New Roman" w:eastAsia="Times New Roman" w:hAnsi="Times New Roman"/>
                <w:sz w:val="14"/>
                <w:szCs w:val="14"/>
                <w:color w:val="auto"/>
              </w:rPr>
              <w:t>Raymond B. Greer</w:t>
            </w:r>
          </w:p>
        </w:tc>
        <w:tc>
          <w:tcPr>
            <w:tcW w:w="2400" w:type="dxa"/>
            <w:vAlign w:val="bottom"/>
          </w:tcPr>
          <w:p>
            <w:pPr>
              <w:spacing w:after="0"/>
              <w:rPr>
                <w:sz w:val="15"/>
                <w:szCs w:val="15"/>
                <w:color w:val="auto"/>
              </w:rPr>
            </w:pPr>
          </w:p>
        </w:tc>
        <w:tc>
          <w:tcPr>
            <w:tcW w:w="3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9"/>
        </w:trPr>
        <w:tc>
          <w:tcPr>
            <w:tcW w:w="1820" w:type="dxa"/>
            <w:vAlign w:val="bottom"/>
            <w:tcBorders>
              <w:bottom w:val="single" w:sz="8" w:color="auto"/>
            </w:tcBorders>
          </w:tcPr>
          <w:p>
            <w:pPr>
              <w:ind w:left="1620"/>
              <w:spacing w:after="0"/>
              <w:rPr>
                <w:sz w:val="20"/>
                <w:szCs w:val="20"/>
                <w:color w:val="auto"/>
              </w:rPr>
            </w:pPr>
            <w:r>
              <w:rPr>
                <w:rFonts w:ascii="Times New Roman" w:cs="Times New Roman" w:eastAsia="Times New Roman" w:hAnsi="Times New Roman"/>
                <w:sz w:val="14"/>
                <w:szCs w:val="14"/>
                <w:color w:val="auto"/>
              </w:rPr>
              <w:t>/s/</w:t>
            </w:r>
          </w:p>
        </w:tc>
        <w:tc>
          <w:tcPr>
            <w:tcW w:w="2900" w:type="dxa"/>
            <w:vAlign w:val="bottom"/>
            <w:tcBorders>
              <w:bottom w:val="single" w:sz="8" w:color="auto"/>
            </w:tcBorders>
            <w:gridSpan w:val="2"/>
          </w:tcPr>
          <w:p>
            <w:pPr>
              <w:jc w:val="center"/>
              <w:ind w:right="1471"/>
              <w:spacing w:after="0"/>
              <w:rPr>
                <w:sz w:val="20"/>
                <w:szCs w:val="20"/>
                <w:color w:val="auto"/>
              </w:rPr>
            </w:pPr>
            <w:r>
              <w:rPr>
                <w:rFonts w:ascii="Times New Roman" w:cs="Times New Roman" w:eastAsia="Times New Roman" w:hAnsi="Times New Roman"/>
                <w:sz w:val="14"/>
                <w:szCs w:val="14"/>
                <w:color w:val="auto"/>
              </w:rPr>
              <w:t>Rajendran Anbalagan</w:t>
            </w:r>
          </w:p>
        </w:tc>
        <w:tc>
          <w:tcPr>
            <w:tcW w:w="2400" w:type="dxa"/>
            <w:vAlign w:val="bottom"/>
          </w:tcPr>
          <w:p>
            <w:pPr>
              <w:jc w:val="center"/>
              <w:ind w:right="151"/>
              <w:spacing w:after="0"/>
              <w:rPr>
                <w:sz w:val="20"/>
                <w:szCs w:val="20"/>
                <w:color w:val="auto"/>
              </w:rPr>
            </w:pPr>
            <w:r>
              <w:rPr>
                <w:rFonts w:ascii="Times New Roman" w:cs="Times New Roman" w:eastAsia="Times New Roman" w:hAnsi="Times New Roman"/>
                <w:sz w:val="14"/>
                <w:szCs w:val="14"/>
                <w:color w:val="auto"/>
              </w:rPr>
              <w:t>August 28, 2024</w:t>
            </w:r>
          </w:p>
        </w:tc>
        <w:tc>
          <w:tcPr>
            <w:tcW w:w="3020" w:type="dxa"/>
            <w:vAlign w:val="bottom"/>
          </w:tcPr>
          <w:p>
            <w:pPr>
              <w:jc w:val="center"/>
              <w:ind w:left="791"/>
              <w:spacing w:after="0"/>
              <w:rPr>
                <w:sz w:val="20"/>
                <w:szCs w:val="20"/>
                <w:color w:val="auto"/>
              </w:rPr>
            </w:pPr>
            <w:r>
              <w:rPr>
                <w:rFonts w:ascii="Times New Roman" w:cs="Times New Roman" w:eastAsia="Times New Roman" w:hAnsi="Times New Roman"/>
                <w:sz w:val="14"/>
                <w:szCs w:val="14"/>
                <w:color w:val="auto"/>
              </w:rPr>
              <w:t>Director</w:t>
            </w:r>
          </w:p>
        </w:tc>
        <w:tc>
          <w:tcPr>
            <w:tcW w:w="0" w:type="dxa"/>
            <w:vAlign w:val="bottom"/>
          </w:tcPr>
          <w:p>
            <w:pPr>
              <w:spacing w:after="0"/>
              <w:rPr>
                <w:sz w:val="1"/>
                <w:szCs w:val="1"/>
                <w:color w:val="auto"/>
              </w:rPr>
            </w:pPr>
          </w:p>
        </w:tc>
      </w:tr>
      <w:tr>
        <w:trPr>
          <w:trHeight w:val="175"/>
        </w:trPr>
        <w:tc>
          <w:tcPr>
            <w:tcW w:w="4720" w:type="dxa"/>
            <w:vAlign w:val="bottom"/>
            <w:gridSpan w:val="3"/>
          </w:tcPr>
          <w:p>
            <w:pPr>
              <w:jc w:val="center"/>
              <w:spacing w:after="0"/>
              <w:rPr>
                <w:sz w:val="20"/>
                <w:szCs w:val="20"/>
                <w:color w:val="auto"/>
              </w:rPr>
            </w:pPr>
            <w:r>
              <w:rPr>
                <w:rFonts w:ascii="Times New Roman" w:cs="Times New Roman" w:eastAsia="Times New Roman" w:hAnsi="Times New Roman"/>
                <w:sz w:val="14"/>
                <w:szCs w:val="14"/>
                <w:color w:val="auto"/>
              </w:rPr>
              <w:t>Rajendran Anbalagan</w:t>
            </w:r>
          </w:p>
        </w:tc>
        <w:tc>
          <w:tcPr>
            <w:tcW w:w="2400" w:type="dxa"/>
            <w:vAlign w:val="bottom"/>
          </w:tcPr>
          <w:p>
            <w:pPr>
              <w:spacing w:after="0"/>
              <w:rPr>
                <w:sz w:val="15"/>
                <w:szCs w:val="15"/>
                <w:color w:val="auto"/>
              </w:rPr>
            </w:pPr>
          </w:p>
        </w:tc>
        <w:tc>
          <w:tcPr>
            <w:tcW w:w="3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9"/>
        </w:trPr>
        <w:tc>
          <w:tcPr>
            <w:tcW w:w="1820" w:type="dxa"/>
            <w:vAlign w:val="bottom"/>
            <w:tcBorders>
              <w:bottom w:val="single" w:sz="8" w:color="auto"/>
            </w:tcBorders>
          </w:tcPr>
          <w:p>
            <w:pPr>
              <w:ind w:left="1620"/>
              <w:spacing w:after="0"/>
              <w:rPr>
                <w:sz w:val="20"/>
                <w:szCs w:val="20"/>
                <w:color w:val="auto"/>
              </w:rPr>
            </w:pPr>
            <w:r>
              <w:rPr>
                <w:rFonts w:ascii="Times New Roman" w:cs="Times New Roman" w:eastAsia="Times New Roman" w:hAnsi="Times New Roman"/>
                <w:sz w:val="14"/>
                <w:szCs w:val="14"/>
                <w:color w:val="auto"/>
              </w:rPr>
              <w:t>/s/</w:t>
            </w:r>
          </w:p>
        </w:tc>
        <w:tc>
          <w:tcPr>
            <w:tcW w:w="2900" w:type="dxa"/>
            <w:vAlign w:val="bottom"/>
            <w:tcBorders>
              <w:bottom w:val="single" w:sz="8" w:color="auto"/>
            </w:tcBorders>
            <w:gridSpan w:val="2"/>
          </w:tcPr>
          <w:p>
            <w:pPr>
              <w:jc w:val="center"/>
              <w:ind w:right="1451"/>
              <w:spacing w:after="0"/>
              <w:rPr>
                <w:sz w:val="20"/>
                <w:szCs w:val="20"/>
                <w:color w:val="auto"/>
              </w:rPr>
            </w:pPr>
            <w:r>
              <w:rPr>
                <w:rFonts w:ascii="Times New Roman" w:cs="Times New Roman" w:eastAsia="Times New Roman" w:hAnsi="Times New Roman"/>
                <w:sz w:val="14"/>
                <w:szCs w:val="14"/>
                <w:color w:val="auto"/>
              </w:rPr>
              <w:t>Michael A. Beindorff</w:t>
            </w:r>
          </w:p>
        </w:tc>
        <w:tc>
          <w:tcPr>
            <w:tcW w:w="2400" w:type="dxa"/>
            <w:vAlign w:val="bottom"/>
          </w:tcPr>
          <w:p>
            <w:pPr>
              <w:jc w:val="center"/>
              <w:ind w:right="151"/>
              <w:spacing w:after="0"/>
              <w:rPr>
                <w:sz w:val="20"/>
                <w:szCs w:val="20"/>
                <w:color w:val="auto"/>
              </w:rPr>
            </w:pPr>
            <w:r>
              <w:rPr>
                <w:rFonts w:ascii="Times New Roman" w:cs="Times New Roman" w:eastAsia="Times New Roman" w:hAnsi="Times New Roman"/>
                <w:sz w:val="14"/>
                <w:szCs w:val="14"/>
                <w:color w:val="auto"/>
              </w:rPr>
              <w:t>August 28, 2024</w:t>
            </w:r>
          </w:p>
        </w:tc>
        <w:tc>
          <w:tcPr>
            <w:tcW w:w="3020" w:type="dxa"/>
            <w:vAlign w:val="bottom"/>
          </w:tcPr>
          <w:p>
            <w:pPr>
              <w:jc w:val="center"/>
              <w:ind w:left="791"/>
              <w:spacing w:after="0"/>
              <w:rPr>
                <w:sz w:val="20"/>
                <w:szCs w:val="20"/>
                <w:color w:val="auto"/>
              </w:rPr>
            </w:pPr>
            <w:r>
              <w:rPr>
                <w:rFonts w:ascii="Times New Roman" w:cs="Times New Roman" w:eastAsia="Times New Roman" w:hAnsi="Times New Roman"/>
                <w:sz w:val="14"/>
                <w:szCs w:val="14"/>
                <w:color w:val="auto"/>
              </w:rPr>
              <w:t>Director</w:t>
            </w:r>
          </w:p>
        </w:tc>
        <w:tc>
          <w:tcPr>
            <w:tcW w:w="0" w:type="dxa"/>
            <w:vAlign w:val="bottom"/>
          </w:tcPr>
          <w:p>
            <w:pPr>
              <w:spacing w:after="0"/>
              <w:rPr>
                <w:sz w:val="1"/>
                <w:szCs w:val="1"/>
                <w:color w:val="auto"/>
              </w:rPr>
            </w:pPr>
          </w:p>
        </w:tc>
      </w:tr>
      <w:tr>
        <w:trPr>
          <w:trHeight w:val="175"/>
        </w:trPr>
        <w:tc>
          <w:tcPr>
            <w:tcW w:w="4720" w:type="dxa"/>
            <w:vAlign w:val="bottom"/>
            <w:gridSpan w:val="3"/>
          </w:tcPr>
          <w:p>
            <w:pPr>
              <w:jc w:val="center"/>
              <w:spacing w:after="0"/>
              <w:rPr>
                <w:sz w:val="20"/>
                <w:szCs w:val="20"/>
                <w:color w:val="auto"/>
              </w:rPr>
            </w:pPr>
            <w:r>
              <w:rPr>
                <w:rFonts w:ascii="Times New Roman" w:cs="Times New Roman" w:eastAsia="Times New Roman" w:hAnsi="Times New Roman"/>
                <w:sz w:val="14"/>
                <w:szCs w:val="14"/>
                <w:color w:val="auto"/>
              </w:rPr>
              <w:t>Michael A. Beindorff</w:t>
            </w:r>
          </w:p>
        </w:tc>
        <w:tc>
          <w:tcPr>
            <w:tcW w:w="2400" w:type="dxa"/>
            <w:vAlign w:val="bottom"/>
          </w:tcPr>
          <w:p>
            <w:pPr>
              <w:spacing w:after="0"/>
              <w:rPr>
                <w:sz w:val="15"/>
                <w:szCs w:val="15"/>
                <w:color w:val="auto"/>
              </w:rPr>
            </w:pPr>
          </w:p>
        </w:tc>
        <w:tc>
          <w:tcPr>
            <w:tcW w:w="3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9"/>
        </w:trPr>
        <w:tc>
          <w:tcPr>
            <w:tcW w:w="18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w w:val="90"/>
              </w:rPr>
              <w:t>/s/</w:t>
            </w:r>
          </w:p>
        </w:tc>
        <w:tc>
          <w:tcPr>
            <w:tcW w:w="2720" w:type="dxa"/>
            <w:vAlign w:val="bottom"/>
            <w:tcBorders>
              <w:bottom w:val="single" w:sz="8" w:color="auto"/>
            </w:tcBorders>
          </w:tcPr>
          <w:p>
            <w:pPr>
              <w:jc w:val="center"/>
              <w:ind w:right="1651"/>
              <w:spacing w:after="0"/>
              <w:rPr>
                <w:sz w:val="20"/>
                <w:szCs w:val="20"/>
                <w:color w:val="auto"/>
              </w:rPr>
            </w:pPr>
            <w:r>
              <w:rPr>
                <w:rFonts w:ascii="Times New Roman" w:cs="Times New Roman" w:eastAsia="Times New Roman" w:hAnsi="Times New Roman"/>
                <w:sz w:val="14"/>
                <w:szCs w:val="14"/>
                <w:color w:val="auto"/>
              </w:rPr>
              <w:t>Dayton Judd</w:t>
            </w:r>
          </w:p>
        </w:tc>
        <w:tc>
          <w:tcPr>
            <w:tcW w:w="2400" w:type="dxa"/>
            <w:vAlign w:val="bottom"/>
          </w:tcPr>
          <w:p>
            <w:pPr>
              <w:jc w:val="center"/>
              <w:ind w:right="151"/>
              <w:spacing w:after="0"/>
              <w:rPr>
                <w:sz w:val="20"/>
                <w:szCs w:val="20"/>
                <w:color w:val="auto"/>
              </w:rPr>
            </w:pPr>
            <w:r>
              <w:rPr>
                <w:rFonts w:ascii="Times New Roman" w:cs="Times New Roman" w:eastAsia="Times New Roman" w:hAnsi="Times New Roman"/>
                <w:sz w:val="14"/>
                <w:szCs w:val="14"/>
                <w:color w:val="auto"/>
              </w:rPr>
              <w:t>August 28, 2024</w:t>
            </w:r>
          </w:p>
        </w:tc>
        <w:tc>
          <w:tcPr>
            <w:tcW w:w="3020" w:type="dxa"/>
            <w:vAlign w:val="bottom"/>
          </w:tcPr>
          <w:p>
            <w:pPr>
              <w:jc w:val="center"/>
              <w:ind w:left="791"/>
              <w:spacing w:after="0"/>
              <w:rPr>
                <w:sz w:val="20"/>
                <w:szCs w:val="20"/>
                <w:color w:val="auto"/>
              </w:rPr>
            </w:pPr>
            <w:r>
              <w:rPr>
                <w:rFonts w:ascii="Times New Roman" w:cs="Times New Roman" w:eastAsia="Times New Roman" w:hAnsi="Times New Roman"/>
                <w:sz w:val="14"/>
                <w:szCs w:val="14"/>
                <w:color w:val="auto"/>
              </w:rPr>
              <w:t>Director</w:t>
            </w:r>
          </w:p>
        </w:tc>
        <w:tc>
          <w:tcPr>
            <w:tcW w:w="0" w:type="dxa"/>
            <w:vAlign w:val="bottom"/>
          </w:tcPr>
          <w:p>
            <w:pPr>
              <w:spacing w:after="0"/>
              <w:rPr>
                <w:sz w:val="1"/>
                <w:szCs w:val="1"/>
                <w:color w:val="auto"/>
              </w:rPr>
            </w:pPr>
          </w:p>
        </w:tc>
      </w:tr>
      <w:tr>
        <w:trPr>
          <w:trHeight w:val="175"/>
        </w:trPr>
        <w:tc>
          <w:tcPr>
            <w:tcW w:w="1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720" w:type="dxa"/>
            <w:vAlign w:val="bottom"/>
          </w:tcPr>
          <w:p>
            <w:pPr>
              <w:jc w:val="center"/>
              <w:ind w:right="1931"/>
              <w:spacing w:after="0"/>
              <w:rPr>
                <w:sz w:val="20"/>
                <w:szCs w:val="20"/>
                <w:color w:val="auto"/>
              </w:rPr>
            </w:pPr>
            <w:r>
              <w:rPr>
                <w:rFonts w:ascii="Times New Roman" w:cs="Times New Roman" w:eastAsia="Times New Roman" w:hAnsi="Times New Roman"/>
                <w:sz w:val="14"/>
                <w:szCs w:val="14"/>
                <w:color w:val="auto"/>
              </w:rPr>
              <w:t>Dayton Judd</w:t>
            </w:r>
          </w:p>
        </w:tc>
        <w:tc>
          <w:tcPr>
            <w:tcW w:w="2400" w:type="dxa"/>
            <w:vAlign w:val="bottom"/>
          </w:tcPr>
          <w:p>
            <w:pPr>
              <w:spacing w:after="0"/>
              <w:rPr>
                <w:sz w:val="15"/>
                <w:szCs w:val="15"/>
                <w:color w:val="auto"/>
              </w:rPr>
            </w:pPr>
          </w:p>
        </w:tc>
        <w:tc>
          <w:tcPr>
            <w:tcW w:w="3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9"/>
        </w:trPr>
        <w:tc>
          <w:tcPr>
            <w:tcW w:w="2000" w:type="dxa"/>
            <w:vAlign w:val="bottom"/>
            <w:tcBorders>
              <w:bottom w:val="single" w:sz="8" w:color="auto"/>
            </w:tcBorders>
            <w:gridSpan w:val="2"/>
          </w:tcPr>
          <w:p>
            <w:pPr>
              <w:ind w:left="1780"/>
              <w:spacing w:after="0"/>
              <w:rPr>
                <w:sz w:val="20"/>
                <w:szCs w:val="20"/>
                <w:color w:val="auto"/>
              </w:rPr>
            </w:pPr>
            <w:r>
              <w:rPr>
                <w:rFonts w:ascii="Times New Roman" w:cs="Times New Roman" w:eastAsia="Times New Roman" w:hAnsi="Times New Roman"/>
                <w:sz w:val="14"/>
                <w:szCs w:val="14"/>
                <w:color w:val="auto"/>
              </w:rPr>
              <w:t>/s/</w:t>
            </w:r>
          </w:p>
        </w:tc>
        <w:tc>
          <w:tcPr>
            <w:tcW w:w="2720" w:type="dxa"/>
            <w:vAlign w:val="bottom"/>
            <w:tcBorders>
              <w:bottom w:val="single" w:sz="8" w:color="auto"/>
            </w:tcBorders>
          </w:tcPr>
          <w:p>
            <w:pPr>
              <w:jc w:val="center"/>
              <w:ind w:right="1651"/>
              <w:spacing w:after="0"/>
              <w:rPr>
                <w:sz w:val="20"/>
                <w:szCs w:val="20"/>
                <w:color w:val="auto"/>
              </w:rPr>
            </w:pPr>
            <w:r>
              <w:rPr>
                <w:rFonts w:ascii="Times New Roman" w:cs="Times New Roman" w:eastAsia="Times New Roman" w:hAnsi="Times New Roman"/>
                <w:sz w:val="14"/>
                <w:szCs w:val="14"/>
                <w:color w:val="auto"/>
              </w:rPr>
              <w:t>Cynthia Latham</w:t>
            </w:r>
          </w:p>
        </w:tc>
        <w:tc>
          <w:tcPr>
            <w:tcW w:w="2400" w:type="dxa"/>
            <w:vAlign w:val="bottom"/>
          </w:tcPr>
          <w:p>
            <w:pPr>
              <w:jc w:val="center"/>
              <w:ind w:right="151"/>
              <w:spacing w:after="0"/>
              <w:rPr>
                <w:sz w:val="20"/>
                <w:szCs w:val="20"/>
                <w:color w:val="auto"/>
              </w:rPr>
            </w:pPr>
            <w:r>
              <w:rPr>
                <w:rFonts w:ascii="Times New Roman" w:cs="Times New Roman" w:eastAsia="Times New Roman" w:hAnsi="Times New Roman"/>
                <w:sz w:val="14"/>
                <w:szCs w:val="14"/>
                <w:color w:val="auto"/>
              </w:rPr>
              <w:t>August 28, 2024</w:t>
            </w:r>
          </w:p>
        </w:tc>
        <w:tc>
          <w:tcPr>
            <w:tcW w:w="3020" w:type="dxa"/>
            <w:vAlign w:val="bottom"/>
          </w:tcPr>
          <w:p>
            <w:pPr>
              <w:jc w:val="center"/>
              <w:ind w:left="791"/>
              <w:spacing w:after="0"/>
              <w:rPr>
                <w:sz w:val="20"/>
                <w:szCs w:val="20"/>
                <w:color w:val="auto"/>
              </w:rPr>
            </w:pPr>
            <w:r>
              <w:rPr>
                <w:rFonts w:ascii="Times New Roman" w:cs="Times New Roman" w:eastAsia="Times New Roman" w:hAnsi="Times New Roman"/>
                <w:sz w:val="14"/>
                <w:szCs w:val="14"/>
                <w:color w:val="auto"/>
              </w:rPr>
              <w:t>Director</w:t>
            </w:r>
          </w:p>
        </w:tc>
        <w:tc>
          <w:tcPr>
            <w:tcW w:w="0" w:type="dxa"/>
            <w:vAlign w:val="bottom"/>
          </w:tcPr>
          <w:p>
            <w:pPr>
              <w:spacing w:after="0"/>
              <w:rPr>
                <w:sz w:val="1"/>
                <w:szCs w:val="1"/>
                <w:color w:val="auto"/>
              </w:rPr>
            </w:pPr>
          </w:p>
        </w:tc>
      </w:tr>
      <w:tr>
        <w:trPr>
          <w:trHeight w:val="175"/>
        </w:trPr>
        <w:tc>
          <w:tcPr>
            <w:tcW w:w="1820" w:type="dxa"/>
            <w:vAlign w:val="bottom"/>
          </w:tcPr>
          <w:p>
            <w:pPr>
              <w:spacing w:after="0"/>
              <w:rPr>
                <w:sz w:val="15"/>
                <w:szCs w:val="15"/>
                <w:color w:val="auto"/>
              </w:rPr>
            </w:pPr>
          </w:p>
        </w:tc>
        <w:tc>
          <w:tcPr>
            <w:tcW w:w="2900" w:type="dxa"/>
            <w:vAlign w:val="bottom"/>
            <w:gridSpan w:val="2"/>
          </w:tcPr>
          <w:p>
            <w:pPr>
              <w:jc w:val="center"/>
              <w:ind w:right="1751"/>
              <w:spacing w:after="0"/>
              <w:rPr>
                <w:sz w:val="20"/>
                <w:szCs w:val="20"/>
                <w:color w:val="auto"/>
              </w:rPr>
            </w:pPr>
            <w:r>
              <w:rPr>
                <w:rFonts w:ascii="Times New Roman" w:cs="Times New Roman" w:eastAsia="Times New Roman" w:hAnsi="Times New Roman"/>
                <w:sz w:val="14"/>
                <w:szCs w:val="14"/>
                <w:color w:val="auto"/>
              </w:rPr>
              <w:t>Cynthia Latham</w:t>
            </w:r>
          </w:p>
        </w:tc>
        <w:tc>
          <w:tcPr>
            <w:tcW w:w="2400" w:type="dxa"/>
            <w:vAlign w:val="bottom"/>
          </w:tcPr>
          <w:p>
            <w:pPr>
              <w:spacing w:after="0"/>
              <w:rPr>
                <w:sz w:val="15"/>
                <w:szCs w:val="15"/>
                <w:color w:val="auto"/>
              </w:rPr>
            </w:pPr>
          </w:p>
        </w:tc>
        <w:tc>
          <w:tcPr>
            <w:tcW w:w="3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9"/>
        </w:trPr>
        <w:tc>
          <w:tcPr>
            <w:tcW w:w="2000" w:type="dxa"/>
            <w:vAlign w:val="bottom"/>
            <w:tcBorders>
              <w:bottom w:val="single" w:sz="8" w:color="auto"/>
            </w:tcBorders>
            <w:gridSpan w:val="2"/>
          </w:tcPr>
          <w:p>
            <w:pPr>
              <w:ind w:left="1740"/>
              <w:spacing w:after="0"/>
              <w:rPr>
                <w:sz w:val="20"/>
                <w:szCs w:val="20"/>
                <w:color w:val="auto"/>
              </w:rPr>
            </w:pPr>
            <w:r>
              <w:rPr>
                <w:rFonts w:ascii="Times New Roman" w:cs="Times New Roman" w:eastAsia="Times New Roman" w:hAnsi="Times New Roman"/>
                <w:sz w:val="14"/>
                <w:szCs w:val="14"/>
                <w:color w:val="auto"/>
              </w:rPr>
              <w:t>/s/</w:t>
            </w:r>
          </w:p>
        </w:tc>
        <w:tc>
          <w:tcPr>
            <w:tcW w:w="2720" w:type="dxa"/>
            <w:vAlign w:val="bottom"/>
            <w:tcBorders>
              <w:bottom w:val="single" w:sz="8" w:color="auto"/>
            </w:tcBorders>
          </w:tcPr>
          <w:p>
            <w:pPr>
              <w:jc w:val="center"/>
              <w:ind w:right="1631"/>
              <w:spacing w:after="0"/>
              <w:rPr>
                <w:sz w:val="20"/>
                <w:szCs w:val="20"/>
                <w:color w:val="auto"/>
              </w:rPr>
            </w:pPr>
            <w:r>
              <w:rPr>
                <w:rFonts w:ascii="Times New Roman" w:cs="Times New Roman" w:eastAsia="Times New Roman" w:hAnsi="Times New Roman"/>
                <w:sz w:val="14"/>
                <w:szCs w:val="14"/>
                <w:color w:val="auto"/>
              </w:rPr>
              <w:t>Darwin K. Lewis</w:t>
            </w:r>
          </w:p>
        </w:tc>
        <w:tc>
          <w:tcPr>
            <w:tcW w:w="2400" w:type="dxa"/>
            <w:vAlign w:val="bottom"/>
          </w:tcPr>
          <w:p>
            <w:pPr>
              <w:jc w:val="center"/>
              <w:ind w:right="151"/>
              <w:spacing w:after="0"/>
              <w:rPr>
                <w:sz w:val="20"/>
                <w:szCs w:val="20"/>
                <w:color w:val="auto"/>
              </w:rPr>
            </w:pPr>
            <w:r>
              <w:rPr>
                <w:rFonts w:ascii="Times New Roman" w:cs="Times New Roman" w:eastAsia="Times New Roman" w:hAnsi="Times New Roman"/>
                <w:sz w:val="14"/>
                <w:szCs w:val="14"/>
                <w:color w:val="auto"/>
              </w:rPr>
              <w:t>August 28, 2024</w:t>
            </w:r>
          </w:p>
        </w:tc>
        <w:tc>
          <w:tcPr>
            <w:tcW w:w="3020" w:type="dxa"/>
            <w:vAlign w:val="bottom"/>
          </w:tcPr>
          <w:p>
            <w:pPr>
              <w:jc w:val="center"/>
              <w:ind w:left="791"/>
              <w:spacing w:after="0"/>
              <w:rPr>
                <w:sz w:val="20"/>
                <w:szCs w:val="20"/>
                <w:color w:val="auto"/>
              </w:rPr>
            </w:pPr>
            <w:r>
              <w:rPr>
                <w:rFonts w:ascii="Times New Roman" w:cs="Times New Roman" w:eastAsia="Times New Roman" w:hAnsi="Times New Roman"/>
                <w:sz w:val="14"/>
                <w:szCs w:val="14"/>
                <w:color w:val="auto"/>
              </w:rPr>
              <w:t>Director</w:t>
            </w:r>
          </w:p>
        </w:tc>
        <w:tc>
          <w:tcPr>
            <w:tcW w:w="0" w:type="dxa"/>
            <w:vAlign w:val="bottom"/>
          </w:tcPr>
          <w:p>
            <w:pPr>
              <w:spacing w:after="0"/>
              <w:rPr>
                <w:sz w:val="1"/>
                <w:szCs w:val="1"/>
                <w:color w:val="auto"/>
              </w:rPr>
            </w:pPr>
          </w:p>
        </w:tc>
      </w:tr>
      <w:tr>
        <w:trPr>
          <w:trHeight w:val="175"/>
        </w:trPr>
        <w:tc>
          <w:tcPr>
            <w:tcW w:w="1820" w:type="dxa"/>
            <w:vAlign w:val="bottom"/>
          </w:tcPr>
          <w:p>
            <w:pPr>
              <w:spacing w:after="0"/>
              <w:rPr>
                <w:sz w:val="15"/>
                <w:szCs w:val="15"/>
                <w:color w:val="auto"/>
              </w:rPr>
            </w:pPr>
          </w:p>
        </w:tc>
        <w:tc>
          <w:tcPr>
            <w:tcW w:w="2900" w:type="dxa"/>
            <w:vAlign w:val="bottom"/>
            <w:gridSpan w:val="2"/>
          </w:tcPr>
          <w:p>
            <w:pPr>
              <w:jc w:val="center"/>
              <w:ind w:right="1731"/>
              <w:spacing w:after="0"/>
              <w:rPr>
                <w:sz w:val="20"/>
                <w:szCs w:val="20"/>
                <w:color w:val="auto"/>
              </w:rPr>
            </w:pPr>
            <w:r>
              <w:rPr>
                <w:rFonts w:ascii="Times New Roman" w:cs="Times New Roman" w:eastAsia="Times New Roman" w:hAnsi="Times New Roman"/>
                <w:sz w:val="14"/>
                <w:szCs w:val="14"/>
                <w:color w:val="auto"/>
              </w:rPr>
              <w:t>Darwin K. Lewis</w:t>
            </w:r>
          </w:p>
        </w:tc>
        <w:tc>
          <w:tcPr>
            <w:tcW w:w="2400" w:type="dxa"/>
            <w:vAlign w:val="bottom"/>
          </w:tcPr>
          <w:p>
            <w:pPr>
              <w:spacing w:after="0"/>
              <w:rPr>
                <w:sz w:val="15"/>
                <w:szCs w:val="15"/>
                <w:color w:val="auto"/>
              </w:rPr>
            </w:pPr>
          </w:p>
        </w:tc>
        <w:tc>
          <w:tcPr>
            <w:tcW w:w="3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9"/>
        </w:trPr>
        <w:tc>
          <w:tcPr>
            <w:tcW w:w="18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w w:val="90"/>
              </w:rPr>
              <w:t>/s/</w:t>
            </w:r>
          </w:p>
        </w:tc>
        <w:tc>
          <w:tcPr>
            <w:tcW w:w="2720" w:type="dxa"/>
            <w:vAlign w:val="bottom"/>
            <w:tcBorders>
              <w:bottom w:val="single" w:sz="8" w:color="auto"/>
            </w:tcBorders>
          </w:tcPr>
          <w:p>
            <w:pPr>
              <w:jc w:val="center"/>
              <w:ind w:right="1631"/>
              <w:spacing w:after="0"/>
              <w:rPr>
                <w:sz w:val="20"/>
                <w:szCs w:val="20"/>
                <w:color w:val="auto"/>
              </w:rPr>
            </w:pPr>
            <w:r>
              <w:rPr>
                <w:rFonts w:ascii="Times New Roman" w:cs="Times New Roman" w:eastAsia="Times New Roman" w:hAnsi="Times New Roman"/>
                <w:sz w:val="14"/>
                <w:szCs w:val="14"/>
                <w:color w:val="auto"/>
              </w:rPr>
              <w:t>Garry Mauro</w:t>
            </w:r>
          </w:p>
        </w:tc>
        <w:tc>
          <w:tcPr>
            <w:tcW w:w="2400" w:type="dxa"/>
            <w:vAlign w:val="bottom"/>
          </w:tcPr>
          <w:p>
            <w:pPr>
              <w:jc w:val="center"/>
              <w:ind w:right="151"/>
              <w:spacing w:after="0"/>
              <w:rPr>
                <w:sz w:val="20"/>
                <w:szCs w:val="20"/>
                <w:color w:val="auto"/>
              </w:rPr>
            </w:pPr>
            <w:r>
              <w:rPr>
                <w:rFonts w:ascii="Times New Roman" w:cs="Times New Roman" w:eastAsia="Times New Roman" w:hAnsi="Times New Roman"/>
                <w:sz w:val="14"/>
                <w:szCs w:val="14"/>
                <w:color w:val="auto"/>
              </w:rPr>
              <w:t>August 28, 2024</w:t>
            </w:r>
          </w:p>
        </w:tc>
        <w:tc>
          <w:tcPr>
            <w:tcW w:w="3020" w:type="dxa"/>
            <w:vAlign w:val="bottom"/>
          </w:tcPr>
          <w:p>
            <w:pPr>
              <w:jc w:val="center"/>
              <w:ind w:left="791"/>
              <w:spacing w:after="0"/>
              <w:rPr>
                <w:sz w:val="20"/>
                <w:szCs w:val="20"/>
                <w:color w:val="auto"/>
              </w:rPr>
            </w:pPr>
            <w:r>
              <w:rPr>
                <w:rFonts w:ascii="Times New Roman" w:cs="Times New Roman" w:eastAsia="Times New Roman" w:hAnsi="Times New Roman"/>
                <w:sz w:val="14"/>
                <w:szCs w:val="14"/>
                <w:color w:val="auto"/>
              </w:rPr>
              <w:t>Director</w:t>
            </w:r>
          </w:p>
        </w:tc>
        <w:tc>
          <w:tcPr>
            <w:tcW w:w="0" w:type="dxa"/>
            <w:vAlign w:val="bottom"/>
          </w:tcPr>
          <w:p>
            <w:pPr>
              <w:spacing w:after="0"/>
              <w:rPr>
                <w:sz w:val="1"/>
                <w:szCs w:val="1"/>
                <w:color w:val="auto"/>
              </w:rPr>
            </w:pPr>
          </w:p>
        </w:tc>
      </w:tr>
      <w:tr>
        <w:trPr>
          <w:trHeight w:val="175"/>
        </w:trPr>
        <w:tc>
          <w:tcPr>
            <w:tcW w:w="1820" w:type="dxa"/>
            <w:vAlign w:val="bottom"/>
          </w:tcPr>
          <w:p>
            <w:pPr>
              <w:spacing w:after="0"/>
              <w:rPr>
                <w:sz w:val="15"/>
                <w:szCs w:val="15"/>
                <w:color w:val="auto"/>
              </w:rPr>
            </w:pPr>
          </w:p>
        </w:tc>
        <w:tc>
          <w:tcPr>
            <w:tcW w:w="2900" w:type="dxa"/>
            <w:vAlign w:val="bottom"/>
            <w:gridSpan w:val="2"/>
          </w:tcPr>
          <w:p>
            <w:pPr>
              <w:jc w:val="center"/>
              <w:ind w:right="1731"/>
              <w:spacing w:after="0"/>
              <w:rPr>
                <w:sz w:val="20"/>
                <w:szCs w:val="20"/>
                <w:color w:val="auto"/>
              </w:rPr>
            </w:pPr>
            <w:r>
              <w:rPr>
                <w:rFonts w:ascii="Times New Roman" w:cs="Times New Roman" w:eastAsia="Times New Roman" w:hAnsi="Times New Roman"/>
                <w:sz w:val="14"/>
                <w:szCs w:val="14"/>
                <w:color w:val="auto"/>
              </w:rPr>
              <w:t>Garry Mauro</w:t>
            </w:r>
          </w:p>
        </w:tc>
        <w:tc>
          <w:tcPr>
            <w:tcW w:w="2400" w:type="dxa"/>
            <w:vAlign w:val="bottom"/>
          </w:tcPr>
          <w:p>
            <w:pPr>
              <w:spacing w:after="0"/>
              <w:rPr>
                <w:sz w:val="15"/>
                <w:szCs w:val="15"/>
                <w:color w:val="auto"/>
              </w:rPr>
            </w:pPr>
          </w:p>
        </w:tc>
        <w:tc>
          <w:tcPr>
            <w:tcW w:w="30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11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0159"/>
          </w:cols>
          <w:pgMar w:left="300" w:top="937" w:right="1440" w:bottom="1440" w:gutter="0" w:footer="0" w:header="0"/>
        </w:sectPr>
      </w:pPr>
    </w:p>
    <w:bookmarkStart w:id="60" w:name="page61"/>
    <w:bookmarkEnd w:id="60"/>
    <w:p>
      <w:pPr>
        <w:jc w:val="center"/>
        <w:spacing w:after="0"/>
        <w:rPr>
          <w:sz w:val="20"/>
          <w:szCs w:val="20"/>
          <w:color w:val="auto"/>
        </w:rPr>
      </w:pPr>
      <w:r>
        <w:rPr>
          <w:rFonts w:ascii="Times New Roman" w:cs="Times New Roman" w:eastAsia="Times New Roman" w:hAnsi="Times New Roman"/>
          <w:sz w:val="14"/>
          <w:szCs w:val="14"/>
          <w:b w:val="1"/>
          <w:bCs w:val="1"/>
          <w:color w:val="auto"/>
        </w:rPr>
        <w:t>LIFEVANTAGE CORPORATION</w:t>
      </w:r>
    </w:p>
    <w:p>
      <w:pPr>
        <w:spacing w:after="0" w:line="1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Index to Consolidated Financial Statements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10600" w:type="dxa"/>
            <w:vAlign w:val="bottom"/>
            <w:gridSpan w:val="8"/>
          </w:tcPr>
          <w:p>
            <w:pPr>
              <w:spacing w:after="0"/>
              <w:rPr>
                <w:sz w:val="20"/>
                <w:szCs w:val="20"/>
                <w:color w:val="auto"/>
              </w:rPr>
            </w:pPr>
            <w:r>
              <w:rPr>
                <w:rFonts w:ascii="Times New Roman" w:cs="Times New Roman" w:eastAsia="Times New Roman" w:hAnsi="Times New Roman"/>
                <w:sz w:val="14"/>
                <w:szCs w:val="14"/>
                <w:color w:val="0000FF"/>
              </w:rPr>
              <w:t xml:space="preserve">Report of Independent Registered Public Accounting Firm (Deloitte &amp; Touche, LLP, Salt Lake City, UT, Auditor Firm ID: </w:t>
            </w:r>
            <w:r>
              <w:rPr>
                <w:rFonts w:ascii="Times New Roman" w:cs="Times New Roman" w:eastAsia="Times New Roman" w:hAnsi="Times New Roman"/>
                <w:sz w:val="14"/>
                <w:szCs w:val="14"/>
                <w:color w:val="000000"/>
              </w:rPr>
              <w:t>34</w:t>
            </w:r>
          </w:p>
        </w:tc>
        <w:tc>
          <w:tcPr>
            <w:tcW w:w="660" w:type="dxa"/>
            <w:vAlign w:val="bottom"/>
            <w:gridSpan w:val="2"/>
          </w:tcPr>
          <w:p>
            <w:pPr>
              <w:jc w:val="right"/>
              <w:ind w:right="520"/>
              <w:spacing w:after="0"/>
              <w:rPr>
                <w:sz w:val="20"/>
                <w:szCs w:val="20"/>
                <w:color w:val="auto"/>
              </w:rPr>
            </w:pPr>
            <w:r>
              <w:rPr>
                <w:rFonts w:ascii="Times New Roman" w:cs="Times New Roman" w:eastAsia="Times New Roman" w:hAnsi="Times New Roman"/>
                <w:sz w:val="14"/>
                <w:szCs w:val="14"/>
                <w:color w:val="0000FF"/>
                <w:w w:val="85"/>
              </w:rPr>
              <w:t>62</w:t>
            </w:r>
          </w:p>
        </w:tc>
      </w:tr>
      <w:tr>
        <w:trPr>
          <w:trHeight w:val="160"/>
        </w:trPr>
        <w:tc>
          <w:tcPr>
            <w:tcW w:w="20" w:type="dxa"/>
            <w:vAlign w:val="bottom"/>
          </w:tcPr>
          <w:p>
            <w:pPr>
              <w:spacing w:after="0"/>
              <w:rPr>
                <w:sz w:val="13"/>
                <w:szCs w:val="13"/>
                <w:color w:val="auto"/>
              </w:rPr>
            </w:pPr>
          </w:p>
        </w:tc>
        <w:tc>
          <w:tcPr>
            <w:tcW w:w="6960" w:type="dxa"/>
            <w:vAlign w:val="bottom"/>
            <w:tcBorders>
              <w:top w:val="single" w:sz="8" w:color="0000FF"/>
            </w:tcBorders>
            <w:gridSpan w:val="7"/>
          </w:tcPr>
          <w:p>
            <w:pPr>
              <w:spacing w:after="0"/>
              <w:rPr>
                <w:sz w:val="20"/>
                <w:szCs w:val="20"/>
                <w:color w:val="auto"/>
              </w:rPr>
            </w:pPr>
            <w:r>
              <w:rPr>
                <w:rFonts w:ascii="Times New Roman" w:cs="Times New Roman" w:eastAsia="Times New Roman" w:hAnsi="Times New Roman"/>
                <w:sz w:val="14"/>
                <w:szCs w:val="14"/>
                <w:color w:val="0000FF"/>
              </w:rPr>
              <w:t>Consolidated Financial Statements:</w:t>
            </w:r>
          </w:p>
        </w:tc>
        <w:tc>
          <w:tcPr>
            <w:tcW w:w="3640" w:type="dxa"/>
            <w:vAlign w:val="bottom"/>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520" w:type="dxa"/>
            <w:vAlign w:val="bottom"/>
          </w:tcPr>
          <w:p>
            <w:pPr>
              <w:spacing w:after="0"/>
              <w:rPr>
                <w:sz w:val="13"/>
                <w:szCs w:val="13"/>
                <w:color w:val="auto"/>
              </w:rPr>
            </w:pPr>
          </w:p>
        </w:tc>
      </w:tr>
      <w:tr>
        <w:trPr>
          <w:trHeight w:val="160"/>
        </w:trPr>
        <w:tc>
          <w:tcPr>
            <w:tcW w:w="20" w:type="dxa"/>
            <w:vAlign w:val="bottom"/>
          </w:tcPr>
          <w:p>
            <w:pPr>
              <w:spacing w:after="0"/>
              <w:rPr>
                <w:sz w:val="13"/>
                <w:szCs w:val="13"/>
                <w:color w:val="auto"/>
              </w:rPr>
            </w:pPr>
          </w:p>
        </w:tc>
        <w:tc>
          <w:tcPr>
            <w:tcW w:w="2000" w:type="dxa"/>
            <w:vAlign w:val="bottom"/>
            <w:tcBorders>
              <w:top w:val="single" w:sz="8" w:color="0000FF"/>
            </w:tcBorders>
            <w:gridSpan w:val="2"/>
          </w:tcPr>
          <w:p>
            <w:pPr>
              <w:spacing w:after="0"/>
              <w:rPr>
                <w:sz w:val="20"/>
                <w:szCs w:val="20"/>
                <w:color w:val="auto"/>
              </w:rPr>
            </w:pPr>
            <w:r>
              <w:rPr>
                <w:rFonts w:ascii="Times New Roman" w:cs="Times New Roman" w:eastAsia="Times New Roman" w:hAnsi="Times New Roman"/>
                <w:sz w:val="14"/>
                <w:szCs w:val="14"/>
                <w:color w:val="0000FF"/>
              </w:rPr>
              <w:t>Consolidated Balance Sheets</w:t>
            </w:r>
          </w:p>
        </w:tc>
        <w:tc>
          <w:tcPr>
            <w:tcW w:w="8600" w:type="dxa"/>
            <w:vAlign w:val="bottom"/>
            <w:gridSpan w:val="6"/>
          </w:tcPr>
          <w:p>
            <w:pPr>
              <w:spacing w:after="0"/>
              <w:rPr>
                <w:sz w:val="13"/>
                <w:szCs w:val="13"/>
                <w:color w:val="auto"/>
              </w:rPr>
            </w:pPr>
          </w:p>
        </w:tc>
        <w:tc>
          <w:tcPr>
            <w:tcW w:w="660" w:type="dxa"/>
            <w:vAlign w:val="bottom"/>
            <w:gridSpan w:val="2"/>
          </w:tcPr>
          <w:p>
            <w:pPr>
              <w:jc w:val="right"/>
              <w:ind w:right="520"/>
              <w:spacing w:after="0"/>
              <w:rPr>
                <w:sz w:val="20"/>
                <w:szCs w:val="20"/>
                <w:color w:val="auto"/>
              </w:rPr>
            </w:pPr>
            <w:r>
              <w:rPr>
                <w:rFonts w:ascii="Times New Roman" w:cs="Times New Roman" w:eastAsia="Times New Roman" w:hAnsi="Times New Roman"/>
                <w:sz w:val="14"/>
                <w:szCs w:val="14"/>
                <w:color w:val="0000FF"/>
                <w:w w:val="85"/>
              </w:rPr>
              <w:t>64</w:t>
            </w:r>
          </w:p>
        </w:tc>
      </w:tr>
      <w:tr>
        <w:trPr>
          <w:trHeight w:val="20"/>
        </w:trPr>
        <w:tc>
          <w:tcPr>
            <w:tcW w:w="20" w:type="dxa"/>
            <w:vAlign w:val="bottom"/>
          </w:tcPr>
          <w:p>
            <w:pPr>
              <w:spacing w:after="0" w:line="20" w:lineRule="exact"/>
              <w:rPr>
                <w:sz w:val="1"/>
                <w:szCs w:val="1"/>
                <w:color w:val="auto"/>
              </w:rPr>
            </w:pPr>
          </w:p>
        </w:tc>
        <w:tc>
          <w:tcPr>
            <w:tcW w:w="1640" w:type="dxa"/>
            <w:vAlign w:val="bottom"/>
            <w:shd w:val="clear" w:color="auto" w:fill="0000FF"/>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760" w:type="dxa"/>
            <w:vAlign w:val="bottom"/>
            <w:gridSpan w:val="2"/>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384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4"/>
                <w:szCs w:val="14"/>
                <w:color w:val="0000FF"/>
              </w:rPr>
              <w:t>Consolidated Statements of Operations and Comprehensive Income</w:t>
            </w:r>
          </w:p>
        </w:tc>
        <w:tc>
          <w:tcPr>
            <w:tcW w:w="6760" w:type="dxa"/>
            <w:vAlign w:val="bottom"/>
            <w:gridSpan w:val="2"/>
          </w:tcPr>
          <w:p>
            <w:pPr>
              <w:spacing w:after="0"/>
              <w:rPr>
                <w:sz w:val="13"/>
                <w:szCs w:val="13"/>
                <w:color w:val="auto"/>
              </w:rPr>
            </w:pPr>
          </w:p>
        </w:tc>
        <w:tc>
          <w:tcPr>
            <w:tcW w:w="14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4"/>
                <w:szCs w:val="14"/>
                <w:color w:val="0000FF"/>
                <w:w w:val="85"/>
              </w:rPr>
              <w:t>65</w:t>
            </w:r>
          </w:p>
        </w:tc>
        <w:tc>
          <w:tcPr>
            <w:tcW w:w="520" w:type="dxa"/>
            <w:vAlign w:val="bottom"/>
          </w:tcPr>
          <w:p>
            <w:pPr>
              <w:spacing w:after="0"/>
              <w:rPr>
                <w:sz w:val="13"/>
                <w:szCs w:val="13"/>
                <w:color w:val="auto"/>
              </w:rPr>
            </w:pPr>
          </w:p>
        </w:tc>
      </w:tr>
      <w:tr>
        <w:trPr>
          <w:trHeight w:val="160"/>
        </w:trPr>
        <w:tc>
          <w:tcPr>
            <w:tcW w:w="20" w:type="dxa"/>
            <w:vAlign w:val="bottom"/>
          </w:tcPr>
          <w:p>
            <w:pPr>
              <w:spacing w:after="0"/>
              <w:rPr>
                <w:sz w:val="13"/>
                <w:szCs w:val="13"/>
                <w:color w:val="auto"/>
              </w:rPr>
            </w:pPr>
          </w:p>
        </w:tc>
        <w:tc>
          <w:tcPr>
            <w:tcW w:w="10600" w:type="dxa"/>
            <w:vAlign w:val="bottom"/>
            <w:gridSpan w:val="8"/>
          </w:tcPr>
          <w:p>
            <w:pPr>
              <w:spacing w:after="0"/>
              <w:rPr>
                <w:sz w:val="20"/>
                <w:szCs w:val="20"/>
                <w:color w:val="auto"/>
              </w:rPr>
            </w:pPr>
            <w:r>
              <w:rPr>
                <w:rFonts w:ascii="Times New Roman" w:cs="Times New Roman" w:eastAsia="Times New Roman" w:hAnsi="Times New Roman"/>
                <w:sz w:val="14"/>
                <w:szCs w:val="14"/>
                <w:color w:val="0000FF"/>
              </w:rPr>
              <w:t>Consolidated Statements of Stockholders’ Equity</w:t>
            </w:r>
          </w:p>
        </w:tc>
        <w:tc>
          <w:tcPr>
            <w:tcW w:w="660" w:type="dxa"/>
            <w:vAlign w:val="bottom"/>
            <w:gridSpan w:val="2"/>
          </w:tcPr>
          <w:p>
            <w:pPr>
              <w:jc w:val="right"/>
              <w:ind w:right="520"/>
              <w:spacing w:after="0"/>
              <w:rPr>
                <w:sz w:val="20"/>
                <w:szCs w:val="20"/>
                <w:color w:val="auto"/>
              </w:rPr>
            </w:pPr>
            <w:r>
              <w:rPr>
                <w:rFonts w:ascii="Times New Roman" w:cs="Times New Roman" w:eastAsia="Times New Roman" w:hAnsi="Times New Roman"/>
                <w:sz w:val="14"/>
                <w:szCs w:val="14"/>
                <w:color w:val="0000FF"/>
                <w:w w:val="85"/>
              </w:rPr>
              <w:t>66</w:t>
            </w:r>
          </w:p>
        </w:tc>
      </w:tr>
      <w:tr>
        <w:trPr>
          <w:trHeight w:val="160"/>
        </w:trPr>
        <w:tc>
          <w:tcPr>
            <w:tcW w:w="20" w:type="dxa"/>
            <w:vAlign w:val="bottom"/>
          </w:tcPr>
          <w:p>
            <w:pPr>
              <w:spacing w:after="0"/>
              <w:rPr>
                <w:sz w:val="13"/>
                <w:szCs w:val="13"/>
                <w:color w:val="auto"/>
              </w:rPr>
            </w:pPr>
          </w:p>
        </w:tc>
        <w:tc>
          <w:tcPr>
            <w:tcW w:w="2260" w:type="dxa"/>
            <w:vAlign w:val="bottom"/>
            <w:tcBorders>
              <w:top w:val="single" w:sz="8" w:color="0000FF"/>
              <w:bottom w:val="single" w:sz="8" w:color="0000FF"/>
            </w:tcBorders>
            <w:gridSpan w:val="3"/>
          </w:tcPr>
          <w:p>
            <w:pPr>
              <w:spacing w:after="0"/>
              <w:rPr>
                <w:sz w:val="20"/>
                <w:szCs w:val="20"/>
                <w:color w:val="auto"/>
              </w:rPr>
            </w:pPr>
            <w:r>
              <w:rPr>
                <w:rFonts w:ascii="Times New Roman" w:cs="Times New Roman" w:eastAsia="Times New Roman" w:hAnsi="Times New Roman"/>
                <w:sz w:val="14"/>
                <w:szCs w:val="14"/>
                <w:color w:val="0000FF"/>
              </w:rPr>
              <w:t>Consolidated Statements of Cash Flows</w:t>
            </w:r>
          </w:p>
        </w:tc>
        <w:tc>
          <w:tcPr>
            <w:tcW w:w="520" w:type="dxa"/>
            <w:vAlign w:val="bottom"/>
            <w:tcBorders>
              <w:top w:val="single" w:sz="8" w:color="0000FF"/>
            </w:tcBorders>
            <w:gridSpan w:val="2"/>
          </w:tcPr>
          <w:p>
            <w:pPr>
              <w:spacing w:after="0"/>
              <w:rPr>
                <w:sz w:val="13"/>
                <w:szCs w:val="13"/>
                <w:color w:val="auto"/>
              </w:rPr>
            </w:pPr>
          </w:p>
        </w:tc>
        <w:tc>
          <w:tcPr>
            <w:tcW w:w="7820" w:type="dxa"/>
            <w:vAlign w:val="bottom"/>
            <w:gridSpan w:val="3"/>
          </w:tcPr>
          <w:p>
            <w:pPr>
              <w:spacing w:after="0"/>
              <w:rPr>
                <w:sz w:val="13"/>
                <w:szCs w:val="13"/>
                <w:color w:val="auto"/>
              </w:rPr>
            </w:pPr>
          </w:p>
        </w:tc>
        <w:tc>
          <w:tcPr>
            <w:tcW w:w="140" w:type="dxa"/>
            <w:vAlign w:val="bottom"/>
            <w:tcBorders>
              <w:top w:val="single" w:sz="8" w:color="0000FF"/>
              <w:bottom w:val="single" w:sz="8" w:color="0000FF"/>
            </w:tcBorders>
          </w:tcPr>
          <w:p>
            <w:pPr>
              <w:jc w:val="right"/>
              <w:spacing w:after="0"/>
              <w:rPr>
                <w:sz w:val="20"/>
                <w:szCs w:val="20"/>
                <w:color w:val="auto"/>
              </w:rPr>
            </w:pPr>
            <w:r>
              <w:rPr>
                <w:rFonts w:ascii="Times New Roman" w:cs="Times New Roman" w:eastAsia="Times New Roman" w:hAnsi="Times New Roman"/>
                <w:sz w:val="14"/>
                <w:szCs w:val="14"/>
                <w:color w:val="0000FF"/>
                <w:w w:val="85"/>
              </w:rPr>
              <w:t>67</w:t>
            </w:r>
          </w:p>
        </w:tc>
        <w:tc>
          <w:tcPr>
            <w:tcW w:w="520" w:type="dxa"/>
            <w:vAlign w:val="bottom"/>
          </w:tcPr>
          <w:p>
            <w:pPr>
              <w:spacing w:after="0"/>
              <w:rPr>
                <w:sz w:val="13"/>
                <w:szCs w:val="13"/>
                <w:color w:val="auto"/>
              </w:rPr>
            </w:pPr>
          </w:p>
        </w:tc>
      </w:tr>
      <w:tr>
        <w:trPr>
          <w:trHeight w:val="160"/>
        </w:trPr>
        <w:tc>
          <w:tcPr>
            <w:tcW w:w="20" w:type="dxa"/>
            <w:vAlign w:val="bottom"/>
          </w:tcPr>
          <w:p>
            <w:pPr>
              <w:spacing w:after="0"/>
              <w:rPr>
                <w:sz w:val="13"/>
                <w:szCs w:val="13"/>
                <w:color w:val="auto"/>
              </w:rPr>
            </w:pPr>
          </w:p>
        </w:tc>
        <w:tc>
          <w:tcPr>
            <w:tcW w:w="248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4"/>
                <w:szCs w:val="14"/>
                <w:color w:val="0000FF"/>
              </w:rPr>
              <w:t>Notes to Consolidated Financial Statements</w:t>
            </w:r>
          </w:p>
        </w:tc>
        <w:tc>
          <w:tcPr>
            <w:tcW w:w="8120" w:type="dxa"/>
            <w:vAlign w:val="bottom"/>
            <w:gridSpan w:val="4"/>
          </w:tcPr>
          <w:p>
            <w:pPr>
              <w:spacing w:after="0"/>
              <w:rPr>
                <w:sz w:val="13"/>
                <w:szCs w:val="13"/>
                <w:color w:val="auto"/>
              </w:rPr>
            </w:pPr>
          </w:p>
        </w:tc>
        <w:tc>
          <w:tcPr>
            <w:tcW w:w="14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4"/>
                <w:szCs w:val="14"/>
                <w:color w:val="0000FF"/>
                <w:w w:val="85"/>
              </w:rPr>
              <w:t>69</w:t>
            </w:r>
          </w:p>
        </w:tc>
        <w:tc>
          <w:tcPr>
            <w:tcW w:w="520" w:type="dxa"/>
            <w:vAlign w:val="bottom"/>
          </w:tcPr>
          <w:p>
            <w:pPr>
              <w:spacing w:after="0"/>
              <w:rPr>
                <w:sz w:val="13"/>
                <w:szCs w:val="13"/>
                <w:color w:val="auto"/>
              </w:rPr>
            </w:pPr>
          </w:p>
        </w:tc>
      </w:tr>
      <w:tr>
        <w:trPr>
          <w:trHeight w:val="797"/>
        </w:trPr>
        <w:tc>
          <w:tcPr>
            <w:tcW w:w="6980" w:type="dxa"/>
            <w:vAlign w:val="bottom"/>
            <w:gridSpan w:val="8"/>
          </w:tcPr>
          <w:p>
            <w:pPr>
              <w:jc w:val="right"/>
              <w:ind w:right="1260"/>
              <w:spacing w:after="0"/>
              <w:rPr>
                <w:sz w:val="20"/>
                <w:szCs w:val="20"/>
                <w:color w:val="auto"/>
              </w:rPr>
            </w:pPr>
            <w:r>
              <w:rPr>
                <w:rFonts w:ascii="Times New Roman" w:cs="Times New Roman" w:eastAsia="Times New Roman" w:hAnsi="Times New Roman"/>
                <w:sz w:val="14"/>
                <w:szCs w:val="14"/>
                <w:color w:val="auto"/>
              </w:rPr>
              <w:t>61</w:t>
            </w:r>
          </w:p>
        </w:tc>
        <w:tc>
          <w:tcPr>
            <w:tcW w:w="3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87"/>
        </w:trPr>
        <w:tc>
          <w:tcPr>
            <w:tcW w:w="20" w:type="dxa"/>
            <w:vAlign w:val="bottom"/>
            <w:tcBorders>
              <w:bottom w:val="single" w:sz="8" w:color="9A9A9A"/>
            </w:tcBorders>
          </w:tcPr>
          <w:p>
            <w:pPr>
              <w:spacing w:after="0"/>
              <w:rPr>
                <w:sz w:val="7"/>
                <w:szCs w:val="7"/>
                <w:color w:val="auto"/>
              </w:rPr>
            </w:pPr>
          </w:p>
        </w:tc>
        <w:tc>
          <w:tcPr>
            <w:tcW w:w="1640" w:type="dxa"/>
            <w:vAlign w:val="bottom"/>
            <w:tcBorders>
              <w:bottom w:val="single" w:sz="8" w:color="9A9A9A"/>
            </w:tcBorders>
          </w:tcPr>
          <w:p>
            <w:pPr>
              <w:spacing w:after="0"/>
              <w:rPr>
                <w:sz w:val="7"/>
                <w:szCs w:val="7"/>
                <w:color w:val="auto"/>
              </w:rPr>
            </w:pPr>
          </w:p>
        </w:tc>
        <w:tc>
          <w:tcPr>
            <w:tcW w:w="36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1060" w:type="dxa"/>
            <w:vAlign w:val="bottom"/>
            <w:tcBorders>
              <w:bottom w:val="single" w:sz="8" w:color="9A9A9A"/>
            </w:tcBorders>
          </w:tcPr>
          <w:p>
            <w:pPr>
              <w:spacing w:after="0"/>
              <w:rPr>
                <w:sz w:val="7"/>
                <w:szCs w:val="7"/>
                <w:color w:val="auto"/>
              </w:rPr>
            </w:pPr>
          </w:p>
        </w:tc>
        <w:tc>
          <w:tcPr>
            <w:tcW w:w="3120" w:type="dxa"/>
            <w:vAlign w:val="bottom"/>
            <w:tcBorders>
              <w:bottom w:val="single" w:sz="8" w:color="9A9A9A"/>
            </w:tcBorders>
          </w:tcPr>
          <w:p>
            <w:pPr>
              <w:spacing w:after="0"/>
              <w:rPr>
                <w:sz w:val="7"/>
                <w:szCs w:val="7"/>
                <w:color w:val="auto"/>
              </w:rPr>
            </w:pPr>
          </w:p>
        </w:tc>
        <w:tc>
          <w:tcPr>
            <w:tcW w:w="364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52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114">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115">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844" w:right="319" w:bottom="1440" w:gutter="0" w:footer="0" w:header="0"/>
        </w:sectPr>
      </w:pPr>
    </w:p>
    <w:bookmarkStart w:id="61" w:name="page62"/>
    <w:bookmarkEnd w:id="61"/>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REPORT OF INDEPENDENT REGISTERED PUBLIC ACCOUNTING FIRM</w:t>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To the stockholders and the Board of Directors of LifeVantage Corporation</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Opinion on the Financial Statements</w:t>
      </w:r>
    </w:p>
    <w:p>
      <w:pPr>
        <w:spacing w:after="0" w:line="117" w:lineRule="exact"/>
        <w:rPr>
          <w:sz w:val="20"/>
          <w:szCs w:val="20"/>
          <w:color w:val="auto"/>
        </w:rPr>
      </w:pPr>
    </w:p>
    <w:p>
      <w:pPr>
        <w:ind w:right="20"/>
        <w:spacing w:after="0" w:line="264" w:lineRule="auto"/>
        <w:rPr>
          <w:sz w:val="20"/>
          <w:szCs w:val="20"/>
          <w:color w:val="auto"/>
        </w:rPr>
      </w:pPr>
      <w:r>
        <w:rPr>
          <w:rFonts w:ascii="Times New Roman" w:cs="Times New Roman" w:eastAsia="Times New Roman" w:hAnsi="Times New Roman"/>
          <w:sz w:val="14"/>
          <w:szCs w:val="14"/>
          <w:color w:val="auto"/>
        </w:rPr>
        <w:t>We have audited the accompanying consolidated balance sheets of LifeVantage Corporation and subsidiaries (the "Company") as of June 30, 2024 and 2023, the related consolidated statements of operations and comprehensive income, stockholders' equity, and cash flows, for each of the two years in the period ended June 30, 2024, and the related notes (collectively referred to as the "financial statements"). In our opinion, the financial statements present fairly, in all material respects, the financial position of the Company as of June 30, 2024 and 2023, and the results of its operations and its cash flows for each of the two years in the period ended June 30, 2024, in conformity with accounting principles generally accepted in the United States of America.</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Basis for Opinion</w:t>
      </w:r>
    </w:p>
    <w:p>
      <w:pPr>
        <w:spacing w:after="0" w:line="127"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4"/>
          <w:szCs w:val="14"/>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72" w:lineRule="exact"/>
        <w:rPr>
          <w:sz w:val="20"/>
          <w:szCs w:val="20"/>
          <w:color w:val="auto"/>
        </w:rPr>
      </w:pPr>
    </w:p>
    <w:p>
      <w:pPr>
        <w:ind w:right="340"/>
        <w:spacing w:after="0" w:line="264" w:lineRule="auto"/>
        <w:rPr>
          <w:sz w:val="20"/>
          <w:szCs w:val="20"/>
          <w:color w:val="auto"/>
        </w:rPr>
      </w:pPr>
      <w:r>
        <w:rPr>
          <w:rFonts w:ascii="Times New Roman" w:cs="Times New Roman" w:eastAsia="Times New Roman" w:hAnsi="Times New Roman"/>
          <w:sz w:val="14"/>
          <w:szCs w:val="14"/>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87" w:lineRule="exact"/>
        <w:rPr>
          <w:sz w:val="20"/>
          <w:szCs w:val="20"/>
          <w:color w:val="auto"/>
        </w:rPr>
      </w:pPr>
    </w:p>
    <w:p>
      <w:pPr>
        <w:ind w:right="160"/>
        <w:spacing w:after="0" w:line="270" w:lineRule="auto"/>
        <w:rPr>
          <w:sz w:val="20"/>
          <w:szCs w:val="20"/>
          <w:color w:val="auto"/>
        </w:rPr>
      </w:pPr>
      <w:r>
        <w:rPr>
          <w:rFonts w:ascii="Times New Roman" w:cs="Times New Roman" w:eastAsia="Times New Roman" w:hAnsi="Times New Roman"/>
          <w:sz w:val="14"/>
          <w:szCs w:val="14"/>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Critical Audit Matter</w:t>
      </w:r>
    </w:p>
    <w:p>
      <w:pPr>
        <w:spacing w:after="0" w:line="117" w:lineRule="exact"/>
        <w:rPr>
          <w:sz w:val="20"/>
          <w:szCs w:val="20"/>
          <w:color w:val="auto"/>
        </w:rPr>
      </w:pPr>
    </w:p>
    <w:p>
      <w:pPr>
        <w:ind w:right="540"/>
        <w:spacing w:after="0" w:line="264" w:lineRule="auto"/>
        <w:rPr>
          <w:sz w:val="20"/>
          <w:szCs w:val="20"/>
          <w:color w:val="auto"/>
        </w:rPr>
      </w:pPr>
      <w:r>
        <w:rPr>
          <w:rFonts w:ascii="Times New Roman" w:cs="Times New Roman" w:eastAsia="Times New Roman" w:hAnsi="Times New Roman"/>
          <w:sz w:val="14"/>
          <w:szCs w:val="14"/>
          <w:color w:val="auto"/>
        </w:rPr>
        <w:t>The critical audit matter communicated below is a matter arising from the current-period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 below, providing a separate opinion on the critical audit matter or on the accounts or disclosures to which it relates.</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Income Taxes—Refer to Notes 2 and 11 to the financial statements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Critical Audit Matter Description</w:t>
      </w:r>
    </w:p>
    <w:p>
      <w:pPr>
        <w:spacing w:after="0" w:line="117" w:lineRule="exact"/>
        <w:rPr>
          <w:sz w:val="20"/>
          <w:szCs w:val="20"/>
          <w:color w:val="auto"/>
        </w:rPr>
      </w:pPr>
    </w:p>
    <w:p>
      <w:pPr>
        <w:ind w:right="360"/>
        <w:spacing w:after="0" w:line="287" w:lineRule="auto"/>
        <w:rPr>
          <w:sz w:val="20"/>
          <w:szCs w:val="20"/>
          <w:color w:val="auto"/>
        </w:rPr>
      </w:pPr>
      <w:r>
        <w:rPr>
          <w:rFonts w:ascii="Times New Roman" w:cs="Times New Roman" w:eastAsia="Times New Roman" w:hAnsi="Times New Roman"/>
          <w:sz w:val="14"/>
          <w:szCs w:val="14"/>
          <w:color w:val="auto"/>
        </w:rPr>
        <w:t>The Company operates and is subject to income taxes in the United States (“U.S.”) and numerous foreign jurisdictions with complex tax laws and regulations. The complexity of the Company’s global structure requires specialized knowledge, skills and judgment in determining the application of tax laws in various jurisdictions.</w:t>
      </w:r>
    </w:p>
    <w:p>
      <w:pPr>
        <w:spacing w:after="0" w:line="71" w:lineRule="exact"/>
        <w:rPr>
          <w:sz w:val="20"/>
          <w:szCs w:val="20"/>
          <w:color w:val="auto"/>
        </w:rPr>
      </w:pPr>
    </w:p>
    <w:p>
      <w:pPr>
        <w:ind w:right="20"/>
        <w:spacing w:after="0" w:line="270" w:lineRule="auto"/>
        <w:rPr>
          <w:sz w:val="20"/>
          <w:szCs w:val="20"/>
          <w:color w:val="auto"/>
        </w:rPr>
      </w:pPr>
      <w:r>
        <w:rPr>
          <w:rFonts w:ascii="Times New Roman" w:cs="Times New Roman" w:eastAsia="Times New Roman" w:hAnsi="Times New Roman"/>
          <w:sz w:val="14"/>
          <w:szCs w:val="14"/>
          <w:color w:val="auto"/>
        </w:rPr>
        <w:t>We identified the accounting for income taxes for the U.S. jurisdiction as a critical audit matter because of the complexity of the Company’s global structure and the application of tax laws in the U.S. jurisdiction. This required an increased extent of effort, including the need to involve our income tax specialists to evaluate the Company’s U.S. income tax expense, especially the interpretation and application of tax laws in the U.S. and the related impact of the global structure.</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How the Critical Audit Matter Was Addressed in the Audit</w:t>
      </w:r>
    </w:p>
    <w:p>
      <w:pPr>
        <w:spacing w:after="0" w:line="117" w:lineRule="exact"/>
        <w:rPr>
          <w:sz w:val="20"/>
          <w:szCs w:val="20"/>
          <w:color w:val="auto"/>
        </w:rPr>
      </w:pPr>
    </w:p>
    <w:p>
      <w:pPr>
        <w:ind w:right="20"/>
        <w:spacing w:after="0" w:line="287" w:lineRule="auto"/>
        <w:rPr>
          <w:sz w:val="20"/>
          <w:szCs w:val="20"/>
          <w:color w:val="auto"/>
        </w:rPr>
      </w:pPr>
      <w:r>
        <w:rPr>
          <w:rFonts w:ascii="Times New Roman" w:cs="Times New Roman" w:eastAsia="Times New Roman" w:hAnsi="Times New Roman"/>
          <w:sz w:val="14"/>
          <w:szCs w:val="14"/>
          <w:color w:val="auto"/>
        </w:rPr>
        <w:t>Our audit procedures related to the calculation of U.S. income tax expense, including the interpretation and application of tax laws in the U.S. and evaluation of the Company’s application of such tax law from its global structure included the following:</w:t>
      </w:r>
    </w:p>
    <w:p>
      <w:pPr>
        <w:spacing w:after="0" w:line="200" w:lineRule="exact"/>
        <w:rPr>
          <w:sz w:val="20"/>
          <w:szCs w:val="20"/>
          <w:color w:val="auto"/>
        </w:rPr>
      </w:pPr>
    </w:p>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11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44" w:right="319" w:bottom="1440" w:gutter="0" w:footer="0" w:header="0"/>
        </w:sectPr>
      </w:pPr>
    </w:p>
    <w:bookmarkStart w:id="62" w:name="page63"/>
    <w:bookmarkEnd w:id="62"/>
    <w:p>
      <w:pPr>
        <w:ind w:left="520" w:right="280" w:hanging="260"/>
        <w:spacing w:after="0" w:line="287" w:lineRule="auto"/>
        <w:tabs>
          <w:tab w:leader="none" w:pos="516"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Obtained an understanding of the Company’s overall legal entity structure by reading and evaluating the Company’s organizational charts and associated documentation, including legal documents.</w:t>
      </w:r>
    </w:p>
    <w:p>
      <w:pPr>
        <w:spacing w:after="0" w:line="60" w:lineRule="exact"/>
        <w:rPr>
          <w:rFonts w:ascii="Times New Roman" w:cs="Times New Roman" w:eastAsia="Times New Roman" w:hAnsi="Times New Roman"/>
          <w:sz w:val="14"/>
          <w:szCs w:val="14"/>
          <w:color w:val="auto"/>
        </w:rPr>
      </w:pPr>
    </w:p>
    <w:p>
      <w:pPr>
        <w:ind w:left="520" w:right="20" w:hanging="260"/>
        <w:spacing w:after="0" w:line="270" w:lineRule="auto"/>
        <w:tabs>
          <w:tab w:leader="none" w:pos="516"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Evaluated the Company’s U.S. income tax expense calculation, including: (1) testing the appropriateness of income tax rates applied by agreeing to applicable Federal and state tax laws, (2) testing the accuracy of income allocations and apportionment among the Federal and state taxing jurisdictions based on the Company's structure, (3) testing, on a sample basis, the completeness and accuracy of book to tax differences, and (4) testing the mathematical accuracy of the income tax expense calculation.</w:t>
      </w:r>
    </w:p>
    <w:p>
      <w:pPr>
        <w:spacing w:after="0" w:line="82" w:lineRule="exact"/>
        <w:rPr>
          <w:rFonts w:ascii="Times New Roman" w:cs="Times New Roman" w:eastAsia="Times New Roman" w:hAnsi="Times New Roman"/>
          <w:sz w:val="14"/>
          <w:szCs w:val="14"/>
          <w:color w:val="auto"/>
        </w:rPr>
      </w:pPr>
    </w:p>
    <w:p>
      <w:pPr>
        <w:ind w:left="520" w:hanging="260"/>
        <w:spacing w:after="0" w:line="270" w:lineRule="auto"/>
        <w:tabs>
          <w:tab w:leader="none" w:pos="516"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With the assistance of our income tax specialists, we evaluated management's application of relevant tax laws to its legal entity structure and the effect on the Company’s U.S. income tax expense, including the Company's calculations of current period income tax expense and adjustments associated with foreign operations, by examining and evaluating management's income tax calculations and assessing the Company's compliance with tax laws.</w:t>
      </w:r>
    </w:p>
    <w:p>
      <w:pPr>
        <w:spacing w:after="0" w:line="82"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With the assistance of our income tax specialists, we evaluated management’s consideration of tax requirements in the U.S. tax jurisdiction in which the Company operates.</w:t>
      </w: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/s/Deloitte &amp; Touche LLP</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Salt Lake City, Utah</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August 28, 2024</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have served as the Company's auditor since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4"/>
          <w:szCs w:val="14"/>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11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20"/>
          </w:cols>
          <w:pgMar w:left="300" w:top="846" w:right="379" w:bottom="1440" w:gutter="0" w:footer="0" w:header="0"/>
        </w:sectPr>
      </w:pPr>
    </w:p>
    <w:bookmarkStart w:id="63" w:name="page64"/>
    <w:bookmarkEnd w:id="63"/>
    <w:p>
      <w:pPr>
        <w:jc w:val="center"/>
        <w:ind w:right="-19"/>
        <w:spacing w:after="0"/>
        <w:rPr>
          <w:sz w:val="20"/>
          <w:szCs w:val="20"/>
          <w:color w:val="auto"/>
        </w:rPr>
      </w:pPr>
      <w:r>
        <w:rPr>
          <w:rFonts w:ascii="Times New Roman" w:cs="Times New Roman" w:eastAsia="Times New Roman" w:hAnsi="Times New Roman"/>
          <w:sz w:val="14"/>
          <w:szCs w:val="14"/>
          <w:color w:val="auto"/>
        </w:rPr>
        <w:t>LIFEVANTAGE CORPORATION AND SUBSIDIARIES</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CONSOLIDATED BALANCE SHEETS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7120" w:type="dxa"/>
            <w:vAlign w:val="bottom"/>
          </w:tcPr>
          <w:p>
            <w:pPr>
              <w:spacing w:after="0"/>
              <w:rPr>
                <w:sz w:val="13"/>
                <w:szCs w:val="13"/>
                <w:color w:val="auto"/>
              </w:rPr>
            </w:pPr>
          </w:p>
        </w:tc>
        <w:tc>
          <w:tcPr>
            <w:tcW w:w="128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gridSpan w:val="3"/>
          </w:tcPr>
          <w:p>
            <w:pPr>
              <w:jc w:val="right"/>
              <w:ind w:right="309"/>
              <w:spacing w:after="0"/>
              <w:rPr>
                <w:sz w:val="20"/>
                <w:szCs w:val="20"/>
                <w:color w:val="auto"/>
              </w:rPr>
            </w:pPr>
            <w:r>
              <w:rPr>
                <w:rFonts w:ascii="Times New Roman" w:cs="Times New Roman" w:eastAsia="Times New Roman" w:hAnsi="Times New Roman"/>
                <w:sz w:val="11"/>
                <w:szCs w:val="11"/>
                <w:b w:val="1"/>
                <w:bCs w:val="1"/>
                <w:color w:val="auto"/>
              </w:rPr>
              <w:t>June 30,</w:t>
            </w:r>
          </w:p>
        </w:tc>
        <w:tc>
          <w:tcPr>
            <w:tcW w:w="1500" w:type="dxa"/>
            <w:vAlign w:val="bottom"/>
            <w:tcBorders>
              <w:bottom w:val="single" w:sz="8" w:color="auto"/>
            </w:tcBorders>
          </w:tcPr>
          <w:p>
            <w:pPr>
              <w:spacing w:after="0"/>
              <w:rPr>
                <w:sz w:val="13"/>
                <w:szCs w:val="13"/>
                <w:color w:val="auto"/>
              </w:rPr>
            </w:pPr>
          </w:p>
        </w:tc>
      </w:tr>
      <w:tr>
        <w:trPr>
          <w:trHeight w:val="150"/>
        </w:trPr>
        <w:tc>
          <w:tcPr>
            <w:tcW w:w="7120" w:type="dxa"/>
            <w:vAlign w:val="bottom"/>
          </w:tcPr>
          <w:p>
            <w:pPr>
              <w:spacing w:after="0"/>
              <w:rPr>
                <w:sz w:val="13"/>
                <w:szCs w:val="13"/>
                <w:color w:val="auto"/>
              </w:rPr>
            </w:pPr>
          </w:p>
        </w:tc>
        <w:tc>
          <w:tcPr>
            <w:tcW w:w="128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1"/>
                <w:szCs w:val="11"/>
                <w:b w:val="1"/>
                <w:bCs w:val="1"/>
                <w:color w:val="auto"/>
              </w:rPr>
              <w:t>2024</w:t>
            </w:r>
          </w:p>
        </w:tc>
        <w:tc>
          <w:tcPr>
            <w:tcW w:w="74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1500" w:type="dxa"/>
            <w:vAlign w:val="bottom"/>
            <w:tcBorders>
              <w:bottom w:val="single" w:sz="8" w:color="auto"/>
            </w:tcBorders>
          </w:tcPr>
          <w:p>
            <w:pPr>
              <w:jc w:val="right"/>
              <w:ind w:right="830"/>
              <w:spacing w:after="0"/>
              <w:rPr>
                <w:sz w:val="20"/>
                <w:szCs w:val="20"/>
                <w:color w:val="auto"/>
              </w:rPr>
            </w:pPr>
            <w:r>
              <w:rPr>
                <w:rFonts w:ascii="Times New Roman" w:cs="Times New Roman" w:eastAsia="Times New Roman" w:hAnsi="Times New Roman"/>
                <w:sz w:val="11"/>
                <w:szCs w:val="11"/>
                <w:b w:val="1"/>
                <w:bCs w:val="1"/>
                <w:color w:val="auto"/>
              </w:rPr>
              <w:t>2023</w:t>
            </w:r>
          </w:p>
        </w:tc>
      </w:tr>
      <w:tr>
        <w:trPr>
          <w:trHeight w:val="170"/>
        </w:trPr>
        <w:tc>
          <w:tcPr>
            <w:tcW w:w="712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except per share data)</w:t>
            </w:r>
          </w:p>
        </w:tc>
        <w:tc>
          <w:tcPr>
            <w:tcW w:w="12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500" w:type="dxa"/>
            <w:vAlign w:val="bottom"/>
          </w:tcPr>
          <w:p>
            <w:pPr>
              <w:spacing w:after="0"/>
              <w:rPr>
                <w:sz w:val="14"/>
                <w:szCs w:val="14"/>
                <w:color w:val="auto"/>
              </w:rPr>
            </w:pPr>
          </w:p>
        </w:tc>
      </w:tr>
      <w:tr>
        <w:trPr>
          <w:trHeight w:val="181"/>
        </w:trPr>
        <w:tc>
          <w:tcPr>
            <w:tcW w:w="7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ASSETS</w:t>
            </w:r>
          </w:p>
        </w:tc>
        <w:tc>
          <w:tcPr>
            <w:tcW w:w="12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r>
      <w:tr>
        <w:trPr>
          <w:trHeight w:val="180"/>
        </w:trPr>
        <w:tc>
          <w:tcPr>
            <w:tcW w:w="7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Current assets</w:t>
            </w:r>
          </w:p>
        </w:tc>
        <w:tc>
          <w:tcPr>
            <w:tcW w:w="12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500" w:type="dxa"/>
            <w:vAlign w:val="bottom"/>
          </w:tcPr>
          <w:p>
            <w:pPr>
              <w:spacing w:after="0"/>
              <w:rPr>
                <w:sz w:val="15"/>
                <w:szCs w:val="15"/>
                <w:color w:val="auto"/>
              </w:rPr>
            </w:pPr>
          </w:p>
        </w:tc>
      </w:tr>
      <w:tr>
        <w:trPr>
          <w:trHeight w:val="180"/>
        </w:trPr>
        <w:tc>
          <w:tcPr>
            <w:tcW w:w="71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1280" w:type="dxa"/>
            <w:vAlign w:val="bottom"/>
            <w:shd w:val="clear" w:color="auto" w:fill="CCEEFF"/>
          </w:tcPr>
          <w:p>
            <w:pPr>
              <w:jc w:val="right"/>
              <w:ind w:right="1132"/>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16,886</w:t>
            </w: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jc w:val="right"/>
              <w:ind w:right="369"/>
              <w:spacing w:after="0"/>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21,605</w:t>
            </w:r>
          </w:p>
        </w:tc>
      </w:tr>
      <w:tr>
        <w:trPr>
          <w:trHeight w:val="180"/>
        </w:trPr>
        <w:tc>
          <w:tcPr>
            <w:tcW w:w="71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Accounts receivable</w:t>
            </w:r>
          </w:p>
        </w:tc>
        <w:tc>
          <w:tcPr>
            <w:tcW w:w="12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2,949</w:t>
            </w: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1,612</w:t>
            </w:r>
          </w:p>
        </w:tc>
      </w:tr>
      <w:tr>
        <w:trPr>
          <w:trHeight w:val="180"/>
        </w:trPr>
        <w:tc>
          <w:tcPr>
            <w:tcW w:w="71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Income tax receivable</w:t>
            </w:r>
          </w:p>
        </w:tc>
        <w:tc>
          <w:tcPr>
            <w:tcW w:w="128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313</w:t>
            </w: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241</w:t>
            </w:r>
          </w:p>
        </w:tc>
      </w:tr>
      <w:tr>
        <w:trPr>
          <w:trHeight w:val="180"/>
        </w:trPr>
        <w:tc>
          <w:tcPr>
            <w:tcW w:w="71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Inventory</w:t>
            </w:r>
          </w:p>
        </w:tc>
        <w:tc>
          <w:tcPr>
            <w:tcW w:w="12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15,055</w:t>
            </w: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16,073</w:t>
            </w:r>
          </w:p>
        </w:tc>
      </w:tr>
      <w:tr>
        <w:trPr>
          <w:trHeight w:val="180"/>
        </w:trPr>
        <w:tc>
          <w:tcPr>
            <w:tcW w:w="71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Prepaid expenses and other</w:t>
            </w:r>
          </w:p>
        </w:tc>
        <w:tc>
          <w:tcPr>
            <w:tcW w:w="1280" w:type="dxa"/>
            <w:vAlign w:val="bottom"/>
            <w:tcBorders>
              <w:bottom w:val="single" w:sz="8" w:color="auto"/>
            </w:tcBorders>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2,443</w:t>
            </w:r>
          </w:p>
        </w:tc>
        <w:tc>
          <w:tcPr>
            <w:tcW w:w="100" w:type="dxa"/>
            <w:vAlign w:val="bottom"/>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spacing w:after="0"/>
              <w:rPr>
                <w:sz w:val="15"/>
                <w:szCs w:val="15"/>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4,753</w:t>
            </w:r>
          </w:p>
        </w:tc>
      </w:tr>
      <w:tr>
        <w:trPr>
          <w:trHeight w:val="171"/>
        </w:trPr>
        <w:tc>
          <w:tcPr>
            <w:tcW w:w="712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Total current assets</w:t>
            </w:r>
          </w:p>
        </w:tc>
        <w:tc>
          <w:tcPr>
            <w:tcW w:w="12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37,646</w:t>
            </w: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44,284</w:t>
            </w:r>
          </w:p>
        </w:tc>
      </w:tr>
      <w:tr>
        <w:trPr>
          <w:trHeight w:val="170"/>
        </w:trPr>
        <w:tc>
          <w:tcPr>
            <w:tcW w:w="712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500" w:type="dxa"/>
            <w:vAlign w:val="bottom"/>
            <w:shd w:val="clear" w:color="auto" w:fill="CCEEFF"/>
          </w:tcPr>
          <w:p>
            <w:pPr>
              <w:spacing w:after="0"/>
              <w:rPr>
                <w:sz w:val="14"/>
                <w:szCs w:val="14"/>
                <w:color w:val="auto"/>
              </w:rPr>
            </w:pPr>
          </w:p>
        </w:tc>
      </w:tr>
      <w:tr>
        <w:trPr>
          <w:trHeight w:val="180"/>
        </w:trPr>
        <w:tc>
          <w:tcPr>
            <w:tcW w:w="71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Property and equipment, net</w:t>
            </w:r>
          </w:p>
        </w:tc>
        <w:tc>
          <w:tcPr>
            <w:tcW w:w="12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7,813</w:t>
            </w: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9,086</w:t>
            </w:r>
          </w:p>
        </w:tc>
      </w:tr>
      <w:tr>
        <w:trPr>
          <w:trHeight w:val="180"/>
        </w:trPr>
        <w:tc>
          <w:tcPr>
            <w:tcW w:w="71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Right-of-use assets</w:t>
            </w:r>
          </w:p>
        </w:tc>
        <w:tc>
          <w:tcPr>
            <w:tcW w:w="128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9,569</w:t>
            </w: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8,738</w:t>
            </w:r>
          </w:p>
        </w:tc>
      </w:tr>
      <w:tr>
        <w:trPr>
          <w:trHeight w:val="180"/>
        </w:trPr>
        <w:tc>
          <w:tcPr>
            <w:tcW w:w="71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Intangible assets, net</w:t>
            </w:r>
          </w:p>
        </w:tc>
        <w:tc>
          <w:tcPr>
            <w:tcW w:w="12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323</w:t>
            </w: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455</w:t>
            </w:r>
          </w:p>
        </w:tc>
      </w:tr>
      <w:tr>
        <w:trPr>
          <w:trHeight w:val="180"/>
        </w:trPr>
        <w:tc>
          <w:tcPr>
            <w:tcW w:w="71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Deferred income tax asset</w:t>
            </w:r>
          </w:p>
        </w:tc>
        <w:tc>
          <w:tcPr>
            <w:tcW w:w="128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4,268</w:t>
            </w: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2,991</w:t>
            </w:r>
          </w:p>
        </w:tc>
      </w:tr>
      <w:tr>
        <w:trPr>
          <w:trHeight w:val="180"/>
        </w:trPr>
        <w:tc>
          <w:tcPr>
            <w:tcW w:w="7120" w:type="dxa"/>
            <w:vAlign w:val="bottom"/>
            <w:tcBorders>
              <w:bottom w:val="single" w:sz="8" w:color="CCEEFF"/>
            </w:tcBorders>
          </w:tcPr>
          <w:p>
            <w:pPr>
              <w:ind w:left="280"/>
              <w:spacing w:after="0"/>
              <w:rPr>
                <w:sz w:val="20"/>
                <w:szCs w:val="20"/>
                <w:color w:val="auto"/>
              </w:rPr>
            </w:pPr>
            <w:r>
              <w:rPr>
                <w:rFonts w:ascii="Times New Roman" w:cs="Times New Roman" w:eastAsia="Times New Roman" w:hAnsi="Times New Roman"/>
                <w:sz w:val="14"/>
                <w:szCs w:val="14"/>
                <w:color w:val="auto"/>
              </w:rPr>
              <w:t>Other long-term assets</w:t>
            </w:r>
          </w:p>
        </w:tc>
        <w:tc>
          <w:tcPr>
            <w:tcW w:w="12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680</w:t>
            </w:r>
          </w:p>
        </w:tc>
        <w:tc>
          <w:tcPr>
            <w:tcW w:w="100" w:type="dxa"/>
            <w:vAlign w:val="bottom"/>
            <w:tcBorders>
              <w:bottom w:val="single" w:sz="8" w:color="CCEEFF"/>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569</w:t>
            </w:r>
          </w:p>
        </w:tc>
      </w:tr>
      <w:tr>
        <w:trPr>
          <w:trHeight w:val="196"/>
        </w:trPr>
        <w:tc>
          <w:tcPr>
            <w:tcW w:w="7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ASSETS</w:t>
            </w:r>
          </w:p>
        </w:tc>
        <w:tc>
          <w:tcPr>
            <w:tcW w:w="1280" w:type="dxa"/>
            <w:vAlign w:val="bottom"/>
            <w:tcBorders>
              <w:bottom w:val="single" w:sz="8" w:color="auto"/>
            </w:tcBorders>
            <w:shd w:val="clear" w:color="auto" w:fill="CCEEFF"/>
          </w:tcPr>
          <w:p>
            <w:pPr>
              <w:jc w:val="right"/>
              <w:ind w:right="1132"/>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60,299</w:t>
            </w:r>
          </w:p>
        </w:tc>
        <w:tc>
          <w:tcPr>
            <w:tcW w:w="10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auto"/>
            </w:tcBorders>
            <w:shd w:val="clear" w:color="auto" w:fill="CCEEFF"/>
          </w:tcPr>
          <w:p>
            <w:pPr>
              <w:jc w:val="right"/>
              <w:ind w:right="369"/>
              <w:spacing w:after="0"/>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66,123</w:t>
            </w:r>
          </w:p>
        </w:tc>
      </w:tr>
      <w:tr>
        <w:trPr>
          <w:trHeight w:val="20"/>
        </w:trPr>
        <w:tc>
          <w:tcPr>
            <w:tcW w:w="712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r>
      <w:tr>
        <w:trPr>
          <w:trHeight w:val="111"/>
        </w:trPr>
        <w:tc>
          <w:tcPr>
            <w:tcW w:w="7120" w:type="dxa"/>
            <w:vAlign w:val="bottom"/>
          </w:tcPr>
          <w:p>
            <w:pPr>
              <w:spacing w:after="0"/>
              <w:rPr>
                <w:sz w:val="9"/>
                <w:szCs w:val="9"/>
                <w:color w:val="auto"/>
              </w:rPr>
            </w:pPr>
          </w:p>
        </w:tc>
        <w:tc>
          <w:tcPr>
            <w:tcW w:w="128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500" w:type="dxa"/>
            <w:vAlign w:val="bottom"/>
          </w:tcPr>
          <w:p>
            <w:pPr>
              <w:spacing w:after="0"/>
              <w:rPr>
                <w:sz w:val="9"/>
                <w:szCs w:val="9"/>
                <w:color w:val="auto"/>
              </w:rPr>
            </w:pPr>
          </w:p>
        </w:tc>
      </w:tr>
      <w:tr>
        <w:trPr>
          <w:trHeight w:val="180"/>
        </w:trPr>
        <w:tc>
          <w:tcPr>
            <w:tcW w:w="7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LIABILITIES AND STOCKHOLDERS’ EQUITY</w:t>
            </w:r>
          </w:p>
        </w:tc>
        <w:tc>
          <w:tcPr>
            <w:tcW w:w="12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r>
      <w:tr>
        <w:trPr>
          <w:trHeight w:val="180"/>
        </w:trPr>
        <w:tc>
          <w:tcPr>
            <w:tcW w:w="7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Current liabilities</w:t>
            </w:r>
          </w:p>
        </w:tc>
        <w:tc>
          <w:tcPr>
            <w:tcW w:w="12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500" w:type="dxa"/>
            <w:vAlign w:val="bottom"/>
          </w:tcPr>
          <w:p>
            <w:pPr>
              <w:spacing w:after="0"/>
              <w:rPr>
                <w:sz w:val="15"/>
                <w:szCs w:val="15"/>
                <w:color w:val="auto"/>
              </w:rPr>
            </w:pPr>
          </w:p>
        </w:tc>
      </w:tr>
      <w:tr>
        <w:trPr>
          <w:trHeight w:val="180"/>
        </w:trPr>
        <w:tc>
          <w:tcPr>
            <w:tcW w:w="71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Accounts payable</w:t>
            </w:r>
          </w:p>
        </w:tc>
        <w:tc>
          <w:tcPr>
            <w:tcW w:w="1280" w:type="dxa"/>
            <w:vAlign w:val="bottom"/>
            <w:shd w:val="clear" w:color="auto" w:fill="CCEEFF"/>
          </w:tcPr>
          <w:p>
            <w:pPr>
              <w:jc w:val="right"/>
              <w:ind w:right="1132"/>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5,853</w:t>
            </w: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jc w:val="right"/>
              <w:ind w:right="369"/>
              <w:spacing w:after="0"/>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3,505</w:t>
            </w:r>
          </w:p>
        </w:tc>
      </w:tr>
      <w:tr>
        <w:trPr>
          <w:trHeight w:val="180"/>
        </w:trPr>
        <w:tc>
          <w:tcPr>
            <w:tcW w:w="71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Commissions payable</w:t>
            </w:r>
          </w:p>
        </w:tc>
        <w:tc>
          <w:tcPr>
            <w:tcW w:w="12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6,569</w:t>
            </w: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6,651</w:t>
            </w:r>
          </w:p>
        </w:tc>
      </w:tr>
      <w:tr>
        <w:trPr>
          <w:trHeight w:val="180"/>
        </w:trPr>
        <w:tc>
          <w:tcPr>
            <w:tcW w:w="71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Income tax payable</w:t>
            </w:r>
          </w:p>
        </w:tc>
        <w:tc>
          <w:tcPr>
            <w:tcW w:w="128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202</w:t>
            </w: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71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Lease liabilities</w:t>
            </w:r>
          </w:p>
        </w:tc>
        <w:tc>
          <w:tcPr>
            <w:tcW w:w="12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1,811</w:t>
            </w: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1,521</w:t>
            </w:r>
          </w:p>
        </w:tc>
      </w:tr>
      <w:tr>
        <w:trPr>
          <w:trHeight w:val="180"/>
        </w:trPr>
        <w:tc>
          <w:tcPr>
            <w:tcW w:w="71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Other accrued expenses</w:t>
            </w:r>
          </w:p>
        </w:tc>
        <w:tc>
          <w:tcPr>
            <w:tcW w:w="1280" w:type="dxa"/>
            <w:vAlign w:val="bottom"/>
            <w:tcBorders>
              <w:bottom w:val="single" w:sz="8" w:color="auto"/>
            </w:tcBorders>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7,874</w:t>
            </w:r>
          </w:p>
        </w:tc>
        <w:tc>
          <w:tcPr>
            <w:tcW w:w="100" w:type="dxa"/>
            <w:vAlign w:val="bottom"/>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spacing w:after="0"/>
              <w:rPr>
                <w:sz w:val="15"/>
                <w:szCs w:val="15"/>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7,932</w:t>
            </w:r>
          </w:p>
        </w:tc>
      </w:tr>
      <w:tr>
        <w:trPr>
          <w:trHeight w:val="171"/>
        </w:trPr>
        <w:tc>
          <w:tcPr>
            <w:tcW w:w="712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Total current liabilities</w:t>
            </w:r>
          </w:p>
        </w:tc>
        <w:tc>
          <w:tcPr>
            <w:tcW w:w="12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22,309</w:t>
            </w: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19,609</w:t>
            </w:r>
          </w:p>
        </w:tc>
      </w:tr>
      <w:tr>
        <w:trPr>
          <w:trHeight w:val="170"/>
        </w:trPr>
        <w:tc>
          <w:tcPr>
            <w:tcW w:w="712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500" w:type="dxa"/>
            <w:vAlign w:val="bottom"/>
            <w:shd w:val="clear" w:color="auto" w:fill="CCEEFF"/>
          </w:tcPr>
          <w:p>
            <w:pPr>
              <w:spacing w:after="0"/>
              <w:rPr>
                <w:sz w:val="14"/>
                <w:szCs w:val="14"/>
                <w:color w:val="auto"/>
              </w:rPr>
            </w:pPr>
          </w:p>
        </w:tc>
      </w:tr>
      <w:tr>
        <w:trPr>
          <w:trHeight w:val="180"/>
        </w:trPr>
        <w:tc>
          <w:tcPr>
            <w:tcW w:w="71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Long-term lease liabilities</w:t>
            </w:r>
          </w:p>
        </w:tc>
        <w:tc>
          <w:tcPr>
            <w:tcW w:w="12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11,801</w:t>
            </w: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11,566</w:t>
            </w:r>
          </w:p>
        </w:tc>
      </w:tr>
      <w:tr>
        <w:trPr>
          <w:trHeight w:val="180"/>
        </w:trPr>
        <w:tc>
          <w:tcPr>
            <w:tcW w:w="71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Other long-term liabilities</w:t>
            </w:r>
          </w:p>
        </w:tc>
        <w:tc>
          <w:tcPr>
            <w:tcW w:w="1280" w:type="dxa"/>
            <w:vAlign w:val="bottom"/>
            <w:tcBorders>
              <w:bottom w:val="single" w:sz="8" w:color="auto"/>
            </w:tcBorders>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198</w:t>
            </w:r>
          </w:p>
        </w:tc>
        <w:tc>
          <w:tcPr>
            <w:tcW w:w="100" w:type="dxa"/>
            <w:vAlign w:val="bottom"/>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spacing w:after="0"/>
              <w:rPr>
                <w:sz w:val="15"/>
                <w:szCs w:val="15"/>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299</w:t>
            </w:r>
          </w:p>
        </w:tc>
      </w:tr>
      <w:tr>
        <w:trPr>
          <w:trHeight w:val="171"/>
        </w:trPr>
        <w:tc>
          <w:tcPr>
            <w:tcW w:w="7120" w:type="dxa"/>
            <w:vAlign w:val="bottom"/>
            <w:tcBorders>
              <w:bottom w:val="single" w:sz="8" w:color="CCEEFF"/>
            </w:tcBorders>
          </w:tcPr>
          <w:p>
            <w:pPr>
              <w:ind w:left="520"/>
              <w:spacing w:after="0"/>
              <w:rPr>
                <w:sz w:val="20"/>
                <w:szCs w:val="20"/>
                <w:color w:val="auto"/>
              </w:rPr>
            </w:pPr>
            <w:r>
              <w:rPr>
                <w:rFonts w:ascii="Times New Roman" w:cs="Times New Roman" w:eastAsia="Times New Roman" w:hAnsi="Times New Roman"/>
                <w:sz w:val="14"/>
                <w:szCs w:val="14"/>
                <w:color w:val="auto"/>
              </w:rPr>
              <w:t>Total liabilities</w:t>
            </w:r>
          </w:p>
        </w:tc>
        <w:tc>
          <w:tcPr>
            <w:tcW w:w="12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34,308</w:t>
            </w:r>
          </w:p>
        </w:tc>
        <w:tc>
          <w:tcPr>
            <w:tcW w:w="100" w:type="dxa"/>
            <w:vAlign w:val="bottom"/>
            <w:tcBorders>
              <w:bottom w:val="single" w:sz="8" w:color="CCEEFF"/>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31,474</w:t>
            </w:r>
          </w:p>
        </w:tc>
      </w:tr>
      <w:tr>
        <w:trPr>
          <w:trHeight w:val="160"/>
        </w:trPr>
        <w:tc>
          <w:tcPr>
            <w:tcW w:w="7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Commitments and contingencies — Note 13</w:t>
            </w:r>
          </w:p>
        </w:tc>
        <w:tc>
          <w:tcPr>
            <w:tcW w:w="12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500" w:type="dxa"/>
            <w:vAlign w:val="bottom"/>
            <w:shd w:val="clear" w:color="auto" w:fill="CCEEFF"/>
          </w:tcPr>
          <w:p>
            <w:pPr>
              <w:spacing w:after="0"/>
              <w:rPr>
                <w:sz w:val="13"/>
                <w:szCs w:val="13"/>
                <w:color w:val="auto"/>
              </w:rPr>
            </w:pPr>
          </w:p>
        </w:tc>
      </w:tr>
      <w:tr>
        <w:trPr>
          <w:trHeight w:val="180"/>
        </w:trPr>
        <w:tc>
          <w:tcPr>
            <w:tcW w:w="7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Stockholders’ equity</w:t>
            </w:r>
          </w:p>
        </w:tc>
        <w:tc>
          <w:tcPr>
            <w:tcW w:w="12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500" w:type="dxa"/>
            <w:vAlign w:val="bottom"/>
          </w:tcPr>
          <w:p>
            <w:pPr>
              <w:spacing w:after="0"/>
              <w:rPr>
                <w:sz w:val="15"/>
                <w:szCs w:val="15"/>
                <w:color w:val="auto"/>
              </w:rPr>
            </w:pPr>
          </w:p>
        </w:tc>
      </w:tr>
      <w:tr>
        <w:trPr>
          <w:trHeight w:val="180"/>
        </w:trPr>
        <w:tc>
          <w:tcPr>
            <w:tcW w:w="71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Preferred stock — par value $0.0001 per share, 5,000 shares authorized, no shares issued or outstanding</w:t>
            </w:r>
          </w:p>
        </w:tc>
        <w:tc>
          <w:tcPr>
            <w:tcW w:w="128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shd w:val="clear" w:color="auto" w:fill="CCEEFF"/>
          </w:tcPr>
          <w:p>
            <w:pPr>
              <w:spacing w:after="0"/>
              <w:rPr>
                <w:sz w:val="15"/>
                <w:szCs w:val="15"/>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38"/>
        </w:trPr>
        <w:tc>
          <w:tcPr>
            <w:tcW w:w="7120" w:type="dxa"/>
            <w:vAlign w:val="bottom"/>
          </w:tcPr>
          <w:p>
            <w:pPr>
              <w:ind w:left="280"/>
              <w:spacing w:after="0" w:line="138" w:lineRule="exact"/>
              <w:rPr>
                <w:sz w:val="20"/>
                <w:szCs w:val="20"/>
                <w:color w:val="auto"/>
              </w:rPr>
            </w:pPr>
            <w:r>
              <w:rPr>
                <w:rFonts w:ascii="Times New Roman" w:cs="Times New Roman" w:eastAsia="Times New Roman" w:hAnsi="Times New Roman"/>
                <w:sz w:val="14"/>
                <w:szCs w:val="14"/>
                <w:color w:val="auto"/>
              </w:rPr>
              <w:t>Common stock — par value $0.0001 per share, 40,000 shares authorized and 12,510 and 12,622 issued and outstanding</w:t>
            </w:r>
          </w:p>
        </w:tc>
        <w:tc>
          <w:tcPr>
            <w:tcW w:w="12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500" w:type="dxa"/>
            <w:vAlign w:val="bottom"/>
          </w:tcPr>
          <w:p>
            <w:pPr>
              <w:spacing w:after="0"/>
              <w:rPr>
                <w:sz w:val="11"/>
                <w:szCs w:val="11"/>
                <w:color w:val="auto"/>
              </w:rPr>
            </w:pPr>
          </w:p>
        </w:tc>
      </w:tr>
      <w:tr>
        <w:trPr>
          <w:trHeight w:val="191"/>
        </w:trPr>
        <w:tc>
          <w:tcPr>
            <w:tcW w:w="712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as of June 30, 2024 and 2023, respectively</w:t>
            </w:r>
          </w:p>
        </w:tc>
        <w:tc>
          <w:tcPr>
            <w:tcW w:w="12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r>
      <w:tr>
        <w:trPr>
          <w:trHeight w:val="181"/>
        </w:trPr>
        <w:tc>
          <w:tcPr>
            <w:tcW w:w="71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Additional paid-in capital</w:t>
            </w:r>
          </w:p>
        </w:tc>
        <w:tc>
          <w:tcPr>
            <w:tcW w:w="128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136,644</w:t>
            </w: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134,314</w:t>
            </w:r>
          </w:p>
        </w:tc>
      </w:tr>
      <w:tr>
        <w:trPr>
          <w:trHeight w:val="180"/>
        </w:trPr>
        <w:tc>
          <w:tcPr>
            <w:tcW w:w="71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Accumulated deficit</w:t>
            </w:r>
          </w:p>
        </w:tc>
        <w:tc>
          <w:tcPr>
            <w:tcW w:w="12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(108,738)</w:t>
            </w: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(98,305)</w:t>
            </w:r>
          </w:p>
        </w:tc>
      </w:tr>
      <w:tr>
        <w:trPr>
          <w:trHeight w:val="180"/>
        </w:trPr>
        <w:tc>
          <w:tcPr>
            <w:tcW w:w="71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Accumulated other comprehensive loss</w:t>
            </w:r>
          </w:p>
        </w:tc>
        <w:tc>
          <w:tcPr>
            <w:tcW w:w="1280" w:type="dxa"/>
            <w:vAlign w:val="bottom"/>
            <w:tcBorders>
              <w:bottom w:val="single" w:sz="8" w:color="auto"/>
            </w:tcBorders>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(1,916)</w:t>
            </w:r>
          </w:p>
        </w:tc>
        <w:tc>
          <w:tcPr>
            <w:tcW w:w="100" w:type="dxa"/>
            <w:vAlign w:val="bottom"/>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spacing w:after="0"/>
              <w:rPr>
                <w:sz w:val="15"/>
                <w:szCs w:val="15"/>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(1,361)</w:t>
            </w:r>
          </w:p>
        </w:tc>
      </w:tr>
      <w:tr>
        <w:trPr>
          <w:trHeight w:val="171"/>
        </w:trPr>
        <w:tc>
          <w:tcPr>
            <w:tcW w:w="7120" w:type="dxa"/>
            <w:vAlign w:val="bottom"/>
            <w:tcBorders>
              <w:bottom w:val="single" w:sz="8" w:color="CCEEFF"/>
            </w:tcBorders>
          </w:tcPr>
          <w:p>
            <w:pPr>
              <w:ind w:left="520"/>
              <w:spacing w:after="0"/>
              <w:rPr>
                <w:sz w:val="20"/>
                <w:szCs w:val="20"/>
                <w:color w:val="auto"/>
              </w:rPr>
            </w:pPr>
            <w:r>
              <w:rPr>
                <w:rFonts w:ascii="Times New Roman" w:cs="Times New Roman" w:eastAsia="Times New Roman" w:hAnsi="Times New Roman"/>
                <w:sz w:val="14"/>
                <w:szCs w:val="14"/>
                <w:color w:val="auto"/>
              </w:rPr>
              <w:t>Total stockholders’ equity</w:t>
            </w:r>
          </w:p>
        </w:tc>
        <w:tc>
          <w:tcPr>
            <w:tcW w:w="12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25,991</w:t>
            </w:r>
          </w:p>
        </w:tc>
        <w:tc>
          <w:tcPr>
            <w:tcW w:w="100" w:type="dxa"/>
            <w:vAlign w:val="bottom"/>
            <w:tcBorders>
              <w:bottom w:val="single" w:sz="8" w:color="CCEEFF"/>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34,649</w:t>
            </w:r>
          </w:p>
        </w:tc>
      </w:tr>
      <w:tr>
        <w:trPr>
          <w:trHeight w:val="196"/>
        </w:trPr>
        <w:tc>
          <w:tcPr>
            <w:tcW w:w="7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LIABILITIES AND STOCKHOLDERS’ EQUITY</w:t>
            </w:r>
          </w:p>
        </w:tc>
        <w:tc>
          <w:tcPr>
            <w:tcW w:w="1280" w:type="dxa"/>
            <w:vAlign w:val="bottom"/>
            <w:tcBorders>
              <w:bottom w:val="single" w:sz="8" w:color="auto"/>
            </w:tcBorders>
            <w:shd w:val="clear" w:color="auto" w:fill="CCEEFF"/>
          </w:tcPr>
          <w:p>
            <w:pPr>
              <w:jc w:val="right"/>
              <w:ind w:right="1132"/>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60,299</w:t>
            </w:r>
          </w:p>
        </w:tc>
        <w:tc>
          <w:tcPr>
            <w:tcW w:w="10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auto"/>
            </w:tcBorders>
            <w:shd w:val="clear" w:color="auto" w:fill="CCEEFF"/>
          </w:tcPr>
          <w:p>
            <w:pPr>
              <w:jc w:val="right"/>
              <w:ind w:right="369"/>
              <w:spacing w:after="0"/>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66,123</w:t>
            </w:r>
          </w:p>
        </w:tc>
      </w:tr>
      <w:tr>
        <w:trPr>
          <w:trHeight w:val="20"/>
        </w:trPr>
        <w:tc>
          <w:tcPr>
            <w:tcW w:w="712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r>
    </w:tbl>
    <w:p>
      <w:pPr>
        <w:spacing w:after="0" w:line="1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The accompanying notes are an integral part of these consolidated financial statements.</w:t>
      </w: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1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730" w:right="339" w:bottom="1440" w:gutter="0" w:footer="0" w:header="0"/>
        </w:sectPr>
      </w:pPr>
    </w:p>
    <w:bookmarkStart w:id="64" w:name="page65"/>
    <w:bookmarkEnd w:id="64"/>
    <w:p>
      <w:pPr>
        <w:ind w:left="4240"/>
        <w:spacing w:after="0"/>
        <w:rPr>
          <w:sz w:val="20"/>
          <w:szCs w:val="20"/>
          <w:color w:val="auto"/>
        </w:rPr>
      </w:pPr>
      <w:r>
        <w:rPr>
          <w:rFonts w:ascii="Times New Roman" w:cs="Times New Roman" w:eastAsia="Times New Roman" w:hAnsi="Times New Roman"/>
          <w:sz w:val="14"/>
          <w:szCs w:val="14"/>
          <w:color w:val="auto"/>
        </w:rPr>
        <w:t>LIFEVANTAGE CORPORATION AND SUBSIDIARIES</w:t>
      </w:r>
    </w:p>
    <w:p>
      <w:pPr>
        <w:spacing w:after="0" w:line="23"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14"/>
          <w:szCs w:val="14"/>
          <w:color w:val="auto"/>
        </w:rPr>
        <w:t>CONSOLIDATED STATEMENTS OF OPERATIONS AND COMPREHENSIVE INCOME</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7120" w:type="dxa"/>
            <w:vAlign w:val="bottom"/>
          </w:tcPr>
          <w:p>
            <w:pPr>
              <w:spacing w:after="0"/>
              <w:rPr>
                <w:sz w:val="13"/>
                <w:szCs w:val="13"/>
                <w:color w:val="auto"/>
              </w:rPr>
            </w:pPr>
          </w:p>
        </w:tc>
        <w:tc>
          <w:tcPr>
            <w:tcW w:w="1240" w:type="dxa"/>
            <w:vAlign w:val="bottom"/>
            <w:tcBorders>
              <w:bottom w:val="single" w:sz="8" w:color="auto"/>
            </w:tcBorders>
          </w:tcPr>
          <w:p>
            <w:pPr>
              <w:spacing w:after="0"/>
              <w:rPr>
                <w:sz w:val="13"/>
                <w:szCs w:val="13"/>
                <w:color w:val="auto"/>
              </w:rPr>
            </w:pPr>
          </w:p>
        </w:tc>
        <w:tc>
          <w:tcPr>
            <w:tcW w:w="1640" w:type="dxa"/>
            <w:vAlign w:val="bottom"/>
            <w:tcBorders>
              <w:bottom w:val="single" w:sz="8" w:color="auto"/>
            </w:tcBorders>
            <w:gridSpan w:val="3"/>
          </w:tcPr>
          <w:p>
            <w:pPr>
              <w:jc w:val="right"/>
              <w:ind w:right="49"/>
              <w:spacing w:after="0"/>
              <w:rPr>
                <w:sz w:val="20"/>
                <w:szCs w:val="20"/>
                <w:color w:val="auto"/>
              </w:rPr>
            </w:pPr>
            <w:r>
              <w:rPr>
                <w:rFonts w:ascii="Times New Roman" w:cs="Times New Roman" w:eastAsia="Times New Roman" w:hAnsi="Times New Roman"/>
                <w:sz w:val="11"/>
                <w:szCs w:val="11"/>
                <w:b w:val="1"/>
                <w:bCs w:val="1"/>
                <w:color w:val="auto"/>
              </w:rPr>
              <w:t>For the years ended June 30,</w:t>
            </w:r>
          </w:p>
        </w:tc>
        <w:tc>
          <w:tcPr>
            <w:tcW w:w="12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7120" w:type="dxa"/>
            <w:vAlign w:val="bottom"/>
          </w:tcPr>
          <w:p>
            <w:pPr>
              <w:spacing w:after="0"/>
              <w:rPr>
                <w:sz w:val="13"/>
                <w:szCs w:val="13"/>
                <w:color w:val="auto"/>
              </w:rPr>
            </w:pPr>
          </w:p>
        </w:tc>
        <w:tc>
          <w:tcPr>
            <w:tcW w:w="124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1"/>
                <w:szCs w:val="11"/>
                <w:b w:val="1"/>
                <w:bCs w:val="1"/>
                <w:color w:val="auto"/>
              </w:rPr>
              <w:t>2024</w:t>
            </w:r>
          </w:p>
        </w:tc>
        <w:tc>
          <w:tcPr>
            <w:tcW w:w="78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jc w:val="right"/>
              <w:ind w:right="830"/>
              <w:spacing w:after="0"/>
              <w:rPr>
                <w:sz w:val="20"/>
                <w:szCs w:val="20"/>
                <w:color w:val="auto"/>
              </w:rPr>
            </w:pPr>
            <w:r>
              <w:rPr>
                <w:rFonts w:ascii="Times New Roman" w:cs="Times New Roman" w:eastAsia="Times New Roman" w:hAnsi="Times New Roman"/>
                <w:sz w:val="11"/>
                <w:szCs w:val="11"/>
                <w:b w:val="1"/>
                <w:bCs w:val="1"/>
                <w:color w:val="auto"/>
              </w:rPr>
              <w:t>2023</w:t>
            </w:r>
          </w:p>
        </w:tc>
        <w:tc>
          <w:tcPr>
            <w:tcW w:w="0" w:type="dxa"/>
            <w:vAlign w:val="bottom"/>
          </w:tcPr>
          <w:p>
            <w:pPr>
              <w:spacing w:after="0"/>
              <w:rPr>
                <w:sz w:val="1"/>
                <w:szCs w:val="1"/>
                <w:color w:val="auto"/>
              </w:rPr>
            </w:pPr>
          </w:p>
        </w:tc>
      </w:tr>
      <w:tr>
        <w:trPr>
          <w:trHeight w:val="170"/>
        </w:trPr>
        <w:tc>
          <w:tcPr>
            <w:tcW w:w="712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except per share data)</w:t>
            </w:r>
          </w:p>
        </w:tc>
        <w:tc>
          <w:tcPr>
            <w:tcW w:w="1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7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Revenue, net</w:t>
            </w:r>
          </w:p>
        </w:tc>
        <w:tc>
          <w:tcPr>
            <w:tcW w:w="1240" w:type="dxa"/>
            <w:vAlign w:val="bottom"/>
            <w:shd w:val="clear" w:color="auto" w:fill="CCEEFF"/>
          </w:tcPr>
          <w:p>
            <w:pPr>
              <w:jc w:val="right"/>
              <w:ind w:right="1092"/>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200,164</w:t>
            </w: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jc w:val="right"/>
              <w:ind w:right="609"/>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213,398</w:t>
            </w:r>
          </w:p>
        </w:tc>
        <w:tc>
          <w:tcPr>
            <w:tcW w:w="0" w:type="dxa"/>
            <w:vAlign w:val="bottom"/>
          </w:tcPr>
          <w:p>
            <w:pPr>
              <w:spacing w:after="0"/>
              <w:rPr>
                <w:sz w:val="1"/>
                <w:szCs w:val="1"/>
                <w:color w:val="auto"/>
              </w:rPr>
            </w:pPr>
          </w:p>
        </w:tc>
      </w:tr>
      <w:tr>
        <w:trPr>
          <w:trHeight w:val="180"/>
        </w:trPr>
        <w:tc>
          <w:tcPr>
            <w:tcW w:w="7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Cost of sales</w:t>
            </w:r>
          </w:p>
        </w:tc>
        <w:tc>
          <w:tcPr>
            <w:tcW w:w="12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41,440</w:t>
            </w:r>
          </w:p>
        </w:tc>
        <w:tc>
          <w:tcPr>
            <w:tcW w:w="100" w:type="dxa"/>
            <w:vAlign w:val="bottom"/>
            <w:tcBorders>
              <w:bottom w:val="single" w:sz="8" w:color="CCEEFF"/>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43,387</w:t>
            </w:r>
          </w:p>
        </w:tc>
        <w:tc>
          <w:tcPr>
            <w:tcW w:w="0" w:type="dxa"/>
            <w:vAlign w:val="bottom"/>
          </w:tcPr>
          <w:p>
            <w:pPr>
              <w:spacing w:after="0"/>
              <w:rPr>
                <w:sz w:val="1"/>
                <w:szCs w:val="1"/>
                <w:color w:val="auto"/>
              </w:rPr>
            </w:pPr>
          </w:p>
        </w:tc>
      </w:tr>
      <w:tr>
        <w:trPr>
          <w:trHeight w:val="171"/>
        </w:trPr>
        <w:tc>
          <w:tcPr>
            <w:tcW w:w="71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Gross profit</w:t>
            </w:r>
          </w:p>
        </w:tc>
        <w:tc>
          <w:tcPr>
            <w:tcW w:w="124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158,724</w:t>
            </w: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170,011</w:t>
            </w:r>
          </w:p>
        </w:tc>
        <w:tc>
          <w:tcPr>
            <w:tcW w:w="0" w:type="dxa"/>
            <w:vAlign w:val="bottom"/>
          </w:tcPr>
          <w:p>
            <w:pPr>
              <w:spacing w:after="0"/>
              <w:rPr>
                <w:sz w:val="1"/>
                <w:szCs w:val="1"/>
                <w:color w:val="auto"/>
              </w:rPr>
            </w:pPr>
          </w:p>
        </w:tc>
      </w:tr>
      <w:tr>
        <w:trPr>
          <w:trHeight w:val="180"/>
        </w:trPr>
        <w:tc>
          <w:tcPr>
            <w:tcW w:w="7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Operating expenses:</w:t>
            </w:r>
          </w:p>
        </w:tc>
        <w:tc>
          <w:tcPr>
            <w:tcW w:w="1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71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Commissions and incentives</w:t>
            </w:r>
          </w:p>
        </w:tc>
        <w:tc>
          <w:tcPr>
            <w:tcW w:w="124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85,920</w:t>
            </w: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94,687</w:t>
            </w:r>
          </w:p>
        </w:tc>
        <w:tc>
          <w:tcPr>
            <w:tcW w:w="0" w:type="dxa"/>
            <w:vAlign w:val="bottom"/>
          </w:tcPr>
          <w:p>
            <w:pPr>
              <w:spacing w:after="0"/>
              <w:rPr>
                <w:sz w:val="1"/>
                <w:szCs w:val="1"/>
                <w:color w:val="auto"/>
              </w:rPr>
            </w:pPr>
          </w:p>
        </w:tc>
      </w:tr>
      <w:tr>
        <w:trPr>
          <w:trHeight w:val="180"/>
        </w:trPr>
        <w:tc>
          <w:tcPr>
            <w:tcW w:w="7120" w:type="dxa"/>
            <w:vAlign w:val="bottom"/>
            <w:tcBorders>
              <w:bottom w:val="single" w:sz="8" w:color="CCEEFF"/>
            </w:tcBorders>
          </w:tcPr>
          <w:p>
            <w:pPr>
              <w:ind w:left="280"/>
              <w:spacing w:after="0"/>
              <w:rPr>
                <w:sz w:val="20"/>
                <w:szCs w:val="20"/>
                <w:color w:val="auto"/>
              </w:rPr>
            </w:pPr>
            <w:r>
              <w:rPr>
                <w:rFonts w:ascii="Times New Roman" w:cs="Times New Roman" w:eastAsia="Times New Roman" w:hAnsi="Times New Roman"/>
                <w:sz w:val="14"/>
                <w:szCs w:val="14"/>
                <w:color w:val="auto"/>
              </w:rPr>
              <w:t>Selling, general and administrative</w:t>
            </w:r>
          </w:p>
        </w:tc>
        <w:tc>
          <w:tcPr>
            <w:tcW w:w="12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68,472</w:t>
            </w:r>
          </w:p>
        </w:tc>
        <w:tc>
          <w:tcPr>
            <w:tcW w:w="100" w:type="dxa"/>
            <w:vAlign w:val="bottom"/>
            <w:tcBorders>
              <w:bottom w:val="single" w:sz="8" w:color="CCEEFF"/>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71,065</w:t>
            </w:r>
          </w:p>
        </w:tc>
        <w:tc>
          <w:tcPr>
            <w:tcW w:w="0" w:type="dxa"/>
            <w:vAlign w:val="bottom"/>
          </w:tcPr>
          <w:p>
            <w:pPr>
              <w:spacing w:after="0"/>
              <w:rPr>
                <w:sz w:val="1"/>
                <w:szCs w:val="1"/>
                <w:color w:val="auto"/>
              </w:rPr>
            </w:pPr>
          </w:p>
        </w:tc>
      </w:tr>
      <w:tr>
        <w:trPr>
          <w:trHeight w:val="171"/>
        </w:trPr>
        <w:tc>
          <w:tcPr>
            <w:tcW w:w="712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Total operating expenses</w:t>
            </w:r>
          </w:p>
        </w:tc>
        <w:tc>
          <w:tcPr>
            <w:tcW w:w="1240" w:type="dxa"/>
            <w:vAlign w:val="bottom"/>
            <w:tcBorders>
              <w:bottom w:val="single" w:sz="8" w:color="auto"/>
            </w:tcBorders>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154,392</w:t>
            </w:r>
          </w:p>
        </w:tc>
        <w:tc>
          <w:tcPr>
            <w:tcW w:w="100" w:type="dxa"/>
            <w:vAlign w:val="bottom"/>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spacing w:after="0"/>
              <w:rPr>
                <w:sz w:val="14"/>
                <w:szCs w:val="14"/>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165,752</w:t>
            </w:r>
          </w:p>
        </w:tc>
        <w:tc>
          <w:tcPr>
            <w:tcW w:w="0" w:type="dxa"/>
            <w:vAlign w:val="bottom"/>
          </w:tcPr>
          <w:p>
            <w:pPr>
              <w:spacing w:after="0"/>
              <w:rPr>
                <w:sz w:val="1"/>
                <w:szCs w:val="1"/>
                <w:color w:val="auto"/>
              </w:rPr>
            </w:pPr>
          </w:p>
        </w:tc>
      </w:tr>
      <w:tr>
        <w:trPr>
          <w:trHeight w:val="171"/>
        </w:trPr>
        <w:tc>
          <w:tcPr>
            <w:tcW w:w="7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Operating income</w:t>
            </w:r>
          </w:p>
        </w:tc>
        <w:tc>
          <w:tcPr>
            <w:tcW w:w="12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4,332</w:t>
            </w: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4,259</w:t>
            </w:r>
          </w:p>
        </w:tc>
        <w:tc>
          <w:tcPr>
            <w:tcW w:w="0" w:type="dxa"/>
            <w:vAlign w:val="bottom"/>
          </w:tcPr>
          <w:p>
            <w:pPr>
              <w:spacing w:after="0"/>
              <w:rPr>
                <w:sz w:val="1"/>
                <w:szCs w:val="1"/>
                <w:color w:val="auto"/>
              </w:rPr>
            </w:pPr>
          </w:p>
        </w:tc>
      </w:tr>
      <w:tr>
        <w:trPr>
          <w:trHeight w:val="180"/>
        </w:trPr>
        <w:tc>
          <w:tcPr>
            <w:tcW w:w="7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income (expense):</w:t>
            </w:r>
          </w:p>
        </w:tc>
        <w:tc>
          <w:tcPr>
            <w:tcW w:w="12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71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Interest income, net</w:t>
            </w:r>
          </w:p>
        </w:tc>
        <w:tc>
          <w:tcPr>
            <w:tcW w:w="12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430</w:t>
            </w: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198</w:t>
            </w:r>
          </w:p>
        </w:tc>
        <w:tc>
          <w:tcPr>
            <w:tcW w:w="0" w:type="dxa"/>
            <w:vAlign w:val="bottom"/>
          </w:tcPr>
          <w:p>
            <w:pPr>
              <w:spacing w:after="0"/>
              <w:rPr>
                <w:sz w:val="1"/>
                <w:szCs w:val="1"/>
                <w:color w:val="auto"/>
              </w:rPr>
            </w:pPr>
          </w:p>
        </w:tc>
      </w:tr>
      <w:tr>
        <w:trPr>
          <w:trHeight w:val="180"/>
        </w:trPr>
        <w:tc>
          <w:tcPr>
            <w:tcW w:w="71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Other expense, net</w:t>
            </w:r>
          </w:p>
        </w:tc>
        <w:tc>
          <w:tcPr>
            <w:tcW w:w="1240" w:type="dxa"/>
            <w:vAlign w:val="bottom"/>
            <w:tcBorders>
              <w:bottom w:val="single" w:sz="8" w:color="auto"/>
            </w:tcBorders>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(412)</w:t>
            </w:r>
          </w:p>
        </w:tc>
        <w:tc>
          <w:tcPr>
            <w:tcW w:w="100" w:type="dxa"/>
            <w:vAlign w:val="bottom"/>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spacing w:after="0"/>
              <w:rPr>
                <w:sz w:val="15"/>
                <w:szCs w:val="15"/>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(458)</w:t>
            </w:r>
          </w:p>
        </w:tc>
        <w:tc>
          <w:tcPr>
            <w:tcW w:w="0" w:type="dxa"/>
            <w:vAlign w:val="bottom"/>
          </w:tcPr>
          <w:p>
            <w:pPr>
              <w:spacing w:after="0"/>
              <w:rPr>
                <w:sz w:val="1"/>
                <w:szCs w:val="1"/>
                <w:color w:val="auto"/>
              </w:rPr>
            </w:pPr>
          </w:p>
        </w:tc>
      </w:tr>
      <w:tr>
        <w:trPr>
          <w:trHeight w:val="171"/>
        </w:trPr>
        <w:tc>
          <w:tcPr>
            <w:tcW w:w="7120" w:type="dxa"/>
            <w:vAlign w:val="bottom"/>
            <w:tcBorders>
              <w:bottom w:val="single" w:sz="8" w:color="CCEEFF"/>
            </w:tcBorders>
          </w:tcPr>
          <w:p>
            <w:pPr>
              <w:ind w:left="520"/>
              <w:spacing w:after="0"/>
              <w:rPr>
                <w:sz w:val="20"/>
                <w:szCs w:val="20"/>
                <w:color w:val="auto"/>
              </w:rPr>
            </w:pPr>
            <w:r>
              <w:rPr>
                <w:rFonts w:ascii="Times New Roman" w:cs="Times New Roman" w:eastAsia="Times New Roman" w:hAnsi="Times New Roman"/>
                <w:sz w:val="14"/>
                <w:szCs w:val="14"/>
                <w:color w:val="auto"/>
              </w:rPr>
              <w:t>Total other income (expense), net</w:t>
            </w:r>
          </w:p>
        </w:tc>
        <w:tc>
          <w:tcPr>
            <w:tcW w:w="12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100" w:type="dxa"/>
            <w:vAlign w:val="bottom"/>
            <w:tcBorders>
              <w:bottom w:val="single" w:sz="8" w:color="CCEEFF"/>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(260)</w:t>
            </w:r>
          </w:p>
        </w:tc>
        <w:tc>
          <w:tcPr>
            <w:tcW w:w="0" w:type="dxa"/>
            <w:vAlign w:val="bottom"/>
          </w:tcPr>
          <w:p>
            <w:pPr>
              <w:spacing w:after="0"/>
              <w:rPr>
                <w:sz w:val="1"/>
                <w:szCs w:val="1"/>
                <w:color w:val="auto"/>
              </w:rPr>
            </w:pPr>
          </w:p>
        </w:tc>
      </w:tr>
      <w:tr>
        <w:trPr>
          <w:trHeight w:val="171"/>
        </w:trPr>
        <w:tc>
          <w:tcPr>
            <w:tcW w:w="7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Income before income taxes</w:t>
            </w:r>
          </w:p>
        </w:tc>
        <w:tc>
          <w:tcPr>
            <w:tcW w:w="124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4,350</w:t>
            </w: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3,999</w:t>
            </w:r>
          </w:p>
        </w:tc>
        <w:tc>
          <w:tcPr>
            <w:tcW w:w="0" w:type="dxa"/>
            <w:vAlign w:val="bottom"/>
          </w:tcPr>
          <w:p>
            <w:pPr>
              <w:spacing w:after="0"/>
              <w:rPr>
                <w:sz w:val="1"/>
                <w:szCs w:val="1"/>
                <w:color w:val="auto"/>
              </w:rPr>
            </w:pPr>
          </w:p>
        </w:tc>
      </w:tr>
      <w:tr>
        <w:trPr>
          <w:trHeight w:val="180"/>
        </w:trPr>
        <w:tc>
          <w:tcPr>
            <w:tcW w:w="7120" w:type="dxa"/>
            <w:vAlign w:val="bottom"/>
            <w:tcBorders>
              <w:bottom w:val="single" w:sz="8" w:color="CCEEFF"/>
            </w:tcBorders>
          </w:tcPr>
          <w:p>
            <w:pPr>
              <w:ind w:left="280"/>
              <w:spacing w:after="0"/>
              <w:rPr>
                <w:sz w:val="20"/>
                <w:szCs w:val="20"/>
                <w:color w:val="auto"/>
              </w:rPr>
            </w:pPr>
            <w:r>
              <w:rPr>
                <w:rFonts w:ascii="Times New Roman" w:cs="Times New Roman" w:eastAsia="Times New Roman" w:hAnsi="Times New Roman"/>
                <w:sz w:val="14"/>
                <w:szCs w:val="14"/>
                <w:color w:val="auto"/>
              </w:rPr>
              <w:t>Income tax expense</w:t>
            </w:r>
          </w:p>
        </w:tc>
        <w:tc>
          <w:tcPr>
            <w:tcW w:w="12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(1,413)</w:t>
            </w:r>
          </w:p>
        </w:tc>
        <w:tc>
          <w:tcPr>
            <w:tcW w:w="100" w:type="dxa"/>
            <w:vAlign w:val="bottom"/>
            <w:tcBorders>
              <w:bottom w:val="single" w:sz="8" w:color="CCEEFF"/>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(1,459)</w:t>
            </w:r>
          </w:p>
        </w:tc>
        <w:tc>
          <w:tcPr>
            <w:tcW w:w="0" w:type="dxa"/>
            <w:vAlign w:val="bottom"/>
          </w:tcPr>
          <w:p>
            <w:pPr>
              <w:spacing w:after="0"/>
              <w:rPr>
                <w:sz w:val="1"/>
                <w:szCs w:val="1"/>
                <w:color w:val="auto"/>
              </w:rPr>
            </w:pPr>
          </w:p>
        </w:tc>
      </w:tr>
      <w:tr>
        <w:trPr>
          <w:trHeight w:val="196"/>
        </w:trPr>
        <w:tc>
          <w:tcPr>
            <w:tcW w:w="7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1240" w:type="dxa"/>
            <w:vAlign w:val="bottom"/>
            <w:tcBorders>
              <w:bottom w:val="single" w:sz="8" w:color="auto"/>
            </w:tcBorders>
            <w:shd w:val="clear" w:color="auto" w:fill="CCEEFF"/>
          </w:tcPr>
          <w:p>
            <w:pPr>
              <w:jc w:val="right"/>
              <w:ind w:right="1092"/>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2,937</w:t>
            </w:r>
          </w:p>
        </w:tc>
        <w:tc>
          <w:tcPr>
            <w:tcW w:w="10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ind w:right="609"/>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2,540</w:t>
            </w:r>
          </w:p>
        </w:tc>
        <w:tc>
          <w:tcPr>
            <w:tcW w:w="0" w:type="dxa"/>
            <w:vAlign w:val="bottom"/>
          </w:tcPr>
          <w:p>
            <w:pPr>
              <w:spacing w:after="0"/>
              <w:rPr>
                <w:sz w:val="1"/>
                <w:szCs w:val="1"/>
                <w:color w:val="auto"/>
              </w:rPr>
            </w:pPr>
          </w:p>
        </w:tc>
      </w:tr>
      <w:tr>
        <w:trPr>
          <w:trHeight w:val="20"/>
        </w:trPr>
        <w:tc>
          <w:tcPr>
            <w:tcW w:w="71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Net income per share:</w:t>
            </w: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7120" w:type="dxa"/>
            <w:vAlign w:val="bottom"/>
            <w:vMerge w:val="continue"/>
          </w:tcPr>
          <w:p>
            <w:pPr>
              <w:spacing w:after="0"/>
              <w:rPr>
                <w:sz w:val="10"/>
                <w:szCs w:val="10"/>
                <w:color w:val="auto"/>
              </w:rPr>
            </w:pPr>
          </w:p>
        </w:tc>
        <w:tc>
          <w:tcPr>
            <w:tcW w:w="12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0"/>
        </w:trPr>
        <w:tc>
          <w:tcPr>
            <w:tcW w:w="71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Basic</w:t>
            </w:r>
          </w:p>
        </w:tc>
        <w:tc>
          <w:tcPr>
            <w:tcW w:w="1240" w:type="dxa"/>
            <w:vAlign w:val="bottom"/>
            <w:shd w:val="clear" w:color="auto" w:fill="CCEEFF"/>
          </w:tcPr>
          <w:p>
            <w:pPr>
              <w:jc w:val="right"/>
              <w:ind w:right="1092"/>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0.24</w:t>
            </w: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jc w:val="right"/>
              <w:ind w:right="609"/>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0.20</w:t>
            </w:r>
          </w:p>
        </w:tc>
        <w:tc>
          <w:tcPr>
            <w:tcW w:w="0" w:type="dxa"/>
            <w:vAlign w:val="bottom"/>
          </w:tcPr>
          <w:p>
            <w:pPr>
              <w:spacing w:after="0"/>
              <w:rPr>
                <w:sz w:val="1"/>
                <w:szCs w:val="1"/>
                <w:color w:val="auto"/>
              </w:rPr>
            </w:pPr>
          </w:p>
        </w:tc>
      </w:tr>
      <w:tr>
        <w:trPr>
          <w:trHeight w:val="180"/>
        </w:trPr>
        <w:tc>
          <w:tcPr>
            <w:tcW w:w="71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Diluted</w:t>
            </w:r>
          </w:p>
        </w:tc>
        <w:tc>
          <w:tcPr>
            <w:tcW w:w="1240" w:type="dxa"/>
            <w:vAlign w:val="bottom"/>
          </w:tcPr>
          <w:p>
            <w:pPr>
              <w:jc w:val="right"/>
              <w:ind w:right="1092"/>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0.23</w:t>
            </w:r>
          </w:p>
        </w:tc>
        <w:tc>
          <w:tcPr>
            <w:tcW w:w="100" w:type="dxa"/>
            <w:vAlign w:val="bottom"/>
          </w:tcPr>
          <w:p>
            <w:pPr>
              <w:spacing w:after="0"/>
              <w:rPr>
                <w:sz w:val="15"/>
                <w:szCs w:val="15"/>
                <w:color w:val="auto"/>
              </w:rPr>
            </w:pPr>
          </w:p>
        </w:tc>
        <w:tc>
          <w:tcPr>
            <w:tcW w:w="760" w:type="dxa"/>
            <w:vAlign w:val="bottom"/>
          </w:tcPr>
          <w:p>
            <w:pPr>
              <w:jc w:val="right"/>
              <w:ind w:right="609"/>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0.20</w:t>
            </w:r>
          </w:p>
        </w:tc>
        <w:tc>
          <w:tcPr>
            <w:tcW w:w="0" w:type="dxa"/>
            <w:vAlign w:val="bottom"/>
          </w:tcPr>
          <w:p>
            <w:pPr>
              <w:spacing w:after="0"/>
              <w:rPr>
                <w:sz w:val="1"/>
                <w:szCs w:val="1"/>
                <w:color w:val="auto"/>
              </w:rPr>
            </w:pPr>
          </w:p>
        </w:tc>
      </w:tr>
      <w:tr>
        <w:trPr>
          <w:trHeight w:val="180"/>
        </w:trPr>
        <w:tc>
          <w:tcPr>
            <w:tcW w:w="7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Weighted-average shares outstanding:</w:t>
            </w:r>
          </w:p>
        </w:tc>
        <w:tc>
          <w:tcPr>
            <w:tcW w:w="12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71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Basic</w:t>
            </w:r>
          </w:p>
        </w:tc>
        <w:tc>
          <w:tcPr>
            <w:tcW w:w="12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12,458</w:t>
            </w: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12,557</w:t>
            </w:r>
          </w:p>
        </w:tc>
        <w:tc>
          <w:tcPr>
            <w:tcW w:w="0" w:type="dxa"/>
            <w:vAlign w:val="bottom"/>
          </w:tcPr>
          <w:p>
            <w:pPr>
              <w:spacing w:after="0"/>
              <w:rPr>
                <w:sz w:val="1"/>
                <w:szCs w:val="1"/>
                <w:color w:val="auto"/>
              </w:rPr>
            </w:pPr>
          </w:p>
        </w:tc>
      </w:tr>
      <w:tr>
        <w:trPr>
          <w:trHeight w:val="180"/>
        </w:trPr>
        <w:tc>
          <w:tcPr>
            <w:tcW w:w="71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Diluted</w:t>
            </w:r>
          </w:p>
        </w:tc>
        <w:tc>
          <w:tcPr>
            <w:tcW w:w="124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12,986</w:t>
            </w: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12,567</w:t>
            </w:r>
          </w:p>
        </w:tc>
        <w:tc>
          <w:tcPr>
            <w:tcW w:w="0" w:type="dxa"/>
            <w:vAlign w:val="bottom"/>
          </w:tcPr>
          <w:p>
            <w:pPr>
              <w:spacing w:after="0"/>
              <w:rPr>
                <w:sz w:val="1"/>
                <w:szCs w:val="1"/>
                <w:color w:val="auto"/>
              </w:rPr>
            </w:pPr>
          </w:p>
        </w:tc>
      </w:tr>
      <w:tr>
        <w:trPr>
          <w:trHeight w:val="180"/>
        </w:trPr>
        <w:tc>
          <w:tcPr>
            <w:tcW w:w="7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comprehensive loss, net of tax:</w:t>
            </w:r>
          </w:p>
        </w:tc>
        <w:tc>
          <w:tcPr>
            <w:tcW w:w="1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712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Foreign currency translation adjustment</w:t>
            </w:r>
          </w:p>
        </w:tc>
        <w:tc>
          <w:tcPr>
            <w:tcW w:w="1240" w:type="dxa"/>
            <w:vAlign w:val="bottom"/>
            <w:tcBorders>
              <w:bottom w:val="single" w:sz="8" w:color="auto"/>
            </w:tcBorders>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(555)</w:t>
            </w:r>
          </w:p>
        </w:tc>
        <w:tc>
          <w:tcPr>
            <w:tcW w:w="100" w:type="dxa"/>
            <w:vAlign w:val="bottom"/>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spacing w:after="0"/>
              <w:rPr>
                <w:sz w:val="15"/>
                <w:szCs w:val="15"/>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(238)</w:t>
            </w:r>
          </w:p>
        </w:tc>
        <w:tc>
          <w:tcPr>
            <w:tcW w:w="0" w:type="dxa"/>
            <w:vAlign w:val="bottom"/>
          </w:tcPr>
          <w:p>
            <w:pPr>
              <w:spacing w:after="0"/>
              <w:rPr>
                <w:sz w:val="1"/>
                <w:szCs w:val="1"/>
                <w:color w:val="auto"/>
              </w:rPr>
            </w:pPr>
          </w:p>
        </w:tc>
      </w:tr>
      <w:tr>
        <w:trPr>
          <w:trHeight w:val="171"/>
        </w:trPr>
        <w:tc>
          <w:tcPr>
            <w:tcW w:w="7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Other comprehensive loss, net of tax:</w:t>
            </w:r>
          </w:p>
        </w:tc>
        <w:tc>
          <w:tcPr>
            <w:tcW w:w="12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(555)</w:t>
            </w:r>
          </w:p>
        </w:tc>
        <w:tc>
          <w:tcPr>
            <w:tcW w:w="100" w:type="dxa"/>
            <w:vAlign w:val="bottom"/>
            <w:tcBorders>
              <w:bottom w:val="single" w:sz="8" w:color="CCEEFF"/>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(238)</w:t>
            </w:r>
          </w:p>
        </w:tc>
        <w:tc>
          <w:tcPr>
            <w:tcW w:w="0" w:type="dxa"/>
            <w:vAlign w:val="bottom"/>
          </w:tcPr>
          <w:p>
            <w:pPr>
              <w:spacing w:after="0"/>
              <w:rPr>
                <w:sz w:val="1"/>
                <w:szCs w:val="1"/>
                <w:color w:val="auto"/>
              </w:rPr>
            </w:pPr>
          </w:p>
        </w:tc>
      </w:tr>
      <w:tr>
        <w:trPr>
          <w:trHeight w:val="196"/>
        </w:trPr>
        <w:tc>
          <w:tcPr>
            <w:tcW w:w="7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Comprehensive income</w:t>
            </w:r>
          </w:p>
        </w:tc>
        <w:tc>
          <w:tcPr>
            <w:tcW w:w="1240" w:type="dxa"/>
            <w:vAlign w:val="bottom"/>
            <w:tcBorders>
              <w:bottom w:val="single" w:sz="8" w:color="auto"/>
            </w:tcBorders>
            <w:shd w:val="clear" w:color="auto" w:fill="CCEEFF"/>
          </w:tcPr>
          <w:p>
            <w:pPr>
              <w:jc w:val="right"/>
              <w:ind w:right="1092"/>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2,382</w:t>
            </w:r>
          </w:p>
        </w:tc>
        <w:tc>
          <w:tcPr>
            <w:tcW w:w="10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ind w:right="609"/>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2,302</w:t>
            </w:r>
          </w:p>
        </w:tc>
        <w:tc>
          <w:tcPr>
            <w:tcW w:w="0" w:type="dxa"/>
            <w:vAlign w:val="bottom"/>
          </w:tcPr>
          <w:p>
            <w:pPr>
              <w:spacing w:after="0"/>
              <w:rPr>
                <w:sz w:val="1"/>
                <w:szCs w:val="1"/>
                <w:color w:val="auto"/>
              </w:rPr>
            </w:pPr>
          </w:p>
        </w:tc>
      </w:tr>
      <w:tr>
        <w:trPr>
          <w:trHeight w:val="20"/>
        </w:trPr>
        <w:tc>
          <w:tcPr>
            <w:tcW w:w="71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The accompanying notes are an integral part of these consolidated financial statements.</w:t>
      </w: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1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730" w:right="339" w:bottom="1440" w:gutter="0" w:footer="0" w:header="0"/>
        </w:sectPr>
      </w:pPr>
    </w:p>
    <w:bookmarkStart w:id="65" w:name="page66"/>
    <w:bookmarkEnd w:id="65"/>
    <w:p>
      <w:pPr>
        <w:jc w:val="center"/>
        <w:ind w:right="-79"/>
        <w:spacing w:after="0"/>
        <w:rPr>
          <w:sz w:val="20"/>
          <w:szCs w:val="20"/>
          <w:color w:val="auto"/>
        </w:rPr>
      </w:pPr>
      <w:r>
        <w:rPr>
          <w:rFonts w:ascii="Times New Roman" w:cs="Times New Roman" w:eastAsia="Times New Roman" w:hAnsi="Times New Roman"/>
          <w:sz w:val="14"/>
          <w:szCs w:val="14"/>
          <w:color w:val="auto"/>
        </w:rPr>
        <w:t>LIFEVANTAGE CORPORATION AND SUBSIDIARIES</w:t>
      </w:r>
    </w:p>
    <w:p>
      <w:pPr>
        <w:spacing w:after="0" w:line="2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4"/>
          <w:szCs w:val="14"/>
          <w:color w:val="auto"/>
        </w:rPr>
        <w:t>CONSOLIDATED STATEMENTS OF STOCKHOLDERS’ EQUITY</w:t>
      </w:r>
    </w:p>
    <w:p>
      <w:pPr>
        <w:spacing w:after="0" w:line="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4"/>
          <w:szCs w:val="14"/>
          <w:color w:val="auto"/>
        </w:rPr>
        <w:t>For the years ended June 30, 2024 and 2023</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3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60" w:type="dxa"/>
            <w:vAlign w:val="bottom"/>
            <w:gridSpan w:val="3"/>
          </w:tcPr>
          <w:p>
            <w:pPr>
              <w:jc w:val="right"/>
              <w:ind w:right="478"/>
              <w:spacing w:after="0"/>
              <w:rPr>
                <w:sz w:val="20"/>
                <w:szCs w:val="20"/>
                <w:color w:val="auto"/>
              </w:rPr>
            </w:pPr>
            <w:r>
              <w:rPr>
                <w:rFonts w:ascii="Times New Roman" w:cs="Times New Roman" w:eastAsia="Times New Roman" w:hAnsi="Times New Roman"/>
                <w:sz w:val="11"/>
                <w:szCs w:val="11"/>
                <w:b w:val="1"/>
                <w:bCs w:val="1"/>
                <w:color w:val="auto"/>
              </w:rPr>
              <w:t>Common Stock</w:t>
            </w: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20" w:type="dxa"/>
            <w:vAlign w:val="bottom"/>
            <w:gridSpan w:val="2"/>
          </w:tcPr>
          <w:p>
            <w:pPr>
              <w:jc w:val="center"/>
              <w:ind w:right="280"/>
              <w:spacing w:after="0"/>
              <w:rPr>
                <w:sz w:val="20"/>
                <w:szCs w:val="20"/>
                <w:color w:val="auto"/>
              </w:rPr>
            </w:pPr>
            <w:r>
              <w:rPr>
                <w:rFonts w:ascii="Times New Roman" w:cs="Times New Roman" w:eastAsia="Times New Roman" w:hAnsi="Times New Roman"/>
                <w:sz w:val="11"/>
                <w:szCs w:val="11"/>
                <w:b w:val="1"/>
                <w:bCs w:val="1"/>
                <w:color w:val="auto"/>
              </w:rPr>
              <w:t>Accumulated</w:t>
            </w:r>
          </w:p>
        </w:tc>
        <w:tc>
          <w:tcPr>
            <w:tcW w:w="2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3"/>
        </w:trPr>
        <w:tc>
          <w:tcPr>
            <w:tcW w:w="3720" w:type="dxa"/>
            <w:vAlign w:val="bottom"/>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9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20" w:type="dxa"/>
            <w:vAlign w:val="bottom"/>
            <w:gridSpan w:val="2"/>
            <w:vMerge w:val="restart"/>
          </w:tcPr>
          <w:p>
            <w:pPr>
              <w:jc w:val="center"/>
              <w:ind w:right="280"/>
              <w:spacing w:after="0" w:line="108" w:lineRule="exact"/>
              <w:rPr>
                <w:sz w:val="20"/>
                <w:szCs w:val="20"/>
                <w:color w:val="auto"/>
              </w:rPr>
            </w:pPr>
            <w:r>
              <w:rPr>
                <w:rFonts w:ascii="Times New Roman" w:cs="Times New Roman" w:eastAsia="Times New Roman" w:hAnsi="Times New Roman"/>
                <w:sz w:val="11"/>
                <w:szCs w:val="11"/>
                <w:b w:val="1"/>
                <w:bCs w:val="1"/>
                <w:color w:val="auto"/>
              </w:rPr>
              <w:t>Other</w:t>
            </w:r>
          </w:p>
        </w:tc>
        <w:tc>
          <w:tcPr>
            <w:tcW w:w="260" w:type="dxa"/>
            <w:vAlign w:val="bottom"/>
          </w:tcPr>
          <w:p>
            <w:pPr>
              <w:spacing w:after="0"/>
              <w:rPr>
                <w:sz w:val="4"/>
                <w:szCs w:val="4"/>
                <w:color w:val="auto"/>
              </w:rPr>
            </w:pPr>
          </w:p>
        </w:tc>
        <w:tc>
          <w:tcPr>
            <w:tcW w:w="8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5"/>
        </w:trPr>
        <w:tc>
          <w:tcPr>
            <w:tcW w:w="3720" w:type="dxa"/>
            <w:vAlign w:val="bottom"/>
          </w:tcPr>
          <w:p>
            <w:pPr>
              <w:spacing w:after="0"/>
              <w:rPr>
                <w:sz w:val="3"/>
                <w:szCs w:val="3"/>
                <w:color w:val="auto"/>
              </w:rPr>
            </w:pPr>
          </w:p>
        </w:tc>
        <w:tc>
          <w:tcPr>
            <w:tcW w:w="740" w:type="dxa"/>
            <w:vAlign w:val="bottom"/>
          </w:tcPr>
          <w:p>
            <w:pPr>
              <w:spacing w:after="0"/>
              <w:rPr>
                <w:sz w:val="3"/>
                <w:szCs w:val="3"/>
                <w:color w:val="auto"/>
              </w:rPr>
            </w:pPr>
          </w:p>
        </w:tc>
        <w:tc>
          <w:tcPr>
            <w:tcW w:w="4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260" w:type="dxa"/>
            <w:vAlign w:val="bottom"/>
          </w:tcPr>
          <w:p>
            <w:pPr>
              <w:spacing w:after="0"/>
              <w:rPr>
                <w:sz w:val="3"/>
                <w:szCs w:val="3"/>
                <w:color w:val="auto"/>
              </w:rPr>
            </w:pPr>
          </w:p>
        </w:tc>
        <w:tc>
          <w:tcPr>
            <w:tcW w:w="8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5"/>
        </w:trPr>
        <w:tc>
          <w:tcPr>
            <w:tcW w:w="3720" w:type="dxa"/>
            <w:vAlign w:val="bottom"/>
          </w:tcPr>
          <w:p>
            <w:pPr>
              <w:spacing w:after="0"/>
              <w:rPr>
                <w:sz w:val="10"/>
                <w:szCs w:val="10"/>
                <w:color w:val="auto"/>
              </w:rPr>
            </w:pPr>
          </w:p>
        </w:tc>
        <w:tc>
          <w:tcPr>
            <w:tcW w:w="740" w:type="dxa"/>
            <w:vAlign w:val="bottom"/>
            <w:vMerge w:val="restart"/>
          </w:tcPr>
          <w:p>
            <w:pPr>
              <w:ind w:left="420"/>
              <w:spacing w:after="0"/>
              <w:rPr>
                <w:sz w:val="20"/>
                <w:szCs w:val="20"/>
                <w:color w:val="auto"/>
              </w:rPr>
            </w:pPr>
            <w:r>
              <w:rPr>
                <w:rFonts w:ascii="Times New Roman" w:cs="Times New Roman" w:eastAsia="Times New Roman" w:hAnsi="Times New Roman"/>
                <w:sz w:val="11"/>
                <w:szCs w:val="11"/>
                <w:b w:val="1"/>
                <w:bCs w:val="1"/>
                <w:color w:val="auto"/>
                <w:w w:val="94"/>
              </w:rPr>
              <w:t>Shares</w:t>
            </w: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vMerge w:val="restart"/>
          </w:tcPr>
          <w:p>
            <w:pPr>
              <w:jc w:val="right"/>
              <w:ind w:right="38"/>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gridSpan w:val="2"/>
          </w:tcPr>
          <w:p>
            <w:pPr>
              <w:jc w:val="center"/>
              <w:ind w:right="220"/>
              <w:spacing w:after="0" w:line="125" w:lineRule="exact"/>
              <w:rPr>
                <w:sz w:val="20"/>
                <w:szCs w:val="20"/>
                <w:color w:val="auto"/>
              </w:rPr>
            </w:pPr>
            <w:r>
              <w:rPr>
                <w:rFonts w:ascii="Times New Roman" w:cs="Times New Roman" w:eastAsia="Times New Roman" w:hAnsi="Times New Roman"/>
                <w:sz w:val="11"/>
                <w:szCs w:val="11"/>
                <w:b w:val="1"/>
                <w:bCs w:val="1"/>
                <w:color w:val="auto"/>
              </w:rPr>
              <w:t>Additional</w:t>
            </w:r>
          </w:p>
        </w:tc>
        <w:tc>
          <w:tcPr>
            <w:tcW w:w="160" w:type="dxa"/>
            <w:vAlign w:val="bottom"/>
          </w:tcPr>
          <w:p>
            <w:pPr>
              <w:spacing w:after="0"/>
              <w:rPr>
                <w:sz w:val="10"/>
                <w:szCs w:val="10"/>
                <w:color w:val="auto"/>
              </w:rPr>
            </w:pPr>
          </w:p>
        </w:tc>
        <w:tc>
          <w:tcPr>
            <w:tcW w:w="1080" w:type="dxa"/>
            <w:vAlign w:val="bottom"/>
            <w:gridSpan w:val="2"/>
          </w:tcPr>
          <w:p>
            <w:pPr>
              <w:jc w:val="center"/>
              <w:ind w:right="280"/>
              <w:spacing w:after="0" w:line="125" w:lineRule="exact"/>
              <w:rPr>
                <w:sz w:val="20"/>
                <w:szCs w:val="20"/>
                <w:color w:val="auto"/>
              </w:rPr>
            </w:pPr>
            <w:r>
              <w:rPr>
                <w:rFonts w:ascii="Times New Roman" w:cs="Times New Roman" w:eastAsia="Times New Roman" w:hAnsi="Times New Roman"/>
                <w:sz w:val="11"/>
                <w:szCs w:val="11"/>
                <w:b w:val="1"/>
                <w:bCs w:val="1"/>
                <w:color w:val="auto"/>
              </w:rPr>
              <w:t>Accumulated</w:t>
            </w:r>
          </w:p>
        </w:tc>
        <w:tc>
          <w:tcPr>
            <w:tcW w:w="180" w:type="dxa"/>
            <w:vAlign w:val="bottom"/>
          </w:tcPr>
          <w:p>
            <w:pPr>
              <w:spacing w:after="0"/>
              <w:rPr>
                <w:sz w:val="10"/>
                <w:szCs w:val="10"/>
                <w:color w:val="auto"/>
              </w:rPr>
            </w:pPr>
          </w:p>
        </w:tc>
        <w:tc>
          <w:tcPr>
            <w:tcW w:w="1220" w:type="dxa"/>
            <w:vAlign w:val="bottom"/>
            <w:gridSpan w:val="2"/>
          </w:tcPr>
          <w:p>
            <w:pPr>
              <w:jc w:val="center"/>
              <w:ind w:right="280"/>
              <w:spacing w:after="0" w:line="125" w:lineRule="exact"/>
              <w:rPr>
                <w:sz w:val="20"/>
                <w:szCs w:val="20"/>
                <w:color w:val="auto"/>
              </w:rPr>
            </w:pPr>
            <w:r>
              <w:rPr>
                <w:rFonts w:ascii="Times New Roman" w:cs="Times New Roman" w:eastAsia="Times New Roman" w:hAnsi="Times New Roman"/>
                <w:sz w:val="11"/>
                <w:szCs w:val="11"/>
                <w:b w:val="1"/>
                <w:bCs w:val="1"/>
                <w:color w:val="auto"/>
              </w:rPr>
              <w:t>Comprehensive</w:t>
            </w:r>
          </w:p>
        </w:tc>
        <w:tc>
          <w:tcPr>
            <w:tcW w:w="260" w:type="dxa"/>
            <w:vAlign w:val="bottom"/>
          </w:tcPr>
          <w:p>
            <w:pPr>
              <w:spacing w:after="0"/>
              <w:rPr>
                <w:sz w:val="10"/>
                <w:szCs w:val="10"/>
                <w:color w:val="auto"/>
              </w:rPr>
            </w:pPr>
          </w:p>
        </w:tc>
        <w:tc>
          <w:tcPr>
            <w:tcW w:w="880" w:type="dxa"/>
            <w:vAlign w:val="bottom"/>
            <w:vMerge w:val="restart"/>
          </w:tcPr>
          <w:p>
            <w:pPr>
              <w:jc w:val="right"/>
              <w:ind w:right="377"/>
              <w:spacing w:after="0"/>
              <w:rPr>
                <w:sz w:val="20"/>
                <w:szCs w:val="20"/>
                <w:color w:val="auto"/>
              </w:rPr>
            </w:pPr>
            <w:r>
              <w:rPr>
                <w:rFonts w:ascii="Times New Roman" w:cs="Times New Roman" w:eastAsia="Times New Roman" w:hAnsi="Times New Roman"/>
                <w:sz w:val="11"/>
                <w:szCs w:val="11"/>
                <w:b w:val="1"/>
                <w:bCs w:val="1"/>
                <w:color w:val="auto"/>
              </w:rPr>
              <w:t>Total</w:t>
            </w:r>
          </w:p>
        </w:tc>
        <w:tc>
          <w:tcPr>
            <w:tcW w:w="0" w:type="dxa"/>
            <w:vAlign w:val="bottom"/>
          </w:tcPr>
          <w:p>
            <w:pPr>
              <w:spacing w:after="0"/>
              <w:rPr>
                <w:sz w:val="1"/>
                <w:szCs w:val="1"/>
                <w:color w:val="auto"/>
              </w:rPr>
            </w:pPr>
          </w:p>
        </w:tc>
      </w:tr>
      <w:tr>
        <w:trPr>
          <w:trHeight w:val="150"/>
        </w:trPr>
        <w:tc>
          <w:tcPr>
            <w:tcW w:w="3720" w:type="dxa"/>
            <w:vAlign w:val="bottom"/>
          </w:tcPr>
          <w:p>
            <w:pPr>
              <w:spacing w:after="0"/>
              <w:rPr>
                <w:sz w:val="13"/>
                <w:szCs w:val="13"/>
                <w:color w:val="auto"/>
              </w:rPr>
            </w:pPr>
          </w:p>
        </w:tc>
        <w:tc>
          <w:tcPr>
            <w:tcW w:w="740" w:type="dxa"/>
            <w:vAlign w:val="bottom"/>
            <w:vMerge w:val="continue"/>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vMerge w:val="continue"/>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rPr>
              <w:t>Paid-In Capital</w:t>
            </w:r>
          </w:p>
        </w:tc>
        <w:tc>
          <w:tcPr>
            <w:tcW w:w="160" w:type="dxa"/>
            <w:vAlign w:val="bottom"/>
          </w:tcPr>
          <w:p>
            <w:pPr>
              <w:spacing w:after="0"/>
              <w:rPr>
                <w:sz w:val="13"/>
                <w:szCs w:val="13"/>
                <w:color w:val="auto"/>
              </w:rPr>
            </w:pPr>
          </w:p>
        </w:tc>
        <w:tc>
          <w:tcPr>
            <w:tcW w:w="1080" w:type="dxa"/>
            <w:vAlign w:val="bottom"/>
            <w:gridSpan w:val="2"/>
          </w:tcPr>
          <w:p>
            <w:pPr>
              <w:jc w:val="center"/>
              <w:ind w:right="280"/>
              <w:spacing w:after="0"/>
              <w:rPr>
                <w:sz w:val="20"/>
                <w:szCs w:val="20"/>
                <w:color w:val="auto"/>
              </w:rPr>
            </w:pPr>
            <w:r>
              <w:rPr>
                <w:rFonts w:ascii="Times New Roman" w:cs="Times New Roman" w:eastAsia="Times New Roman" w:hAnsi="Times New Roman"/>
                <w:sz w:val="11"/>
                <w:szCs w:val="11"/>
                <w:b w:val="1"/>
                <w:bCs w:val="1"/>
                <w:color w:val="auto"/>
              </w:rPr>
              <w:t>Deficit</w:t>
            </w:r>
          </w:p>
        </w:tc>
        <w:tc>
          <w:tcPr>
            <w:tcW w:w="180" w:type="dxa"/>
            <w:vAlign w:val="bottom"/>
          </w:tcPr>
          <w:p>
            <w:pPr>
              <w:spacing w:after="0"/>
              <w:rPr>
                <w:sz w:val="13"/>
                <w:szCs w:val="13"/>
                <w:color w:val="auto"/>
              </w:rPr>
            </w:pPr>
          </w:p>
        </w:tc>
        <w:tc>
          <w:tcPr>
            <w:tcW w:w="1220" w:type="dxa"/>
            <w:vAlign w:val="bottom"/>
            <w:gridSpan w:val="2"/>
          </w:tcPr>
          <w:p>
            <w:pPr>
              <w:jc w:val="center"/>
              <w:ind w:right="280"/>
              <w:spacing w:after="0"/>
              <w:rPr>
                <w:sz w:val="20"/>
                <w:szCs w:val="20"/>
                <w:color w:val="auto"/>
              </w:rPr>
            </w:pPr>
            <w:r>
              <w:rPr>
                <w:rFonts w:ascii="Times New Roman" w:cs="Times New Roman" w:eastAsia="Times New Roman" w:hAnsi="Times New Roman"/>
                <w:sz w:val="11"/>
                <w:szCs w:val="11"/>
                <w:b w:val="1"/>
                <w:bCs w:val="1"/>
                <w:color w:val="auto"/>
              </w:rPr>
              <w:t>Loss</w:t>
            </w:r>
          </w:p>
        </w:tc>
        <w:tc>
          <w:tcPr>
            <w:tcW w:w="260" w:type="dxa"/>
            <w:vAlign w:val="bottom"/>
          </w:tcPr>
          <w:p>
            <w:pPr>
              <w:spacing w:after="0"/>
              <w:rPr>
                <w:sz w:val="13"/>
                <w:szCs w:val="13"/>
                <w:color w:val="auto"/>
              </w:rPr>
            </w:pPr>
          </w:p>
        </w:tc>
        <w:tc>
          <w:tcPr>
            <w:tcW w:w="8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3720" w:type="dxa"/>
            <w:vAlign w:val="bottom"/>
          </w:tcPr>
          <w:p>
            <w:pPr>
              <w:ind w:left="20"/>
              <w:spacing w:after="0"/>
              <w:rPr>
                <w:sz w:val="20"/>
                <w:szCs w:val="20"/>
                <w:color w:val="auto"/>
              </w:rPr>
            </w:pPr>
            <w:r>
              <w:rPr>
                <w:rFonts w:ascii="Times New Roman" w:cs="Times New Roman" w:eastAsia="Times New Roman" w:hAnsi="Times New Roman"/>
                <w:sz w:val="13"/>
                <w:szCs w:val="13"/>
                <w:i w:val="1"/>
                <w:iCs w:val="1"/>
                <w:color w:val="auto"/>
              </w:rPr>
              <w:t>(In thousands)</w:t>
            </w:r>
          </w:p>
        </w:tc>
        <w:tc>
          <w:tcPr>
            <w:tcW w:w="740" w:type="dxa"/>
            <w:vAlign w:val="bottom"/>
            <w:tcBorders>
              <w:top w:val="single" w:sz="8" w:color="auto"/>
            </w:tcBorders>
          </w:tcPr>
          <w:p>
            <w:pPr>
              <w:spacing w:after="0"/>
              <w:rPr>
                <w:sz w:val="13"/>
                <w:szCs w:val="13"/>
                <w:color w:val="auto"/>
              </w:rPr>
            </w:pPr>
          </w:p>
        </w:tc>
        <w:tc>
          <w:tcPr>
            <w:tcW w:w="4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4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Balances, June 30, 2022</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w w:val="94"/>
              </w:rPr>
              <w:t>12,493</w:t>
            </w: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jc w:val="right"/>
              <w:ind w:right="718"/>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131,075</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(98,437)</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jc w:val="right"/>
              <w:ind w:right="67"/>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(1,123)</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31,516</w:t>
            </w:r>
          </w:p>
        </w:tc>
        <w:tc>
          <w:tcPr>
            <w:tcW w:w="0" w:type="dxa"/>
            <w:vAlign w:val="bottom"/>
          </w:tcPr>
          <w:p>
            <w:pPr>
              <w:spacing w:after="0"/>
              <w:rPr>
                <w:sz w:val="1"/>
                <w:szCs w:val="1"/>
                <w:color w:val="auto"/>
              </w:rPr>
            </w:pPr>
          </w:p>
        </w:tc>
      </w:tr>
      <w:tr>
        <w:trPr>
          <w:trHeight w:val="168"/>
        </w:trPr>
        <w:tc>
          <w:tcPr>
            <w:tcW w:w="44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Stock-based compensation</w:t>
            </w:r>
          </w:p>
        </w:tc>
        <w:tc>
          <w:tcPr>
            <w:tcW w:w="5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tcPr>
          <w:p>
            <w:pPr>
              <w:spacing w:after="0"/>
              <w:rPr>
                <w:sz w:val="14"/>
                <w:szCs w:val="14"/>
                <w:color w:val="auto"/>
              </w:rPr>
            </w:pP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3,188</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1220" w:type="dxa"/>
            <w:vAlign w:val="bottom"/>
            <w:gridSpan w:val="2"/>
          </w:tcPr>
          <w:p>
            <w:pPr>
              <w:ind w:left="94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3,188</w:t>
            </w:r>
          </w:p>
        </w:tc>
        <w:tc>
          <w:tcPr>
            <w:tcW w:w="0" w:type="dxa"/>
            <w:vAlign w:val="bottom"/>
          </w:tcPr>
          <w:p>
            <w:pPr>
              <w:spacing w:after="0"/>
              <w:rPr>
                <w:sz w:val="1"/>
                <w:szCs w:val="1"/>
                <w:color w:val="auto"/>
              </w:rPr>
            </w:pPr>
          </w:p>
        </w:tc>
      </w:tr>
      <w:tr>
        <w:trPr>
          <w:trHeight w:val="172"/>
        </w:trPr>
        <w:tc>
          <w:tcPr>
            <w:tcW w:w="4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Common stock issued under employee stock purchase plan</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76</w:t>
            </w: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252</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252</w:t>
            </w:r>
          </w:p>
        </w:tc>
        <w:tc>
          <w:tcPr>
            <w:tcW w:w="0" w:type="dxa"/>
            <w:vAlign w:val="bottom"/>
          </w:tcPr>
          <w:p>
            <w:pPr>
              <w:spacing w:after="0"/>
              <w:rPr>
                <w:sz w:val="1"/>
                <w:szCs w:val="1"/>
                <w:color w:val="auto"/>
              </w:rPr>
            </w:pPr>
          </w:p>
        </w:tc>
      </w:tr>
      <w:tr>
        <w:trPr>
          <w:trHeight w:val="168"/>
        </w:trPr>
        <w:tc>
          <w:tcPr>
            <w:tcW w:w="44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Common stock issued under equity award plans</w:t>
            </w: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273</w:t>
            </w: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1220" w:type="dxa"/>
            <w:vAlign w:val="bottom"/>
            <w:gridSpan w:val="2"/>
          </w:tcPr>
          <w:p>
            <w:pPr>
              <w:ind w:left="94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2"/>
        </w:trPr>
        <w:tc>
          <w:tcPr>
            <w:tcW w:w="4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Shares canceled or surrendered as payment of tax withholding and other</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(47)</w:t>
            </w: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(201)</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(201)</w:t>
            </w:r>
          </w:p>
        </w:tc>
        <w:tc>
          <w:tcPr>
            <w:tcW w:w="0" w:type="dxa"/>
            <w:vAlign w:val="bottom"/>
          </w:tcPr>
          <w:p>
            <w:pPr>
              <w:spacing w:after="0"/>
              <w:rPr>
                <w:sz w:val="1"/>
                <w:szCs w:val="1"/>
                <w:color w:val="auto"/>
              </w:rPr>
            </w:pPr>
          </w:p>
        </w:tc>
      </w:tr>
      <w:tr>
        <w:trPr>
          <w:trHeight w:val="168"/>
        </w:trPr>
        <w:tc>
          <w:tcPr>
            <w:tcW w:w="44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Repurchase of company stock</w:t>
            </w: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(173)</w:t>
            </w: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(822)</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gridSpan w:val="2"/>
          </w:tcPr>
          <w:p>
            <w:pPr>
              <w:ind w:left="94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(822)</w:t>
            </w:r>
          </w:p>
        </w:tc>
        <w:tc>
          <w:tcPr>
            <w:tcW w:w="0" w:type="dxa"/>
            <w:vAlign w:val="bottom"/>
          </w:tcPr>
          <w:p>
            <w:pPr>
              <w:spacing w:after="0"/>
              <w:rPr>
                <w:sz w:val="1"/>
                <w:szCs w:val="1"/>
                <w:color w:val="auto"/>
              </w:rPr>
            </w:pPr>
          </w:p>
        </w:tc>
      </w:tr>
      <w:tr>
        <w:trPr>
          <w:trHeight w:val="172"/>
        </w:trPr>
        <w:tc>
          <w:tcPr>
            <w:tcW w:w="4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Cash dividends</w:t>
            </w:r>
          </w:p>
        </w:tc>
        <w:tc>
          <w:tcPr>
            <w:tcW w:w="5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shd w:val="clear" w:color="auto" w:fill="CCEEFF"/>
          </w:tcPr>
          <w:p>
            <w:pPr>
              <w:spacing w:after="0"/>
              <w:rPr>
                <w:sz w:val="14"/>
                <w:szCs w:val="14"/>
                <w:color w:val="auto"/>
              </w:rPr>
            </w:pPr>
          </w:p>
        </w:tc>
        <w:tc>
          <w:tcPr>
            <w:tcW w:w="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(1,586)</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(1,586)</w:t>
            </w:r>
          </w:p>
        </w:tc>
        <w:tc>
          <w:tcPr>
            <w:tcW w:w="0" w:type="dxa"/>
            <w:vAlign w:val="bottom"/>
          </w:tcPr>
          <w:p>
            <w:pPr>
              <w:spacing w:after="0"/>
              <w:rPr>
                <w:sz w:val="1"/>
                <w:szCs w:val="1"/>
                <w:color w:val="auto"/>
              </w:rPr>
            </w:pPr>
          </w:p>
        </w:tc>
      </w:tr>
      <w:tr>
        <w:trPr>
          <w:trHeight w:val="168"/>
        </w:trPr>
        <w:tc>
          <w:tcPr>
            <w:tcW w:w="44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Foreign currency translation adjustment</w:t>
            </w:r>
          </w:p>
        </w:tc>
        <w:tc>
          <w:tcPr>
            <w:tcW w:w="5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tcPr>
          <w:p>
            <w:pPr>
              <w:spacing w:after="0"/>
              <w:rPr>
                <w:sz w:val="14"/>
                <w:szCs w:val="14"/>
                <w:color w:val="auto"/>
              </w:rPr>
            </w:pP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(238)</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(238)</w:t>
            </w:r>
          </w:p>
        </w:tc>
        <w:tc>
          <w:tcPr>
            <w:tcW w:w="0" w:type="dxa"/>
            <w:vAlign w:val="bottom"/>
          </w:tcPr>
          <w:p>
            <w:pPr>
              <w:spacing w:after="0"/>
              <w:rPr>
                <w:sz w:val="1"/>
                <w:szCs w:val="1"/>
                <w:color w:val="auto"/>
              </w:rPr>
            </w:pPr>
          </w:p>
        </w:tc>
      </w:tr>
      <w:tr>
        <w:trPr>
          <w:trHeight w:val="172"/>
        </w:trPr>
        <w:tc>
          <w:tcPr>
            <w:tcW w:w="4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income</w:t>
            </w:r>
          </w:p>
        </w:tc>
        <w:tc>
          <w:tcPr>
            <w:tcW w:w="5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shd w:val="clear" w:color="auto" w:fill="CCEEFF"/>
          </w:tcPr>
          <w:p>
            <w:pPr>
              <w:spacing w:after="0"/>
              <w:rPr>
                <w:sz w:val="14"/>
                <w:szCs w:val="14"/>
                <w:color w:val="auto"/>
              </w:rPr>
            </w:pPr>
          </w:p>
        </w:tc>
        <w:tc>
          <w:tcPr>
            <w:tcW w:w="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2,540</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2,540</w:t>
            </w:r>
          </w:p>
        </w:tc>
        <w:tc>
          <w:tcPr>
            <w:tcW w:w="0" w:type="dxa"/>
            <w:vAlign w:val="bottom"/>
          </w:tcPr>
          <w:p>
            <w:pPr>
              <w:spacing w:after="0"/>
              <w:rPr>
                <w:sz w:val="1"/>
                <w:szCs w:val="1"/>
                <w:color w:val="auto"/>
              </w:rPr>
            </w:pPr>
          </w:p>
        </w:tc>
      </w:tr>
      <w:tr>
        <w:trPr>
          <w:trHeight w:val="159"/>
        </w:trPr>
        <w:tc>
          <w:tcPr>
            <w:tcW w:w="3720" w:type="dxa"/>
            <w:vAlign w:val="bottom"/>
          </w:tcPr>
          <w:p>
            <w:pPr>
              <w:ind w:left="20"/>
              <w:spacing w:after="0" w:line="147" w:lineRule="exact"/>
              <w:rPr>
                <w:sz w:val="20"/>
                <w:szCs w:val="20"/>
                <w:color w:val="auto"/>
              </w:rPr>
            </w:pPr>
            <w:r>
              <w:rPr>
                <w:rFonts w:ascii="Times New Roman" w:cs="Times New Roman" w:eastAsia="Times New Roman" w:hAnsi="Times New Roman"/>
                <w:sz w:val="13"/>
                <w:szCs w:val="13"/>
                <w:b w:val="1"/>
                <w:bCs w:val="1"/>
                <w:color w:val="auto"/>
              </w:rPr>
              <w:t>Balances, June 30, 2023</w:t>
            </w:r>
          </w:p>
        </w:tc>
        <w:tc>
          <w:tcPr>
            <w:tcW w:w="740" w:type="dxa"/>
            <w:vAlign w:val="bottom"/>
            <w:tcBorders>
              <w:top w:val="single" w:sz="8" w:color="auto"/>
            </w:tcBorders>
          </w:tcPr>
          <w:p>
            <w:pPr>
              <w:spacing w:after="0"/>
              <w:rPr>
                <w:sz w:val="13"/>
                <w:szCs w:val="13"/>
                <w:color w:val="auto"/>
              </w:rPr>
            </w:pPr>
          </w:p>
        </w:tc>
        <w:tc>
          <w:tcPr>
            <w:tcW w:w="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w w:val="94"/>
              </w:rPr>
              <w:t>12,622</w:t>
            </w:r>
          </w:p>
        </w:tc>
        <w:tc>
          <w:tcPr>
            <w:tcW w:w="100" w:type="dxa"/>
            <w:vAlign w:val="bottom"/>
          </w:tcPr>
          <w:p>
            <w:pPr>
              <w:spacing w:after="0"/>
              <w:rPr>
                <w:sz w:val="13"/>
                <w:szCs w:val="13"/>
                <w:color w:val="auto"/>
              </w:rPr>
            </w:pPr>
          </w:p>
        </w:tc>
        <w:tc>
          <w:tcPr>
            <w:tcW w:w="860" w:type="dxa"/>
            <w:vAlign w:val="bottom"/>
            <w:tcBorders>
              <w:top w:val="single" w:sz="8" w:color="auto"/>
            </w:tcBorders>
          </w:tcPr>
          <w:p>
            <w:pPr>
              <w:jc w:val="right"/>
              <w:ind w:right="718"/>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w:t>
            </w:r>
          </w:p>
        </w:tc>
        <w:tc>
          <w:tcPr>
            <w:tcW w:w="100" w:type="dxa"/>
            <w:vAlign w:val="bottom"/>
          </w:tcPr>
          <w:p>
            <w:pPr>
              <w:spacing w:after="0"/>
              <w:rPr>
                <w:sz w:val="13"/>
                <w:szCs w:val="13"/>
                <w:color w:val="auto"/>
              </w:rPr>
            </w:pPr>
          </w:p>
        </w:tc>
        <w:tc>
          <w:tcPr>
            <w:tcW w:w="120" w:type="dxa"/>
            <w:vAlign w:val="bottom"/>
            <w:tcBorders>
              <w:top w:val="single" w:sz="8" w:color="auto"/>
            </w:tcBorders>
          </w:tcPr>
          <w:p>
            <w:pPr>
              <w:jc w:val="right"/>
              <w:ind w:right="7"/>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134,314</w:t>
            </w:r>
          </w:p>
        </w:tc>
        <w:tc>
          <w:tcPr>
            <w:tcW w:w="100" w:type="dxa"/>
            <w:vAlign w:val="bottom"/>
          </w:tcPr>
          <w:p>
            <w:pPr>
              <w:spacing w:after="0"/>
              <w:rPr>
                <w:sz w:val="13"/>
                <w:szCs w:val="13"/>
                <w:color w:val="auto"/>
              </w:rPr>
            </w:pPr>
          </w:p>
        </w:tc>
        <w:tc>
          <w:tcPr>
            <w:tcW w:w="160" w:type="dxa"/>
            <w:vAlign w:val="bottom"/>
            <w:tcBorders>
              <w:top w:val="single" w:sz="8" w:color="auto"/>
            </w:tcBorders>
          </w:tcPr>
          <w:p>
            <w:pPr>
              <w:jc w:val="right"/>
              <w:ind w:right="1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(98,305)</w:t>
            </w:r>
          </w:p>
        </w:tc>
        <w:tc>
          <w:tcPr>
            <w:tcW w:w="100" w:type="dxa"/>
            <w:vAlign w:val="bottom"/>
          </w:tcPr>
          <w:p>
            <w:pPr>
              <w:spacing w:after="0"/>
              <w:rPr>
                <w:sz w:val="13"/>
                <w:szCs w:val="13"/>
                <w:color w:val="auto"/>
              </w:rPr>
            </w:pPr>
          </w:p>
        </w:tc>
        <w:tc>
          <w:tcPr>
            <w:tcW w:w="180" w:type="dxa"/>
            <w:vAlign w:val="bottom"/>
            <w:tcBorders>
              <w:top w:val="single" w:sz="8" w:color="auto"/>
            </w:tcBorders>
          </w:tcPr>
          <w:p>
            <w:pPr>
              <w:jc w:val="right"/>
              <w:ind w:right="67"/>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(1,361)</w:t>
            </w:r>
          </w:p>
        </w:tc>
        <w:tc>
          <w:tcPr>
            <w:tcW w:w="100" w:type="dxa"/>
            <w:vAlign w:val="bottom"/>
          </w:tcPr>
          <w:p>
            <w:pPr>
              <w:spacing w:after="0"/>
              <w:rPr>
                <w:sz w:val="13"/>
                <w:szCs w:val="13"/>
                <w:color w:val="auto"/>
              </w:rPr>
            </w:pPr>
          </w:p>
        </w:tc>
        <w:tc>
          <w:tcPr>
            <w:tcW w:w="260" w:type="dxa"/>
            <w:vAlign w:val="bottom"/>
            <w:tcBorders>
              <w:top w:val="single" w:sz="8" w:color="auto"/>
            </w:tcBorders>
          </w:tcPr>
          <w:p>
            <w:pPr>
              <w:jc w:val="right"/>
              <w:ind w:right="11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34,649</w:t>
            </w:r>
          </w:p>
        </w:tc>
        <w:tc>
          <w:tcPr>
            <w:tcW w:w="0" w:type="dxa"/>
            <w:vAlign w:val="bottom"/>
          </w:tcPr>
          <w:p>
            <w:pPr>
              <w:spacing w:after="0"/>
              <w:rPr>
                <w:sz w:val="1"/>
                <w:szCs w:val="1"/>
                <w:color w:val="auto"/>
              </w:rPr>
            </w:pPr>
          </w:p>
        </w:tc>
      </w:tr>
      <w:tr>
        <w:trPr>
          <w:trHeight w:val="171"/>
        </w:trPr>
        <w:tc>
          <w:tcPr>
            <w:tcW w:w="4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Stock-based compensation</w:t>
            </w:r>
          </w:p>
        </w:tc>
        <w:tc>
          <w:tcPr>
            <w:tcW w:w="5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shd w:val="clear" w:color="auto" w:fill="CCEEFF"/>
          </w:tcPr>
          <w:p>
            <w:pPr>
              <w:spacing w:after="0"/>
              <w:rPr>
                <w:sz w:val="14"/>
                <w:szCs w:val="14"/>
                <w:color w:val="auto"/>
              </w:rPr>
            </w:pPr>
          </w:p>
        </w:tc>
        <w:tc>
          <w:tcPr>
            <w:tcW w:w="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3,280</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3,280</w:t>
            </w:r>
          </w:p>
        </w:tc>
        <w:tc>
          <w:tcPr>
            <w:tcW w:w="0" w:type="dxa"/>
            <w:vAlign w:val="bottom"/>
          </w:tcPr>
          <w:p>
            <w:pPr>
              <w:spacing w:after="0"/>
              <w:rPr>
                <w:sz w:val="1"/>
                <w:szCs w:val="1"/>
                <w:color w:val="auto"/>
              </w:rPr>
            </w:pPr>
          </w:p>
        </w:tc>
      </w:tr>
      <w:tr>
        <w:trPr>
          <w:trHeight w:val="168"/>
        </w:trPr>
        <w:tc>
          <w:tcPr>
            <w:tcW w:w="44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Common stock issued under employee stock purchase plan</w:t>
            </w: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64</w:t>
            </w: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271</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1220" w:type="dxa"/>
            <w:vAlign w:val="bottom"/>
            <w:gridSpan w:val="2"/>
          </w:tcPr>
          <w:p>
            <w:pPr>
              <w:ind w:left="94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271</w:t>
            </w:r>
          </w:p>
        </w:tc>
        <w:tc>
          <w:tcPr>
            <w:tcW w:w="0" w:type="dxa"/>
            <w:vAlign w:val="bottom"/>
          </w:tcPr>
          <w:p>
            <w:pPr>
              <w:spacing w:after="0"/>
              <w:rPr>
                <w:sz w:val="1"/>
                <w:szCs w:val="1"/>
                <w:color w:val="auto"/>
              </w:rPr>
            </w:pPr>
          </w:p>
        </w:tc>
      </w:tr>
      <w:tr>
        <w:trPr>
          <w:trHeight w:val="172"/>
        </w:trPr>
        <w:tc>
          <w:tcPr>
            <w:tcW w:w="4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Common stock issued under equity award plans</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1,007</w:t>
            </w: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8"/>
        </w:trPr>
        <w:tc>
          <w:tcPr>
            <w:tcW w:w="44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Shares canceled or surrendered as payment of tax withholding and other</w:t>
            </w: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(206)</w:t>
            </w: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(1,221)</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1220" w:type="dxa"/>
            <w:vAlign w:val="bottom"/>
            <w:gridSpan w:val="2"/>
          </w:tcPr>
          <w:p>
            <w:pPr>
              <w:ind w:left="94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(1,221)</w:t>
            </w:r>
          </w:p>
        </w:tc>
        <w:tc>
          <w:tcPr>
            <w:tcW w:w="0" w:type="dxa"/>
            <w:vAlign w:val="bottom"/>
          </w:tcPr>
          <w:p>
            <w:pPr>
              <w:spacing w:after="0"/>
              <w:rPr>
                <w:sz w:val="1"/>
                <w:szCs w:val="1"/>
                <w:color w:val="auto"/>
              </w:rPr>
            </w:pPr>
          </w:p>
        </w:tc>
      </w:tr>
      <w:tr>
        <w:trPr>
          <w:trHeight w:val="172"/>
        </w:trPr>
        <w:tc>
          <w:tcPr>
            <w:tcW w:w="4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Repurchase of company stock</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(977)</w:t>
            </w: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(6,430)</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(6,430)</w:t>
            </w:r>
          </w:p>
        </w:tc>
        <w:tc>
          <w:tcPr>
            <w:tcW w:w="0" w:type="dxa"/>
            <w:vAlign w:val="bottom"/>
          </w:tcPr>
          <w:p>
            <w:pPr>
              <w:spacing w:after="0"/>
              <w:rPr>
                <w:sz w:val="1"/>
                <w:szCs w:val="1"/>
                <w:color w:val="auto"/>
              </w:rPr>
            </w:pPr>
          </w:p>
        </w:tc>
      </w:tr>
      <w:tr>
        <w:trPr>
          <w:trHeight w:val="168"/>
        </w:trPr>
        <w:tc>
          <w:tcPr>
            <w:tcW w:w="44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Cash dividends</w:t>
            </w:r>
          </w:p>
        </w:tc>
        <w:tc>
          <w:tcPr>
            <w:tcW w:w="5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tcPr>
          <w:p>
            <w:pPr>
              <w:spacing w:after="0"/>
              <w:rPr>
                <w:sz w:val="14"/>
                <w:szCs w:val="14"/>
                <w:color w:val="auto"/>
              </w:rPr>
            </w:pP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(6,940)</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gridSpan w:val="2"/>
          </w:tcPr>
          <w:p>
            <w:pPr>
              <w:ind w:left="94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(6,940)</w:t>
            </w:r>
          </w:p>
        </w:tc>
        <w:tc>
          <w:tcPr>
            <w:tcW w:w="0" w:type="dxa"/>
            <w:vAlign w:val="bottom"/>
          </w:tcPr>
          <w:p>
            <w:pPr>
              <w:spacing w:after="0"/>
              <w:rPr>
                <w:sz w:val="1"/>
                <w:szCs w:val="1"/>
                <w:color w:val="auto"/>
              </w:rPr>
            </w:pPr>
          </w:p>
        </w:tc>
      </w:tr>
      <w:tr>
        <w:trPr>
          <w:trHeight w:val="172"/>
        </w:trPr>
        <w:tc>
          <w:tcPr>
            <w:tcW w:w="4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Foreign currency translation adjustment</w:t>
            </w:r>
          </w:p>
        </w:tc>
        <w:tc>
          <w:tcPr>
            <w:tcW w:w="5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shd w:val="clear" w:color="auto" w:fill="CCEEFF"/>
          </w:tcPr>
          <w:p>
            <w:pPr>
              <w:spacing w:after="0"/>
              <w:rPr>
                <w:sz w:val="14"/>
                <w:szCs w:val="14"/>
                <w:color w:val="auto"/>
              </w:rPr>
            </w:pPr>
          </w:p>
        </w:tc>
        <w:tc>
          <w:tcPr>
            <w:tcW w:w="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(555)</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(555)</w:t>
            </w:r>
          </w:p>
        </w:tc>
        <w:tc>
          <w:tcPr>
            <w:tcW w:w="0" w:type="dxa"/>
            <w:vAlign w:val="bottom"/>
          </w:tcPr>
          <w:p>
            <w:pPr>
              <w:spacing w:after="0"/>
              <w:rPr>
                <w:sz w:val="1"/>
                <w:szCs w:val="1"/>
                <w:color w:val="auto"/>
              </w:rPr>
            </w:pPr>
          </w:p>
        </w:tc>
      </w:tr>
      <w:tr>
        <w:trPr>
          <w:trHeight w:val="165"/>
        </w:trPr>
        <w:tc>
          <w:tcPr>
            <w:tcW w:w="44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Net income</w:t>
            </w:r>
          </w:p>
        </w:tc>
        <w:tc>
          <w:tcPr>
            <w:tcW w:w="5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tcPr>
          <w:p>
            <w:pPr>
              <w:spacing w:after="0"/>
              <w:rPr>
                <w:sz w:val="14"/>
                <w:szCs w:val="14"/>
                <w:color w:val="auto"/>
              </w:rPr>
            </w:pP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2,937</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gridSpan w:val="2"/>
          </w:tcPr>
          <w:p>
            <w:pPr>
              <w:ind w:left="94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2,937</w:t>
            </w:r>
          </w:p>
        </w:tc>
        <w:tc>
          <w:tcPr>
            <w:tcW w:w="0" w:type="dxa"/>
            <w:vAlign w:val="bottom"/>
          </w:tcPr>
          <w:p>
            <w:pPr>
              <w:spacing w:after="0"/>
              <w:rPr>
                <w:sz w:val="1"/>
                <w:szCs w:val="1"/>
                <w:color w:val="auto"/>
              </w:rPr>
            </w:pPr>
          </w:p>
        </w:tc>
      </w:tr>
      <w:tr>
        <w:trPr>
          <w:trHeight w:val="164"/>
        </w:trPr>
        <w:tc>
          <w:tcPr>
            <w:tcW w:w="372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Balances, June 30, 2024</w:t>
            </w:r>
          </w:p>
        </w:tc>
        <w:tc>
          <w:tcPr>
            <w:tcW w:w="740" w:type="dxa"/>
            <w:vAlign w:val="bottom"/>
            <w:tcBorders>
              <w:top w:val="single" w:sz="8" w:color="auto"/>
              <w:bottom w:val="single" w:sz="8" w:color="auto"/>
            </w:tcBorders>
          </w:tcPr>
          <w:p>
            <w:pPr>
              <w:spacing w:after="0"/>
              <w:rPr>
                <w:sz w:val="14"/>
                <w:szCs w:val="14"/>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w w:val="94"/>
              </w:rPr>
              <w:t>12,510</w:t>
            </w:r>
          </w:p>
        </w:tc>
        <w:tc>
          <w:tcPr>
            <w:tcW w:w="100" w:type="dxa"/>
            <w:vAlign w:val="bottom"/>
          </w:tcPr>
          <w:p>
            <w:pPr>
              <w:spacing w:after="0"/>
              <w:rPr>
                <w:sz w:val="14"/>
                <w:szCs w:val="14"/>
                <w:color w:val="auto"/>
              </w:rPr>
            </w:pPr>
          </w:p>
        </w:tc>
        <w:tc>
          <w:tcPr>
            <w:tcW w:w="860" w:type="dxa"/>
            <w:vAlign w:val="bottom"/>
            <w:tcBorders>
              <w:top w:val="single" w:sz="8" w:color="auto"/>
              <w:bottom w:val="single" w:sz="8" w:color="auto"/>
            </w:tcBorders>
          </w:tcPr>
          <w:p>
            <w:pPr>
              <w:jc w:val="right"/>
              <w:ind w:right="718"/>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w:t>
            </w:r>
          </w:p>
        </w:tc>
        <w:tc>
          <w:tcPr>
            <w:tcW w:w="10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ind w:right="7"/>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136,644</w:t>
            </w:r>
          </w:p>
        </w:tc>
        <w:tc>
          <w:tcPr>
            <w:tcW w:w="100" w:type="dxa"/>
            <w:vAlign w:val="bottom"/>
          </w:tcPr>
          <w:p>
            <w:pPr>
              <w:spacing w:after="0"/>
              <w:rPr>
                <w:sz w:val="14"/>
                <w:szCs w:val="14"/>
                <w:color w:val="auto"/>
              </w:rPr>
            </w:pPr>
          </w:p>
        </w:tc>
        <w:tc>
          <w:tcPr>
            <w:tcW w:w="16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(108,738)</w:t>
            </w:r>
          </w:p>
        </w:tc>
        <w:tc>
          <w:tcPr>
            <w:tcW w:w="100" w:type="dxa"/>
            <w:vAlign w:val="bottom"/>
          </w:tcPr>
          <w:p>
            <w:pPr>
              <w:spacing w:after="0"/>
              <w:rPr>
                <w:sz w:val="14"/>
                <w:szCs w:val="14"/>
                <w:color w:val="auto"/>
              </w:rPr>
            </w:pPr>
          </w:p>
        </w:tc>
        <w:tc>
          <w:tcPr>
            <w:tcW w:w="180" w:type="dxa"/>
            <w:vAlign w:val="bottom"/>
            <w:tcBorders>
              <w:top w:val="single" w:sz="8" w:color="auto"/>
              <w:bottom w:val="single" w:sz="8" w:color="auto"/>
            </w:tcBorders>
          </w:tcPr>
          <w:p>
            <w:pPr>
              <w:jc w:val="right"/>
              <w:ind w:right="67"/>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(1,916)</w:t>
            </w:r>
          </w:p>
        </w:tc>
        <w:tc>
          <w:tcPr>
            <w:tcW w:w="100" w:type="dxa"/>
            <w:vAlign w:val="bottom"/>
          </w:tcPr>
          <w:p>
            <w:pPr>
              <w:spacing w:after="0"/>
              <w:rPr>
                <w:sz w:val="14"/>
                <w:szCs w:val="14"/>
                <w:color w:val="auto"/>
              </w:rPr>
            </w:pPr>
          </w:p>
        </w:tc>
        <w:tc>
          <w:tcPr>
            <w:tcW w:w="260" w:type="dxa"/>
            <w:vAlign w:val="bottom"/>
            <w:tcBorders>
              <w:top w:val="single" w:sz="8" w:color="auto"/>
              <w:bottom w:val="single" w:sz="8" w:color="auto"/>
            </w:tcBorders>
          </w:tcPr>
          <w:p>
            <w:pPr>
              <w:jc w:val="right"/>
              <w:ind w:right="11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25,991</w:t>
            </w:r>
          </w:p>
        </w:tc>
        <w:tc>
          <w:tcPr>
            <w:tcW w:w="0" w:type="dxa"/>
            <w:vAlign w:val="bottom"/>
          </w:tcPr>
          <w:p>
            <w:pPr>
              <w:spacing w:after="0"/>
              <w:rPr>
                <w:sz w:val="1"/>
                <w:szCs w:val="1"/>
                <w:color w:val="auto"/>
              </w:rPr>
            </w:pPr>
          </w:p>
        </w:tc>
      </w:tr>
      <w:tr>
        <w:trPr>
          <w:trHeight w:val="20"/>
        </w:trPr>
        <w:tc>
          <w:tcPr>
            <w:tcW w:w="37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4"/>
          <w:szCs w:val="14"/>
          <w:color w:val="auto"/>
        </w:rPr>
        <w:t>The accompanying notes are an integral part of these consolidated financial statements.</w:t>
      </w:r>
    </w:p>
    <w:p>
      <w:pPr>
        <w:spacing w:after="0" w:line="200" w:lineRule="exact"/>
        <w:rPr>
          <w:sz w:val="20"/>
          <w:szCs w:val="20"/>
          <w:color w:val="auto"/>
        </w:rPr>
      </w:pPr>
    </w:p>
    <w:p>
      <w:pPr>
        <w:spacing w:after="0" w:line="36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4"/>
          <w:szCs w:val="14"/>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2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00"/>
          </w:cols>
          <w:pgMar w:left="300" w:top="730" w:right="399" w:bottom="1440" w:gutter="0" w:footer="0" w:header="0"/>
        </w:sectPr>
      </w:pPr>
    </w:p>
    <w:bookmarkStart w:id="66" w:name="page67"/>
    <w:bookmarkEnd w:id="66"/>
    <w:p>
      <w:pPr>
        <w:jc w:val="center"/>
        <w:ind w:right="-39"/>
        <w:spacing w:after="0"/>
        <w:rPr>
          <w:sz w:val="20"/>
          <w:szCs w:val="20"/>
          <w:color w:val="auto"/>
        </w:rPr>
      </w:pPr>
      <w:r>
        <w:rPr>
          <w:rFonts w:ascii="Times New Roman" w:cs="Times New Roman" w:eastAsia="Times New Roman" w:hAnsi="Times New Roman"/>
          <w:sz w:val="14"/>
          <w:szCs w:val="14"/>
          <w:color w:val="auto"/>
        </w:rPr>
        <w:t>LIFEVANTAGE CORPORATION AND SUBSIDIARIES</w:t>
      </w:r>
    </w:p>
    <w:p>
      <w:pPr>
        <w:spacing w:after="0" w:line="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CONSOLIDATED STATEMENTS OF CASH FLOWS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7120" w:type="dxa"/>
            <w:vAlign w:val="bottom"/>
          </w:tcPr>
          <w:p>
            <w:pPr>
              <w:spacing w:after="0"/>
              <w:rPr>
                <w:sz w:val="13"/>
                <w:szCs w:val="13"/>
                <w:color w:val="auto"/>
              </w:rPr>
            </w:pPr>
          </w:p>
        </w:tc>
        <w:tc>
          <w:tcPr>
            <w:tcW w:w="1240" w:type="dxa"/>
            <w:vAlign w:val="bottom"/>
            <w:tcBorders>
              <w:bottom w:val="single" w:sz="8" w:color="auto"/>
            </w:tcBorders>
          </w:tcPr>
          <w:p>
            <w:pPr>
              <w:spacing w:after="0"/>
              <w:rPr>
                <w:sz w:val="13"/>
                <w:szCs w:val="13"/>
                <w:color w:val="auto"/>
              </w:rPr>
            </w:pPr>
          </w:p>
        </w:tc>
        <w:tc>
          <w:tcPr>
            <w:tcW w:w="1640" w:type="dxa"/>
            <w:vAlign w:val="bottom"/>
            <w:tcBorders>
              <w:bottom w:val="single" w:sz="8" w:color="auto"/>
            </w:tcBorders>
            <w:gridSpan w:val="3"/>
          </w:tcPr>
          <w:p>
            <w:pPr>
              <w:jc w:val="right"/>
              <w:ind w:right="73"/>
              <w:spacing w:after="0"/>
              <w:rPr>
                <w:sz w:val="20"/>
                <w:szCs w:val="20"/>
                <w:color w:val="auto"/>
              </w:rPr>
            </w:pPr>
            <w:r>
              <w:rPr>
                <w:rFonts w:ascii="Times New Roman" w:cs="Times New Roman" w:eastAsia="Times New Roman" w:hAnsi="Times New Roman"/>
                <w:sz w:val="11"/>
                <w:szCs w:val="11"/>
                <w:b w:val="1"/>
                <w:bCs w:val="1"/>
                <w:color w:val="auto"/>
              </w:rPr>
              <w:t>For the years ended June 30,</w:t>
            </w:r>
          </w:p>
        </w:tc>
        <w:tc>
          <w:tcPr>
            <w:tcW w:w="1240" w:type="dxa"/>
            <w:vAlign w:val="bottom"/>
            <w:tcBorders>
              <w:bottom w:val="single" w:sz="8" w:color="auto"/>
            </w:tcBorders>
          </w:tcPr>
          <w:p>
            <w:pPr>
              <w:spacing w:after="0"/>
              <w:rPr>
                <w:sz w:val="13"/>
                <w:szCs w:val="13"/>
                <w:color w:val="auto"/>
              </w:rPr>
            </w:pPr>
          </w:p>
        </w:tc>
      </w:tr>
      <w:tr>
        <w:trPr>
          <w:trHeight w:val="150"/>
        </w:trPr>
        <w:tc>
          <w:tcPr>
            <w:tcW w:w="7120" w:type="dxa"/>
            <w:vAlign w:val="bottom"/>
          </w:tcPr>
          <w:p>
            <w:pPr>
              <w:spacing w:after="0"/>
              <w:rPr>
                <w:sz w:val="13"/>
                <w:szCs w:val="13"/>
                <w:color w:val="auto"/>
              </w:rPr>
            </w:pPr>
          </w:p>
        </w:tc>
        <w:tc>
          <w:tcPr>
            <w:tcW w:w="124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1"/>
                <w:szCs w:val="11"/>
                <w:b w:val="1"/>
                <w:bCs w:val="1"/>
                <w:color w:val="auto"/>
              </w:rPr>
              <w:t>2024</w:t>
            </w:r>
          </w:p>
        </w:tc>
        <w:tc>
          <w:tcPr>
            <w:tcW w:w="78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ind w:right="833"/>
              <w:spacing w:after="0"/>
              <w:rPr>
                <w:sz w:val="20"/>
                <w:szCs w:val="20"/>
                <w:color w:val="auto"/>
              </w:rPr>
            </w:pPr>
            <w:r>
              <w:rPr>
                <w:rFonts w:ascii="Times New Roman" w:cs="Times New Roman" w:eastAsia="Times New Roman" w:hAnsi="Times New Roman"/>
                <w:sz w:val="11"/>
                <w:szCs w:val="11"/>
                <w:b w:val="1"/>
                <w:bCs w:val="1"/>
                <w:color w:val="auto"/>
              </w:rPr>
              <w:t>2023</w:t>
            </w:r>
          </w:p>
        </w:tc>
      </w:tr>
      <w:tr>
        <w:trPr>
          <w:trHeight w:val="139"/>
        </w:trPr>
        <w:tc>
          <w:tcPr>
            <w:tcW w:w="7120" w:type="dxa"/>
            <w:vAlign w:val="bottom"/>
          </w:tcPr>
          <w:p>
            <w:pPr>
              <w:ind w:left="20"/>
              <w:spacing w:after="0"/>
              <w:rPr>
                <w:sz w:val="20"/>
                <w:szCs w:val="20"/>
                <w:color w:val="auto"/>
              </w:rPr>
            </w:pPr>
            <w:r>
              <w:rPr>
                <w:rFonts w:ascii="Times New Roman" w:cs="Times New Roman" w:eastAsia="Times New Roman" w:hAnsi="Times New Roman"/>
                <w:sz w:val="11"/>
                <w:szCs w:val="11"/>
                <w:i w:val="1"/>
                <w:iCs w:val="1"/>
                <w:color w:val="auto"/>
              </w:rPr>
              <w:t>(In thousands)</w:t>
            </w:r>
          </w:p>
        </w:tc>
        <w:tc>
          <w:tcPr>
            <w:tcW w:w="1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40" w:type="dxa"/>
            <w:vAlign w:val="bottom"/>
          </w:tcPr>
          <w:p>
            <w:pPr>
              <w:spacing w:after="0"/>
              <w:rPr>
                <w:sz w:val="12"/>
                <w:szCs w:val="12"/>
                <w:color w:val="auto"/>
              </w:rPr>
            </w:pPr>
          </w:p>
        </w:tc>
      </w:tr>
      <w:tr>
        <w:trPr>
          <w:trHeight w:val="190"/>
        </w:trPr>
        <w:tc>
          <w:tcPr>
            <w:tcW w:w="7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Cash Flows from Operating Activities:</w:t>
            </w:r>
          </w:p>
        </w:tc>
        <w:tc>
          <w:tcPr>
            <w:tcW w:w="12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r>
      <w:tr>
        <w:trPr>
          <w:trHeight w:val="177"/>
        </w:trPr>
        <w:tc>
          <w:tcPr>
            <w:tcW w:w="712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Net income</w:t>
            </w:r>
          </w:p>
        </w:tc>
        <w:tc>
          <w:tcPr>
            <w:tcW w:w="1240" w:type="dxa"/>
            <w:vAlign w:val="bottom"/>
          </w:tcPr>
          <w:p>
            <w:pPr>
              <w:jc w:val="right"/>
              <w:ind w:right="1096"/>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2,937</w:t>
            </w:r>
          </w:p>
        </w:tc>
        <w:tc>
          <w:tcPr>
            <w:tcW w:w="100" w:type="dxa"/>
            <w:vAlign w:val="bottom"/>
          </w:tcPr>
          <w:p>
            <w:pPr>
              <w:spacing w:after="0"/>
              <w:rPr>
                <w:sz w:val="15"/>
                <w:szCs w:val="15"/>
                <w:color w:val="auto"/>
              </w:rPr>
            </w:pPr>
          </w:p>
        </w:tc>
        <w:tc>
          <w:tcPr>
            <w:tcW w:w="760" w:type="dxa"/>
            <w:vAlign w:val="bottom"/>
          </w:tcPr>
          <w:p>
            <w:pPr>
              <w:jc w:val="right"/>
              <w:ind w:right="613"/>
              <w:spacing w:after="0"/>
              <w:rPr>
                <w:sz w:val="20"/>
                <w:szCs w:val="20"/>
                <w:color w:val="auto"/>
              </w:rPr>
            </w:pPr>
            <w:r>
              <w:rPr>
                <w:rFonts w:ascii="Times New Roman" w:cs="Times New Roman" w:eastAsia="Times New Roman" w:hAnsi="Times New Roman"/>
                <w:sz w:val="13"/>
                <w:szCs w:val="13"/>
                <w:color w:val="auto"/>
                <w:w w:val="91"/>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2,540</w:t>
            </w:r>
          </w:p>
        </w:tc>
      </w:tr>
      <w:tr>
        <w:trPr>
          <w:trHeight w:val="184"/>
        </w:trPr>
        <w:tc>
          <w:tcPr>
            <w:tcW w:w="71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Adjustments to reconcile net income to net cash provided by operating activities:</w:t>
            </w:r>
          </w:p>
        </w:tc>
        <w:tc>
          <w:tcPr>
            <w:tcW w:w="12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r>
      <w:tr>
        <w:trPr>
          <w:trHeight w:val="177"/>
        </w:trPr>
        <w:tc>
          <w:tcPr>
            <w:tcW w:w="7120" w:type="dxa"/>
            <w:vAlign w:val="bottom"/>
          </w:tcPr>
          <w:p>
            <w:pPr>
              <w:ind w:left="520"/>
              <w:spacing w:after="0"/>
              <w:rPr>
                <w:sz w:val="20"/>
                <w:szCs w:val="20"/>
                <w:color w:val="auto"/>
              </w:rPr>
            </w:pPr>
            <w:r>
              <w:rPr>
                <w:rFonts w:ascii="Times New Roman" w:cs="Times New Roman" w:eastAsia="Times New Roman" w:hAnsi="Times New Roman"/>
                <w:sz w:val="13"/>
                <w:szCs w:val="13"/>
                <w:color w:val="auto"/>
              </w:rPr>
              <w:t>Depreciation and amortization</w:t>
            </w:r>
          </w:p>
        </w:tc>
        <w:tc>
          <w:tcPr>
            <w:tcW w:w="12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3,581</w:t>
            </w: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3,579</w:t>
            </w:r>
          </w:p>
        </w:tc>
      </w:tr>
      <w:tr>
        <w:trPr>
          <w:trHeight w:val="184"/>
        </w:trPr>
        <w:tc>
          <w:tcPr>
            <w:tcW w:w="712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3"/>
                <w:szCs w:val="13"/>
                <w:color w:val="auto"/>
              </w:rPr>
              <w:t>Stock-based compensation</w:t>
            </w:r>
          </w:p>
        </w:tc>
        <w:tc>
          <w:tcPr>
            <w:tcW w:w="124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3,280</w:t>
            </w: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3,188</w:t>
            </w:r>
          </w:p>
        </w:tc>
      </w:tr>
      <w:tr>
        <w:trPr>
          <w:trHeight w:val="177"/>
        </w:trPr>
        <w:tc>
          <w:tcPr>
            <w:tcW w:w="7120" w:type="dxa"/>
            <w:vAlign w:val="bottom"/>
          </w:tcPr>
          <w:p>
            <w:pPr>
              <w:ind w:left="520"/>
              <w:spacing w:after="0"/>
              <w:rPr>
                <w:sz w:val="20"/>
                <w:szCs w:val="20"/>
                <w:color w:val="auto"/>
              </w:rPr>
            </w:pPr>
            <w:r>
              <w:rPr>
                <w:rFonts w:ascii="Times New Roman" w:cs="Times New Roman" w:eastAsia="Times New Roman" w:hAnsi="Times New Roman"/>
                <w:sz w:val="13"/>
                <w:szCs w:val="13"/>
                <w:color w:val="auto"/>
              </w:rPr>
              <w:t>Non-cash operating lease expense</w:t>
            </w:r>
          </w:p>
        </w:tc>
        <w:tc>
          <w:tcPr>
            <w:tcW w:w="12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1,287</w:t>
            </w: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1,748</w:t>
            </w:r>
          </w:p>
        </w:tc>
      </w:tr>
      <w:tr>
        <w:trPr>
          <w:trHeight w:val="184"/>
        </w:trPr>
        <w:tc>
          <w:tcPr>
            <w:tcW w:w="712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3"/>
                <w:szCs w:val="13"/>
                <w:color w:val="auto"/>
              </w:rPr>
              <w:t>Loss on disposal of fixed assets</w:t>
            </w:r>
          </w:p>
        </w:tc>
        <w:tc>
          <w:tcPr>
            <w:tcW w:w="124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w:t>
            </w:r>
          </w:p>
        </w:tc>
      </w:tr>
      <w:tr>
        <w:trPr>
          <w:trHeight w:val="177"/>
        </w:trPr>
        <w:tc>
          <w:tcPr>
            <w:tcW w:w="7120" w:type="dxa"/>
            <w:vAlign w:val="bottom"/>
          </w:tcPr>
          <w:p>
            <w:pPr>
              <w:ind w:left="520"/>
              <w:spacing w:after="0"/>
              <w:rPr>
                <w:sz w:val="20"/>
                <w:szCs w:val="20"/>
                <w:color w:val="auto"/>
              </w:rPr>
            </w:pPr>
            <w:r>
              <w:rPr>
                <w:rFonts w:ascii="Times New Roman" w:cs="Times New Roman" w:eastAsia="Times New Roman" w:hAnsi="Times New Roman"/>
                <w:sz w:val="13"/>
                <w:szCs w:val="13"/>
                <w:color w:val="auto"/>
              </w:rPr>
              <w:t>Amortization of deferred financing fees</w:t>
            </w:r>
          </w:p>
        </w:tc>
        <w:tc>
          <w:tcPr>
            <w:tcW w:w="12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w:t>
            </w: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84"/>
        </w:trPr>
        <w:tc>
          <w:tcPr>
            <w:tcW w:w="712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3"/>
                <w:szCs w:val="13"/>
                <w:color w:val="auto"/>
              </w:rPr>
              <w:t>Deferred income tax</w:t>
            </w:r>
          </w:p>
        </w:tc>
        <w:tc>
          <w:tcPr>
            <w:tcW w:w="124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(1,277)</w:t>
            </w: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(1,702)</w:t>
            </w:r>
          </w:p>
        </w:tc>
      </w:tr>
      <w:tr>
        <w:trPr>
          <w:trHeight w:val="177"/>
        </w:trPr>
        <w:tc>
          <w:tcPr>
            <w:tcW w:w="712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Changes in operating assets and liabilities:</w:t>
            </w:r>
          </w:p>
        </w:tc>
        <w:tc>
          <w:tcPr>
            <w:tcW w:w="1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184"/>
        </w:trPr>
        <w:tc>
          <w:tcPr>
            <w:tcW w:w="712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3"/>
                <w:szCs w:val="13"/>
                <w:color w:val="auto"/>
              </w:rPr>
              <w:t>Accounts receivable</w:t>
            </w:r>
          </w:p>
        </w:tc>
        <w:tc>
          <w:tcPr>
            <w:tcW w:w="124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(1,424)</w:t>
            </w: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1,558</w:t>
            </w:r>
          </w:p>
        </w:tc>
      </w:tr>
      <w:tr>
        <w:trPr>
          <w:trHeight w:val="177"/>
        </w:trPr>
        <w:tc>
          <w:tcPr>
            <w:tcW w:w="7120" w:type="dxa"/>
            <w:vAlign w:val="bottom"/>
          </w:tcPr>
          <w:p>
            <w:pPr>
              <w:ind w:left="520"/>
              <w:spacing w:after="0"/>
              <w:rPr>
                <w:sz w:val="20"/>
                <w:szCs w:val="20"/>
                <w:color w:val="auto"/>
              </w:rPr>
            </w:pPr>
            <w:r>
              <w:rPr>
                <w:rFonts w:ascii="Times New Roman" w:cs="Times New Roman" w:eastAsia="Times New Roman" w:hAnsi="Times New Roman"/>
                <w:sz w:val="13"/>
                <w:szCs w:val="13"/>
                <w:color w:val="auto"/>
              </w:rPr>
              <w:t>Income tax receivable</w:t>
            </w:r>
          </w:p>
        </w:tc>
        <w:tc>
          <w:tcPr>
            <w:tcW w:w="12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(71)</w:t>
            </w: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1,510</w:t>
            </w:r>
          </w:p>
        </w:tc>
      </w:tr>
      <w:tr>
        <w:trPr>
          <w:trHeight w:val="184"/>
        </w:trPr>
        <w:tc>
          <w:tcPr>
            <w:tcW w:w="712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3"/>
                <w:szCs w:val="13"/>
                <w:color w:val="auto"/>
              </w:rPr>
              <w:t>Inventory</w:t>
            </w:r>
          </w:p>
        </w:tc>
        <w:tc>
          <w:tcPr>
            <w:tcW w:w="124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662</w:t>
            </w: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61</w:t>
            </w:r>
          </w:p>
        </w:tc>
      </w:tr>
      <w:tr>
        <w:trPr>
          <w:trHeight w:val="177"/>
        </w:trPr>
        <w:tc>
          <w:tcPr>
            <w:tcW w:w="7120" w:type="dxa"/>
            <w:vAlign w:val="bottom"/>
          </w:tcPr>
          <w:p>
            <w:pPr>
              <w:ind w:left="520"/>
              <w:spacing w:after="0"/>
              <w:rPr>
                <w:sz w:val="20"/>
                <w:szCs w:val="20"/>
                <w:color w:val="auto"/>
              </w:rPr>
            </w:pPr>
            <w:r>
              <w:rPr>
                <w:rFonts w:ascii="Times New Roman" w:cs="Times New Roman" w:eastAsia="Times New Roman" w:hAnsi="Times New Roman"/>
                <w:sz w:val="13"/>
                <w:szCs w:val="13"/>
                <w:color w:val="auto"/>
              </w:rPr>
              <w:t>Prepaid expenses and other</w:t>
            </w:r>
          </w:p>
        </w:tc>
        <w:tc>
          <w:tcPr>
            <w:tcW w:w="12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2,280</w:t>
            </w: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1,276</w:t>
            </w:r>
          </w:p>
        </w:tc>
      </w:tr>
      <w:tr>
        <w:trPr>
          <w:trHeight w:val="184"/>
        </w:trPr>
        <w:tc>
          <w:tcPr>
            <w:tcW w:w="712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3"/>
                <w:szCs w:val="13"/>
                <w:color w:val="auto"/>
              </w:rPr>
              <w:t>Other long-term assets</w:t>
            </w:r>
          </w:p>
        </w:tc>
        <w:tc>
          <w:tcPr>
            <w:tcW w:w="124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(55)</w:t>
            </w: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(157)</w:t>
            </w:r>
          </w:p>
        </w:tc>
      </w:tr>
      <w:tr>
        <w:trPr>
          <w:trHeight w:val="177"/>
        </w:trPr>
        <w:tc>
          <w:tcPr>
            <w:tcW w:w="7120" w:type="dxa"/>
            <w:vAlign w:val="bottom"/>
          </w:tcPr>
          <w:p>
            <w:pPr>
              <w:ind w:left="520"/>
              <w:spacing w:after="0"/>
              <w:rPr>
                <w:sz w:val="20"/>
                <w:szCs w:val="20"/>
                <w:color w:val="auto"/>
              </w:rPr>
            </w:pPr>
            <w:r>
              <w:rPr>
                <w:rFonts w:ascii="Times New Roman" w:cs="Times New Roman" w:eastAsia="Times New Roman" w:hAnsi="Times New Roman"/>
                <w:sz w:val="13"/>
                <w:szCs w:val="13"/>
                <w:color w:val="auto"/>
              </w:rPr>
              <w:t>Accounts payable</w:t>
            </w:r>
          </w:p>
        </w:tc>
        <w:tc>
          <w:tcPr>
            <w:tcW w:w="12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2,301</w:t>
            </w: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(3,982)</w:t>
            </w:r>
          </w:p>
        </w:tc>
      </w:tr>
      <w:tr>
        <w:trPr>
          <w:trHeight w:val="184"/>
        </w:trPr>
        <w:tc>
          <w:tcPr>
            <w:tcW w:w="712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3"/>
                <w:szCs w:val="13"/>
                <w:color w:val="auto"/>
              </w:rPr>
              <w:t>Income tax payable</w:t>
            </w:r>
          </w:p>
        </w:tc>
        <w:tc>
          <w:tcPr>
            <w:tcW w:w="124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202</w:t>
            </w: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(453)</w:t>
            </w:r>
          </w:p>
        </w:tc>
      </w:tr>
      <w:tr>
        <w:trPr>
          <w:trHeight w:val="177"/>
        </w:trPr>
        <w:tc>
          <w:tcPr>
            <w:tcW w:w="7120" w:type="dxa"/>
            <w:vAlign w:val="bottom"/>
          </w:tcPr>
          <w:p>
            <w:pPr>
              <w:ind w:left="520"/>
              <w:spacing w:after="0"/>
              <w:rPr>
                <w:sz w:val="20"/>
                <w:szCs w:val="20"/>
                <w:color w:val="auto"/>
              </w:rPr>
            </w:pPr>
            <w:r>
              <w:rPr>
                <w:rFonts w:ascii="Times New Roman" w:cs="Times New Roman" w:eastAsia="Times New Roman" w:hAnsi="Times New Roman"/>
                <w:sz w:val="13"/>
                <w:szCs w:val="13"/>
                <w:color w:val="auto"/>
              </w:rPr>
              <w:t>Other accrued expenses</w:t>
            </w:r>
          </w:p>
        </w:tc>
        <w:tc>
          <w:tcPr>
            <w:tcW w:w="12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(176)</w:t>
            </w: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(770)</w:t>
            </w:r>
          </w:p>
        </w:tc>
      </w:tr>
      <w:tr>
        <w:trPr>
          <w:trHeight w:val="184"/>
        </w:trPr>
        <w:tc>
          <w:tcPr>
            <w:tcW w:w="712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3"/>
                <w:szCs w:val="13"/>
                <w:color w:val="auto"/>
              </w:rPr>
              <w:t>Lease liabilities</w:t>
            </w:r>
          </w:p>
        </w:tc>
        <w:tc>
          <w:tcPr>
            <w:tcW w:w="124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(1,586)</w:t>
            </w: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(1,858)</w:t>
            </w:r>
          </w:p>
        </w:tc>
      </w:tr>
      <w:tr>
        <w:trPr>
          <w:trHeight w:val="177"/>
        </w:trPr>
        <w:tc>
          <w:tcPr>
            <w:tcW w:w="7120" w:type="dxa"/>
            <w:vAlign w:val="bottom"/>
            <w:tcBorders>
              <w:bottom w:val="single" w:sz="8" w:color="CCEEFF"/>
            </w:tcBorders>
          </w:tcPr>
          <w:p>
            <w:pPr>
              <w:ind w:left="520"/>
              <w:spacing w:after="0"/>
              <w:rPr>
                <w:sz w:val="20"/>
                <w:szCs w:val="20"/>
                <w:color w:val="auto"/>
              </w:rPr>
            </w:pPr>
            <w:r>
              <w:rPr>
                <w:rFonts w:ascii="Times New Roman" w:cs="Times New Roman" w:eastAsia="Times New Roman" w:hAnsi="Times New Roman"/>
                <w:sz w:val="13"/>
                <w:szCs w:val="13"/>
                <w:color w:val="auto"/>
              </w:rPr>
              <w:t>Other liabilities</w:t>
            </w:r>
          </w:p>
        </w:tc>
        <w:tc>
          <w:tcPr>
            <w:tcW w:w="12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247</w:t>
            </w:r>
          </w:p>
        </w:tc>
        <w:tc>
          <w:tcPr>
            <w:tcW w:w="100" w:type="dxa"/>
            <w:vAlign w:val="bottom"/>
            <w:tcBorders>
              <w:bottom w:val="single" w:sz="8" w:color="CCEEFF"/>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257</w:t>
            </w:r>
          </w:p>
        </w:tc>
      </w:tr>
      <w:tr>
        <w:trPr>
          <w:trHeight w:val="174"/>
        </w:trPr>
        <w:tc>
          <w:tcPr>
            <w:tcW w:w="7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Net Cash Provided by Operating Activities</w:t>
            </w:r>
          </w:p>
        </w:tc>
        <w:tc>
          <w:tcPr>
            <w:tcW w:w="1240" w:type="dxa"/>
            <w:vAlign w:val="bottom"/>
            <w:tcBorders>
              <w:bottom w:val="single" w:sz="8" w:color="auto"/>
            </w:tcBorders>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12,197</w:t>
            </w:r>
          </w:p>
        </w:tc>
        <w:tc>
          <w:tcPr>
            <w:tcW w:w="100" w:type="dxa"/>
            <w:vAlign w:val="bottom"/>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spacing w:after="0"/>
              <w:rPr>
                <w:sz w:val="15"/>
                <w:szCs w:val="15"/>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6,828</w:t>
            </w:r>
          </w:p>
        </w:tc>
      </w:tr>
      <w:tr>
        <w:trPr>
          <w:trHeight w:val="159"/>
        </w:trPr>
        <w:tc>
          <w:tcPr>
            <w:tcW w:w="712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Cash Flows from Investing Activities:</w:t>
            </w:r>
          </w:p>
        </w:tc>
        <w:tc>
          <w:tcPr>
            <w:tcW w:w="12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40" w:type="dxa"/>
            <w:vAlign w:val="bottom"/>
          </w:tcPr>
          <w:p>
            <w:pPr>
              <w:spacing w:after="0"/>
              <w:rPr>
                <w:sz w:val="13"/>
                <w:szCs w:val="13"/>
                <w:color w:val="auto"/>
              </w:rPr>
            </w:pPr>
          </w:p>
        </w:tc>
      </w:tr>
      <w:tr>
        <w:trPr>
          <w:trHeight w:val="182"/>
        </w:trPr>
        <w:tc>
          <w:tcPr>
            <w:tcW w:w="71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Purchase of equipment</w:t>
            </w:r>
          </w:p>
        </w:tc>
        <w:tc>
          <w:tcPr>
            <w:tcW w:w="124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(2,245)</w:t>
            </w: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(3,067)</w:t>
            </w:r>
          </w:p>
        </w:tc>
      </w:tr>
      <w:tr>
        <w:trPr>
          <w:trHeight w:val="177"/>
        </w:trPr>
        <w:tc>
          <w:tcPr>
            <w:tcW w:w="712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Proceeds from sale of fixed assets</w:t>
            </w:r>
          </w:p>
        </w:tc>
        <w:tc>
          <w:tcPr>
            <w:tcW w:w="1240" w:type="dxa"/>
            <w:vAlign w:val="bottom"/>
          </w:tcPr>
          <w:p>
            <w:pPr>
              <w:spacing w:after="0"/>
              <w:rPr>
                <w:sz w:val="15"/>
                <w:szCs w:val="15"/>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w:t>
            </w:r>
          </w:p>
        </w:tc>
      </w:tr>
      <w:tr>
        <w:trPr>
          <w:trHeight w:val="174"/>
        </w:trPr>
        <w:tc>
          <w:tcPr>
            <w:tcW w:w="71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Net Cash Used in Investing Activities</w:t>
            </w:r>
          </w:p>
        </w:tc>
        <w:tc>
          <w:tcPr>
            <w:tcW w:w="1240" w:type="dxa"/>
            <w:vAlign w:val="bottom"/>
            <w:tcBorders>
              <w:top w:val="single" w:sz="8" w:color="auto"/>
              <w:bottom w:val="single" w:sz="8" w:color="auto"/>
            </w:tcBorders>
            <w:shd w:val="clear" w:color="auto" w:fill="CCEEFF"/>
          </w:tcPr>
          <w:p>
            <w:pPr>
              <w:spacing w:after="0"/>
              <w:rPr>
                <w:sz w:val="15"/>
                <w:szCs w:val="15"/>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(2,245)</w:t>
            </w:r>
          </w:p>
        </w:tc>
        <w:tc>
          <w:tcPr>
            <w:tcW w:w="100" w:type="dxa"/>
            <w:vAlign w:val="bottom"/>
            <w:tcBorders>
              <w:top w:val="single" w:sz="8" w:color="CCEEFF"/>
            </w:tcBorders>
            <w:shd w:val="clear" w:color="auto" w:fill="CCEEFF"/>
          </w:tcPr>
          <w:p>
            <w:pPr>
              <w:spacing w:after="0"/>
              <w:rPr>
                <w:sz w:val="15"/>
                <w:szCs w:val="15"/>
                <w:color w:val="auto"/>
              </w:rPr>
            </w:pPr>
          </w:p>
        </w:tc>
        <w:tc>
          <w:tcPr>
            <w:tcW w:w="760" w:type="dxa"/>
            <w:vAlign w:val="bottom"/>
            <w:tcBorders>
              <w:top w:val="single" w:sz="8" w:color="auto"/>
              <w:bottom w:val="single" w:sz="8" w:color="auto"/>
            </w:tcBorders>
            <w:shd w:val="clear" w:color="auto" w:fill="CCEEFF"/>
          </w:tcPr>
          <w:p>
            <w:pPr>
              <w:spacing w:after="0"/>
              <w:rPr>
                <w:sz w:val="15"/>
                <w:szCs w:val="15"/>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(3,059)</w:t>
            </w:r>
          </w:p>
        </w:tc>
      </w:tr>
      <w:tr>
        <w:trPr>
          <w:trHeight w:val="159"/>
        </w:trPr>
        <w:tc>
          <w:tcPr>
            <w:tcW w:w="712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Cash Flows from Financing Activities:</w:t>
            </w:r>
          </w:p>
        </w:tc>
        <w:tc>
          <w:tcPr>
            <w:tcW w:w="12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40" w:type="dxa"/>
            <w:vAlign w:val="bottom"/>
          </w:tcPr>
          <w:p>
            <w:pPr>
              <w:spacing w:after="0"/>
              <w:rPr>
                <w:sz w:val="13"/>
                <w:szCs w:val="13"/>
                <w:color w:val="auto"/>
              </w:rPr>
            </w:pPr>
          </w:p>
        </w:tc>
      </w:tr>
      <w:tr>
        <w:trPr>
          <w:trHeight w:val="182"/>
        </w:trPr>
        <w:tc>
          <w:tcPr>
            <w:tcW w:w="71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Payment of deferred financing fees</w:t>
            </w:r>
          </w:p>
        </w:tc>
        <w:tc>
          <w:tcPr>
            <w:tcW w:w="124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(97)</w:t>
            </w: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77"/>
        </w:trPr>
        <w:tc>
          <w:tcPr>
            <w:tcW w:w="712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Repurchase of company stock</w:t>
            </w:r>
          </w:p>
        </w:tc>
        <w:tc>
          <w:tcPr>
            <w:tcW w:w="12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(6,430)</w:t>
            </w: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(822)</w:t>
            </w:r>
          </w:p>
        </w:tc>
      </w:tr>
      <w:tr>
        <w:trPr>
          <w:trHeight w:val="184"/>
        </w:trPr>
        <w:tc>
          <w:tcPr>
            <w:tcW w:w="71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Payment of cash dividends</w:t>
            </w:r>
          </w:p>
        </w:tc>
        <w:tc>
          <w:tcPr>
            <w:tcW w:w="124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(6,940)</w:t>
            </w: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(1,586)</w:t>
            </w:r>
          </w:p>
        </w:tc>
      </w:tr>
      <w:tr>
        <w:trPr>
          <w:trHeight w:val="177"/>
        </w:trPr>
        <w:tc>
          <w:tcPr>
            <w:tcW w:w="712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Shares purchased as payment of tax withholding and other</w:t>
            </w:r>
          </w:p>
        </w:tc>
        <w:tc>
          <w:tcPr>
            <w:tcW w:w="12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(1,221)</w:t>
            </w: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(201)</w:t>
            </w:r>
          </w:p>
        </w:tc>
      </w:tr>
      <w:tr>
        <w:trPr>
          <w:trHeight w:val="184"/>
        </w:trPr>
        <w:tc>
          <w:tcPr>
            <w:tcW w:w="71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Proceeds from common stock issued under employee stock purchase plan</w:t>
            </w:r>
          </w:p>
        </w:tc>
        <w:tc>
          <w:tcPr>
            <w:tcW w:w="1240" w:type="dxa"/>
            <w:vAlign w:val="bottom"/>
            <w:tcBorders>
              <w:bottom w:val="single" w:sz="8" w:color="auto"/>
            </w:tcBorders>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271</w:t>
            </w:r>
          </w:p>
        </w:tc>
        <w:tc>
          <w:tcPr>
            <w:tcW w:w="100" w:type="dxa"/>
            <w:vAlign w:val="bottom"/>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spacing w:after="0"/>
              <w:rPr>
                <w:sz w:val="15"/>
                <w:szCs w:val="15"/>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252</w:t>
            </w:r>
          </w:p>
        </w:tc>
      </w:tr>
      <w:tr>
        <w:trPr>
          <w:trHeight w:val="170"/>
        </w:trPr>
        <w:tc>
          <w:tcPr>
            <w:tcW w:w="7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Net Cash Used in Financing Activities</w:t>
            </w:r>
          </w:p>
        </w:tc>
        <w:tc>
          <w:tcPr>
            <w:tcW w:w="12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(14,417)</w:t>
            </w:r>
          </w:p>
        </w:tc>
        <w:tc>
          <w:tcPr>
            <w:tcW w:w="100" w:type="dxa"/>
            <w:vAlign w:val="bottom"/>
            <w:tcBorders>
              <w:bottom w:val="single" w:sz="8" w:color="CCEEFF"/>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(2,357)</w:t>
            </w:r>
          </w:p>
        </w:tc>
      </w:tr>
      <w:tr>
        <w:trPr>
          <w:trHeight w:val="172"/>
        </w:trPr>
        <w:tc>
          <w:tcPr>
            <w:tcW w:w="7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Foreign Currency Effect on Cash</w:t>
            </w:r>
          </w:p>
        </w:tc>
        <w:tc>
          <w:tcPr>
            <w:tcW w:w="124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(254)</w:t>
            </w: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w:t>
            </w:r>
          </w:p>
        </w:tc>
      </w:tr>
      <w:tr>
        <w:trPr>
          <w:trHeight w:val="179"/>
        </w:trPr>
        <w:tc>
          <w:tcPr>
            <w:tcW w:w="712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Increase (Decrease) in Cash and Cash Equivalents</w:t>
            </w:r>
          </w:p>
        </w:tc>
        <w:tc>
          <w:tcPr>
            <w:tcW w:w="12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(4,719)</w:t>
            </w: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1,415</w:t>
            </w:r>
          </w:p>
        </w:tc>
      </w:tr>
      <w:tr>
        <w:trPr>
          <w:trHeight w:val="182"/>
        </w:trPr>
        <w:tc>
          <w:tcPr>
            <w:tcW w:w="7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Cash and Cash Equivalents — beginning of period</w:t>
            </w:r>
          </w:p>
        </w:tc>
        <w:tc>
          <w:tcPr>
            <w:tcW w:w="1240" w:type="dxa"/>
            <w:vAlign w:val="bottom"/>
            <w:tcBorders>
              <w:bottom w:val="single" w:sz="8" w:color="auto"/>
            </w:tcBorders>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21,605</w:t>
            </w:r>
          </w:p>
        </w:tc>
        <w:tc>
          <w:tcPr>
            <w:tcW w:w="100" w:type="dxa"/>
            <w:vAlign w:val="bottom"/>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spacing w:after="0"/>
              <w:rPr>
                <w:sz w:val="15"/>
                <w:szCs w:val="15"/>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20,190</w:t>
            </w:r>
          </w:p>
        </w:tc>
      </w:tr>
      <w:tr>
        <w:trPr>
          <w:trHeight w:val="170"/>
        </w:trPr>
        <w:tc>
          <w:tcPr>
            <w:tcW w:w="712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Cash and Cash Equivalents — end of period</w:t>
            </w:r>
          </w:p>
        </w:tc>
        <w:tc>
          <w:tcPr>
            <w:tcW w:w="1240" w:type="dxa"/>
            <w:vAlign w:val="bottom"/>
            <w:tcBorders>
              <w:bottom w:val="single" w:sz="8" w:color="auto"/>
            </w:tcBorders>
          </w:tcPr>
          <w:p>
            <w:pPr>
              <w:jc w:val="right"/>
              <w:ind w:right="109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16,886</w:t>
            </w:r>
          </w:p>
        </w:tc>
        <w:tc>
          <w:tcPr>
            <w:tcW w:w="100" w:type="dxa"/>
            <w:vAlign w:val="bottom"/>
          </w:tcPr>
          <w:p>
            <w:pPr>
              <w:spacing w:after="0"/>
              <w:rPr>
                <w:sz w:val="14"/>
                <w:szCs w:val="14"/>
                <w:color w:val="auto"/>
              </w:rPr>
            </w:pPr>
          </w:p>
        </w:tc>
        <w:tc>
          <w:tcPr>
            <w:tcW w:w="760" w:type="dxa"/>
            <w:vAlign w:val="bottom"/>
            <w:tcBorders>
              <w:bottom w:val="single" w:sz="8" w:color="auto"/>
            </w:tcBorders>
          </w:tcPr>
          <w:p>
            <w:pPr>
              <w:jc w:val="right"/>
              <w:ind w:right="613"/>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21,605</w:t>
            </w:r>
          </w:p>
        </w:tc>
      </w:tr>
      <w:tr>
        <w:trPr>
          <w:trHeight w:val="20"/>
        </w:trPr>
        <w:tc>
          <w:tcPr>
            <w:tcW w:w="712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132"/>
        </w:trPr>
        <w:tc>
          <w:tcPr>
            <w:tcW w:w="712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r>
    </w:tbl>
    <w:p>
      <w:pPr>
        <w:spacing w:after="0" w:line="16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The accompanying notes are an integral part of these consolidated financial statements.</w:t>
      </w:r>
    </w:p>
    <w:p>
      <w:pPr>
        <w:spacing w:after="0" w:line="200" w:lineRule="exact"/>
        <w:rPr>
          <w:sz w:val="20"/>
          <w:szCs w:val="20"/>
          <w:color w:val="auto"/>
        </w:rPr>
      </w:pPr>
    </w:p>
    <w:p>
      <w:pPr>
        <w:spacing w:after="0" w:line="36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2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730" w:right="359" w:bottom="1440" w:gutter="0" w:footer="0" w:header="0"/>
        </w:sectPr>
      </w:pPr>
    </w:p>
    <w:bookmarkStart w:id="67" w:name="page68"/>
    <w:bookmarkEnd w:id="67"/>
    <w:p>
      <w:pPr>
        <w:jc w:val="center"/>
        <w:ind w:right="-19"/>
        <w:spacing w:after="0"/>
        <w:rPr>
          <w:sz w:val="20"/>
          <w:szCs w:val="20"/>
          <w:color w:val="auto"/>
        </w:rPr>
      </w:pPr>
      <w:r>
        <w:rPr>
          <w:rFonts w:ascii="Times New Roman" w:cs="Times New Roman" w:eastAsia="Times New Roman" w:hAnsi="Times New Roman"/>
          <w:sz w:val="14"/>
          <w:szCs w:val="14"/>
          <w:color w:val="auto"/>
        </w:rPr>
        <w:t>LIFEVANTAGE CORPORATION AND SUBSIDIARIES</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CONSOLIDATED STATEMENTS OF CASH FLOWS (CONTINUED)</w:t>
      </w:r>
    </w:p>
    <w:p>
      <w:pPr>
        <w:spacing w:after="0" w:line="138" w:lineRule="exact"/>
        <w:rPr>
          <w:sz w:val="20"/>
          <w:szCs w:val="20"/>
          <w:color w:val="auto"/>
        </w:rPr>
      </w:pPr>
    </w:p>
    <w:p>
      <w:pPr>
        <w:jc w:val="center"/>
        <w:ind w:left="7080"/>
        <w:spacing w:after="0"/>
        <w:rPr>
          <w:sz w:val="20"/>
          <w:szCs w:val="20"/>
          <w:color w:val="auto"/>
        </w:rPr>
      </w:pPr>
      <w:r>
        <w:rPr>
          <w:rFonts w:ascii="Times New Roman" w:cs="Times New Roman" w:eastAsia="Times New Roman" w:hAnsi="Times New Roman"/>
          <w:sz w:val="11"/>
          <w:szCs w:val="11"/>
          <w:b w:val="1"/>
          <w:bCs w:val="1"/>
          <w:color w:val="auto"/>
        </w:rPr>
        <w:t>For the years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4516755</wp:posOffset>
            </wp:positionH>
            <wp:positionV relativeFrom="paragraph">
              <wp:posOffset>26035</wp:posOffset>
            </wp:positionV>
            <wp:extent cx="2633980" cy="698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22">
                      <a:extLst>
                        <a:ext uri="{28A0092B-C50C-407E-A947-70E740481C1C}"/>
                      </a:extLst>
                    </a:blip>
                    <a:srcRect/>
                    <a:stretch>
                      <a:fillRect/>
                    </a:stretch>
                  </pic:blipFill>
                  <pic:spPr bwMode="auto">
                    <a:xfrm>
                      <a:off x="0" y="0"/>
                      <a:ext cx="2633980" cy="6985"/>
                    </a:xfrm>
                    <a:prstGeom prst="rect">
                      <a:avLst/>
                    </a:prstGeom>
                    <a:noFill/>
                  </pic:spPr>
                </pic:pic>
              </a:graphicData>
            </a:graphic>
          </wp:anchor>
        </w:drawing>
      </w:r>
    </w:p>
    <w:p>
      <w:pPr>
        <w:spacing w:after="0" w:line="23" w:lineRule="exact"/>
        <w:rPr>
          <w:sz w:val="20"/>
          <w:szCs w:val="20"/>
          <w:color w:val="auto"/>
        </w:rPr>
      </w:pPr>
    </w:p>
    <w:p>
      <w:pPr>
        <w:jc w:val="both"/>
        <w:ind w:left="8020"/>
        <w:spacing w:after="0"/>
        <w:tabs>
          <w:tab w:leader="none" w:pos="10120" w:val="left"/>
        </w:tabs>
        <w:rPr>
          <w:sz w:val="20"/>
          <w:szCs w:val="20"/>
          <w:color w:val="auto"/>
        </w:rPr>
      </w:pPr>
      <w:r>
        <w:rPr>
          <w:rFonts w:ascii="Times New Roman" w:cs="Times New Roman" w:eastAsia="Times New Roman" w:hAnsi="Times New Roman"/>
          <w:sz w:val="11"/>
          <w:szCs w:val="11"/>
          <w:b w:val="1"/>
          <w:bCs w:val="1"/>
          <w:color w:val="auto"/>
        </w:rPr>
        <w:t>2024</w:t>
      </w:r>
      <w:r>
        <w:rPr>
          <w:sz w:val="20"/>
          <w:szCs w:val="20"/>
          <w:color w:val="auto"/>
        </w:rPr>
        <w:tab/>
      </w:r>
      <w:r>
        <w:rPr>
          <w:rFonts w:ascii="Times New Roman" w:cs="Times New Roman" w:eastAsia="Times New Roman" w:hAnsi="Times New Roman"/>
          <w:sz w:val="11"/>
          <w:szCs w:val="11"/>
          <w:b w:val="1"/>
          <w:bCs w:val="1"/>
          <w:color w:val="auto"/>
        </w:rPr>
        <w:t>2023</w:t>
      </w:r>
    </w:p>
    <w:p>
      <w:pPr>
        <w:spacing w:after="0" w:line="3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1"/>
          <w:szCs w:val="11"/>
          <w:i w:val="1"/>
          <w:i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4516755</wp:posOffset>
            </wp:positionH>
            <wp:positionV relativeFrom="paragraph">
              <wp:posOffset>-74295</wp:posOffset>
            </wp:positionV>
            <wp:extent cx="2633980" cy="698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23">
                      <a:extLst>
                        <a:ext uri="{28A0092B-C50C-407E-A947-70E740481C1C}"/>
                      </a:extLst>
                    </a:blip>
                    <a:srcRect/>
                    <a:stretch>
                      <a:fillRect/>
                    </a:stretch>
                  </pic:blipFill>
                  <pic:spPr bwMode="auto">
                    <a:xfrm>
                      <a:off x="0" y="0"/>
                      <a:ext cx="2633980" cy="6985"/>
                    </a:xfrm>
                    <a:prstGeom prst="rect">
                      <a:avLst/>
                    </a:prstGeom>
                    <a:noFill/>
                  </pic:spPr>
                </pic:pic>
              </a:graphicData>
            </a:graphic>
          </wp:anchor>
        </w:drawing>
      </w:r>
    </w:p>
    <w:p>
      <w:pPr>
        <w:spacing w:after="0" w:line="1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b w:val="1"/>
          <w:bCs w:val="1"/>
          <w:color w:val="auto"/>
        </w:rPr>
        <w:t>SUPPLEMENTAL DISCLOSURE OF CASH FLOW INFORMATION</w:t>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4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Cash paid for interest</w:t>
            </w:r>
          </w:p>
        </w:tc>
        <w:tc>
          <w:tcPr>
            <w:tcW w:w="3500" w:type="dxa"/>
            <w:vAlign w:val="bottom"/>
            <w:shd w:val="clear" w:color="auto" w:fill="CCEEFF"/>
          </w:tcPr>
          <w:p>
            <w:pPr>
              <w:jc w:val="right"/>
              <w:ind w:right="713"/>
              <w:spacing w:after="0"/>
              <w:rPr>
                <w:sz w:val="20"/>
                <w:szCs w:val="20"/>
                <w:color w:val="auto"/>
              </w:rPr>
            </w:pPr>
            <w:r>
              <w:rPr>
                <w:rFonts w:ascii="Times New Roman" w:cs="Times New Roman" w:eastAsia="Times New Roman" w:hAnsi="Times New Roman"/>
                <w:sz w:val="13"/>
                <w:szCs w:val="13"/>
                <w:color w:val="auto"/>
              </w:rPr>
              <w:t>$</w:t>
            </w:r>
          </w:p>
        </w:tc>
        <w:tc>
          <w:tcPr>
            <w:tcW w:w="118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3"/>
                <w:szCs w:val="13"/>
                <w:color w:val="auto"/>
              </w:rPr>
              <w:t>21</w:t>
            </w:r>
          </w:p>
        </w:tc>
        <w:tc>
          <w:tcPr>
            <w:tcW w:w="960" w:type="dxa"/>
            <w:vAlign w:val="bottom"/>
            <w:shd w:val="clear" w:color="auto" w:fill="CCEEFF"/>
          </w:tcPr>
          <w:p>
            <w:pPr>
              <w:jc w:val="right"/>
              <w:ind w:right="733"/>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w:t>
            </w:r>
          </w:p>
        </w:tc>
      </w:tr>
      <w:tr>
        <w:trPr>
          <w:trHeight w:val="184"/>
        </w:trPr>
        <w:tc>
          <w:tcPr>
            <w:tcW w:w="44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Cash paid for income taxes</w:t>
            </w:r>
          </w:p>
        </w:tc>
        <w:tc>
          <w:tcPr>
            <w:tcW w:w="3500" w:type="dxa"/>
            <w:vAlign w:val="bottom"/>
          </w:tcPr>
          <w:p>
            <w:pPr>
              <w:jc w:val="right"/>
              <w:ind w:right="713"/>
              <w:spacing w:after="0"/>
              <w:rPr>
                <w:sz w:val="20"/>
                <w:szCs w:val="20"/>
                <w:color w:val="auto"/>
              </w:rPr>
            </w:pPr>
            <w:r>
              <w:rPr>
                <w:rFonts w:ascii="Times New Roman" w:cs="Times New Roman" w:eastAsia="Times New Roman" w:hAnsi="Times New Roman"/>
                <w:sz w:val="13"/>
                <w:szCs w:val="13"/>
                <w:color w:val="auto"/>
              </w:rPr>
              <w:t>$</w:t>
            </w:r>
          </w:p>
        </w:tc>
        <w:tc>
          <w:tcPr>
            <w:tcW w:w="1180" w:type="dxa"/>
            <w:vAlign w:val="bottom"/>
          </w:tcPr>
          <w:p>
            <w:pPr>
              <w:jc w:val="right"/>
              <w:ind w:right="13"/>
              <w:spacing w:after="0"/>
              <w:rPr>
                <w:sz w:val="20"/>
                <w:szCs w:val="20"/>
                <w:color w:val="auto"/>
              </w:rPr>
            </w:pPr>
            <w:r>
              <w:rPr>
                <w:rFonts w:ascii="Times New Roman" w:cs="Times New Roman" w:eastAsia="Times New Roman" w:hAnsi="Times New Roman"/>
                <w:sz w:val="13"/>
                <w:szCs w:val="13"/>
                <w:color w:val="auto"/>
              </w:rPr>
              <w:t>2,306</w:t>
            </w:r>
          </w:p>
        </w:tc>
        <w:tc>
          <w:tcPr>
            <w:tcW w:w="960" w:type="dxa"/>
            <w:vAlign w:val="bottom"/>
          </w:tcPr>
          <w:p>
            <w:pPr>
              <w:jc w:val="right"/>
              <w:ind w:right="733"/>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1,873</w:t>
            </w:r>
          </w:p>
        </w:tc>
      </w:tr>
    </w:tbl>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The accompanying notes are an integral part of these consolidated financial statements.</w:t>
      </w: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2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729" w:right="339" w:bottom="1440" w:gutter="0" w:footer="0" w:header="0"/>
        </w:sectPr>
      </w:pPr>
    </w:p>
    <w:bookmarkStart w:id="68" w:name="page69"/>
    <w:bookmarkEnd w:id="68"/>
    <w:p>
      <w:pPr>
        <w:jc w:val="center"/>
        <w:spacing w:after="0"/>
        <w:rPr>
          <w:sz w:val="20"/>
          <w:szCs w:val="20"/>
          <w:color w:val="auto"/>
        </w:rPr>
      </w:pPr>
      <w:r>
        <w:rPr>
          <w:rFonts w:ascii="Times New Roman" w:cs="Times New Roman" w:eastAsia="Times New Roman" w:hAnsi="Times New Roman"/>
          <w:sz w:val="14"/>
          <w:szCs w:val="14"/>
          <w:b w:val="1"/>
          <w:bCs w:val="1"/>
          <w:color w:val="auto"/>
        </w:rPr>
        <w:t>LIFEVANTAGE CORPORATION AND SUBSIDIARIES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 — The Company</w:t>
      </w:r>
    </w:p>
    <w:p>
      <w:pPr>
        <w:spacing w:after="0" w:line="127" w:lineRule="exact"/>
        <w:rPr>
          <w:sz w:val="20"/>
          <w:szCs w:val="20"/>
          <w:color w:val="auto"/>
        </w:rPr>
      </w:pPr>
    </w:p>
    <w:p>
      <w:pPr>
        <w:jc w:val="both"/>
        <w:ind w:firstLine="255"/>
        <w:spacing w:after="0" w:line="261" w:lineRule="auto"/>
        <w:rPr>
          <w:sz w:val="20"/>
          <w:szCs w:val="20"/>
          <w:color w:val="auto"/>
        </w:rPr>
      </w:pPr>
      <w:r>
        <w:rPr>
          <w:rFonts w:ascii="Times New Roman" w:cs="Times New Roman" w:eastAsia="Times New Roman" w:hAnsi="Times New Roman"/>
          <w:sz w:val="14"/>
          <w:szCs w:val="14"/>
          <w:color w:val="auto"/>
        </w:rPr>
        <w:t>LifeVantage Corporation (the "Company" or "we" or "our" or "us") is a company focused on nutrigenomics, the study of how nutrition and naturally occurring compounds affect human genes to support good health. The Company is dedicated to helping people achieve their health, wellness, and financial goals. The Company provides quality, scientifically validated products to customers and independent consultants as well as a financially rewarding commission-based direct sales opportunity to its independent consultants. LifeVantage sells its products in the United States, Mexico, Japan, Australia, Hong Kong, Canada, Thailand, the United Kingdom, the Netherlands, Germany, Taiwan, Austria, Spain, Ireland, Belgium, New Zealand, Singapore, and the Philippines. The Company sold its products in China through a China approved cross-border e-commerce business model until March 15, 2023, at which time the Company closed its e-commerce business in China.</w:t>
      </w:r>
    </w:p>
    <w:p>
      <w:pPr>
        <w:spacing w:after="0" w:line="80" w:lineRule="exact"/>
        <w:rPr>
          <w:sz w:val="20"/>
          <w:szCs w:val="20"/>
          <w:color w:val="auto"/>
        </w:rPr>
      </w:pPr>
    </w:p>
    <w:p>
      <w:pPr>
        <w:ind w:right="40" w:firstLine="255"/>
        <w:spacing w:after="0" w:line="233" w:lineRule="auto"/>
        <w:rPr>
          <w:sz w:val="20"/>
          <w:szCs w:val="20"/>
          <w:color w:val="auto"/>
        </w:rPr>
      </w:pPr>
      <w:r>
        <w:rPr>
          <w:rFonts w:ascii="Times New Roman" w:cs="Times New Roman" w:eastAsia="Times New Roman" w:hAnsi="Times New Roman"/>
          <w:sz w:val="14"/>
          <w:szCs w:val="14"/>
          <w:color w:val="auto"/>
        </w:rPr>
        <w:t>The Company engages in the identification, research, development, formulation and sale of advanced nutrigenomic activators, dietary supplements, nootropics, pre- and pro-biotics, weight management, and skin and hair care products. The Company's line of scientifically validated dietary supplements includes its flagship Protandim</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family of products, LifeVantage® Omega+, ProBio, IC Bright</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Rise AM, Reset PM, D3+, Daily Wellness, and PhysIQ Fat Burn and Prebiotic dietary supplements. TrueScience</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is the Company's line of skin and hair care products and Liquid Collagen. The Company also markets and sells Petandim</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its companion pet supplement formulated to combat oxidative stress in dogs; and AXIO</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its nootropic energy drink mixes.</w:t>
      </w:r>
    </w:p>
    <w:p>
      <w:pPr>
        <w:spacing w:after="0" w:line="37" w:lineRule="exact"/>
        <w:rPr>
          <w:sz w:val="20"/>
          <w:szCs w:val="20"/>
          <w:color w:val="auto"/>
        </w:rPr>
      </w:pPr>
    </w:p>
    <w:p>
      <w:pPr>
        <w:jc w:val="both"/>
        <w:ind w:right="80" w:firstLine="255"/>
        <w:spacing w:after="0" w:line="270" w:lineRule="auto"/>
        <w:rPr>
          <w:sz w:val="20"/>
          <w:szCs w:val="20"/>
          <w:color w:val="auto"/>
        </w:rPr>
      </w:pPr>
      <w:r>
        <w:rPr>
          <w:rFonts w:ascii="Times New Roman" w:cs="Times New Roman" w:eastAsia="Times New Roman" w:hAnsi="Times New Roman"/>
          <w:sz w:val="14"/>
          <w:szCs w:val="14"/>
          <w:color w:val="auto"/>
        </w:rPr>
        <w:t>The Company was incorporated in Colorado in June 1988 under the name Andraplex Corporation. The Company changed its corporate name to Yaak River Resources, Inc. in January 1992, and subsequently changed it again in October 2004 to Lifeline Therapeutics, Inc. In October 2004 and March 2005, the Company acquired all of the outstanding common stock of Lifeline Nutraceuticals Corporation. In November 2006, the Company changed its name to LifeVantage Corporation.</w:t>
      </w:r>
    </w:p>
    <w:p>
      <w:pPr>
        <w:spacing w:after="0" w:line="83" w:lineRule="exact"/>
        <w:rPr>
          <w:sz w:val="20"/>
          <w:szCs w:val="20"/>
          <w:color w:val="auto"/>
        </w:rPr>
      </w:pPr>
    </w:p>
    <w:p>
      <w:pPr>
        <w:ind w:right="260" w:firstLine="255"/>
        <w:spacing w:after="0" w:line="287" w:lineRule="auto"/>
        <w:rPr>
          <w:sz w:val="20"/>
          <w:szCs w:val="20"/>
          <w:color w:val="auto"/>
        </w:rPr>
      </w:pPr>
      <w:r>
        <w:rPr>
          <w:rFonts w:ascii="Times New Roman" w:cs="Times New Roman" w:eastAsia="Times New Roman" w:hAnsi="Times New Roman"/>
          <w:sz w:val="14"/>
          <w:szCs w:val="14"/>
          <w:color w:val="auto"/>
        </w:rPr>
        <w:t>In March 2018, the Company reincorporated from the state of Colorado to the state of Delaware. All outstanding shares of common stock, options and share units of the Colorado corporation were converted into an equivalent share, option or share unit of the Delaware corporation and the par value of the Company's common stock was adjusted to $0.0001.</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2 — Summary of Significant Accounting Policies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Consolidation</w:t>
      </w:r>
    </w:p>
    <w:p>
      <w:pPr>
        <w:spacing w:after="0" w:line="127" w:lineRule="exact"/>
        <w:rPr>
          <w:sz w:val="20"/>
          <w:szCs w:val="20"/>
          <w:color w:val="auto"/>
        </w:rPr>
      </w:pPr>
    </w:p>
    <w:p>
      <w:pPr>
        <w:ind w:right="640" w:firstLine="255"/>
        <w:spacing w:after="0" w:line="287" w:lineRule="auto"/>
        <w:rPr>
          <w:sz w:val="20"/>
          <w:szCs w:val="20"/>
          <w:color w:val="auto"/>
        </w:rPr>
      </w:pPr>
      <w:r>
        <w:rPr>
          <w:rFonts w:ascii="Times New Roman" w:cs="Times New Roman" w:eastAsia="Times New Roman" w:hAnsi="Times New Roman"/>
          <w:sz w:val="14"/>
          <w:szCs w:val="14"/>
          <w:color w:val="auto"/>
        </w:rPr>
        <w:t>The consolidated financial statements include the accounts of the Company and its wholly owned subsidiaries. All significant intercompany accounts and transactions are eliminated in consolidation.</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Use of Estimates</w:t>
      </w:r>
    </w:p>
    <w:p>
      <w:pPr>
        <w:spacing w:after="0" w:line="127" w:lineRule="exact"/>
        <w:rPr>
          <w:sz w:val="20"/>
          <w:szCs w:val="20"/>
          <w:color w:val="auto"/>
        </w:rPr>
      </w:pPr>
    </w:p>
    <w:p>
      <w:pPr>
        <w:ind w:right="100" w:firstLine="255"/>
        <w:spacing w:after="0" w:line="261" w:lineRule="auto"/>
        <w:rPr>
          <w:sz w:val="20"/>
          <w:szCs w:val="20"/>
          <w:color w:val="auto"/>
        </w:rPr>
      </w:pPr>
      <w:r>
        <w:rPr>
          <w:rFonts w:ascii="Times New Roman" w:cs="Times New Roman" w:eastAsia="Times New Roman" w:hAnsi="Times New Roman"/>
          <w:sz w:val="14"/>
          <w:szCs w:val="14"/>
          <w:color w:val="auto"/>
        </w:rPr>
        <w:t>The Company prepares the consolidated financial statements and related disclosures in conformity with accounting principles generally accepted in the United States of America ("GAAP"). In preparing these statements, the Company is required to use estimates and assumptions that affect the reported amounts of assets and liabilities, the disclosure of contingent assets and liabilities at the date of the financial statements and the reported amounts of revenue and expenses during the reporting period. Actual results could differ materially from those estimates and assumptions. On an ongoing basis, the Company reviews its estimates, including, but not limited to, those related to inventory valuation and obsolescence, sales returns, income taxes and tax valuation reserves, transfer pricing methodology and positions, impairment of assets, stock-based compensation, and loss contingencies.</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Foreign Currency Translation</w:t>
      </w:r>
    </w:p>
    <w:p>
      <w:pPr>
        <w:spacing w:after="0" w:line="117" w:lineRule="exact"/>
        <w:rPr>
          <w:sz w:val="20"/>
          <w:szCs w:val="20"/>
          <w:color w:val="auto"/>
        </w:rPr>
      </w:pPr>
    </w:p>
    <w:p>
      <w:pPr>
        <w:ind w:right="140" w:firstLine="255"/>
        <w:spacing w:after="0" w:line="264" w:lineRule="auto"/>
        <w:rPr>
          <w:sz w:val="20"/>
          <w:szCs w:val="20"/>
          <w:color w:val="auto"/>
        </w:rPr>
      </w:pPr>
      <w:r>
        <w:rPr>
          <w:rFonts w:ascii="Times New Roman" w:cs="Times New Roman" w:eastAsia="Times New Roman" w:hAnsi="Times New Roman"/>
          <w:sz w:val="14"/>
          <w:szCs w:val="14"/>
          <w:color w:val="auto"/>
        </w:rPr>
        <w:t>A portion of the Company’s business operations occurs outside the United States. The local currency of each of the Company’s subsidiaries generally is its functional currency. All assets and liabilities are translated into U.S. Dollars at exchange rates existing at the balance sheet dates, revenue and expenses are translated at weighted-average exchange rates and stockholders’ equity is recorded at historical exchange rates. The resulting foreign currency translation adjustments are recorded as a separate component of stockholders’ equity in the consolidated balance sheets and as a component of comprehensive income. Transaction gains and losses are included in other expense, net in the consolidated statements of operations and comprehensive income.</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2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44" w:right="31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4"/>
          <w:szCs w:val="14"/>
          <w:b w:val="1"/>
          <w:bCs w:val="1"/>
          <w:color w:val="auto"/>
        </w:rPr>
        <w:t>Fair Value of Financial Instruments</w:t>
      </w:r>
    </w:p>
    <w:p>
      <w:pPr>
        <w:spacing w:after="0" w:line="117" w:lineRule="exact"/>
        <w:rPr>
          <w:sz w:val="20"/>
          <w:szCs w:val="20"/>
          <w:color w:val="auto"/>
        </w:rPr>
      </w:pPr>
    </w:p>
    <w:p>
      <w:pPr>
        <w:jc w:val="both"/>
        <w:ind w:right="140" w:firstLine="255"/>
        <w:spacing w:after="0" w:line="270" w:lineRule="auto"/>
        <w:rPr>
          <w:sz w:val="20"/>
          <w:szCs w:val="20"/>
          <w:color w:val="auto"/>
        </w:rPr>
      </w:pPr>
      <w:r>
        <w:rPr>
          <w:rFonts w:ascii="Times New Roman" w:cs="Times New Roman" w:eastAsia="Times New Roman" w:hAnsi="Times New Roman"/>
          <w:sz w:val="14"/>
          <w:szCs w:val="14"/>
          <w:color w:val="auto"/>
        </w:rPr>
        <w:t>The Company accounts for assets and liabilities using a hierarchy of valuation techniques based on whether the inputs to those valuation techniques are observable or unobservable. Observable inputs reflect market data obtained from independent sources, while unobservable inputs reflect the Company's market assumptions. These two types of inputs have created the fair-value hierarchy below. This hierarchy requires the Company to minimize the use of unobservable inputs and to use observable market data, if available, when determining fair value.</w:t>
      </w:r>
    </w:p>
    <w:p>
      <w:pPr>
        <w:spacing w:after="0" w:line="83" w:lineRule="exact"/>
        <w:rPr>
          <w:sz w:val="20"/>
          <w:szCs w:val="20"/>
          <w:color w:val="auto"/>
        </w:rPr>
      </w:pPr>
    </w:p>
    <w:p>
      <w:pPr>
        <w:ind w:left="520" w:hanging="260"/>
        <w:spacing w:after="0"/>
        <w:tabs>
          <w:tab w:leader="none" w:pos="52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Level 1—Quoted prices for identical instruments in active markets;</w:t>
      </w:r>
    </w:p>
    <w:p>
      <w:pPr>
        <w:spacing w:after="0" w:line="125" w:lineRule="exact"/>
        <w:rPr>
          <w:rFonts w:ascii="Times New Roman" w:cs="Times New Roman" w:eastAsia="Times New Roman" w:hAnsi="Times New Roman"/>
          <w:sz w:val="14"/>
          <w:szCs w:val="14"/>
          <w:color w:val="auto"/>
        </w:rPr>
      </w:pPr>
    </w:p>
    <w:p>
      <w:pPr>
        <w:ind w:left="520" w:right="140" w:hanging="260"/>
        <w:spacing w:after="0" w:line="287" w:lineRule="auto"/>
        <w:tabs>
          <w:tab w:leader="none" w:pos="516"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Level 2—Quoted prices for similar instruments in active markets, quoted prices for identical or similar instruments in markets that are not active, and model-derived valuations in which all significant inputs and significant value drivers are observable in active markets; and</w:t>
      </w:r>
    </w:p>
    <w:p>
      <w:pPr>
        <w:spacing w:after="0" w:line="60"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Level 3—Valuations derived from valuation techniques in which one or more significant inputs or significant value drivers are unobservable.</w:t>
      </w:r>
    </w:p>
    <w:p>
      <w:pPr>
        <w:spacing w:after="0" w:line="12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Our financial instruments, consisting primarily of cash and cash equivalents, accounts receivable, and accounts payable, approximate fair value due to their short-term nature.</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Cash and Cash Equivalents</w:t>
      </w:r>
    </w:p>
    <w:p>
      <w:pPr>
        <w:spacing w:after="0" w:line="11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Company considers only its monetary liquid assets with original maturities of three months or less to be cash and cash equivalents.</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Accounts Receivable</w:t>
      </w:r>
    </w:p>
    <w:p>
      <w:pPr>
        <w:spacing w:after="0" w:line="127" w:lineRule="exact"/>
        <w:rPr>
          <w:sz w:val="20"/>
          <w:szCs w:val="20"/>
          <w:color w:val="auto"/>
        </w:rPr>
      </w:pPr>
    </w:p>
    <w:p>
      <w:pPr>
        <w:ind w:right="160" w:firstLine="255"/>
        <w:spacing w:after="0" w:line="270" w:lineRule="auto"/>
        <w:rPr>
          <w:sz w:val="20"/>
          <w:szCs w:val="20"/>
          <w:color w:val="auto"/>
        </w:rPr>
      </w:pPr>
      <w:r>
        <w:rPr>
          <w:rFonts w:ascii="Times New Roman" w:cs="Times New Roman" w:eastAsia="Times New Roman" w:hAnsi="Times New Roman"/>
          <w:sz w:val="14"/>
          <w:szCs w:val="14"/>
          <w:color w:val="auto"/>
        </w:rPr>
        <w:t>The Company’s accounts receivable for the fiscal years ended June 30, 2024 and 2023 consist primarily of credit card receivables. Based on the Company’s verification process for customer credit cards and historical information available, management has determined that an allowance for doubtful accounts on credit card sales related to its customer sales as of June 30, 2024 or 2023 is not necessary. There was no bad debt expense for the fiscal year ended June 30, 2024. Bad debt expense for the fiscal year ended June 30, 2023 was $0.1 million.</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Inventory</w:t>
      </w:r>
    </w:p>
    <w:p>
      <w:pPr>
        <w:spacing w:after="0" w:line="12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As of June 30, 2024 and 2023, inventory consisted of (in thousands):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4340" w:type="dxa"/>
            <w:vAlign w:val="bottom"/>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1860" w:type="dxa"/>
            <w:vAlign w:val="bottom"/>
            <w:tcBorders>
              <w:bottom w:val="single" w:sz="8" w:color="auto"/>
            </w:tcBorders>
            <w:gridSpan w:val="3"/>
          </w:tcPr>
          <w:p>
            <w:pPr>
              <w:jc w:val="right"/>
              <w:ind w:right="349"/>
              <w:spacing w:after="0"/>
              <w:rPr>
                <w:sz w:val="20"/>
                <w:szCs w:val="20"/>
                <w:color w:val="auto"/>
              </w:rPr>
            </w:pPr>
            <w:r>
              <w:rPr>
                <w:rFonts w:ascii="Times New Roman" w:cs="Times New Roman" w:eastAsia="Times New Roman" w:hAnsi="Times New Roman"/>
                <w:sz w:val="11"/>
                <w:szCs w:val="11"/>
                <w:b w:val="1"/>
                <w:bCs w:val="1"/>
                <w:color w:val="auto"/>
              </w:rPr>
              <w:t>As of June 30,</w:t>
            </w:r>
          </w:p>
        </w:tc>
        <w:tc>
          <w:tcPr>
            <w:tcW w:w="86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720" w:type="dxa"/>
            <w:vAlign w:val="bottom"/>
            <w:tcBorders>
              <w:bottom w:val="single" w:sz="8" w:color="auto"/>
            </w:tcBorders>
          </w:tcPr>
          <w:p>
            <w:pPr>
              <w:spacing w:after="0"/>
              <w:rPr>
                <w:sz w:val="13"/>
                <w:szCs w:val="13"/>
                <w:color w:val="auto"/>
              </w:rPr>
            </w:pPr>
          </w:p>
        </w:tc>
      </w:tr>
      <w:tr>
        <w:trPr>
          <w:trHeight w:val="154"/>
        </w:trPr>
        <w:tc>
          <w:tcPr>
            <w:tcW w:w="4340" w:type="dxa"/>
            <w:vAlign w:val="bottom"/>
            <w:tcBorders>
              <w:bottom w:val="single" w:sz="8" w:color="CCEEFF"/>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1740" w:type="dxa"/>
            <w:vAlign w:val="bottom"/>
            <w:tcBorders>
              <w:bottom w:val="single" w:sz="8" w:color="auto"/>
            </w:tcBorders>
            <w:gridSpan w:val="3"/>
          </w:tcPr>
          <w:p>
            <w:pPr>
              <w:jc w:val="right"/>
              <w:ind w:right="540"/>
              <w:spacing w:after="0"/>
              <w:rPr>
                <w:sz w:val="20"/>
                <w:szCs w:val="20"/>
                <w:color w:val="auto"/>
              </w:rPr>
            </w:pPr>
            <w:r>
              <w:rPr>
                <w:rFonts w:ascii="Times New Roman" w:cs="Times New Roman" w:eastAsia="Times New Roman" w:hAnsi="Times New Roman"/>
                <w:sz w:val="11"/>
                <w:szCs w:val="11"/>
                <w:b w:val="1"/>
                <w:bCs w:val="1"/>
                <w:color w:val="auto"/>
              </w:rPr>
              <w:t>2024</w:t>
            </w:r>
          </w:p>
        </w:tc>
        <w:tc>
          <w:tcPr>
            <w:tcW w:w="106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1840" w:type="dxa"/>
            <w:vAlign w:val="bottom"/>
            <w:tcBorders>
              <w:bottom w:val="single" w:sz="8" w:color="auto"/>
            </w:tcBorders>
            <w:gridSpan w:val="3"/>
          </w:tcPr>
          <w:p>
            <w:pPr>
              <w:jc w:val="right"/>
              <w:ind w:right="1529"/>
              <w:spacing w:after="0"/>
              <w:rPr>
                <w:sz w:val="20"/>
                <w:szCs w:val="20"/>
                <w:color w:val="auto"/>
              </w:rPr>
            </w:pPr>
            <w:r>
              <w:rPr>
                <w:rFonts w:ascii="Times New Roman" w:cs="Times New Roman" w:eastAsia="Times New Roman" w:hAnsi="Times New Roman"/>
                <w:sz w:val="11"/>
                <w:szCs w:val="11"/>
                <w:b w:val="1"/>
                <w:bCs w:val="1"/>
                <w:color w:val="auto"/>
                <w:w w:val="99"/>
              </w:rPr>
              <w:t>2023</w:t>
            </w:r>
          </w:p>
        </w:tc>
      </w:tr>
      <w:tr>
        <w:trPr>
          <w:trHeight w:val="176"/>
        </w:trPr>
        <w:tc>
          <w:tcPr>
            <w:tcW w:w="4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Finished goods</w:t>
            </w:r>
          </w:p>
        </w:tc>
        <w:tc>
          <w:tcPr>
            <w:tcW w:w="620" w:type="dxa"/>
            <w:vAlign w:val="bottom"/>
            <w:shd w:val="clear" w:color="auto" w:fill="CCEEFF"/>
          </w:tcPr>
          <w:p>
            <w:pPr>
              <w:jc w:val="right"/>
              <w:ind w:right="469"/>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11,841</w:t>
            </w: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78.7 %</w:t>
            </w: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jc w:val="right"/>
              <w:ind w:right="549"/>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12,153</w:t>
            </w:r>
          </w:p>
        </w:tc>
        <w:tc>
          <w:tcPr>
            <w:tcW w:w="18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75.6 %</w:t>
            </w:r>
          </w:p>
        </w:tc>
      </w:tr>
      <w:tr>
        <w:trPr>
          <w:trHeight w:val="180"/>
        </w:trPr>
        <w:tc>
          <w:tcPr>
            <w:tcW w:w="43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Raw materials</w:t>
            </w:r>
          </w:p>
        </w:tc>
        <w:tc>
          <w:tcPr>
            <w:tcW w:w="62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3,214</w:t>
            </w: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21.3 %</w:t>
            </w: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3,920</w:t>
            </w:r>
          </w:p>
        </w:tc>
        <w:tc>
          <w:tcPr>
            <w:tcW w:w="18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24.4 %</w:t>
            </w:r>
          </w:p>
        </w:tc>
      </w:tr>
      <w:tr>
        <w:trPr>
          <w:trHeight w:val="196"/>
        </w:trPr>
        <w:tc>
          <w:tcPr>
            <w:tcW w:w="4340" w:type="dxa"/>
            <w:vAlign w:val="bottom"/>
            <w:tcBorders>
              <w:top w:val="single" w:sz="8" w:color="CCEEFF"/>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Total inventory</w:t>
            </w:r>
          </w:p>
        </w:tc>
        <w:tc>
          <w:tcPr>
            <w:tcW w:w="620" w:type="dxa"/>
            <w:vAlign w:val="bottom"/>
            <w:tcBorders>
              <w:top w:val="single" w:sz="8" w:color="auto"/>
              <w:bottom w:val="single" w:sz="8" w:color="auto"/>
            </w:tcBorders>
            <w:shd w:val="clear" w:color="auto" w:fill="CCEEFF"/>
          </w:tcPr>
          <w:p>
            <w:pPr>
              <w:jc w:val="right"/>
              <w:ind w:right="469"/>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15,055</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660" w:type="dxa"/>
            <w:vAlign w:val="bottom"/>
            <w:tcBorders>
              <w:top w:val="single" w:sz="8" w:color="auto"/>
              <w:bottom w:val="single" w:sz="8" w:color="auto"/>
            </w:tcBorders>
            <w:shd w:val="clear" w:color="auto" w:fill="CCEEFF"/>
          </w:tcPr>
          <w:p>
            <w:pPr>
              <w:spacing w:after="0"/>
              <w:rPr>
                <w:sz w:val="16"/>
                <w:szCs w:val="16"/>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100.0 %</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720" w:type="dxa"/>
            <w:vAlign w:val="bottom"/>
            <w:tcBorders>
              <w:top w:val="single" w:sz="8" w:color="auto"/>
              <w:bottom w:val="single" w:sz="8" w:color="auto"/>
            </w:tcBorders>
            <w:shd w:val="clear" w:color="auto" w:fill="CCEEFF"/>
          </w:tcPr>
          <w:p>
            <w:pPr>
              <w:jc w:val="right"/>
              <w:ind w:right="549"/>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16,073</w:t>
            </w:r>
          </w:p>
        </w:tc>
        <w:tc>
          <w:tcPr>
            <w:tcW w:w="20" w:type="dxa"/>
            <w:vAlign w:val="bottom"/>
            <w:tcBorders>
              <w:top w:val="single" w:sz="8" w:color="auto"/>
              <w:bottom w:val="single" w:sz="8" w:color="auto"/>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100.0 %</w:t>
            </w:r>
          </w:p>
        </w:tc>
      </w:tr>
      <w:tr>
        <w:trPr>
          <w:trHeight w:val="20"/>
        </w:trPr>
        <w:tc>
          <w:tcPr>
            <w:tcW w:w="434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r>
    </w:tbl>
    <w:p>
      <w:pPr>
        <w:spacing w:after="0" w:line="176" w:lineRule="exact"/>
        <w:rPr>
          <w:sz w:val="20"/>
          <w:szCs w:val="20"/>
          <w:color w:val="auto"/>
        </w:rPr>
      </w:pPr>
    </w:p>
    <w:p>
      <w:pPr>
        <w:ind w:right="160" w:firstLine="255"/>
        <w:spacing w:after="0" w:line="287" w:lineRule="auto"/>
        <w:rPr>
          <w:sz w:val="20"/>
          <w:szCs w:val="20"/>
          <w:color w:val="auto"/>
        </w:rPr>
      </w:pPr>
      <w:r>
        <w:rPr>
          <w:rFonts w:ascii="Times New Roman" w:cs="Times New Roman" w:eastAsia="Times New Roman" w:hAnsi="Times New Roman"/>
          <w:sz w:val="14"/>
          <w:szCs w:val="14"/>
          <w:color w:val="auto"/>
        </w:rPr>
        <w:t>Inventories are carried at the lower of cost or net realizable value, using the first-in, first-out method, which includes a reduction in inventory values of $1.3 million and $1.3 million at June 30, 2024 and 2023, respectively, related to obsolete and slow-moving inventory.</w:t>
      </w:r>
    </w:p>
    <w:p>
      <w:pPr>
        <w:spacing w:after="0" w:line="6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Reserves of inventories consist of the following (in thousands):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3320" w:type="dxa"/>
            <w:vAlign w:val="bottom"/>
          </w:tcPr>
          <w:p>
            <w:pPr>
              <w:spacing w:after="0"/>
              <w:rPr>
                <w:sz w:val="13"/>
                <w:szCs w:val="13"/>
                <w:color w:val="auto"/>
              </w:rPr>
            </w:pPr>
          </w:p>
        </w:tc>
        <w:tc>
          <w:tcPr>
            <w:tcW w:w="3800" w:type="dxa"/>
            <w:vAlign w:val="bottom"/>
          </w:tcPr>
          <w:p>
            <w:pPr>
              <w:spacing w:after="0"/>
              <w:rPr>
                <w:sz w:val="13"/>
                <w:szCs w:val="13"/>
                <w:color w:val="auto"/>
              </w:rPr>
            </w:pPr>
          </w:p>
        </w:tc>
        <w:tc>
          <w:tcPr>
            <w:tcW w:w="134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gridSpan w:val="3"/>
          </w:tcPr>
          <w:p>
            <w:pPr>
              <w:jc w:val="right"/>
              <w:ind w:right="149"/>
              <w:spacing w:after="0"/>
              <w:rPr>
                <w:sz w:val="20"/>
                <w:szCs w:val="20"/>
                <w:color w:val="auto"/>
              </w:rPr>
            </w:pPr>
            <w:r>
              <w:rPr>
                <w:rFonts w:ascii="Times New Roman" w:cs="Times New Roman" w:eastAsia="Times New Roman" w:hAnsi="Times New Roman"/>
                <w:sz w:val="11"/>
                <w:szCs w:val="11"/>
                <w:b w:val="1"/>
                <w:bCs w:val="1"/>
                <w:color w:val="auto"/>
              </w:rPr>
              <w:t>Years ended June 30,</w:t>
            </w:r>
          </w:p>
        </w:tc>
        <w:tc>
          <w:tcPr>
            <w:tcW w:w="134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3320" w:type="dxa"/>
            <w:vAlign w:val="bottom"/>
            <w:tcBorders>
              <w:bottom w:val="single" w:sz="8" w:color="CCEEFF"/>
            </w:tcBorders>
          </w:tcPr>
          <w:p>
            <w:pPr>
              <w:spacing w:after="0"/>
              <w:rPr>
                <w:sz w:val="13"/>
                <w:szCs w:val="13"/>
                <w:color w:val="auto"/>
              </w:rPr>
            </w:pPr>
          </w:p>
        </w:tc>
        <w:tc>
          <w:tcPr>
            <w:tcW w:w="3800" w:type="dxa"/>
            <w:vAlign w:val="bottom"/>
            <w:tcBorders>
              <w:bottom w:val="single" w:sz="8" w:color="CCEEFF"/>
            </w:tcBorders>
          </w:tcPr>
          <w:p>
            <w:pPr>
              <w:spacing w:after="0"/>
              <w:rPr>
                <w:sz w:val="13"/>
                <w:szCs w:val="13"/>
                <w:color w:val="auto"/>
              </w:rPr>
            </w:pPr>
          </w:p>
        </w:tc>
        <w:tc>
          <w:tcPr>
            <w:tcW w:w="134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1"/>
                <w:szCs w:val="11"/>
                <w:b w:val="1"/>
                <w:bCs w:val="1"/>
                <w:color w:val="auto"/>
              </w:rPr>
              <w:t>2024</w:t>
            </w:r>
          </w:p>
        </w:tc>
        <w:tc>
          <w:tcPr>
            <w:tcW w:w="68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jc w:val="right"/>
              <w:ind w:right="832"/>
              <w:spacing w:after="0"/>
              <w:rPr>
                <w:sz w:val="20"/>
                <w:szCs w:val="20"/>
                <w:color w:val="auto"/>
              </w:rPr>
            </w:pPr>
            <w:r>
              <w:rPr>
                <w:rFonts w:ascii="Times New Roman" w:cs="Times New Roman" w:eastAsia="Times New Roman" w:hAnsi="Times New Roman"/>
                <w:sz w:val="11"/>
                <w:szCs w:val="11"/>
                <w:b w:val="1"/>
                <w:bCs w:val="1"/>
                <w:color w:val="auto"/>
              </w:rPr>
              <w:t>2023</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3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Beginning balance</w:t>
            </w:r>
          </w:p>
        </w:tc>
        <w:tc>
          <w:tcPr>
            <w:tcW w:w="3800" w:type="dxa"/>
            <w:vAlign w:val="bottom"/>
            <w:shd w:val="clear" w:color="auto" w:fill="CCEEFF"/>
          </w:tcPr>
          <w:p>
            <w:pPr>
              <w:spacing w:after="0"/>
              <w:rPr>
                <w:sz w:val="15"/>
                <w:szCs w:val="15"/>
                <w:color w:val="auto"/>
              </w:rPr>
            </w:pPr>
          </w:p>
        </w:tc>
        <w:tc>
          <w:tcPr>
            <w:tcW w:w="1340" w:type="dxa"/>
            <w:vAlign w:val="bottom"/>
            <w:shd w:val="clear" w:color="auto" w:fill="CCEEFF"/>
          </w:tcPr>
          <w:p>
            <w:pPr>
              <w:jc w:val="right"/>
              <w:ind w:right="1194"/>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1,292</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jc w:val="right"/>
              <w:ind w:right="529"/>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shd w:val="clear" w:color="auto" w:fill="CCEEFF"/>
          </w:tcPr>
          <w:p>
            <w:pPr>
              <w:jc w:val="center"/>
              <w:ind w:left="832"/>
              <w:spacing w:after="0"/>
              <w:rPr>
                <w:sz w:val="20"/>
                <w:szCs w:val="20"/>
                <w:color w:val="auto"/>
              </w:rPr>
            </w:pPr>
            <w:r>
              <w:rPr>
                <w:rFonts w:ascii="Times New Roman" w:cs="Times New Roman" w:eastAsia="Times New Roman" w:hAnsi="Times New Roman"/>
                <w:sz w:val="14"/>
                <w:szCs w:val="14"/>
                <w:color w:val="auto"/>
              </w:rPr>
              <w:t>1,253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Additions</w:t>
            </w:r>
          </w:p>
        </w:tc>
        <w:tc>
          <w:tcPr>
            <w:tcW w:w="38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901</w:t>
            </w: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340" w:type="dxa"/>
            <w:vAlign w:val="bottom"/>
          </w:tcPr>
          <w:p>
            <w:pPr>
              <w:jc w:val="center"/>
              <w:ind w:left="832"/>
              <w:spacing w:after="0"/>
              <w:rPr>
                <w:sz w:val="20"/>
                <w:szCs w:val="20"/>
                <w:color w:val="auto"/>
              </w:rPr>
            </w:pPr>
            <w:r>
              <w:rPr>
                <w:rFonts w:ascii="Times New Roman" w:cs="Times New Roman" w:eastAsia="Times New Roman" w:hAnsi="Times New Roman"/>
                <w:sz w:val="14"/>
                <w:szCs w:val="14"/>
                <w:color w:val="auto"/>
              </w:rPr>
              <w:t>1,199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Write-offs</w:t>
            </w:r>
          </w:p>
        </w:tc>
        <w:tc>
          <w:tcPr>
            <w:tcW w:w="3800" w:type="dxa"/>
            <w:vAlign w:val="bottom"/>
            <w:shd w:val="clear" w:color="auto" w:fill="CCEEFF"/>
          </w:tcPr>
          <w:p>
            <w:pPr>
              <w:spacing w:after="0"/>
              <w:rPr>
                <w:sz w:val="15"/>
                <w:szCs w:val="15"/>
                <w:color w:val="auto"/>
              </w:rPr>
            </w:pPr>
          </w:p>
        </w:tc>
        <w:tc>
          <w:tcPr>
            <w:tcW w:w="134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(892)</w:t>
            </w:r>
          </w:p>
        </w:tc>
        <w:tc>
          <w:tcPr>
            <w:tcW w:w="100" w:type="dxa"/>
            <w:vAlign w:val="bottom"/>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spacing w:after="0"/>
              <w:rPr>
                <w:sz w:val="15"/>
                <w:szCs w:val="15"/>
                <w:color w:val="auto"/>
              </w:rPr>
            </w:pPr>
          </w:p>
        </w:tc>
        <w:tc>
          <w:tcPr>
            <w:tcW w:w="1340" w:type="dxa"/>
            <w:vAlign w:val="bottom"/>
            <w:tcBorders>
              <w:bottom w:val="single" w:sz="8" w:color="auto"/>
            </w:tcBorders>
            <w:shd w:val="clear" w:color="auto" w:fill="CCEEFF"/>
          </w:tcPr>
          <w:p>
            <w:pPr>
              <w:jc w:val="center"/>
              <w:ind w:left="812"/>
              <w:spacing w:after="0"/>
              <w:rPr>
                <w:sz w:val="20"/>
                <w:szCs w:val="20"/>
                <w:color w:val="auto"/>
              </w:rPr>
            </w:pPr>
            <w:r>
              <w:rPr>
                <w:rFonts w:ascii="Times New Roman" w:cs="Times New Roman" w:eastAsia="Times New Roman" w:hAnsi="Times New Roman"/>
                <w:sz w:val="14"/>
                <w:szCs w:val="14"/>
                <w:color w:val="auto"/>
              </w:rPr>
              <w:t>(1,160)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3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Ending balance</w:t>
            </w:r>
          </w:p>
        </w:tc>
        <w:tc>
          <w:tcPr>
            <w:tcW w:w="3800" w:type="dxa"/>
            <w:vAlign w:val="bottom"/>
          </w:tcPr>
          <w:p>
            <w:pPr>
              <w:spacing w:after="0"/>
              <w:rPr>
                <w:sz w:val="14"/>
                <w:szCs w:val="14"/>
                <w:color w:val="auto"/>
              </w:rPr>
            </w:pPr>
          </w:p>
        </w:tc>
        <w:tc>
          <w:tcPr>
            <w:tcW w:w="1340" w:type="dxa"/>
            <w:vAlign w:val="bottom"/>
            <w:tcBorders>
              <w:bottom w:val="single" w:sz="8" w:color="auto"/>
            </w:tcBorders>
          </w:tcPr>
          <w:p>
            <w:pPr>
              <w:jc w:val="right"/>
              <w:ind w:right="1194"/>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1,301</w:t>
            </w:r>
          </w:p>
        </w:tc>
        <w:tc>
          <w:tcPr>
            <w:tcW w:w="100" w:type="dxa"/>
            <w:vAlign w:val="bottom"/>
          </w:tcPr>
          <w:p>
            <w:pPr>
              <w:spacing w:after="0"/>
              <w:rPr>
                <w:sz w:val="14"/>
                <w:szCs w:val="14"/>
                <w:color w:val="auto"/>
              </w:rPr>
            </w:pPr>
          </w:p>
        </w:tc>
        <w:tc>
          <w:tcPr>
            <w:tcW w:w="680" w:type="dxa"/>
            <w:vAlign w:val="bottom"/>
            <w:tcBorders>
              <w:bottom w:val="single" w:sz="8" w:color="auto"/>
            </w:tcBorders>
          </w:tcPr>
          <w:p>
            <w:pPr>
              <w:jc w:val="right"/>
              <w:ind w:right="529"/>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Borders>
              <w:bottom w:val="single" w:sz="8" w:color="auto"/>
            </w:tcBorders>
          </w:tcPr>
          <w:p>
            <w:pPr>
              <w:jc w:val="center"/>
              <w:ind w:left="832"/>
              <w:spacing w:after="0"/>
              <w:rPr>
                <w:sz w:val="20"/>
                <w:szCs w:val="20"/>
                <w:color w:val="auto"/>
              </w:rPr>
            </w:pPr>
            <w:r>
              <w:rPr>
                <w:rFonts w:ascii="Times New Roman" w:cs="Times New Roman" w:eastAsia="Times New Roman" w:hAnsi="Times New Roman"/>
                <w:sz w:val="14"/>
                <w:szCs w:val="14"/>
                <w:color w:val="auto"/>
              </w:rPr>
              <w:t>1,292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320" w:type="dxa"/>
            <w:vAlign w:val="bottom"/>
          </w:tcPr>
          <w:p>
            <w:pPr>
              <w:spacing w:after="0" w:line="20" w:lineRule="exact"/>
              <w:rPr>
                <w:sz w:val="1"/>
                <w:szCs w:val="1"/>
                <w:color w:val="auto"/>
              </w:rPr>
            </w:pPr>
          </w:p>
        </w:tc>
        <w:tc>
          <w:tcPr>
            <w:tcW w:w="3800" w:type="dxa"/>
            <w:vAlign w:val="bottom"/>
            <w:vMerge w:val="restart"/>
          </w:tcPr>
          <w:p>
            <w:pPr>
              <w:jc w:val="right"/>
              <w:ind w:right="1329"/>
              <w:spacing w:after="0"/>
              <w:rPr>
                <w:sz w:val="20"/>
                <w:szCs w:val="20"/>
                <w:color w:val="auto"/>
              </w:rPr>
            </w:pPr>
            <w:r>
              <w:rPr>
                <w:rFonts w:ascii="Times New Roman" w:cs="Times New Roman" w:eastAsia="Times New Roman" w:hAnsi="Times New Roman"/>
                <w:sz w:val="14"/>
                <w:szCs w:val="14"/>
                <w:color w:val="auto"/>
              </w:rPr>
              <w:t>70</w:t>
            </w:r>
          </w:p>
        </w:tc>
        <w:tc>
          <w:tcPr>
            <w:tcW w:w="13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46"/>
        </w:trPr>
        <w:tc>
          <w:tcPr>
            <w:tcW w:w="3320" w:type="dxa"/>
            <w:vAlign w:val="bottom"/>
          </w:tcPr>
          <w:p>
            <w:pPr>
              <w:spacing w:after="0"/>
              <w:rPr>
                <w:sz w:val="24"/>
                <w:szCs w:val="24"/>
                <w:color w:val="auto"/>
              </w:rPr>
            </w:pPr>
          </w:p>
        </w:tc>
        <w:tc>
          <w:tcPr>
            <w:tcW w:w="3800" w:type="dxa"/>
            <w:vAlign w:val="bottom"/>
            <w:vMerge w:val="continue"/>
          </w:tcPr>
          <w:p>
            <w:pPr>
              <w:spacing w:after="0"/>
              <w:rPr>
                <w:sz w:val="24"/>
                <w:szCs w:val="24"/>
                <w:color w:val="auto"/>
              </w:rPr>
            </w:pPr>
          </w:p>
        </w:tc>
        <w:tc>
          <w:tcPr>
            <w:tcW w:w="13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3320" w:type="dxa"/>
            <w:vAlign w:val="bottom"/>
            <w:tcBorders>
              <w:bottom w:val="single" w:sz="8" w:color="9A9A9A"/>
            </w:tcBorders>
          </w:tcPr>
          <w:p>
            <w:pPr>
              <w:spacing w:after="0"/>
              <w:rPr>
                <w:sz w:val="7"/>
                <w:szCs w:val="7"/>
                <w:color w:val="auto"/>
              </w:rPr>
            </w:pPr>
          </w:p>
        </w:tc>
        <w:tc>
          <w:tcPr>
            <w:tcW w:w="3800" w:type="dxa"/>
            <w:vAlign w:val="bottom"/>
            <w:tcBorders>
              <w:bottom w:val="single" w:sz="8" w:color="9A9A9A"/>
            </w:tcBorders>
          </w:tcPr>
          <w:p>
            <w:pPr>
              <w:spacing w:after="0"/>
              <w:rPr>
                <w:sz w:val="7"/>
                <w:szCs w:val="7"/>
                <w:color w:val="auto"/>
              </w:rPr>
            </w:pPr>
          </w:p>
        </w:tc>
        <w:tc>
          <w:tcPr>
            <w:tcW w:w="1340" w:type="dxa"/>
            <w:vAlign w:val="bottom"/>
            <w:tcBorders>
              <w:bottom w:val="single" w:sz="8" w:color="9A9A9A"/>
            </w:tcBorders>
          </w:tcPr>
          <w:p>
            <w:pPr>
              <w:spacing w:after="0"/>
              <w:rPr>
                <w:sz w:val="7"/>
                <w:szCs w:val="7"/>
                <w:color w:val="auto"/>
              </w:rPr>
            </w:pPr>
          </w:p>
        </w:tc>
        <w:tc>
          <w:tcPr>
            <w:tcW w:w="68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680" w:type="dxa"/>
            <w:vAlign w:val="bottom"/>
            <w:tcBorders>
              <w:bottom w:val="single" w:sz="8" w:color="9A9A9A"/>
            </w:tcBorders>
          </w:tcPr>
          <w:p>
            <w:pPr>
              <w:spacing w:after="0"/>
              <w:rPr>
                <w:sz w:val="7"/>
                <w:szCs w:val="7"/>
                <w:color w:val="auto"/>
              </w:rPr>
            </w:pPr>
          </w:p>
        </w:tc>
        <w:tc>
          <w:tcPr>
            <w:tcW w:w="134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26">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27">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844" w:right="31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4"/>
          <w:szCs w:val="14"/>
          <w:b w:val="1"/>
          <w:bCs w:val="1"/>
          <w:color w:val="auto"/>
        </w:rPr>
        <w:t>Property and Equipment</w:t>
      </w:r>
    </w:p>
    <w:p>
      <w:pPr>
        <w:spacing w:after="0" w:line="117"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922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Property and equipment are recorded at cost and depreciated using the straight-line method over the following useful lives:</w:t>
            </w:r>
          </w:p>
        </w:tc>
        <w:tc>
          <w:tcPr>
            <w:tcW w:w="2040" w:type="dxa"/>
            <w:vAlign w:val="bottom"/>
          </w:tcPr>
          <w:p>
            <w:pPr>
              <w:spacing w:after="0"/>
              <w:rPr>
                <w:sz w:val="16"/>
                <w:szCs w:val="16"/>
                <w:color w:val="auto"/>
              </w:rPr>
            </w:pPr>
          </w:p>
        </w:tc>
      </w:tr>
      <w:tr>
        <w:trPr>
          <w:trHeight w:val="393"/>
        </w:trPr>
        <w:tc>
          <w:tcPr>
            <w:tcW w:w="9220" w:type="dxa"/>
            <w:vAlign w:val="bottom"/>
            <w:tcBorders>
              <w:bottom w:val="single" w:sz="8" w:color="CCEEFF"/>
            </w:tcBorders>
          </w:tcPr>
          <w:p>
            <w:pPr>
              <w:spacing w:after="0"/>
              <w:rPr>
                <w:sz w:val="24"/>
                <w:szCs w:val="24"/>
                <w:color w:val="auto"/>
              </w:rPr>
            </w:pPr>
          </w:p>
        </w:tc>
        <w:tc>
          <w:tcPr>
            <w:tcW w:w="2040" w:type="dxa"/>
            <w:vAlign w:val="bottom"/>
            <w:tcBorders>
              <w:bottom w:val="single" w:sz="8" w:color="auto"/>
            </w:tcBorders>
          </w:tcPr>
          <w:p>
            <w:pPr>
              <w:ind w:left="860"/>
              <w:spacing w:after="0"/>
              <w:rPr>
                <w:sz w:val="20"/>
                <w:szCs w:val="20"/>
                <w:color w:val="auto"/>
              </w:rPr>
            </w:pPr>
            <w:r>
              <w:rPr>
                <w:rFonts w:ascii="Times New Roman" w:cs="Times New Roman" w:eastAsia="Times New Roman" w:hAnsi="Times New Roman"/>
                <w:sz w:val="14"/>
                <w:szCs w:val="14"/>
                <w:color w:val="auto"/>
              </w:rPr>
              <w:t>Years</w:t>
            </w:r>
          </w:p>
        </w:tc>
      </w:tr>
      <w:tr>
        <w:trPr>
          <w:trHeight w:val="171"/>
        </w:trPr>
        <w:tc>
          <w:tcPr>
            <w:tcW w:w="92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Equipment (includes computer hardware and software)</w:t>
            </w:r>
          </w:p>
        </w:tc>
        <w:tc>
          <w:tcPr>
            <w:tcW w:w="2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3 - 5</w:t>
            </w:r>
          </w:p>
        </w:tc>
      </w:tr>
      <w:tr>
        <w:trPr>
          <w:trHeight w:val="180"/>
        </w:trPr>
        <w:tc>
          <w:tcPr>
            <w:tcW w:w="9220" w:type="dxa"/>
            <w:vAlign w:val="bottom"/>
          </w:tcPr>
          <w:p>
            <w:pPr>
              <w:spacing w:after="0"/>
              <w:rPr>
                <w:sz w:val="20"/>
                <w:szCs w:val="20"/>
                <w:color w:val="auto"/>
              </w:rPr>
            </w:pPr>
            <w:r>
              <w:rPr>
                <w:rFonts w:ascii="Times New Roman" w:cs="Times New Roman" w:eastAsia="Times New Roman" w:hAnsi="Times New Roman"/>
                <w:sz w:val="14"/>
                <w:szCs w:val="14"/>
                <w:color w:val="auto"/>
              </w:rPr>
              <w:t>Furniture and fixtures</w:t>
            </w:r>
          </w:p>
        </w:tc>
        <w:tc>
          <w:tcPr>
            <w:tcW w:w="20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5</w:t>
            </w:r>
          </w:p>
        </w:tc>
      </w:tr>
      <w:tr>
        <w:trPr>
          <w:trHeight w:val="180"/>
        </w:trPr>
        <w:tc>
          <w:tcPr>
            <w:tcW w:w="92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Vehicles</w:t>
            </w:r>
          </w:p>
        </w:tc>
        <w:tc>
          <w:tcPr>
            <w:tcW w:w="2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5</w:t>
            </w:r>
          </w:p>
        </w:tc>
      </w:tr>
    </w:tbl>
    <w:p>
      <w:pPr>
        <w:spacing w:after="0" w:line="16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Leasehold improvements are depreciated over the shorter of estimated useful life of the related asset or the lease term.</w:t>
      </w:r>
    </w:p>
    <w:p>
      <w:pPr>
        <w:spacing w:after="0" w:line="125" w:lineRule="exact"/>
        <w:rPr>
          <w:sz w:val="20"/>
          <w:szCs w:val="20"/>
          <w:color w:val="auto"/>
        </w:rPr>
      </w:pPr>
    </w:p>
    <w:p>
      <w:pPr>
        <w:ind w:right="20" w:firstLine="255"/>
        <w:spacing w:after="0" w:line="264" w:lineRule="auto"/>
        <w:rPr>
          <w:sz w:val="20"/>
          <w:szCs w:val="20"/>
          <w:color w:val="auto"/>
        </w:rPr>
      </w:pPr>
      <w:r>
        <w:rPr>
          <w:rFonts w:ascii="Times New Roman" w:cs="Times New Roman" w:eastAsia="Times New Roman" w:hAnsi="Times New Roman"/>
          <w:sz w:val="14"/>
          <w:szCs w:val="14"/>
          <w:color w:val="auto"/>
        </w:rPr>
        <w:t>The cost of normal maintenance and repairs is charged to expense as incurred. When an asset is sold or otherwise disposed of, the cost and associated accumulated depreciation are removed from the accounts and the resulting gain or loss is recognized in the consolidated statements of operations and comprehensive income in other expense, net. Significant expenditures that increase the useful life of an asset are capitalized and depreciated over the estimated useful life of the asset. Property and equipment are reviewed for impairment whenever events or changes in circumstances indicate that the carrying amount of such assets may not be recoverable.</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Intangible Assets</w:t>
      </w:r>
    </w:p>
    <w:p>
      <w:pPr>
        <w:spacing w:after="0" w:line="127" w:lineRule="exact"/>
        <w:rPr>
          <w:sz w:val="20"/>
          <w:szCs w:val="20"/>
          <w:color w:val="auto"/>
        </w:rPr>
      </w:pPr>
    </w:p>
    <w:p>
      <w:pPr>
        <w:ind w:firstLine="255"/>
        <w:spacing w:after="0" w:line="264" w:lineRule="auto"/>
        <w:rPr>
          <w:sz w:val="20"/>
          <w:szCs w:val="20"/>
          <w:color w:val="auto"/>
        </w:rPr>
      </w:pPr>
      <w:r>
        <w:rPr>
          <w:rFonts w:ascii="Times New Roman" w:cs="Times New Roman" w:eastAsia="Times New Roman" w:hAnsi="Times New Roman"/>
          <w:sz w:val="14"/>
          <w:szCs w:val="14"/>
          <w:color w:val="auto"/>
        </w:rPr>
        <w:t>Intangible assets are stated at cost less accumulated amortization. Finite-lived intangible assets are amortized over their related useful lives, using a straight-line method, consistent with the underlying expected future cash flows related to the specific intangible asset. Finite-lived intangible assets are reviewed for impairment whenever events or changes in circumstances exist that indicate the carrying amount of an asset may not be recoverable. When indicators of impairment exist, an estimate of undiscounted net cash flows is used in measuring whether the carrying amount of the asset or related asset group is recoverable. Measurement of the amount of impairment, if any, is based upon the difference between the asset’s carrying value and estimated fair value.</w:t>
      </w:r>
    </w:p>
    <w:p>
      <w:pPr>
        <w:spacing w:after="0" w:line="87" w:lineRule="exact"/>
        <w:rPr>
          <w:sz w:val="20"/>
          <w:szCs w:val="20"/>
          <w:color w:val="auto"/>
        </w:rPr>
      </w:pPr>
    </w:p>
    <w:p>
      <w:pPr>
        <w:ind w:right="320" w:firstLine="255"/>
        <w:spacing w:after="0" w:line="270" w:lineRule="auto"/>
        <w:rPr>
          <w:sz w:val="20"/>
          <w:szCs w:val="20"/>
          <w:color w:val="auto"/>
        </w:rPr>
      </w:pPr>
      <w:r>
        <w:rPr>
          <w:rFonts w:ascii="Times New Roman" w:cs="Times New Roman" w:eastAsia="Times New Roman" w:hAnsi="Times New Roman"/>
          <w:sz w:val="14"/>
          <w:szCs w:val="14"/>
          <w:color w:val="auto"/>
        </w:rPr>
        <w:t>Indefinite-lived intangible assets are not amortized; however, they are tested at least annually for impairment or more frequently if events or changes in circumstances exist that may indicate impairment. An impairment loss is recognized if the carrying amount of the asset exceeds its fair value. Annual impairment tests on intangible assets were completed for the fiscal years ended June 30, 2024 and 2023, resulting in no impairment charges.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Impairment of Long-Lived Assets</w:t>
      </w:r>
    </w:p>
    <w:p>
      <w:pPr>
        <w:spacing w:after="0" w:line="127" w:lineRule="exact"/>
        <w:rPr>
          <w:sz w:val="20"/>
          <w:szCs w:val="20"/>
          <w:color w:val="auto"/>
        </w:rPr>
      </w:pPr>
    </w:p>
    <w:p>
      <w:pPr>
        <w:ind w:firstLine="255"/>
        <w:spacing w:after="0" w:line="261" w:lineRule="auto"/>
        <w:rPr>
          <w:sz w:val="20"/>
          <w:szCs w:val="20"/>
          <w:color w:val="auto"/>
        </w:rPr>
      </w:pPr>
      <w:r>
        <w:rPr>
          <w:rFonts w:ascii="Times New Roman" w:cs="Times New Roman" w:eastAsia="Times New Roman" w:hAnsi="Times New Roman"/>
          <w:sz w:val="14"/>
          <w:szCs w:val="14"/>
          <w:color w:val="auto"/>
        </w:rPr>
        <w:t>Pursuant to guidance established for impairment or disposal of assets, the Company assesses impairment whenever events or changes in circumstances indicate that the carrying amount of a long-lived asset may not be recoverable. When an assessment for impairment of long-lived assets, long-lived assets to be disposed of, and certain identifiable intangibles related to those assets is performed, the Company is required to compare the net carrying value of long-lived assets on the lowest level at which cash flows can be determined on a consistent basis to the related estimates of future undiscounted net cash flows for such assets. If the net carrying value exceeds the net cash flows, then an impairment is recognized to reduce the carrying value to the estimated fair value, generally equal to the future discounted net cash flow. For the fiscal years ended June 30, 2024 and 2023, management has concluded that there are no indications of impairment.</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Concentration of Credit Risk</w:t>
      </w:r>
    </w:p>
    <w:p>
      <w:pPr>
        <w:spacing w:after="0" w:line="117" w:lineRule="exact"/>
        <w:rPr>
          <w:sz w:val="20"/>
          <w:szCs w:val="20"/>
          <w:color w:val="auto"/>
        </w:rPr>
      </w:pPr>
    </w:p>
    <w:p>
      <w:pPr>
        <w:jc w:val="both"/>
        <w:ind w:right="220" w:firstLine="255"/>
        <w:spacing w:after="0" w:line="270" w:lineRule="auto"/>
        <w:rPr>
          <w:sz w:val="20"/>
          <w:szCs w:val="20"/>
          <w:color w:val="auto"/>
        </w:rPr>
      </w:pPr>
      <w:r>
        <w:rPr>
          <w:rFonts w:ascii="Times New Roman" w:cs="Times New Roman" w:eastAsia="Times New Roman" w:hAnsi="Times New Roman"/>
          <w:sz w:val="14"/>
          <w:szCs w:val="14"/>
          <w:color w:val="auto"/>
        </w:rPr>
        <w:t>Accounting guidance for financial instruments requires disclosure of significant concentrations of credit risk regardless of the degree of such risk. Financial instruments with significant credit risk include cash and cash equivalents. At June 30, 2024, the Company had $12.6 million in cash accounts at one financial institution and $4.3 million in other financial institutions. As of June 30, 2024 and 2023, and during the years then ended, the Company’s cash balances exceeded federally insured limits.</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Commissions and Incentives</w:t>
      </w:r>
    </w:p>
    <w:p>
      <w:pPr>
        <w:spacing w:after="0" w:line="127" w:lineRule="exact"/>
        <w:rPr>
          <w:sz w:val="20"/>
          <w:szCs w:val="20"/>
          <w:color w:val="auto"/>
        </w:rPr>
      </w:pPr>
    </w:p>
    <w:p>
      <w:pPr>
        <w:ind w:right="40" w:firstLine="255"/>
        <w:spacing w:after="0" w:line="270" w:lineRule="auto"/>
        <w:rPr>
          <w:sz w:val="20"/>
          <w:szCs w:val="20"/>
          <w:color w:val="auto"/>
        </w:rPr>
      </w:pPr>
      <w:r>
        <w:rPr>
          <w:rFonts w:ascii="Times New Roman" w:cs="Times New Roman" w:eastAsia="Times New Roman" w:hAnsi="Times New Roman"/>
          <w:sz w:val="14"/>
          <w:szCs w:val="14"/>
          <w:color w:val="auto"/>
        </w:rPr>
        <w:t>Commissions and incentives expenses are the Company’s most significant expenses and are classified as operating expenses. Commissions and incentives expenses include sales commissions paid to the Company's independent consultants, special incentives, costs for incentive trips and other rewards. Commissions and incentives expenses do not include any amounts the Company pays to its independent consultants for personal purchases. Commissions paid to independent consultants on personal purchases are considered a sales discount and are reported as a reduction to net revenue.</w:t>
      </w: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2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44" w:right="31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4"/>
          <w:szCs w:val="14"/>
          <w:b w:val="1"/>
          <w:bCs w:val="1"/>
          <w:color w:val="auto"/>
        </w:rPr>
        <w:t>Shipping and Handling</w:t>
      </w:r>
    </w:p>
    <w:p>
      <w:pPr>
        <w:spacing w:after="0" w:line="117" w:lineRule="exact"/>
        <w:rPr>
          <w:sz w:val="20"/>
          <w:szCs w:val="20"/>
          <w:color w:val="auto"/>
        </w:rPr>
      </w:pPr>
    </w:p>
    <w:p>
      <w:pPr>
        <w:ind w:right="80" w:firstLine="255"/>
        <w:spacing w:after="0" w:line="287" w:lineRule="auto"/>
        <w:rPr>
          <w:sz w:val="20"/>
          <w:szCs w:val="20"/>
          <w:color w:val="auto"/>
        </w:rPr>
      </w:pPr>
      <w:r>
        <w:rPr>
          <w:rFonts w:ascii="Times New Roman" w:cs="Times New Roman" w:eastAsia="Times New Roman" w:hAnsi="Times New Roman"/>
          <w:sz w:val="14"/>
          <w:szCs w:val="14"/>
          <w:color w:val="auto"/>
        </w:rPr>
        <w:t>Shipping and handling costs associated with inbound freight and freight out to customers, including independent consultants, are included in cost of sales. Shipping and handling fees charged to all customers are included in sales.</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Research and Development Costs</w:t>
      </w:r>
    </w:p>
    <w:p>
      <w:pPr>
        <w:spacing w:after="0" w:line="127" w:lineRule="exact"/>
        <w:rPr>
          <w:sz w:val="20"/>
          <w:szCs w:val="20"/>
          <w:color w:val="auto"/>
        </w:rPr>
      </w:pPr>
    </w:p>
    <w:p>
      <w:pPr>
        <w:ind w:right="300" w:firstLine="255"/>
        <w:spacing w:after="0" w:line="287" w:lineRule="auto"/>
        <w:rPr>
          <w:sz w:val="20"/>
          <w:szCs w:val="20"/>
          <w:color w:val="auto"/>
        </w:rPr>
      </w:pPr>
      <w:r>
        <w:rPr>
          <w:rFonts w:ascii="Times New Roman" w:cs="Times New Roman" w:eastAsia="Times New Roman" w:hAnsi="Times New Roman"/>
          <w:sz w:val="14"/>
          <w:szCs w:val="14"/>
          <w:color w:val="auto"/>
        </w:rPr>
        <w:t>The Company expenses all costs related to research and development activities as incurred. Research and development expenses for the fiscal years ended June 30, 2024 and 2023 were $0.7 million and $0.6 million, respectively.</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Leases</w:t>
      </w:r>
    </w:p>
    <w:p>
      <w:pPr>
        <w:spacing w:after="0" w:line="127" w:lineRule="exact"/>
        <w:rPr>
          <w:sz w:val="20"/>
          <w:szCs w:val="20"/>
          <w:color w:val="auto"/>
        </w:rPr>
      </w:pPr>
    </w:p>
    <w:p>
      <w:pPr>
        <w:ind w:firstLine="255"/>
        <w:spacing w:after="0" w:line="270" w:lineRule="auto"/>
        <w:rPr>
          <w:sz w:val="20"/>
          <w:szCs w:val="20"/>
          <w:color w:val="auto"/>
        </w:rPr>
      </w:pPr>
      <w:r>
        <w:rPr>
          <w:rFonts w:ascii="Times New Roman" w:cs="Times New Roman" w:eastAsia="Times New Roman" w:hAnsi="Times New Roman"/>
          <w:sz w:val="14"/>
          <w:szCs w:val="14"/>
          <w:color w:val="auto"/>
        </w:rPr>
        <w:t>The Company accounts for leases in accordance with Accounting Standards Codification ("ASC") 842. The Company reviews all contracts and determines if the arrangement is or contains a lease, at inception. Operating leases are included in right-of-use (“ROU”) assets, current lease liabilities and long-term lease liabilities on the consolidated balance sheets. The Company does not have any finance leases.</w:t>
      </w:r>
    </w:p>
    <w:p>
      <w:pPr>
        <w:spacing w:after="0" w:line="83" w:lineRule="exact"/>
        <w:rPr>
          <w:sz w:val="20"/>
          <w:szCs w:val="20"/>
          <w:color w:val="auto"/>
        </w:rPr>
      </w:pPr>
    </w:p>
    <w:p>
      <w:pPr>
        <w:ind w:right="20" w:firstLine="255"/>
        <w:spacing w:after="0" w:line="259" w:lineRule="auto"/>
        <w:rPr>
          <w:sz w:val="20"/>
          <w:szCs w:val="20"/>
          <w:color w:val="auto"/>
        </w:rPr>
      </w:pPr>
      <w:r>
        <w:rPr>
          <w:rFonts w:ascii="Times New Roman" w:cs="Times New Roman" w:eastAsia="Times New Roman" w:hAnsi="Times New Roman"/>
          <w:sz w:val="14"/>
          <w:szCs w:val="14"/>
          <w:color w:val="auto"/>
        </w:rPr>
        <w:t>Operating lease ROU assets represent the Company’s right to use an underlying asset for the lease term and lease liabilities represent the Company’s obligation to make lease payments arising from the lease. ROU assets and lease liabilities are recognized at the lease commencement date based on the estimated present value of lease payments over the lease term. The Company uses its estimated incremental borrowing rate based on the information available at the commencement date in determining the present value of future payments. The operating lease ROU asset also includes any upfront lease payments made and excludes lease incentives and initial direct costs incurred. The Company’s lease terms may include options to extend or terminate the lease when it is reasonably certain that the Company will exercise that option. Lease expense for minimum lease payments is recognized on a straight-line basis over the lease term. Leases with a term of 12 months or less are not recorded on the balance sheet. The Company’s lease agreements do not contain any residual value guarantees.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Stock-Based Compensation</w:t>
      </w:r>
    </w:p>
    <w:p>
      <w:pPr>
        <w:spacing w:after="0" w:line="127" w:lineRule="exact"/>
        <w:rPr>
          <w:sz w:val="20"/>
          <w:szCs w:val="20"/>
          <w:color w:val="auto"/>
        </w:rPr>
      </w:pPr>
    </w:p>
    <w:p>
      <w:pPr>
        <w:ind w:firstLine="255"/>
        <w:spacing w:after="0" w:line="270" w:lineRule="auto"/>
        <w:rPr>
          <w:sz w:val="20"/>
          <w:szCs w:val="20"/>
          <w:color w:val="auto"/>
        </w:rPr>
      </w:pPr>
      <w:r>
        <w:rPr>
          <w:rFonts w:ascii="Times New Roman" w:cs="Times New Roman" w:eastAsia="Times New Roman" w:hAnsi="Times New Roman"/>
          <w:sz w:val="14"/>
          <w:szCs w:val="14"/>
          <w:color w:val="auto"/>
        </w:rPr>
        <w:t>The Company recognizes stock-based compensation by measuring the cost of services to be rendered based on the grant date fair value of the equity award. The Company recognizes stock-based compensation, net of any estimated forfeitures, over the period an employee is required to provide service in exchange for the award, generally referred to as the requisite service period. The Company estimates forfeitures based on historical information and other management assumptions.</w:t>
      </w:r>
    </w:p>
    <w:p>
      <w:pPr>
        <w:spacing w:after="0" w:line="83" w:lineRule="exact"/>
        <w:rPr>
          <w:sz w:val="20"/>
          <w:szCs w:val="20"/>
          <w:color w:val="auto"/>
        </w:rPr>
      </w:pPr>
    </w:p>
    <w:p>
      <w:pPr>
        <w:ind w:right="80" w:firstLine="255"/>
        <w:spacing w:after="0" w:line="264" w:lineRule="auto"/>
        <w:rPr>
          <w:sz w:val="20"/>
          <w:szCs w:val="20"/>
          <w:color w:val="auto"/>
        </w:rPr>
      </w:pPr>
      <w:r>
        <w:rPr>
          <w:rFonts w:ascii="Times New Roman" w:cs="Times New Roman" w:eastAsia="Times New Roman" w:hAnsi="Times New Roman"/>
          <w:sz w:val="14"/>
          <w:szCs w:val="14"/>
          <w:color w:val="auto"/>
        </w:rPr>
        <w:t>The Black-Scholes option pricing model is used to estimate the fair value of stock options and options under the Company's 2019 Employee Stock Purchase Plan. The determination of the fair value of options is affected by the Company's stock price and a number of assumptions, including expected volatility, expected life, risk-free interest rate and expected dividends. The Company uses historical data for estimating the expected volatility and expected life of stock options required in the Black-Scholes model. The risk-free interest rate assumption is based on observed interest rates appropriate for the expected terms of the stock options.</w:t>
      </w:r>
    </w:p>
    <w:p>
      <w:pPr>
        <w:spacing w:after="0" w:line="77" w:lineRule="exact"/>
        <w:rPr>
          <w:sz w:val="20"/>
          <w:szCs w:val="20"/>
          <w:color w:val="auto"/>
        </w:rPr>
      </w:pPr>
    </w:p>
    <w:p>
      <w:pPr>
        <w:ind w:right="400" w:firstLine="255"/>
        <w:spacing w:after="0" w:line="270" w:lineRule="auto"/>
        <w:rPr>
          <w:sz w:val="20"/>
          <w:szCs w:val="20"/>
          <w:color w:val="auto"/>
        </w:rPr>
      </w:pPr>
      <w:r>
        <w:rPr>
          <w:rFonts w:ascii="Times New Roman" w:cs="Times New Roman" w:eastAsia="Times New Roman" w:hAnsi="Times New Roman"/>
          <w:sz w:val="14"/>
          <w:szCs w:val="14"/>
          <w:color w:val="auto"/>
        </w:rPr>
        <w:t>The fair value of restricted stock grants, including performance restricted stock units that include non-market based performance conditions, is based on the closing market price of the Company's stock on the date of grant less the Company's expected dividend yield. The Company recognizes compensation costs for awards with performance conditions when it concludes it is probable that the performance conditions will be achieved. The Company reassesses the probability of vesting at each balance sheet date and adjusts compensation costs accordingly.</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Income Taxes</w:t>
      </w:r>
    </w:p>
    <w:p>
      <w:pPr>
        <w:spacing w:after="0" w:line="127" w:lineRule="exact"/>
        <w:rPr>
          <w:sz w:val="20"/>
          <w:szCs w:val="20"/>
          <w:color w:val="auto"/>
        </w:rPr>
      </w:pPr>
    </w:p>
    <w:p>
      <w:pPr>
        <w:ind w:right="80" w:firstLine="255"/>
        <w:spacing w:after="0" w:line="259" w:lineRule="auto"/>
        <w:rPr>
          <w:sz w:val="20"/>
          <w:szCs w:val="20"/>
          <w:color w:val="auto"/>
        </w:rPr>
      </w:pPr>
      <w:r>
        <w:rPr>
          <w:rFonts w:ascii="Times New Roman" w:cs="Times New Roman" w:eastAsia="Times New Roman" w:hAnsi="Times New Roman"/>
          <w:sz w:val="14"/>
          <w:szCs w:val="14"/>
          <w:color w:val="auto"/>
        </w:rPr>
        <w:t>Income taxes are accounted for under the asset and liability method. Deferred tax assets and liabilities are recognized for the future tax consequences attributable to differences between the financial statement carrying amounts of existing assets and liabilities and their respective tax bases and operating loss and tax credit carry forwards. Deferred tax assets and liabilities are measured using statutory tax rates expected to apply to taxable income in the years in which those temporary differences are expected to be recovered or settled, updated as needed for changes in corporate tax rates. The effect on deferred tax assets and liabilities from a change in tax rates is recognized in income in the period that includes the effective date of the change. The Company recognizes tax liabilities or benefits from an uncertain position only if it is more likely than not that the position will be sustained upon examination by taxing authorities based on the technical merits of the issue. The amount recognized would be the largest liability or benefit that the Company believes has greater than a 50% likelihood of being realized upon settlement.</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Income Per Share</w:t>
      </w:r>
    </w:p>
    <w:p>
      <w:pPr>
        <w:spacing w:after="0" w:line="127" w:lineRule="exact"/>
        <w:rPr>
          <w:sz w:val="20"/>
          <w:szCs w:val="20"/>
          <w:color w:val="auto"/>
        </w:rPr>
      </w:pPr>
    </w:p>
    <w:p>
      <w:pPr>
        <w:ind w:right="240" w:firstLine="255"/>
        <w:spacing w:after="0" w:line="287" w:lineRule="auto"/>
        <w:rPr>
          <w:sz w:val="20"/>
          <w:szCs w:val="20"/>
          <w:color w:val="auto"/>
        </w:rPr>
      </w:pPr>
      <w:r>
        <w:rPr>
          <w:rFonts w:ascii="Times New Roman" w:cs="Times New Roman" w:eastAsia="Times New Roman" w:hAnsi="Times New Roman"/>
          <w:sz w:val="14"/>
          <w:szCs w:val="14"/>
          <w:color w:val="auto"/>
        </w:rPr>
        <w:t>Basic income per common share is computed by dividing net income by the weighted-average number of common shares outstanding during the period, less unvested restricted stock awards. Diluted income per common share is computed by dividing</w:t>
      </w:r>
    </w:p>
    <w:p>
      <w:pPr>
        <w:spacing w:after="0" w:line="200" w:lineRule="exact"/>
        <w:rPr>
          <w:sz w:val="20"/>
          <w:szCs w:val="20"/>
          <w:color w:val="auto"/>
        </w:rPr>
      </w:pPr>
    </w:p>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2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844"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4"/>
          <w:szCs w:val="14"/>
          <w:color w:val="auto"/>
        </w:rPr>
        <w:t>net income by the weighted-average common shares and potentially dilutive common share equivalents using the treasury stock method.</w:t>
      </w:r>
    </w:p>
    <w:p>
      <w:pPr>
        <w:spacing w:after="0" w:line="115" w:lineRule="exact"/>
        <w:rPr>
          <w:sz w:val="20"/>
          <w:szCs w:val="20"/>
          <w:color w:val="auto"/>
        </w:rPr>
      </w:pPr>
    </w:p>
    <w:p>
      <w:pPr>
        <w:ind w:right="140" w:firstLine="255"/>
        <w:spacing w:after="0" w:line="287" w:lineRule="auto"/>
        <w:rPr>
          <w:sz w:val="20"/>
          <w:szCs w:val="20"/>
          <w:color w:val="auto"/>
        </w:rPr>
      </w:pPr>
      <w:r>
        <w:rPr>
          <w:rFonts w:ascii="Times New Roman" w:cs="Times New Roman" w:eastAsia="Times New Roman" w:hAnsi="Times New Roman"/>
          <w:sz w:val="14"/>
          <w:szCs w:val="14"/>
          <w:color w:val="auto"/>
        </w:rPr>
        <w:t>For the fiscal years ended June 30, 2024 and 2023, the effects of approximately 13,000 and 0.2 million common shares, respectively, issuable upon exercise of options and non-vested shares of restricted stock, are not included in the computations as their effect was anti-dilutive.</w:t>
      </w:r>
    </w:p>
    <w:p>
      <w:pPr>
        <w:spacing w:after="0" w:line="71" w:lineRule="exact"/>
        <w:rPr>
          <w:sz w:val="20"/>
          <w:szCs w:val="20"/>
          <w:color w:val="auto"/>
        </w:rPr>
      </w:pPr>
    </w:p>
    <w:p>
      <w:pPr>
        <w:ind w:right="120" w:firstLine="255"/>
        <w:spacing w:after="0" w:line="287" w:lineRule="auto"/>
        <w:rPr>
          <w:sz w:val="20"/>
          <w:szCs w:val="20"/>
          <w:color w:val="auto"/>
        </w:rPr>
      </w:pPr>
      <w:r>
        <w:rPr>
          <w:rFonts w:ascii="Times New Roman" w:cs="Times New Roman" w:eastAsia="Times New Roman" w:hAnsi="Times New Roman"/>
          <w:sz w:val="14"/>
          <w:szCs w:val="14"/>
          <w:color w:val="auto"/>
        </w:rPr>
        <w:t>The following is a reconciliation of net income per share and the weighted-average common shares outstanding for purposes of computing basic and diluted net income per share (in thousands, except per share amounts):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7120" w:type="dxa"/>
            <w:vAlign w:val="bottom"/>
          </w:tcPr>
          <w:p>
            <w:pPr>
              <w:spacing w:after="0"/>
              <w:rPr>
                <w:sz w:val="13"/>
                <w:szCs w:val="13"/>
                <w:color w:val="auto"/>
              </w:rPr>
            </w:pPr>
          </w:p>
        </w:tc>
        <w:tc>
          <w:tcPr>
            <w:tcW w:w="134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gridSpan w:val="3"/>
          </w:tcPr>
          <w:p>
            <w:pPr>
              <w:jc w:val="right"/>
              <w:ind w:right="149"/>
              <w:spacing w:after="0"/>
              <w:rPr>
                <w:sz w:val="20"/>
                <w:szCs w:val="20"/>
                <w:color w:val="auto"/>
              </w:rPr>
            </w:pPr>
            <w:r>
              <w:rPr>
                <w:rFonts w:ascii="Times New Roman" w:cs="Times New Roman" w:eastAsia="Times New Roman" w:hAnsi="Times New Roman"/>
                <w:sz w:val="11"/>
                <w:szCs w:val="11"/>
                <w:b w:val="1"/>
                <w:bCs w:val="1"/>
                <w:color w:val="auto"/>
              </w:rPr>
              <w:t>Years ended June 30,</w:t>
            </w:r>
          </w:p>
        </w:tc>
        <w:tc>
          <w:tcPr>
            <w:tcW w:w="13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7120" w:type="dxa"/>
            <w:vAlign w:val="bottom"/>
            <w:tcBorders>
              <w:bottom w:val="single" w:sz="8" w:color="CCEEFF"/>
            </w:tcBorders>
          </w:tcPr>
          <w:p>
            <w:pPr>
              <w:spacing w:after="0"/>
              <w:rPr>
                <w:sz w:val="13"/>
                <w:szCs w:val="13"/>
                <w:color w:val="auto"/>
              </w:rPr>
            </w:pPr>
          </w:p>
        </w:tc>
        <w:tc>
          <w:tcPr>
            <w:tcW w:w="1340" w:type="dxa"/>
            <w:vAlign w:val="bottom"/>
            <w:tcBorders>
              <w:bottom w:val="single" w:sz="8" w:color="auto"/>
            </w:tcBorders>
          </w:tcPr>
          <w:p>
            <w:pPr>
              <w:jc w:val="right"/>
              <w:ind w:right="153"/>
              <w:spacing w:after="0"/>
              <w:rPr>
                <w:sz w:val="20"/>
                <w:szCs w:val="20"/>
                <w:color w:val="auto"/>
              </w:rPr>
            </w:pPr>
            <w:r>
              <w:rPr>
                <w:rFonts w:ascii="Times New Roman" w:cs="Times New Roman" w:eastAsia="Times New Roman" w:hAnsi="Times New Roman"/>
                <w:sz w:val="11"/>
                <w:szCs w:val="11"/>
                <w:b w:val="1"/>
                <w:bCs w:val="1"/>
                <w:color w:val="auto"/>
              </w:rPr>
              <w:t>2024</w:t>
            </w:r>
          </w:p>
        </w:tc>
        <w:tc>
          <w:tcPr>
            <w:tcW w:w="68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jc w:val="right"/>
              <w:ind w:right="831"/>
              <w:spacing w:after="0"/>
              <w:rPr>
                <w:sz w:val="20"/>
                <w:szCs w:val="20"/>
                <w:color w:val="auto"/>
              </w:rPr>
            </w:pPr>
            <w:r>
              <w:rPr>
                <w:rFonts w:ascii="Times New Roman" w:cs="Times New Roman" w:eastAsia="Times New Roman" w:hAnsi="Times New Roman"/>
                <w:sz w:val="11"/>
                <w:szCs w:val="11"/>
                <w:b w:val="1"/>
                <w:bCs w:val="1"/>
                <w:color w:val="auto"/>
              </w:rPr>
              <w:t>2023</w:t>
            </w:r>
          </w:p>
        </w:tc>
        <w:tc>
          <w:tcPr>
            <w:tcW w:w="0" w:type="dxa"/>
            <w:vAlign w:val="bottom"/>
          </w:tcPr>
          <w:p>
            <w:pPr>
              <w:spacing w:after="0"/>
              <w:rPr>
                <w:sz w:val="1"/>
                <w:szCs w:val="1"/>
                <w:color w:val="auto"/>
              </w:rPr>
            </w:pPr>
          </w:p>
        </w:tc>
      </w:tr>
      <w:tr>
        <w:trPr>
          <w:trHeight w:val="166"/>
        </w:trPr>
        <w:tc>
          <w:tcPr>
            <w:tcW w:w="7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Numerator:</w:t>
            </w:r>
          </w:p>
        </w:tc>
        <w:tc>
          <w:tcPr>
            <w:tcW w:w="13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71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Net income</w:t>
            </w:r>
          </w:p>
        </w:tc>
        <w:tc>
          <w:tcPr>
            <w:tcW w:w="1340" w:type="dxa"/>
            <w:vAlign w:val="bottom"/>
          </w:tcPr>
          <w:p>
            <w:pPr>
              <w:jc w:val="right"/>
              <w:ind w:right="1193"/>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2,937</w:t>
            </w:r>
          </w:p>
        </w:tc>
        <w:tc>
          <w:tcPr>
            <w:tcW w:w="100" w:type="dxa"/>
            <w:vAlign w:val="bottom"/>
          </w:tcPr>
          <w:p>
            <w:pPr>
              <w:spacing w:after="0"/>
              <w:rPr>
                <w:sz w:val="15"/>
                <w:szCs w:val="15"/>
                <w:color w:val="auto"/>
              </w:rPr>
            </w:pPr>
          </w:p>
        </w:tc>
        <w:tc>
          <w:tcPr>
            <w:tcW w:w="680" w:type="dxa"/>
            <w:vAlign w:val="bottom"/>
          </w:tcPr>
          <w:p>
            <w:pPr>
              <w:jc w:val="right"/>
              <w:ind w:right="529"/>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2,540</w:t>
            </w:r>
          </w:p>
        </w:tc>
        <w:tc>
          <w:tcPr>
            <w:tcW w:w="0" w:type="dxa"/>
            <w:vAlign w:val="bottom"/>
          </w:tcPr>
          <w:p>
            <w:pPr>
              <w:spacing w:after="0"/>
              <w:rPr>
                <w:sz w:val="1"/>
                <w:szCs w:val="1"/>
                <w:color w:val="auto"/>
              </w:rPr>
            </w:pPr>
          </w:p>
        </w:tc>
      </w:tr>
      <w:tr>
        <w:trPr>
          <w:trHeight w:val="180"/>
        </w:trPr>
        <w:tc>
          <w:tcPr>
            <w:tcW w:w="7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Denominator:</w:t>
            </w:r>
          </w:p>
        </w:tc>
        <w:tc>
          <w:tcPr>
            <w:tcW w:w="13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71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Basic weighted-average common shares outstanding</w:t>
            </w:r>
          </w:p>
        </w:tc>
        <w:tc>
          <w:tcPr>
            <w:tcW w:w="134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12,458</w:t>
            </w: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12,557</w:t>
            </w:r>
          </w:p>
        </w:tc>
        <w:tc>
          <w:tcPr>
            <w:tcW w:w="0" w:type="dxa"/>
            <w:vAlign w:val="bottom"/>
          </w:tcPr>
          <w:p>
            <w:pPr>
              <w:spacing w:after="0"/>
              <w:rPr>
                <w:sz w:val="1"/>
                <w:szCs w:val="1"/>
                <w:color w:val="auto"/>
              </w:rPr>
            </w:pPr>
          </w:p>
        </w:tc>
      </w:tr>
      <w:tr>
        <w:trPr>
          <w:trHeight w:val="180"/>
        </w:trPr>
        <w:tc>
          <w:tcPr>
            <w:tcW w:w="7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Effect of dilutive securities:</w:t>
            </w:r>
          </w:p>
        </w:tc>
        <w:tc>
          <w:tcPr>
            <w:tcW w:w="13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7120" w:type="dxa"/>
            <w:vAlign w:val="bottom"/>
            <w:tcBorders>
              <w:bottom w:val="single" w:sz="8" w:color="CCEEFF"/>
            </w:tcBorders>
          </w:tcPr>
          <w:p>
            <w:pPr>
              <w:ind w:left="280"/>
              <w:spacing w:after="0"/>
              <w:rPr>
                <w:sz w:val="20"/>
                <w:szCs w:val="20"/>
                <w:color w:val="auto"/>
              </w:rPr>
            </w:pPr>
            <w:r>
              <w:rPr>
                <w:rFonts w:ascii="Times New Roman" w:cs="Times New Roman" w:eastAsia="Times New Roman" w:hAnsi="Times New Roman"/>
                <w:sz w:val="14"/>
                <w:szCs w:val="14"/>
                <w:color w:val="auto"/>
              </w:rPr>
              <w:t>Stock awards and options</w:t>
            </w:r>
          </w:p>
        </w:tc>
        <w:tc>
          <w:tcPr>
            <w:tcW w:w="134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528</w:t>
            </w:r>
          </w:p>
        </w:tc>
        <w:tc>
          <w:tcPr>
            <w:tcW w:w="100" w:type="dxa"/>
            <w:vAlign w:val="bottom"/>
            <w:tcBorders>
              <w:bottom w:val="single" w:sz="8" w:color="CCEEFF"/>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0" w:type="dxa"/>
            <w:vAlign w:val="bottom"/>
          </w:tcPr>
          <w:p>
            <w:pPr>
              <w:spacing w:after="0"/>
              <w:rPr>
                <w:sz w:val="1"/>
                <w:szCs w:val="1"/>
                <w:color w:val="auto"/>
              </w:rPr>
            </w:pPr>
          </w:p>
        </w:tc>
      </w:tr>
      <w:tr>
        <w:trPr>
          <w:trHeight w:val="196"/>
        </w:trPr>
        <w:tc>
          <w:tcPr>
            <w:tcW w:w="7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Diluted weighted-average common shares outstanding</w:t>
            </w:r>
          </w:p>
        </w:tc>
        <w:tc>
          <w:tcPr>
            <w:tcW w:w="1340" w:type="dxa"/>
            <w:vAlign w:val="bottom"/>
            <w:tcBorders>
              <w:bottom w:val="single" w:sz="8" w:color="auto"/>
            </w:tcBorders>
            <w:shd w:val="clear" w:color="auto" w:fill="CCEEFF"/>
          </w:tcPr>
          <w:p>
            <w:pPr>
              <w:spacing w:after="0"/>
              <w:rPr>
                <w:sz w:val="16"/>
                <w:szCs w:val="16"/>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12,986</w:t>
            </w:r>
          </w:p>
        </w:tc>
        <w:tc>
          <w:tcPr>
            <w:tcW w:w="10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auto"/>
            </w:tcBorders>
            <w:shd w:val="clear" w:color="auto" w:fill="CCEEFF"/>
          </w:tcPr>
          <w:p>
            <w:pPr>
              <w:spacing w:after="0"/>
              <w:rPr>
                <w:sz w:val="16"/>
                <w:szCs w:val="16"/>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12,567</w:t>
            </w:r>
          </w:p>
        </w:tc>
        <w:tc>
          <w:tcPr>
            <w:tcW w:w="0" w:type="dxa"/>
            <w:vAlign w:val="bottom"/>
          </w:tcPr>
          <w:p>
            <w:pPr>
              <w:spacing w:after="0"/>
              <w:rPr>
                <w:sz w:val="1"/>
                <w:szCs w:val="1"/>
                <w:color w:val="auto"/>
              </w:rPr>
            </w:pPr>
          </w:p>
        </w:tc>
      </w:tr>
      <w:tr>
        <w:trPr>
          <w:trHeight w:val="20"/>
        </w:trPr>
        <w:tc>
          <w:tcPr>
            <w:tcW w:w="7120" w:type="dxa"/>
            <w:vAlign w:val="bottom"/>
            <w:tcBorders>
              <w:top w:val="single" w:sz="8" w:color="CCEEFF"/>
              <w:bottom w:val="single" w:sz="8" w:color="CCEEFF"/>
            </w:tcBorders>
            <w:vMerge w:val="restart"/>
          </w:tcPr>
          <w:p>
            <w:pPr>
              <w:ind w:left="280"/>
              <w:spacing w:after="0"/>
              <w:rPr>
                <w:sz w:val="20"/>
                <w:szCs w:val="20"/>
                <w:color w:val="auto"/>
              </w:rPr>
            </w:pPr>
            <w:r>
              <w:rPr>
                <w:rFonts w:ascii="Times New Roman" w:cs="Times New Roman" w:eastAsia="Times New Roman" w:hAnsi="Times New Roman"/>
                <w:sz w:val="14"/>
                <w:szCs w:val="14"/>
                <w:color w:val="auto"/>
              </w:rPr>
              <w:t>Net income per share, basic</w:t>
            </w: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7120" w:type="dxa"/>
            <w:vAlign w:val="bottom"/>
            <w:vMerge w:val="continue"/>
          </w:tcPr>
          <w:p>
            <w:pPr>
              <w:spacing w:after="0"/>
              <w:rPr>
                <w:sz w:val="12"/>
                <w:szCs w:val="12"/>
                <w:color w:val="auto"/>
              </w:rPr>
            </w:pPr>
          </w:p>
        </w:tc>
        <w:tc>
          <w:tcPr>
            <w:tcW w:w="1340" w:type="dxa"/>
            <w:vAlign w:val="bottom"/>
            <w:tcBorders>
              <w:bottom w:val="single" w:sz="8" w:color="auto"/>
            </w:tcBorders>
          </w:tcPr>
          <w:p>
            <w:pPr>
              <w:jc w:val="right"/>
              <w:ind w:right="1193"/>
              <w:spacing w:after="0" w:line="143" w:lineRule="exact"/>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rPr>
              <w:t>0.24</w:t>
            </w:r>
          </w:p>
        </w:tc>
        <w:tc>
          <w:tcPr>
            <w:tcW w:w="100" w:type="dxa"/>
            <w:vAlign w:val="bottom"/>
          </w:tcPr>
          <w:p>
            <w:pPr>
              <w:spacing w:after="0"/>
              <w:rPr>
                <w:sz w:val="12"/>
                <w:szCs w:val="12"/>
                <w:color w:val="auto"/>
              </w:rPr>
            </w:pPr>
          </w:p>
        </w:tc>
        <w:tc>
          <w:tcPr>
            <w:tcW w:w="680" w:type="dxa"/>
            <w:vAlign w:val="bottom"/>
            <w:tcBorders>
              <w:bottom w:val="single" w:sz="8" w:color="auto"/>
            </w:tcBorders>
          </w:tcPr>
          <w:p>
            <w:pPr>
              <w:jc w:val="right"/>
              <w:ind w:right="529"/>
              <w:spacing w:after="0" w:line="143" w:lineRule="exact"/>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Borders>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rPr>
              <w:t>0.20</w:t>
            </w:r>
          </w:p>
        </w:tc>
        <w:tc>
          <w:tcPr>
            <w:tcW w:w="0" w:type="dxa"/>
            <w:vAlign w:val="bottom"/>
          </w:tcPr>
          <w:p>
            <w:pPr>
              <w:spacing w:after="0"/>
              <w:rPr>
                <w:sz w:val="1"/>
                <w:szCs w:val="1"/>
                <w:color w:val="auto"/>
              </w:rPr>
            </w:pPr>
          </w:p>
        </w:tc>
      </w:tr>
      <w:tr>
        <w:trPr>
          <w:trHeight w:val="20"/>
        </w:trPr>
        <w:tc>
          <w:tcPr>
            <w:tcW w:w="7120" w:type="dxa"/>
            <w:vAlign w:val="bottom"/>
            <w:tcBorders>
              <w:bottom w:val="single" w:sz="8" w:color="CCEEFF"/>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71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Net income per share, diluted</w:t>
            </w:r>
          </w:p>
        </w:tc>
        <w:tc>
          <w:tcPr>
            <w:tcW w:w="1340" w:type="dxa"/>
            <w:vAlign w:val="bottom"/>
            <w:tcBorders>
              <w:bottom w:val="single" w:sz="8" w:color="auto"/>
            </w:tcBorders>
            <w:shd w:val="clear" w:color="auto" w:fill="CCEEFF"/>
          </w:tcPr>
          <w:p>
            <w:pPr>
              <w:jc w:val="right"/>
              <w:ind w:right="1193"/>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0.23</w:t>
            </w:r>
          </w:p>
        </w:tc>
        <w:tc>
          <w:tcPr>
            <w:tcW w:w="10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jc w:val="right"/>
              <w:ind w:right="529"/>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0.20</w:t>
            </w:r>
          </w:p>
        </w:tc>
        <w:tc>
          <w:tcPr>
            <w:tcW w:w="0" w:type="dxa"/>
            <w:vAlign w:val="bottom"/>
          </w:tcPr>
          <w:p>
            <w:pPr>
              <w:spacing w:after="0"/>
              <w:rPr>
                <w:sz w:val="1"/>
                <w:szCs w:val="1"/>
                <w:color w:val="auto"/>
              </w:rPr>
            </w:pPr>
          </w:p>
        </w:tc>
      </w:tr>
      <w:tr>
        <w:trPr>
          <w:trHeight w:val="20"/>
        </w:trPr>
        <w:tc>
          <w:tcPr>
            <w:tcW w:w="712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Segment Information</w:t>
      </w:r>
    </w:p>
    <w:p>
      <w:pPr>
        <w:spacing w:after="0" w:line="117" w:lineRule="exact"/>
        <w:rPr>
          <w:sz w:val="20"/>
          <w:szCs w:val="20"/>
          <w:color w:val="auto"/>
        </w:rPr>
      </w:pPr>
    </w:p>
    <w:p>
      <w:pPr>
        <w:ind w:right="100" w:firstLine="255"/>
        <w:spacing w:after="0" w:line="264" w:lineRule="auto"/>
        <w:rPr>
          <w:sz w:val="20"/>
          <w:szCs w:val="20"/>
          <w:color w:val="auto"/>
        </w:rPr>
      </w:pPr>
      <w:r>
        <w:rPr>
          <w:rFonts w:ascii="Times New Roman" w:cs="Times New Roman" w:eastAsia="Times New Roman" w:hAnsi="Times New Roman"/>
          <w:sz w:val="14"/>
          <w:szCs w:val="14"/>
          <w:color w:val="auto"/>
        </w:rPr>
        <w:t>The Company operates in a single operating segment by selling products directly to customers through an international network of independent consultants that operates in an integrated manner from market to market. Commissions and incentives expenses are the Company’s largest expense comprised of the commissions paid to its independent consultants. The Company manages its business primarily by managing its international network of independent consultants. The Company disaggregates revenue in two geographic regions: the Americas region and the Asia/Pacific and Europe region. See disaggregated revenue in Note 3.</w:t>
      </w:r>
    </w:p>
    <w:p>
      <w:pPr>
        <w:spacing w:after="0" w:line="8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following table presents the Company's long-lived assets for its most significant geographic markets (in thousands):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7120" w:type="dxa"/>
            <w:vAlign w:val="bottom"/>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2160" w:type="dxa"/>
            <w:vAlign w:val="bottom"/>
            <w:tcBorders>
              <w:bottom w:val="single" w:sz="8" w:color="auto"/>
            </w:tcBorders>
            <w:gridSpan w:val="3"/>
          </w:tcPr>
          <w:p>
            <w:pPr>
              <w:jc w:val="right"/>
              <w:ind w:right="309"/>
              <w:spacing w:after="0"/>
              <w:rPr>
                <w:sz w:val="20"/>
                <w:szCs w:val="20"/>
                <w:color w:val="auto"/>
              </w:rPr>
            </w:pPr>
            <w:r>
              <w:rPr>
                <w:rFonts w:ascii="Times New Roman" w:cs="Times New Roman" w:eastAsia="Times New Roman" w:hAnsi="Times New Roman"/>
                <w:sz w:val="11"/>
                <w:szCs w:val="11"/>
                <w:b w:val="1"/>
                <w:bCs w:val="1"/>
                <w:color w:val="auto"/>
              </w:rPr>
              <w:t>June 30,</w:t>
            </w:r>
          </w:p>
        </w:tc>
        <w:tc>
          <w:tcPr>
            <w:tcW w:w="1500" w:type="dxa"/>
            <w:vAlign w:val="bottom"/>
            <w:tcBorders>
              <w:bottom w:val="single" w:sz="8" w:color="auto"/>
            </w:tcBorders>
          </w:tcPr>
          <w:p>
            <w:pPr>
              <w:spacing w:after="0"/>
              <w:rPr>
                <w:sz w:val="13"/>
                <w:szCs w:val="13"/>
                <w:color w:val="auto"/>
              </w:rPr>
            </w:pPr>
          </w:p>
        </w:tc>
      </w:tr>
      <w:tr>
        <w:trPr>
          <w:trHeight w:val="154"/>
        </w:trPr>
        <w:tc>
          <w:tcPr>
            <w:tcW w:w="7120" w:type="dxa"/>
            <w:vAlign w:val="bottom"/>
            <w:tcBorders>
              <w:bottom w:val="single" w:sz="8" w:color="CCEEFF"/>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1540" w:type="dxa"/>
            <w:vAlign w:val="bottom"/>
            <w:tcBorders>
              <w:bottom w:val="single" w:sz="8" w:color="auto"/>
            </w:tcBorders>
          </w:tcPr>
          <w:p>
            <w:pPr>
              <w:jc w:val="right"/>
              <w:ind w:right="836"/>
              <w:spacing w:after="0"/>
              <w:rPr>
                <w:sz w:val="20"/>
                <w:szCs w:val="20"/>
                <w:color w:val="auto"/>
              </w:rPr>
            </w:pPr>
            <w:r>
              <w:rPr>
                <w:rFonts w:ascii="Times New Roman" w:cs="Times New Roman" w:eastAsia="Times New Roman" w:hAnsi="Times New Roman"/>
                <w:sz w:val="11"/>
                <w:szCs w:val="11"/>
                <w:b w:val="1"/>
                <w:bCs w:val="1"/>
                <w:color w:val="auto"/>
              </w:rPr>
              <w:t>2024</w:t>
            </w:r>
          </w:p>
        </w:tc>
        <w:tc>
          <w:tcPr>
            <w:tcW w:w="100" w:type="dxa"/>
            <w:vAlign w:val="bottom"/>
            <w:tcBorders>
              <w:bottom w:val="single" w:sz="8" w:color="CCEEFF"/>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1500" w:type="dxa"/>
            <w:vAlign w:val="bottom"/>
            <w:tcBorders>
              <w:bottom w:val="single" w:sz="8" w:color="auto"/>
            </w:tcBorders>
          </w:tcPr>
          <w:p>
            <w:pPr>
              <w:jc w:val="right"/>
              <w:ind w:right="834"/>
              <w:spacing w:after="0"/>
              <w:rPr>
                <w:sz w:val="20"/>
                <w:szCs w:val="20"/>
                <w:color w:val="auto"/>
              </w:rPr>
            </w:pPr>
            <w:r>
              <w:rPr>
                <w:rFonts w:ascii="Times New Roman" w:cs="Times New Roman" w:eastAsia="Times New Roman" w:hAnsi="Times New Roman"/>
                <w:sz w:val="11"/>
                <w:szCs w:val="11"/>
                <w:b w:val="1"/>
                <w:bCs w:val="1"/>
                <w:color w:val="auto"/>
              </w:rPr>
              <w:t>2023</w:t>
            </w:r>
          </w:p>
        </w:tc>
      </w:tr>
      <w:tr>
        <w:trPr>
          <w:trHeight w:val="176"/>
        </w:trPr>
        <w:tc>
          <w:tcPr>
            <w:tcW w:w="7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United States</w:t>
            </w:r>
          </w:p>
        </w:tc>
        <w:tc>
          <w:tcPr>
            <w:tcW w:w="480" w:type="dxa"/>
            <w:vAlign w:val="bottom"/>
            <w:shd w:val="clear" w:color="auto" w:fill="CCEEFF"/>
          </w:tcPr>
          <w:p>
            <w:pPr>
              <w:jc w:val="right"/>
              <w:ind w:right="329"/>
              <w:spacing w:after="0"/>
              <w:rPr>
                <w:sz w:val="20"/>
                <w:szCs w:val="20"/>
                <w:color w:val="auto"/>
              </w:rPr>
            </w:pPr>
            <w:r>
              <w:rPr>
                <w:rFonts w:ascii="Times New Roman" w:cs="Times New Roman" w:eastAsia="Times New Roman" w:hAnsi="Times New Roman"/>
                <w:sz w:val="14"/>
                <w:szCs w:val="14"/>
                <w:color w:val="auto"/>
                <w:w w:val="85"/>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19,216</w:t>
            </w: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jc w:val="right"/>
              <w:ind w:right="369"/>
              <w:spacing w:after="0"/>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20,504</w:t>
            </w:r>
          </w:p>
        </w:tc>
      </w:tr>
      <w:tr>
        <w:trPr>
          <w:trHeight w:val="184"/>
        </w:trPr>
        <w:tc>
          <w:tcPr>
            <w:tcW w:w="7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Japan</w:t>
            </w:r>
          </w:p>
        </w:tc>
        <w:tc>
          <w:tcPr>
            <w:tcW w:w="480" w:type="dxa"/>
            <w:vAlign w:val="bottom"/>
          </w:tcPr>
          <w:p>
            <w:pPr>
              <w:jc w:val="right"/>
              <w:ind w:right="329"/>
              <w:spacing w:after="0"/>
              <w:rPr>
                <w:sz w:val="20"/>
                <w:szCs w:val="20"/>
                <w:color w:val="auto"/>
              </w:rPr>
            </w:pPr>
            <w:r>
              <w:rPr>
                <w:rFonts w:ascii="Times New Roman" w:cs="Times New Roman" w:eastAsia="Times New Roman" w:hAnsi="Times New Roman"/>
                <w:sz w:val="14"/>
                <w:szCs w:val="14"/>
                <w:color w:val="auto"/>
                <w:w w:val="85"/>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1,925</w:t>
            </w:r>
          </w:p>
        </w:tc>
        <w:tc>
          <w:tcPr>
            <w:tcW w:w="100" w:type="dxa"/>
            <w:vAlign w:val="bottom"/>
          </w:tcPr>
          <w:p>
            <w:pPr>
              <w:spacing w:after="0"/>
              <w:rPr>
                <w:sz w:val="16"/>
                <w:szCs w:val="16"/>
                <w:color w:val="auto"/>
              </w:rPr>
            </w:pPr>
          </w:p>
        </w:tc>
        <w:tc>
          <w:tcPr>
            <w:tcW w:w="520" w:type="dxa"/>
            <w:vAlign w:val="bottom"/>
          </w:tcPr>
          <w:p>
            <w:pPr>
              <w:jc w:val="right"/>
              <w:ind w:right="369"/>
              <w:spacing w:after="0"/>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354</w:t>
            </w:r>
          </w:p>
        </w:tc>
      </w:tr>
    </w:tbl>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New Accounting Pronouncements</w:t>
      </w:r>
    </w:p>
    <w:p>
      <w:pPr>
        <w:spacing w:after="0" w:line="117" w:lineRule="exact"/>
        <w:rPr>
          <w:sz w:val="20"/>
          <w:szCs w:val="20"/>
          <w:color w:val="auto"/>
        </w:rPr>
      </w:pPr>
    </w:p>
    <w:p>
      <w:pPr>
        <w:ind w:right="20" w:firstLine="255"/>
        <w:spacing w:after="0" w:line="261" w:lineRule="auto"/>
        <w:rPr>
          <w:sz w:val="20"/>
          <w:szCs w:val="20"/>
          <w:color w:val="auto"/>
        </w:rPr>
      </w:pPr>
      <w:r>
        <w:rPr>
          <w:rFonts w:ascii="Times New Roman" w:cs="Times New Roman" w:eastAsia="Times New Roman" w:hAnsi="Times New Roman"/>
          <w:sz w:val="14"/>
          <w:szCs w:val="14"/>
          <w:color w:val="auto"/>
        </w:rPr>
        <w:t>In November 2023, the Financial Accounting Standards Board ("FASB") issued Accounting Standards Update ("ASU") 2023-07, Segment Reporting (Topic 280): Improvements to Reportable Segment Disclosures (ASU 2023-07), expanding segment disclosure requirements. The amendments require enhanced disclosure for certain segment items and required disclosure on how management uses reported measures to assess segment performance. The amendments do not change how segments are determined, aggregated, or how thresholds are applied to determine reportable segments. ASU 2023-07 is effective for the Company’s annual periods beginning July 1, 2024, and for interim periods beginning July 1, 2025, with early adoption permitted. The Company is currently evaluating the potential effect that the updated standard will have on its financial statement disclosures.</w:t>
      </w:r>
    </w:p>
    <w:p>
      <w:pPr>
        <w:spacing w:after="0" w:line="90" w:lineRule="exact"/>
        <w:rPr>
          <w:sz w:val="20"/>
          <w:szCs w:val="20"/>
          <w:color w:val="auto"/>
        </w:rPr>
      </w:pPr>
    </w:p>
    <w:p>
      <w:pPr>
        <w:ind w:right="140" w:firstLine="255"/>
        <w:spacing w:after="0" w:line="264" w:lineRule="auto"/>
        <w:rPr>
          <w:sz w:val="20"/>
          <w:szCs w:val="20"/>
          <w:color w:val="auto"/>
        </w:rPr>
      </w:pPr>
      <w:r>
        <w:rPr>
          <w:rFonts w:ascii="Times New Roman" w:cs="Times New Roman" w:eastAsia="Times New Roman" w:hAnsi="Times New Roman"/>
          <w:sz w:val="14"/>
          <w:szCs w:val="14"/>
          <w:color w:val="auto"/>
        </w:rPr>
        <w:t>In December 2023, the FASB issued ASU 2023-09, Income Taxes (Topic 740): Improvements to Income Tax Disclosures ("ASU 2023-09"). The guidance requires disclosure of disaggregated income taxes paid, prescribes standardized categories for the components of the effective tax rate reconciliation, and modifies other income tax-related disclosures. ASU 2023-09 is effective for the Company’s annual periods beginning July 1, 2025, with early adoption permitted. The Company is currently evaluating the potential effect that the updated standard will have on its financial statement disclosures.</w:t>
      </w:r>
    </w:p>
    <w:p>
      <w:pPr>
        <w:spacing w:after="0" w:line="8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Other recently issued accounting pronouncements did not or are not believed by management to have a material impact on the Company's present or future financial statements.</w:t>
      </w:r>
    </w:p>
    <w:p>
      <w:pPr>
        <w:spacing w:after="0" w:line="200" w:lineRule="exact"/>
        <w:rPr>
          <w:sz w:val="20"/>
          <w:szCs w:val="20"/>
          <w:color w:val="auto"/>
        </w:rPr>
      </w:pPr>
    </w:p>
    <w:p>
      <w:pPr>
        <w:spacing w:after="0" w:line="3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3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846"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4"/>
          <w:szCs w:val="14"/>
          <w:b w:val="1"/>
          <w:bCs w:val="1"/>
          <w:color w:val="auto"/>
        </w:rPr>
        <w:t>Note 3 — Revenue</w:t>
      </w:r>
    </w:p>
    <w:p>
      <w:pPr>
        <w:spacing w:after="0" w:line="117" w:lineRule="exact"/>
        <w:rPr>
          <w:sz w:val="20"/>
          <w:szCs w:val="20"/>
          <w:color w:val="auto"/>
        </w:rPr>
      </w:pPr>
    </w:p>
    <w:p>
      <w:pPr>
        <w:ind w:right="440" w:firstLine="255"/>
        <w:spacing w:after="0" w:line="287" w:lineRule="auto"/>
        <w:rPr>
          <w:sz w:val="20"/>
          <w:szCs w:val="20"/>
          <w:color w:val="auto"/>
        </w:rPr>
      </w:pPr>
      <w:r>
        <w:rPr>
          <w:rFonts w:ascii="Times New Roman" w:cs="Times New Roman" w:eastAsia="Times New Roman" w:hAnsi="Times New Roman"/>
          <w:sz w:val="14"/>
          <w:szCs w:val="14"/>
          <w:color w:val="auto"/>
        </w:rPr>
        <w:t>Revenue is recognized when control of the promised goods or services are transferred to the customer, in an amount that reflects the consideration the Company expects to be entitled to in exchange for those goods or services. Sales, value add, and other taxes the Company collects concurrent with revenue-producing activities are excluded from revenue.</w:t>
      </w:r>
    </w:p>
    <w:p>
      <w:pPr>
        <w:spacing w:after="0" w:line="68" w:lineRule="exact"/>
        <w:rPr>
          <w:sz w:val="20"/>
          <w:szCs w:val="20"/>
          <w:color w:val="auto"/>
        </w:rPr>
      </w:pPr>
    </w:p>
    <w:p>
      <w:pPr>
        <w:ind w:right="60" w:firstLine="318"/>
        <w:spacing w:after="0" w:line="234" w:lineRule="auto"/>
        <w:rPr>
          <w:sz w:val="20"/>
          <w:szCs w:val="20"/>
          <w:color w:val="auto"/>
        </w:rPr>
      </w:pPr>
      <w:r>
        <w:rPr>
          <w:rFonts w:ascii="Times New Roman" w:cs="Times New Roman" w:eastAsia="Times New Roman" w:hAnsi="Times New Roman"/>
          <w:sz w:val="14"/>
          <w:szCs w:val="14"/>
          <w:color w:val="auto"/>
        </w:rPr>
        <w:t>The Company generates the majority of its revenue through product sales to customers. These products include the Protandim</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line of dietary supplements, LifeVantage</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Omega+, ProBio, IC Bright</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Daily Wellness, Rise AM, Reset PM, D3+, and PhysIQ Fat Burn and Prebiotic dietary supplements, TrueScience</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skin and hair care products and Liquid Collagen, Petandim</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and AXIO</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nootropic energy drink mixes. The Company ships most of its product directly to the consumer and receives substantially all payment for product sales in the form of credit card receipts. Revenue from direct product sales to customers is recognized upon shipment, which is when passage of title and risk of loss occurs. For items sold in packs and bundles, the Company determines the standalone selling price at contract inception for each distinct good, and then allocates the transaction price on a relative standalone selling price basis. Any discounts are accounted for as a direct reduction to the transaction price. Shipping and handling revenue is recognized upon shipment when the performance obligation is completed.</w:t>
      </w:r>
    </w:p>
    <w:p>
      <w:pPr>
        <w:spacing w:after="0" w:line="107" w:lineRule="exact"/>
        <w:rPr>
          <w:sz w:val="20"/>
          <w:szCs w:val="20"/>
          <w:color w:val="auto"/>
        </w:rPr>
      </w:pPr>
    </w:p>
    <w:p>
      <w:pPr>
        <w:ind w:right="160" w:firstLine="255"/>
        <w:spacing w:after="0" w:line="264" w:lineRule="auto"/>
        <w:rPr>
          <w:sz w:val="20"/>
          <w:szCs w:val="20"/>
          <w:color w:val="auto"/>
        </w:rPr>
      </w:pPr>
      <w:r>
        <w:rPr>
          <w:rFonts w:ascii="Times New Roman" w:cs="Times New Roman" w:eastAsia="Times New Roman" w:hAnsi="Times New Roman"/>
          <w:sz w:val="14"/>
          <w:szCs w:val="14"/>
          <w:color w:val="auto"/>
        </w:rPr>
        <w:t>The Company also charges amounts to independent consultants to attend events that it holds. Tickets to events are sold as standalone items or included within packs. For event tickets sold in packs, the Company allocates a portion of the transaction price to the ticket on a relative standalone selling price basis, adjusted for the probability of the tickets being redeemed for attendance at a future event. Any discounts are accounted for as a direct reduction to the transaction price. Fee revenue associated with ticket sales is recorded in the month that the event is held, which is when the Company has performed its obligations under the contract.</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Deferred Revenue</w:t>
      </w:r>
    </w:p>
    <w:p>
      <w:pPr>
        <w:spacing w:after="0" w:line="127" w:lineRule="exact"/>
        <w:rPr>
          <w:sz w:val="20"/>
          <w:szCs w:val="20"/>
          <w:color w:val="auto"/>
        </w:rPr>
      </w:pPr>
    </w:p>
    <w:p>
      <w:pPr>
        <w:ind w:firstLine="255"/>
        <w:spacing w:after="0" w:line="270" w:lineRule="auto"/>
        <w:rPr>
          <w:sz w:val="20"/>
          <w:szCs w:val="20"/>
          <w:color w:val="auto"/>
        </w:rPr>
      </w:pPr>
      <w:r>
        <w:rPr>
          <w:rFonts w:ascii="Times New Roman" w:cs="Times New Roman" w:eastAsia="Times New Roman" w:hAnsi="Times New Roman"/>
          <w:sz w:val="14"/>
          <w:szCs w:val="14"/>
          <w:color w:val="auto"/>
        </w:rPr>
        <w:t>The Company launched its Rewards Circle loyalty program in the United States, Australia, New Zealand, and Japan in March 2023 and in Canada, Europe, and Mexico in February 2024. Contract liabilities, recorded as deferred revenue, include these loyalty program credit deferrals with certain customers which are accounted for as a reduction in the transaction price and are generally recognized as credits are redeemed for additional products at a later date.</w:t>
      </w:r>
    </w:p>
    <w:p>
      <w:pPr>
        <w:spacing w:after="0" w:line="83" w:lineRule="exact"/>
        <w:rPr>
          <w:sz w:val="20"/>
          <w:szCs w:val="20"/>
          <w:color w:val="auto"/>
        </w:rPr>
      </w:pPr>
    </w:p>
    <w:p>
      <w:pPr>
        <w:ind w:right="180" w:firstLine="255"/>
        <w:spacing w:after="0" w:line="270" w:lineRule="auto"/>
        <w:rPr>
          <w:sz w:val="20"/>
          <w:szCs w:val="20"/>
          <w:color w:val="auto"/>
        </w:rPr>
      </w:pPr>
      <w:r>
        <w:rPr>
          <w:rFonts w:ascii="Times New Roman" w:cs="Times New Roman" w:eastAsia="Times New Roman" w:hAnsi="Times New Roman"/>
          <w:sz w:val="14"/>
          <w:szCs w:val="14"/>
          <w:color w:val="auto"/>
        </w:rPr>
        <w:t>The Company also records deferred revenue when cash payments are received or due in advance of performance, including amounts which are refundable. The Company pre-sells tickets to its events. When cash payments are received in advance of events, the cash received is recorded to deferred revenue until the event is held, at which time the Company has performed its obligations under the contract and the revenue is recognized.</w:t>
      </w:r>
    </w:p>
    <w:p>
      <w:pPr>
        <w:spacing w:after="0" w:line="72" w:lineRule="exact"/>
        <w:rPr>
          <w:sz w:val="20"/>
          <w:szCs w:val="20"/>
          <w:color w:val="auto"/>
        </w:rPr>
      </w:pPr>
    </w:p>
    <w:p>
      <w:pPr>
        <w:ind w:right="500" w:firstLine="255"/>
        <w:spacing w:after="0" w:line="287" w:lineRule="auto"/>
        <w:rPr>
          <w:sz w:val="20"/>
          <w:szCs w:val="20"/>
          <w:color w:val="auto"/>
        </w:rPr>
      </w:pPr>
      <w:r>
        <w:rPr>
          <w:rFonts w:ascii="Times New Roman" w:cs="Times New Roman" w:eastAsia="Times New Roman" w:hAnsi="Times New Roman"/>
          <w:sz w:val="14"/>
          <w:szCs w:val="14"/>
          <w:color w:val="auto"/>
        </w:rPr>
        <w:t>Deferred revenue is included in accrued expenses in the consolidated balance sheets. The balance of deferred revenue related to contract liabilities was $0.9 million and $0.8 million as of June 30, 2024 and 2023, respectively. The contract liabilities impact to revenue for the years ended June 30, 2024 and 2023 was a decrease of $26,000 and $0.7 million, respectively.</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Sales Returns and Allowances</w:t>
      </w:r>
    </w:p>
    <w:p>
      <w:pPr>
        <w:spacing w:after="0" w:line="127" w:lineRule="exact"/>
        <w:rPr>
          <w:sz w:val="20"/>
          <w:szCs w:val="20"/>
          <w:color w:val="auto"/>
        </w:rPr>
      </w:pPr>
    </w:p>
    <w:p>
      <w:pPr>
        <w:ind w:right="20" w:firstLine="255"/>
        <w:spacing w:after="0" w:line="261" w:lineRule="auto"/>
        <w:rPr>
          <w:sz w:val="20"/>
          <w:szCs w:val="20"/>
          <w:color w:val="auto"/>
        </w:rPr>
      </w:pPr>
      <w:r>
        <w:rPr>
          <w:rFonts w:ascii="Times New Roman" w:cs="Times New Roman" w:eastAsia="Times New Roman" w:hAnsi="Times New Roman"/>
          <w:sz w:val="14"/>
          <w:szCs w:val="14"/>
          <w:color w:val="auto"/>
        </w:rPr>
        <w:t>Estimated returns are recorded when product is shipped. Subject to some exceptions based on local regulations, the Company’s return policy is to provide a full refund for product returned within 30 days. After 30 days of purchase, only unopened product that is in a resalable and restockable condition may be returned within twelve months of purchase and shall receive a 100% refund, less a 10% handling and restocking fee and any shipping and handling costs. The Company establishes a refund liability reserve, and an asset reserve for its right to recover products, based on historical experience. The returns asset reserve and returns liability reserve are evaluated on a quarterly basis. As of June 30, 2024 and 2023, the Company’s return liability reserve, net was $0.1 million and $0.1 million, respectively.</w:t>
      </w:r>
    </w:p>
    <w:p>
      <w:pPr>
        <w:spacing w:after="0" w:line="8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Reserves for sales returns consist of the following (in thousands):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7120" w:type="dxa"/>
            <w:vAlign w:val="bottom"/>
          </w:tcPr>
          <w:p>
            <w:pPr>
              <w:spacing w:after="0"/>
              <w:rPr>
                <w:sz w:val="13"/>
                <w:szCs w:val="13"/>
                <w:color w:val="auto"/>
              </w:rPr>
            </w:pPr>
          </w:p>
        </w:tc>
        <w:tc>
          <w:tcPr>
            <w:tcW w:w="134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gridSpan w:val="3"/>
          </w:tcPr>
          <w:p>
            <w:pPr>
              <w:jc w:val="right"/>
              <w:ind w:right="149"/>
              <w:spacing w:after="0"/>
              <w:rPr>
                <w:sz w:val="20"/>
                <w:szCs w:val="20"/>
                <w:color w:val="auto"/>
              </w:rPr>
            </w:pPr>
            <w:r>
              <w:rPr>
                <w:rFonts w:ascii="Times New Roman" w:cs="Times New Roman" w:eastAsia="Times New Roman" w:hAnsi="Times New Roman"/>
                <w:sz w:val="11"/>
                <w:szCs w:val="11"/>
                <w:b w:val="1"/>
                <w:bCs w:val="1"/>
                <w:color w:val="auto"/>
              </w:rPr>
              <w:t>Years ended June 30,</w:t>
            </w:r>
          </w:p>
        </w:tc>
        <w:tc>
          <w:tcPr>
            <w:tcW w:w="1340" w:type="dxa"/>
            <w:vAlign w:val="bottom"/>
            <w:tcBorders>
              <w:bottom w:val="single" w:sz="8" w:color="auto"/>
            </w:tcBorders>
          </w:tcPr>
          <w:p>
            <w:pPr>
              <w:spacing w:after="0"/>
              <w:rPr>
                <w:sz w:val="13"/>
                <w:szCs w:val="13"/>
                <w:color w:val="auto"/>
              </w:rPr>
            </w:pPr>
          </w:p>
        </w:tc>
      </w:tr>
      <w:tr>
        <w:trPr>
          <w:trHeight w:val="154"/>
        </w:trPr>
        <w:tc>
          <w:tcPr>
            <w:tcW w:w="7120" w:type="dxa"/>
            <w:vAlign w:val="bottom"/>
            <w:tcBorders>
              <w:bottom w:val="single" w:sz="8" w:color="CCEEFF"/>
            </w:tcBorders>
          </w:tcPr>
          <w:p>
            <w:pPr>
              <w:spacing w:after="0"/>
              <w:rPr>
                <w:sz w:val="13"/>
                <w:szCs w:val="13"/>
                <w:color w:val="auto"/>
              </w:rPr>
            </w:pPr>
          </w:p>
        </w:tc>
        <w:tc>
          <w:tcPr>
            <w:tcW w:w="134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1"/>
                <w:szCs w:val="11"/>
                <w:b w:val="1"/>
                <w:bCs w:val="1"/>
                <w:color w:val="auto"/>
              </w:rPr>
              <w:t>2024</w:t>
            </w:r>
          </w:p>
        </w:tc>
        <w:tc>
          <w:tcPr>
            <w:tcW w:w="68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jc w:val="right"/>
              <w:ind w:right="832"/>
              <w:spacing w:after="0"/>
              <w:rPr>
                <w:sz w:val="20"/>
                <w:szCs w:val="20"/>
                <w:color w:val="auto"/>
              </w:rPr>
            </w:pPr>
            <w:r>
              <w:rPr>
                <w:rFonts w:ascii="Times New Roman" w:cs="Times New Roman" w:eastAsia="Times New Roman" w:hAnsi="Times New Roman"/>
                <w:sz w:val="11"/>
                <w:szCs w:val="11"/>
                <w:b w:val="1"/>
                <w:bCs w:val="1"/>
                <w:color w:val="auto"/>
              </w:rPr>
              <w:t>2023</w:t>
            </w:r>
          </w:p>
        </w:tc>
      </w:tr>
      <w:tr>
        <w:trPr>
          <w:trHeight w:val="176"/>
        </w:trPr>
        <w:tc>
          <w:tcPr>
            <w:tcW w:w="7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Beginning balance</w:t>
            </w:r>
          </w:p>
        </w:tc>
        <w:tc>
          <w:tcPr>
            <w:tcW w:w="1340" w:type="dxa"/>
            <w:vAlign w:val="bottom"/>
            <w:shd w:val="clear" w:color="auto" w:fill="CCEEFF"/>
          </w:tcPr>
          <w:p>
            <w:pPr>
              <w:jc w:val="right"/>
              <w:ind w:right="1194"/>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jc w:val="right"/>
              <w:ind w:right="529"/>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w:t>
            </w:r>
          </w:p>
        </w:tc>
      </w:tr>
      <w:tr>
        <w:trPr>
          <w:trHeight w:val="180"/>
        </w:trPr>
        <w:tc>
          <w:tcPr>
            <w:tcW w:w="7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Additions</w:t>
            </w:r>
          </w:p>
        </w:tc>
        <w:tc>
          <w:tcPr>
            <w:tcW w:w="134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1,622</w:t>
            </w: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1,978</w:t>
            </w:r>
          </w:p>
        </w:tc>
      </w:tr>
      <w:tr>
        <w:trPr>
          <w:trHeight w:val="180"/>
        </w:trPr>
        <w:tc>
          <w:tcPr>
            <w:tcW w:w="7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Returns</w:t>
            </w:r>
          </w:p>
        </w:tc>
        <w:tc>
          <w:tcPr>
            <w:tcW w:w="134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(1,618)</w:t>
            </w:r>
          </w:p>
        </w:tc>
        <w:tc>
          <w:tcPr>
            <w:tcW w:w="100" w:type="dxa"/>
            <w:vAlign w:val="bottom"/>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spacing w:after="0"/>
              <w:rPr>
                <w:sz w:val="15"/>
                <w:szCs w:val="15"/>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(1,980)</w:t>
            </w:r>
          </w:p>
        </w:tc>
      </w:tr>
      <w:tr>
        <w:trPr>
          <w:trHeight w:val="171"/>
        </w:trPr>
        <w:tc>
          <w:tcPr>
            <w:tcW w:w="7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Ending balance</w:t>
            </w:r>
          </w:p>
        </w:tc>
        <w:tc>
          <w:tcPr>
            <w:tcW w:w="1340" w:type="dxa"/>
            <w:vAlign w:val="bottom"/>
            <w:tcBorders>
              <w:bottom w:val="single" w:sz="8" w:color="auto"/>
            </w:tcBorders>
          </w:tcPr>
          <w:p>
            <w:pPr>
              <w:jc w:val="right"/>
              <w:ind w:right="1194"/>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133</w:t>
            </w:r>
          </w:p>
        </w:tc>
        <w:tc>
          <w:tcPr>
            <w:tcW w:w="100" w:type="dxa"/>
            <w:vAlign w:val="bottom"/>
          </w:tcPr>
          <w:p>
            <w:pPr>
              <w:spacing w:after="0"/>
              <w:rPr>
                <w:sz w:val="14"/>
                <w:szCs w:val="14"/>
                <w:color w:val="auto"/>
              </w:rPr>
            </w:pPr>
          </w:p>
        </w:tc>
        <w:tc>
          <w:tcPr>
            <w:tcW w:w="680" w:type="dxa"/>
            <w:vAlign w:val="bottom"/>
            <w:tcBorders>
              <w:bottom w:val="single" w:sz="8" w:color="auto"/>
            </w:tcBorders>
          </w:tcPr>
          <w:p>
            <w:pPr>
              <w:jc w:val="right"/>
              <w:ind w:right="529"/>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129</w:t>
            </w:r>
          </w:p>
        </w:tc>
      </w:tr>
      <w:tr>
        <w:trPr>
          <w:trHeight w:val="20"/>
        </w:trPr>
        <w:tc>
          <w:tcPr>
            <w:tcW w:w="71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Geographic Information</w:t>
      </w: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3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44" w:right="319" w:bottom="1440" w:gutter="0" w:footer="0" w:header="0"/>
        </w:sectPr>
      </w:pPr>
    </w:p>
    <w:bookmarkStart w:id="74" w:name="page75"/>
    <w:bookmarkEnd w:id="74"/>
    <w:p>
      <w:pPr>
        <w:ind w:right="280" w:firstLine="255"/>
        <w:spacing w:after="0" w:line="287" w:lineRule="auto"/>
        <w:rPr>
          <w:sz w:val="20"/>
          <w:szCs w:val="20"/>
          <w:color w:val="auto"/>
        </w:rPr>
      </w:pPr>
      <w:r>
        <w:rPr>
          <w:rFonts w:ascii="Times New Roman" w:cs="Times New Roman" w:eastAsia="Times New Roman" w:hAnsi="Times New Roman"/>
          <w:sz w:val="14"/>
          <w:szCs w:val="14"/>
          <w:color w:val="auto"/>
        </w:rPr>
        <w:t>The Company reports revenue in two geographic regions: the Americas region and the Asia/Pacific and Europe region. The following table presents the Company's revenue disaggregated by these two geographic regions (in thousands):</w:t>
      </w:r>
    </w:p>
    <w:p>
      <w:pPr>
        <w:spacing w:after="0" w:line="162" w:lineRule="exact"/>
        <w:rPr>
          <w:sz w:val="20"/>
          <w:szCs w:val="20"/>
          <w:color w:val="auto"/>
        </w:rPr>
      </w:pPr>
    </w:p>
    <w:tbl>
      <w:tblPr>
        <w:tblLayout w:type="fixed"/>
        <w:tblInd w:w="20" w:type="dxa"/>
        <w:tblCellMar>
          <w:top w:w="0" w:type="dxa"/>
          <w:left w:w="0" w:type="dxa"/>
          <w:bottom w:w="0" w:type="dxa"/>
          <w:right w:w="0" w:type="dxa"/>
        </w:tblCellMar>
      </w:tblPr>
      <w:tr>
        <w:trPr>
          <w:trHeight w:val="158"/>
        </w:trPr>
        <w:tc>
          <w:tcPr>
            <w:tcW w:w="7100" w:type="dxa"/>
            <w:vAlign w:val="bottom"/>
          </w:tcPr>
          <w:p>
            <w:pPr>
              <w:spacing w:after="0"/>
              <w:rPr>
                <w:sz w:val="13"/>
                <w:szCs w:val="13"/>
                <w:color w:val="auto"/>
              </w:rPr>
            </w:pPr>
          </w:p>
        </w:tc>
        <w:tc>
          <w:tcPr>
            <w:tcW w:w="142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gridSpan w:val="3"/>
          </w:tcPr>
          <w:p>
            <w:pPr>
              <w:jc w:val="right"/>
              <w:ind w:right="149"/>
              <w:spacing w:after="0"/>
              <w:rPr>
                <w:sz w:val="20"/>
                <w:szCs w:val="20"/>
                <w:color w:val="auto"/>
              </w:rPr>
            </w:pPr>
            <w:r>
              <w:rPr>
                <w:rFonts w:ascii="Times New Roman" w:cs="Times New Roman" w:eastAsia="Times New Roman" w:hAnsi="Times New Roman"/>
                <w:sz w:val="11"/>
                <w:szCs w:val="11"/>
                <w:b w:val="1"/>
                <w:bCs w:val="1"/>
                <w:color w:val="auto"/>
              </w:rPr>
              <w:t>Years ended June 30,</w:t>
            </w:r>
          </w:p>
        </w:tc>
        <w:tc>
          <w:tcPr>
            <w:tcW w:w="1360" w:type="dxa"/>
            <w:vAlign w:val="bottom"/>
            <w:tcBorders>
              <w:bottom w:val="single" w:sz="8" w:color="auto"/>
            </w:tcBorders>
          </w:tcPr>
          <w:p>
            <w:pPr>
              <w:spacing w:after="0"/>
              <w:rPr>
                <w:sz w:val="13"/>
                <w:szCs w:val="13"/>
                <w:color w:val="auto"/>
              </w:rPr>
            </w:pPr>
          </w:p>
        </w:tc>
      </w:tr>
      <w:tr>
        <w:trPr>
          <w:trHeight w:val="154"/>
        </w:trPr>
        <w:tc>
          <w:tcPr>
            <w:tcW w:w="7100" w:type="dxa"/>
            <w:vAlign w:val="bottom"/>
            <w:tcBorders>
              <w:bottom w:val="single" w:sz="8" w:color="CCEEFF"/>
            </w:tcBorders>
          </w:tcPr>
          <w:p>
            <w:pPr>
              <w:spacing w:after="0"/>
              <w:rPr>
                <w:sz w:val="13"/>
                <w:szCs w:val="13"/>
                <w:color w:val="auto"/>
              </w:rPr>
            </w:pPr>
          </w:p>
        </w:tc>
        <w:tc>
          <w:tcPr>
            <w:tcW w:w="1420" w:type="dxa"/>
            <w:vAlign w:val="bottom"/>
            <w:tcBorders>
              <w:bottom w:val="single" w:sz="8" w:color="auto"/>
            </w:tcBorders>
          </w:tcPr>
          <w:p>
            <w:pPr>
              <w:jc w:val="right"/>
              <w:ind w:right="214"/>
              <w:spacing w:after="0"/>
              <w:rPr>
                <w:sz w:val="20"/>
                <w:szCs w:val="20"/>
                <w:color w:val="auto"/>
              </w:rPr>
            </w:pPr>
            <w:r>
              <w:rPr>
                <w:rFonts w:ascii="Times New Roman" w:cs="Times New Roman" w:eastAsia="Times New Roman" w:hAnsi="Times New Roman"/>
                <w:sz w:val="11"/>
                <w:szCs w:val="11"/>
                <w:b w:val="1"/>
                <w:bCs w:val="1"/>
                <w:color w:val="auto"/>
              </w:rPr>
              <w:t>2024</w:t>
            </w:r>
          </w:p>
        </w:tc>
        <w:tc>
          <w:tcPr>
            <w:tcW w:w="62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jc w:val="right"/>
              <w:ind w:right="833"/>
              <w:spacing w:after="0"/>
              <w:rPr>
                <w:sz w:val="20"/>
                <w:szCs w:val="20"/>
                <w:color w:val="auto"/>
              </w:rPr>
            </w:pPr>
            <w:r>
              <w:rPr>
                <w:rFonts w:ascii="Times New Roman" w:cs="Times New Roman" w:eastAsia="Times New Roman" w:hAnsi="Times New Roman"/>
                <w:sz w:val="11"/>
                <w:szCs w:val="11"/>
                <w:b w:val="1"/>
                <w:bCs w:val="1"/>
                <w:color w:val="auto"/>
              </w:rPr>
              <w:t>2023</w:t>
            </w:r>
          </w:p>
        </w:tc>
      </w:tr>
      <w:tr>
        <w:trPr>
          <w:trHeight w:val="176"/>
        </w:trPr>
        <w:tc>
          <w:tcPr>
            <w:tcW w:w="71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Americas</w:t>
            </w:r>
          </w:p>
        </w:tc>
        <w:tc>
          <w:tcPr>
            <w:tcW w:w="1420" w:type="dxa"/>
            <w:vAlign w:val="bottom"/>
            <w:shd w:val="clear" w:color="auto" w:fill="CCEEFF"/>
          </w:tcPr>
          <w:p>
            <w:pPr>
              <w:jc w:val="right"/>
              <w:ind w:right="1274"/>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152,907</w:t>
            </w:r>
          </w:p>
        </w:tc>
        <w:tc>
          <w:tcPr>
            <w:tcW w:w="80" w:type="dxa"/>
            <w:vAlign w:val="bottom"/>
            <w:shd w:val="clear" w:color="auto" w:fill="CCEEFF"/>
          </w:tcPr>
          <w:p>
            <w:pPr>
              <w:spacing w:after="0"/>
              <w:rPr>
                <w:sz w:val="15"/>
                <w:szCs w:val="15"/>
                <w:color w:val="auto"/>
              </w:rPr>
            </w:pPr>
          </w:p>
        </w:tc>
        <w:tc>
          <w:tcPr>
            <w:tcW w:w="680" w:type="dxa"/>
            <w:vAlign w:val="bottom"/>
            <w:shd w:val="clear" w:color="auto" w:fill="CCEEFF"/>
          </w:tcPr>
          <w:p>
            <w:pPr>
              <w:jc w:val="right"/>
              <w:ind w:right="509"/>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155,361</w:t>
            </w:r>
          </w:p>
        </w:tc>
      </w:tr>
      <w:tr>
        <w:trPr>
          <w:trHeight w:val="180"/>
        </w:trPr>
        <w:tc>
          <w:tcPr>
            <w:tcW w:w="71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color w:val="auto"/>
              </w:rPr>
              <w:t>Asia/Pacific &amp; Europe</w:t>
            </w:r>
          </w:p>
        </w:tc>
        <w:tc>
          <w:tcPr>
            <w:tcW w:w="142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47,257</w:t>
            </w:r>
          </w:p>
        </w:tc>
        <w:tc>
          <w:tcPr>
            <w:tcW w:w="80" w:type="dxa"/>
            <w:vAlign w:val="bottom"/>
            <w:tcBorders>
              <w:bottom w:val="single" w:sz="8" w:color="CCEEFF"/>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58,037</w:t>
            </w:r>
          </w:p>
        </w:tc>
      </w:tr>
      <w:tr>
        <w:trPr>
          <w:trHeight w:val="196"/>
        </w:trPr>
        <w:tc>
          <w:tcPr>
            <w:tcW w:w="710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Total revenue</w:t>
            </w:r>
          </w:p>
        </w:tc>
        <w:tc>
          <w:tcPr>
            <w:tcW w:w="1420" w:type="dxa"/>
            <w:vAlign w:val="bottom"/>
            <w:tcBorders>
              <w:bottom w:val="single" w:sz="8" w:color="auto"/>
            </w:tcBorders>
            <w:shd w:val="clear" w:color="auto" w:fill="CCEEFF"/>
          </w:tcPr>
          <w:p>
            <w:pPr>
              <w:jc w:val="right"/>
              <w:ind w:right="1274"/>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200,164</w:t>
            </w:r>
          </w:p>
        </w:tc>
        <w:tc>
          <w:tcPr>
            <w:tcW w:w="8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auto"/>
            </w:tcBorders>
            <w:shd w:val="clear" w:color="auto" w:fill="CCEEFF"/>
          </w:tcPr>
          <w:p>
            <w:pPr>
              <w:jc w:val="right"/>
              <w:ind w:right="509"/>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213,398</w:t>
            </w:r>
          </w:p>
        </w:tc>
      </w:tr>
      <w:tr>
        <w:trPr>
          <w:trHeight w:val="20"/>
        </w:trPr>
        <w:tc>
          <w:tcPr>
            <w:tcW w:w="71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r>
        <w:trPr>
          <w:trHeight w:val="312"/>
        </w:trPr>
        <w:tc>
          <w:tcPr>
            <w:tcW w:w="8520" w:type="dxa"/>
            <w:vAlign w:val="bottom"/>
            <w:gridSpan w:val="2"/>
          </w:tcPr>
          <w:p>
            <w:pPr>
              <w:jc w:val="right"/>
              <w:ind w:right="14"/>
              <w:spacing w:after="0"/>
              <w:rPr>
                <w:sz w:val="20"/>
                <w:szCs w:val="20"/>
                <w:color w:val="auto"/>
              </w:rPr>
            </w:pPr>
            <w:r>
              <w:rPr>
                <w:rFonts w:ascii="Times New Roman" w:cs="Times New Roman" w:eastAsia="Times New Roman" w:hAnsi="Times New Roman"/>
                <w:sz w:val="14"/>
                <w:szCs w:val="14"/>
                <w:color w:val="auto"/>
              </w:rPr>
              <w:t>Additional information as to the Company’s revenue from operations in the most significant geographical areas is set forth below (in thousands):</w:t>
            </w: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362"/>
        </w:trPr>
        <w:tc>
          <w:tcPr>
            <w:tcW w:w="7100" w:type="dxa"/>
            <w:vAlign w:val="bottom"/>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gridSpan w:val="3"/>
          </w:tcPr>
          <w:p>
            <w:pPr>
              <w:jc w:val="right"/>
              <w:ind w:right="149"/>
              <w:spacing w:after="0"/>
              <w:rPr>
                <w:sz w:val="20"/>
                <w:szCs w:val="20"/>
                <w:color w:val="auto"/>
              </w:rPr>
            </w:pPr>
            <w:r>
              <w:rPr>
                <w:rFonts w:ascii="Times New Roman" w:cs="Times New Roman" w:eastAsia="Times New Roman" w:hAnsi="Times New Roman"/>
                <w:sz w:val="11"/>
                <w:szCs w:val="11"/>
                <w:b w:val="1"/>
                <w:bCs w:val="1"/>
                <w:color w:val="auto"/>
              </w:rPr>
              <w:t>Years ended June 30,</w:t>
            </w:r>
          </w:p>
        </w:tc>
        <w:tc>
          <w:tcPr>
            <w:tcW w:w="1360" w:type="dxa"/>
            <w:vAlign w:val="bottom"/>
            <w:tcBorders>
              <w:bottom w:val="single" w:sz="8" w:color="auto"/>
            </w:tcBorders>
          </w:tcPr>
          <w:p>
            <w:pPr>
              <w:spacing w:after="0"/>
              <w:rPr>
                <w:sz w:val="24"/>
                <w:szCs w:val="24"/>
                <w:color w:val="auto"/>
              </w:rPr>
            </w:pPr>
          </w:p>
        </w:tc>
      </w:tr>
      <w:tr>
        <w:trPr>
          <w:trHeight w:val="154"/>
        </w:trPr>
        <w:tc>
          <w:tcPr>
            <w:tcW w:w="7100" w:type="dxa"/>
            <w:vAlign w:val="bottom"/>
            <w:tcBorders>
              <w:bottom w:val="single" w:sz="8" w:color="CCEEFF"/>
            </w:tcBorders>
          </w:tcPr>
          <w:p>
            <w:pPr>
              <w:spacing w:after="0"/>
              <w:rPr>
                <w:sz w:val="13"/>
                <w:szCs w:val="13"/>
                <w:color w:val="auto"/>
              </w:rPr>
            </w:pPr>
          </w:p>
        </w:tc>
        <w:tc>
          <w:tcPr>
            <w:tcW w:w="1420" w:type="dxa"/>
            <w:vAlign w:val="bottom"/>
            <w:tcBorders>
              <w:bottom w:val="single" w:sz="8" w:color="auto"/>
            </w:tcBorders>
          </w:tcPr>
          <w:p>
            <w:pPr>
              <w:jc w:val="right"/>
              <w:ind w:right="214"/>
              <w:spacing w:after="0"/>
              <w:rPr>
                <w:sz w:val="20"/>
                <w:szCs w:val="20"/>
                <w:color w:val="auto"/>
              </w:rPr>
            </w:pPr>
            <w:r>
              <w:rPr>
                <w:rFonts w:ascii="Times New Roman" w:cs="Times New Roman" w:eastAsia="Times New Roman" w:hAnsi="Times New Roman"/>
                <w:sz w:val="11"/>
                <w:szCs w:val="11"/>
                <w:b w:val="1"/>
                <w:bCs w:val="1"/>
                <w:color w:val="auto"/>
              </w:rPr>
              <w:t>2024</w:t>
            </w:r>
          </w:p>
        </w:tc>
        <w:tc>
          <w:tcPr>
            <w:tcW w:w="62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jc w:val="right"/>
              <w:ind w:right="833"/>
              <w:spacing w:after="0"/>
              <w:rPr>
                <w:sz w:val="20"/>
                <w:szCs w:val="20"/>
                <w:color w:val="auto"/>
              </w:rPr>
            </w:pPr>
            <w:r>
              <w:rPr>
                <w:rFonts w:ascii="Times New Roman" w:cs="Times New Roman" w:eastAsia="Times New Roman" w:hAnsi="Times New Roman"/>
                <w:sz w:val="11"/>
                <w:szCs w:val="11"/>
                <w:b w:val="1"/>
                <w:bCs w:val="1"/>
                <w:color w:val="auto"/>
              </w:rPr>
              <w:t>2023</w:t>
            </w:r>
          </w:p>
        </w:tc>
      </w:tr>
      <w:tr>
        <w:trPr>
          <w:trHeight w:val="176"/>
        </w:trPr>
        <w:tc>
          <w:tcPr>
            <w:tcW w:w="71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United States</w:t>
            </w:r>
          </w:p>
        </w:tc>
        <w:tc>
          <w:tcPr>
            <w:tcW w:w="1420" w:type="dxa"/>
            <w:vAlign w:val="bottom"/>
            <w:shd w:val="clear" w:color="auto" w:fill="CCEEFF"/>
          </w:tcPr>
          <w:p>
            <w:pPr>
              <w:jc w:val="right"/>
              <w:ind w:right="1274"/>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145,679</w:t>
            </w:r>
          </w:p>
        </w:tc>
        <w:tc>
          <w:tcPr>
            <w:tcW w:w="80" w:type="dxa"/>
            <w:vAlign w:val="bottom"/>
            <w:shd w:val="clear" w:color="auto" w:fill="CCEEFF"/>
          </w:tcPr>
          <w:p>
            <w:pPr>
              <w:spacing w:after="0"/>
              <w:rPr>
                <w:sz w:val="15"/>
                <w:szCs w:val="15"/>
                <w:color w:val="auto"/>
              </w:rPr>
            </w:pPr>
          </w:p>
        </w:tc>
        <w:tc>
          <w:tcPr>
            <w:tcW w:w="680" w:type="dxa"/>
            <w:vAlign w:val="bottom"/>
            <w:shd w:val="clear" w:color="auto" w:fill="CCEEFF"/>
          </w:tcPr>
          <w:p>
            <w:pPr>
              <w:jc w:val="right"/>
              <w:ind w:right="509"/>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148,522</w:t>
            </w:r>
          </w:p>
        </w:tc>
      </w:tr>
      <w:tr>
        <w:trPr>
          <w:trHeight w:val="184"/>
        </w:trPr>
        <w:tc>
          <w:tcPr>
            <w:tcW w:w="7100" w:type="dxa"/>
            <w:vAlign w:val="bottom"/>
          </w:tcPr>
          <w:p>
            <w:pPr>
              <w:spacing w:after="0"/>
              <w:rPr>
                <w:sz w:val="20"/>
                <w:szCs w:val="20"/>
                <w:color w:val="auto"/>
              </w:rPr>
            </w:pPr>
            <w:r>
              <w:rPr>
                <w:rFonts w:ascii="Times New Roman" w:cs="Times New Roman" w:eastAsia="Times New Roman" w:hAnsi="Times New Roman"/>
                <w:sz w:val="14"/>
                <w:szCs w:val="14"/>
                <w:color w:val="auto"/>
              </w:rPr>
              <w:t>Japan</w:t>
            </w:r>
          </w:p>
        </w:tc>
        <w:tc>
          <w:tcPr>
            <w:tcW w:w="1420" w:type="dxa"/>
            <w:vAlign w:val="bottom"/>
          </w:tcPr>
          <w:p>
            <w:pPr>
              <w:jc w:val="right"/>
              <w:ind w:right="1274"/>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26,989</w:t>
            </w:r>
          </w:p>
        </w:tc>
        <w:tc>
          <w:tcPr>
            <w:tcW w:w="80" w:type="dxa"/>
            <w:vAlign w:val="bottom"/>
          </w:tcPr>
          <w:p>
            <w:pPr>
              <w:spacing w:after="0"/>
              <w:rPr>
                <w:sz w:val="16"/>
                <w:szCs w:val="16"/>
                <w:color w:val="auto"/>
              </w:rPr>
            </w:pPr>
          </w:p>
        </w:tc>
        <w:tc>
          <w:tcPr>
            <w:tcW w:w="680" w:type="dxa"/>
            <w:vAlign w:val="bottom"/>
          </w:tcPr>
          <w:p>
            <w:pPr>
              <w:jc w:val="right"/>
              <w:ind w:right="509"/>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32,082</w:t>
            </w:r>
          </w:p>
        </w:tc>
      </w:tr>
    </w:tbl>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Major Products</w:t>
      </w:r>
    </w:p>
    <w:p>
      <w:pPr>
        <w:spacing w:after="0" w:line="10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Company's revenue is largely attributed to two product lines, Protandim</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and TrueScience</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each of which accounted for more than 10% of total revenue for each of the fiscal years ended</w:t>
      </w:r>
    </w:p>
    <w:p>
      <w:pPr>
        <w:spacing w:after="0" w:line="196" w:lineRule="auto"/>
        <w:rPr>
          <w:sz w:val="20"/>
          <w:szCs w:val="20"/>
          <w:color w:val="auto"/>
        </w:rPr>
      </w:pPr>
      <w:r>
        <w:rPr>
          <w:rFonts w:ascii="Times New Roman" w:cs="Times New Roman" w:eastAsia="Times New Roman" w:hAnsi="Times New Roman"/>
          <w:sz w:val="14"/>
          <w:szCs w:val="14"/>
          <w:color w:val="auto"/>
        </w:rPr>
        <w:t>June 30, 2024 and 2023. On a combined basis, the Protandim</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and TrueScience</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product lines represent approximately 80.1% and 79.3% of the Company's total revenue for the fiscal years ended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June 30, 2024 and 2023, respectively. The following table shows revenue by major product line for the fiscal years ended June 30, 2024 and 2023:</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20" w:type="dxa"/>
            <w:vAlign w:val="bottom"/>
          </w:tcPr>
          <w:p>
            <w:pPr>
              <w:spacing w:after="0"/>
              <w:rPr>
                <w:sz w:val="13"/>
                <w:szCs w:val="13"/>
                <w:color w:val="auto"/>
              </w:rPr>
            </w:pPr>
          </w:p>
        </w:tc>
        <w:tc>
          <w:tcPr>
            <w:tcW w:w="4340" w:type="dxa"/>
            <w:vAlign w:val="bottom"/>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gridSpan w:val="3"/>
          </w:tcPr>
          <w:p>
            <w:pPr>
              <w:jc w:val="right"/>
              <w:ind w:right="94"/>
              <w:spacing w:after="0"/>
              <w:rPr>
                <w:sz w:val="20"/>
                <w:szCs w:val="20"/>
                <w:color w:val="auto"/>
              </w:rPr>
            </w:pPr>
            <w:r>
              <w:rPr>
                <w:rFonts w:ascii="Times New Roman" w:cs="Times New Roman" w:eastAsia="Times New Roman" w:hAnsi="Times New Roman"/>
                <w:sz w:val="11"/>
                <w:szCs w:val="11"/>
                <w:b w:val="1"/>
                <w:bCs w:val="1"/>
                <w:color w:val="auto"/>
              </w:rPr>
              <w:t>Years ended June 30,</w:t>
            </w:r>
          </w:p>
        </w:tc>
        <w:tc>
          <w:tcPr>
            <w:tcW w:w="6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7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4340" w:type="dxa"/>
            <w:vAlign w:val="bottom"/>
            <w:tcBorders>
              <w:bottom w:val="single" w:sz="8" w:color="CCEEFF"/>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gridSpan w:val="3"/>
          </w:tcPr>
          <w:p>
            <w:pPr>
              <w:jc w:val="right"/>
              <w:ind w:right="869"/>
              <w:spacing w:after="0"/>
              <w:rPr>
                <w:sz w:val="20"/>
                <w:szCs w:val="20"/>
                <w:color w:val="auto"/>
              </w:rPr>
            </w:pPr>
            <w:r>
              <w:rPr>
                <w:rFonts w:ascii="Times New Roman" w:cs="Times New Roman" w:eastAsia="Times New Roman" w:hAnsi="Times New Roman"/>
                <w:sz w:val="11"/>
                <w:szCs w:val="11"/>
                <w:b w:val="1"/>
                <w:bCs w:val="1"/>
                <w:color w:val="auto"/>
              </w:rPr>
              <w:t>2024</w:t>
            </w:r>
          </w:p>
        </w:tc>
        <w:tc>
          <w:tcPr>
            <w:tcW w:w="66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820" w:type="dxa"/>
            <w:vAlign w:val="bottom"/>
            <w:tcBorders>
              <w:bottom w:val="single" w:sz="8" w:color="auto"/>
            </w:tcBorders>
            <w:gridSpan w:val="3"/>
          </w:tcPr>
          <w:p>
            <w:pPr>
              <w:jc w:val="right"/>
              <w:ind w:right="1509"/>
              <w:spacing w:after="0"/>
              <w:rPr>
                <w:sz w:val="20"/>
                <w:szCs w:val="20"/>
                <w:color w:val="auto"/>
              </w:rPr>
            </w:pPr>
            <w:r>
              <w:rPr>
                <w:rFonts w:ascii="Times New Roman" w:cs="Times New Roman" w:eastAsia="Times New Roman" w:hAnsi="Times New Roman"/>
                <w:sz w:val="11"/>
                <w:szCs w:val="11"/>
                <w:b w:val="1"/>
                <w:bCs w:val="1"/>
                <w:color w:val="auto"/>
                <w:w w:val="99"/>
              </w:rPr>
              <w:t>2023</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34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4"/>
                <w:szCs w:val="14"/>
                <w:color w:val="auto"/>
              </w:rPr>
              <w:t>Protandim</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product line</w:t>
            </w:r>
          </w:p>
        </w:tc>
        <w:tc>
          <w:tcPr>
            <w:tcW w:w="580" w:type="dxa"/>
            <w:vAlign w:val="bottom"/>
            <w:shd w:val="clear" w:color="auto" w:fill="CCEEFF"/>
          </w:tcPr>
          <w:p>
            <w:pPr>
              <w:jc w:val="right"/>
              <w:ind w:right="429"/>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104,135</w:t>
            </w:r>
          </w:p>
        </w:tc>
        <w:tc>
          <w:tcPr>
            <w:tcW w:w="18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52.0 %</w:t>
            </w: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jc w:val="right"/>
              <w:ind w:right="454"/>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119,720</w:t>
            </w:r>
          </w:p>
        </w:tc>
        <w:tc>
          <w:tcPr>
            <w:tcW w:w="1820" w:type="dxa"/>
            <w:vAlign w:val="bottom"/>
            <w:gridSpan w:val="3"/>
            <w:shd w:val="clear" w:color="auto" w:fill="CCEEFF"/>
          </w:tcPr>
          <w:p>
            <w:pPr>
              <w:jc w:val="center"/>
              <w:ind w:left="1312"/>
              <w:spacing w:after="0"/>
              <w:rPr>
                <w:sz w:val="20"/>
                <w:szCs w:val="20"/>
                <w:color w:val="auto"/>
              </w:rPr>
            </w:pPr>
            <w:r>
              <w:rPr>
                <w:rFonts w:ascii="Times New Roman" w:cs="Times New Roman" w:eastAsia="Times New Roman" w:hAnsi="Times New Roman"/>
                <w:sz w:val="14"/>
                <w:szCs w:val="14"/>
                <w:color w:val="auto"/>
              </w:rPr>
              <w:t>56.1 %</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340" w:type="dxa"/>
            <w:vAlign w:val="bottom"/>
          </w:tcPr>
          <w:p>
            <w:pPr>
              <w:ind w:left="20"/>
              <w:spacing w:after="0" w:line="181" w:lineRule="exact"/>
              <w:rPr>
                <w:sz w:val="20"/>
                <w:szCs w:val="20"/>
                <w:color w:val="auto"/>
              </w:rPr>
            </w:pPr>
            <w:r>
              <w:rPr>
                <w:rFonts w:ascii="Times New Roman" w:cs="Times New Roman" w:eastAsia="Times New Roman" w:hAnsi="Times New Roman"/>
                <w:sz w:val="14"/>
                <w:szCs w:val="14"/>
                <w:color w:val="auto"/>
              </w:rPr>
              <w:t>TrueScience</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product line</w:t>
            </w:r>
          </w:p>
        </w:tc>
        <w:tc>
          <w:tcPr>
            <w:tcW w:w="5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56,252</w:t>
            </w:r>
          </w:p>
        </w:tc>
        <w:tc>
          <w:tcPr>
            <w:tcW w:w="1860" w:type="dxa"/>
            <w:vAlign w:val="bottom"/>
            <w:gridSpan w:val="4"/>
          </w:tcPr>
          <w:p>
            <w:pPr>
              <w:jc w:val="right"/>
              <w:spacing w:after="0"/>
              <w:rPr>
                <w:sz w:val="20"/>
                <w:szCs w:val="20"/>
                <w:color w:val="auto"/>
              </w:rPr>
            </w:pPr>
            <w:r>
              <w:rPr>
                <w:rFonts w:ascii="Times New Roman" w:cs="Times New Roman" w:eastAsia="Times New Roman" w:hAnsi="Times New Roman"/>
                <w:sz w:val="14"/>
                <w:szCs w:val="14"/>
                <w:color w:val="auto"/>
              </w:rPr>
              <w:t>28.1 %</w:t>
            </w: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96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49,494</w:t>
            </w:r>
          </w:p>
        </w:tc>
        <w:tc>
          <w:tcPr>
            <w:tcW w:w="1820" w:type="dxa"/>
            <w:vAlign w:val="bottom"/>
            <w:gridSpan w:val="3"/>
          </w:tcPr>
          <w:p>
            <w:pPr>
              <w:jc w:val="center"/>
              <w:ind w:left="1312"/>
              <w:spacing w:after="0"/>
              <w:rPr>
                <w:sz w:val="20"/>
                <w:szCs w:val="20"/>
                <w:color w:val="auto"/>
              </w:rPr>
            </w:pPr>
            <w:r>
              <w:rPr>
                <w:rFonts w:ascii="Times New Roman" w:cs="Times New Roman" w:eastAsia="Times New Roman" w:hAnsi="Times New Roman"/>
                <w:sz w:val="14"/>
                <w:szCs w:val="14"/>
                <w:color w:val="auto"/>
              </w:rPr>
              <w:t>23.2 %</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w:t>
            </w:r>
          </w:p>
        </w:tc>
        <w:tc>
          <w:tcPr>
            <w:tcW w:w="58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39,777</w:t>
            </w:r>
          </w:p>
        </w:tc>
        <w:tc>
          <w:tcPr>
            <w:tcW w:w="18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19.9 %</w:t>
            </w: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9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44,184</w:t>
            </w:r>
          </w:p>
        </w:tc>
        <w:tc>
          <w:tcPr>
            <w:tcW w:w="1820" w:type="dxa"/>
            <w:vAlign w:val="bottom"/>
            <w:gridSpan w:val="3"/>
            <w:shd w:val="clear" w:color="auto" w:fill="CCEEFF"/>
          </w:tcPr>
          <w:p>
            <w:pPr>
              <w:jc w:val="center"/>
              <w:ind w:left="1312"/>
              <w:spacing w:after="0"/>
              <w:rPr>
                <w:sz w:val="20"/>
                <w:szCs w:val="20"/>
                <w:color w:val="auto"/>
              </w:rPr>
            </w:pPr>
            <w:r>
              <w:rPr>
                <w:rFonts w:ascii="Times New Roman" w:cs="Times New Roman" w:eastAsia="Times New Roman" w:hAnsi="Times New Roman"/>
                <w:sz w:val="14"/>
                <w:szCs w:val="14"/>
                <w:color w:val="auto"/>
              </w:rPr>
              <w:t>20.7 %</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3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Total</w:t>
            </w:r>
          </w:p>
        </w:tc>
        <w:tc>
          <w:tcPr>
            <w:tcW w:w="580" w:type="dxa"/>
            <w:vAlign w:val="bottom"/>
            <w:tcBorders>
              <w:top w:val="single" w:sz="8" w:color="auto"/>
              <w:bottom w:val="single" w:sz="8" w:color="auto"/>
            </w:tcBorders>
          </w:tcPr>
          <w:p>
            <w:pPr>
              <w:jc w:val="right"/>
              <w:ind w:right="429"/>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200,164</w:t>
            </w:r>
          </w:p>
        </w:tc>
        <w:tc>
          <w:tcPr>
            <w:tcW w:w="40" w:type="dxa"/>
            <w:vAlign w:val="bottom"/>
            <w:tcBorders>
              <w:top w:val="single" w:sz="8" w:color="auto"/>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7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100.0 %</w:t>
            </w:r>
          </w:p>
        </w:tc>
        <w:tc>
          <w:tcPr>
            <w:tcW w:w="80" w:type="dxa"/>
            <w:vAlign w:val="bottom"/>
          </w:tcPr>
          <w:p>
            <w:pPr>
              <w:spacing w:after="0"/>
              <w:rPr>
                <w:sz w:val="14"/>
                <w:szCs w:val="14"/>
                <w:color w:val="auto"/>
              </w:rPr>
            </w:pPr>
          </w:p>
        </w:tc>
        <w:tc>
          <w:tcPr>
            <w:tcW w:w="620" w:type="dxa"/>
            <w:vAlign w:val="bottom"/>
            <w:tcBorders>
              <w:top w:val="single" w:sz="8" w:color="auto"/>
              <w:bottom w:val="single" w:sz="8" w:color="auto"/>
            </w:tcBorders>
          </w:tcPr>
          <w:p>
            <w:pPr>
              <w:jc w:val="right"/>
              <w:ind w:right="454"/>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color w:val="auto"/>
              </w:rPr>
              <w:t>213,398</w:t>
            </w:r>
          </w:p>
        </w:tc>
        <w:tc>
          <w:tcPr>
            <w:tcW w:w="20" w:type="dxa"/>
            <w:vAlign w:val="bottom"/>
            <w:tcBorders>
              <w:top w:val="single" w:sz="8" w:color="auto"/>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100.0 %</w:t>
            </w:r>
          </w:p>
        </w:tc>
        <w:tc>
          <w:tcPr>
            <w:tcW w:w="0" w:type="dxa"/>
            <w:vAlign w:val="bottom"/>
          </w:tcPr>
          <w:p>
            <w:pPr>
              <w:spacing w:after="0"/>
              <w:rPr>
                <w:sz w:val="1"/>
                <w:szCs w:val="1"/>
                <w:color w:val="auto"/>
              </w:rPr>
            </w:pPr>
          </w:p>
        </w:tc>
      </w:tr>
      <w:tr>
        <w:trPr>
          <w:trHeight w:val="20"/>
        </w:trPr>
        <w:tc>
          <w:tcPr>
            <w:tcW w:w="43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Note 4 — Property and Equipment, Net</w:t>
            </w:r>
          </w:p>
        </w:tc>
        <w:tc>
          <w:tcPr>
            <w:tcW w:w="5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2"/>
        </w:trPr>
        <w:tc>
          <w:tcPr>
            <w:tcW w:w="4360" w:type="dxa"/>
            <w:vAlign w:val="bottom"/>
            <w:gridSpan w:val="2"/>
            <w:vMerge w:val="continue"/>
          </w:tcPr>
          <w:p>
            <w:pPr>
              <w:spacing w:after="0"/>
              <w:rPr>
                <w:sz w:val="24"/>
                <w:szCs w:val="24"/>
                <w:color w:val="auto"/>
              </w:rPr>
            </w:pPr>
          </w:p>
        </w:tc>
        <w:tc>
          <w:tcPr>
            <w:tcW w:w="5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20" w:type="dxa"/>
            <w:vAlign w:val="bottom"/>
          </w:tcPr>
          <w:p>
            <w:pPr>
              <w:spacing w:after="0"/>
              <w:rPr>
                <w:sz w:val="24"/>
                <w:szCs w:val="24"/>
                <w:color w:val="auto"/>
              </w:rPr>
            </w:pPr>
          </w:p>
        </w:tc>
        <w:tc>
          <w:tcPr>
            <w:tcW w:w="434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Property and equipment, net consist of (in thousands):</w:t>
            </w:r>
          </w:p>
        </w:tc>
        <w:tc>
          <w:tcPr>
            <w:tcW w:w="5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2"/>
        </w:trPr>
        <w:tc>
          <w:tcPr>
            <w:tcW w:w="20" w:type="dxa"/>
            <w:vAlign w:val="bottom"/>
          </w:tcPr>
          <w:p>
            <w:pPr>
              <w:spacing w:after="0"/>
              <w:rPr>
                <w:sz w:val="24"/>
                <w:szCs w:val="24"/>
                <w:color w:val="auto"/>
              </w:rPr>
            </w:pPr>
          </w:p>
        </w:tc>
        <w:tc>
          <w:tcPr>
            <w:tcW w:w="4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1"/>
                <w:szCs w:val="11"/>
                <w:b w:val="1"/>
                <w:bCs w:val="1"/>
                <w:color w:val="auto"/>
              </w:rPr>
              <w:t>June 30,</w:t>
            </w: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4"/>
        </w:trPr>
        <w:tc>
          <w:tcPr>
            <w:tcW w:w="20" w:type="dxa"/>
            <w:vAlign w:val="bottom"/>
            <w:tcBorders>
              <w:bottom w:val="single" w:sz="8" w:color="CCEEFF"/>
            </w:tcBorders>
          </w:tcPr>
          <w:p>
            <w:pPr>
              <w:spacing w:after="0"/>
              <w:rPr>
                <w:sz w:val="13"/>
                <w:szCs w:val="13"/>
                <w:color w:val="auto"/>
              </w:rPr>
            </w:pPr>
          </w:p>
        </w:tc>
        <w:tc>
          <w:tcPr>
            <w:tcW w:w="4340" w:type="dxa"/>
            <w:vAlign w:val="bottom"/>
            <w:tcBorders>
              <w:bottom w:val="single" w:sz="8" w:color="CCEEFF"/>
            </w:tcBorders>
          </w:tcPr>
          <w:p>
            <w:pPr>
              <w:spacing w:after="0"/>
              <w:rPr>
                <w:sz w:val="13"/>
                <w:szCs w:val="13"/>
                <w:color w:val="auto"/>
              </w:rPr>
            </w:pPr>
          </w:p>
        </w:tc>
        <w:tc>
          <w:tcPr>
            <w:tcW w:w="580" w:type="dxa"/>
            <w:vAlign w:val="bottom"/>
            <w:tcBorders>
              <w:bottom w:val="single" w:sz="8" w:color="CCEEFF"/>
            </w:tcBorders>
          </w:tcPr>
          <w:p>
            <w:pPr>
              <w:spacing w:after="0"/>
              <w:rPr>
                <w:sz w:val="13"/>
                <w:szCs w:val="13"/>
                <w:color w:val="auto"/>
              </w:rPr>
            </w:pPr>
          </w:p>
        </w:tc>
        <w:tc>
          <w:tcPr>
            <w:tcW w:w="980" w:type="dxa"/>
            <w:vAlign w:val="bottom"/>
            <w:tcBorders>
              <w:bottom w:val="single" w:sz="8" w:color="CCEEFF"/>
            </w:tcBorders>
          </w:tcPr>
          <w:p>
            <w:pPr>
              <w:spacing w:after="0"/>
              <w:rPr>
                <w:sz w:val="13"/>
                <w:szCs w:val="13"/>
                <w:color w:val="auto"/>
              </w:rPr>
            </w:pPr>
          </w:p>
        </w:tc>
        <w:tc>
          <w:tcPr>
            <w:tcW w:w="4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1060" w:type="dxa"/>
            <w:vAlign w:val="bottom"/>
            <w:tcBorders>
              <w:bottom w:val="single" w:sz="8" w:color="CCEEFF"/>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1"/>
                <w:szCs w:val="11"/>
                <w:b w:val="1"/>
                <w:bCs w:val="1"/>
                <w:color w:val="auto"/>
              </w:rPr>
              <w:t>2024</w:t>
            </w:r>
          </w:p>
        </w:tc>
        <w:tc>
          <w:tcPr>
            <w:tcW w:w="66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820" w:type="dxa"/>
            <w:vAlign w:val="bottom"/>
            <w:tcBorders>
              <w:bottom w:val="single" w:sz="8" w:color="auto"/>
            </w:tcBorders>
            <w:gridSpan w:val="3"/>
          </w:tcPr>
          <w:p>
            <w:pPr>
              <w:jc w:val="right"/>
              <w:ind w:right="829"/>
              <w:spacing w:after="0"/>
              <w:rPr>
                <w:sz w:val="20"/>
                <w:szCs w:val="20"/>
                <w:color w:val="auto"/>
              </w:rPr>
            </w:pPr>
            <w:r>
              <w:rPr>
                <w:rFonts w:ascii="Times New Roman" w:cs="Times New Roman" w:eastAsia="Times New Roman" w:hAnsi="Times New Roman"/>
                <w:sz w:val="11"/>
                <w:szCs w:val="11"/>
                <w:b w:val="1"/>
                <w:bCs w:val="1"/>
                <w:color w:val="auto"/>
              </w:rPr>
              <w:t>2023</w:t>
            </w:r>
          </w:p>
        </w:tc>
        <w:tc>
          <w:tcPr>
            <w:tcW w:w="0" w:type="dxa"/>
            <w:vAlign w:val="bottom"/>
          </w:tcPr>
          <w:p>
            <w:pPr>
              <w:spacing w:after="0"/>
              <w:rPr>
                <w:sz w:val="1"/>
                <w:szCs w:val="1"/>
                <w:color w:val="auto"/>
              </w:rPr>
            </w:pPr>
          </w:p>
        </w:tc>
      </w:tr>
      <w:tr>
        <w:trPr>
          <w:trHeight w:val="176"/>
        </w:trPr>
        <w:tc>
          <w:tcPr>
            <w:tcW w:w="4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Equipment (includes computer hardware and software)</w:t>
            </w:r>
          </w:p>
        </w:tc>
        <w:tc>
          <w:tcPr>
            <w:tcW w:w="5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200" w:type="dxa"/>
            <w:vAlign w:val="bottom"/>
            <w:gridSpan w:val="3"/>
            <w:shd w:val="clear" w:color="auto" w:fill="CCEEFF"/>
          </w:tcPr>
          <w:p>
            <w:pPr>
              <w:spacing w:after="0"/>
              <w:rPr>
                <w:sz w:val="15"/>
                <w:szCs w:val="15"/>
                <w:color w:val="auto"/>
              </w:rPr>
            </w:pPr>
          </w:p>
        </w:tc>
        <w:tc>
          <w:tcPr>
            <w:tcW w:w="660" w:type="dxa"/>
            <w:vAlign w:val="bottom"/>
            <w:shd w:val="clear" w:color="auto" w:fill="CCEEFF"/>
          </w:tcPr>
          <w:p>
            <w:pPr>
              <w:jc w:val="right"/>
              <w:ind w:right="514"/>
              <w:spacing w:after="0"/>
              <w:rPr>
                <w:sz w:val="20"/>
                <w:szCs w:val="20"/>
                <w:color w:val="auto"/>
              </w:rPr>
            </w:pPr>
            <w:r>
              <w:rPr>
                <w:rFonts w:ascii="Times New Roman" w:cs="Times New Roman" w:eastAsia="Times New Roman" w:hAnsi="Times New Roman"/>
                <w:sz w:val="14"/>
                <w:szCs w:val="14"/>
                <w:color w:val="auto"/>
                <w:w w:val="85"/>
              </w:rPr>
              <w:t>$</w:t>
            </w: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15,766</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8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16,976</w:t>
            </w:r>
          </w:p>
        </w:tc>
        <w:tc>
          <w:tcPr>
            <w:tcW w:w="0" w:type="dxa"/>
            <w:vAlign w:val="bottom"/>
          </w:tcPr>
          <w:p>
            <w:pPr>
              <w:spacing w:after="0"/>
              <w:rPr>
                <w:sz w:val="1"/>
                <w:szCs w:val="1"/>
                <w:color w:val="auto"/>
              </w:rPr>
            </w:pPr>
          </w:p>
        </w:tc>
      </w:tr>
      <w:tr>
        <w:trPr>
          <w:trHeight w:val="180"/>
        </w:trPr>
        <w:tc>
          <w:tcPr>
            <w:tcW w:w="43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Furniture and fixtures</w:t>
            </w:r>
          </w:p>
        </w:tc>
        <w:tc>
          <w:tcPr>
            <w:tcW w:w="5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1,466</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20" w:type="dxa"/>
            <w:vAlign w:val="bottom"/>
            <w:gridSpan w:val="3"/>
          </w:tcPr>
          <w:p>
            <w:pPr>
              <w:jc w:val="center"/>
              <w:ind w:left="1312"/>
              <w:spacing w:after="0"/>
              <w:rPr>
                <w:sz w:val="20"/>
                <w:szCs w:val="20"/>
                <w:color w:val="auto"/>
              </w:rPr>
            </w:pPr>
            <w:r>
              <w:rPr>
                <w:rFonts w:ascii="Times New Roman" w:cs="Times New Roman" w:eastAsia="Times New Roman" w:hAnsi="Times New Roman"/>
                <w:sz w:val="14"/>
                <w:szCs w:val="14"/>
                <w:color w:val="auto"/>
              </w:rPr>
              <w:t>1,476</w:t>
            </w:r>
          </w:p>
        </w:tc>
        <w:tc>
          <w:tcPr>
            <w:tcW w:w="0" w:type="dxa"/>
            <w:vAlign w:val="bottom"/>
          </w:tcPr>
          <w:p>
            <w:pPr>
              <w:spacing w:after="0"/>
              <w:rPr>
                <w:sz w:val="1"/>
                <w:szCs w:val="1"/>
                <w:color w:val="auto"/>
              </w:rPr>
            </w:pPr>
          </w:p>
        </w:tc>
      </w:tr>
      <w:tr>
        <w:trPr>
          <w:trHeight w:val="180"/>
        </w:trPr>
        <w:tc>
          <w:tcPr>
            <w:tcW w:w="4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Leasehold improvements</w:t>
            </w:r>
          </w:p>
        </w:tc>
        <w:tc>
          <w:tcPr>
            <w:tcW w:w="5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5,040</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820" w:type="dxa"/>
            <w:vAlign w:val="bottom"/>
            <w:gridSpan w:val="3"/>
            <w:shd w:val="clear" w:color="auto" w:fill="CCEEFF"/>
          </w:tcPr>
          <w:p>
            <w:pPr>
              <w:jc w:val="center"/>
              <w:ind w:left="1312"/>
              <w:spacing w:after="0"/>
              <w:rPr>
                <w:sz w:val="20"/>
                <w:szCs w:val="20"/>
                <w:color w:val="auto"/>
              </w:rPr>
            </w:pPr>
            <w:r>
              <w:rPr>
                <w:rFonts w:ascii="Times New Roman" w:cs="Times New Roman" w:eastAsia="Times New Roman" w:hAnsi="Times New Roman"/>
                <w:sz w:val="14"/>
                <w:szCs w:val="14"/>
                <w:color w:val="auto"/>
              </w:rPr>
              <w:t>4,734</w:t>
            </w:r>
          </w:p>
        </w:tc>
        <w:tc>
          <w:tcPr>
            <w:tcW w:w="0" w:type="dxa"/>
            <w:vAlign w:val="bottom"/>
          </w:tcPr>
          <w:p>
            <w:pPr>
              <w:spacing w:after="0"/>
              <w:rPr>
                <w:sz w:val="1"/>
                <w:szCs w:val="1"/>
                <w:color w:val="auto"/>
              </w:rPr>
            </w:pPr>
          </w:p>
        </w:tc>
      </w:tr>
      <w:tr>
        <w:trPr>
          <w:trHeight w:val="180"/>
        </w:trPr>
        <w:tc>
          <w:tcPr>
            <w:tcW w:w="43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Vehicles</w:t>
            </w:r>
          </w:p>
        </w:tc>
        <w:tc>
          <w:tcPr>
            <w:tcW w:w="5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2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51</w:t>
            </w:r>
          </w:p>
        </w:tc>
        <w:tc>
          <w:tcPr>
            <w:tcW w:w="0" w:type="dxa"/>
            <w:vAlign w:val="bottom"/>
          </w:tcPr>
          <w:p>
            <w:pPr>
              <w:spacing w:after="0"/>
              <w:rPr>
                <w:sz w:val="1"/>
                <w:szCs w:val="1"/>
                <w:color w:val="auto"/>
              </w:rPr>
            </w:pPr>
          </w:p>
        </w:tc>
      </w:tr>
      <w:tr>
        <w:trPr>
          <w:trHeight w:val="180"/>
        </w:trPr>
        <w:tc>
          <w:tcPr>
            <w:tcW w:w="4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Accumulated depreciation</w:t>
            </w:r>
          </w:p>
        </w:tc>
        <w:tc>
          <w:tcPr>
            <w:tcW w:w="5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(14,510)</w:t>
            </w:r>
          </w:p>
        </w:tc>
        <w:tc>
          <w:tcPr>
            <w:tcW w:w="10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182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(14,151)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34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Total property and equipment, net</w:t>
            </w:r>
          </w:p>
        </w:tc>
        <w:tc>
          <w:tcPr>
            <w:tcW w:w="5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0" w:type="dxa"/>
            <w:vAlign w:val="bottom"/>
            <w:gridSpan w:val="3"/>
          </w:tcPr>
          <w:p>
            <w:pPr>
              <w:spacing w:after="0"/>
              <w:rPr>
                <w:sz w:val="14"/>
                <w:szCs w:val="14"/>
                <w:color w:val="auto"/>
              </w:rPr>
            </w:pPr>
          </w:p>
        </w:tc>
        <w:tc>
          <w:tcPr>
            <w:tcW w:w="66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4"/>
                <w:szCs w:val="14"/>
                <w:color w:val="auto"/>
                <w:w w:val="85"/>
              </w:rPr>
              <w:t>$</w:t>
            </w:r>
          </w:p>
        </w:tc>
        <w:tc>
          <w:tcPr>
            <w:tcW w:w="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7,813</w:t>
            </w:r>
          </w:p>
        </w:tc>
        <w:tc>
          <w:tcPr>
            <w:tcW w:w="100" w:type="dxa"/>
            <w:vAlign w:val="bottom"/>
          </w:tcPr>
          <w:p>
            <w:pPr>
              <w:spacing w:after="0"/>
              <w:rPr>
                <w:sz w:val="14"/>
                <w:szCs w:val="14"/>
                <w:color w:val="auto"/>
              </w:rPr>
            </w:pPr>
          </w:p>
        </w:tc>
        <w:tc>
          <w:tcPr>
            <w:tcW w:w="20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820" w:type="dxa"/>
            <w:vAlign w:val="bottom"/>
            <w:tcBorders>
              <w:bottom w:val="single" w:sz="8" w:color="auto"/>
            </w:tcBorders>
            <w:gridSpan w:val="3"/>
          </w:tcPr>
          <w:p>
            <w:pPr>
              <w:jc w:val="center"/>
              <w:ind w:left="1312"/>
              <w:spacing w:after="0"/>
              <w:rPr>
                <w:sz w:val="20"/>
                <w:szCs w:val="20"/>
                <w:color w:val="auto"/>
              </w:rPr>
            </w:pPr>
            <w:r>
              <w:rPr>
                <w:rFonts w:ascii="Times New Roman" w:cs="Times New Roman" w:eastAsia="Times New Roman" w:hAnsi="Times New Roman"/>
                <w:sz w:val="14"/>
                <w:szCs w:val="14"/>
                <w:color w:val="auto"/>
              </w:rPr>
              <w:t>9,086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Depreciation expense totaled $3.4 million and $3.4 million for the fiscal years ended June 30, 2024 and 2023, respectively.</w:t>
      </w: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3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46" w:right="31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4"/>
          <w:szCs w:val="14"/>
          <w:b w:val="1"/>
          <w:bCs w:val="1"/>
          <w:color w:val="auto"/>
        </w:rPr>
        <w:t>Note 5 — Intangible Assets, Net</w:t>
      </w:r>
    </w:p>
    <w:p>
      <w:pPr>
        <w:spacing w:after="0" w:line="11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Intangible assets, net consist of (in thousands):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7120" w:type="dxa"/>
            <w:vAlign w:val="bottom"/>
          </w:tcPr>
          <w:p>
            <w:pPr>
              <w:spacing w:after="0"/>
              <w:rPr>
                <w:sz w:val="13"/>
                <w:szCs w:val="13"/>
                <w:color w:val="auto"/>
              </w:rPr>
            </w:pPr>
          </w:p>
        </w:tc>
        <w:tc>
          <w:tcPr>
            <w:tcW w:w="136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gridSpan w:val="3"/>
          </w:tcPr>
          <w:p>
            <w:pPr>
              <w:jc w:val="right"/>
              <w:ind w:right="309"/>
              <w:spacing w:after="0"/>
              <w:rPr>
                <w:sz w:val="20"/>
                <w:szCs w:val="20"/>
                <w:color w:val="auto"/>
              </w:rPr>
            </w:pPr>
            <w:r>
              <w:rPr>
                <w:rFonts w:ascii="Times New Roman" w:cs="Times New Roman" w:eastAsia="Times New Roman" w:hAnsi="Times New Roman"/>
                <w:sz w:val="11"/>
                <w:szCs w:val="11"/>
                <w:b w:val="1"/>
                <w:bCs w:val="1"/>
                <w:color w:val="auto"/>
              </w:rPr>
              <w:t>June 30,</w:t>
            </w:r>
          </w:p>
        </w:tc>
        <w:tc>
          <w:tcPr>
            <w:tcW w:w="1500" w:type="dxa"/>
            <w:vAlign w:val="bottom"/>
            <w:tcBorders>
              <w:bottom w:val="single" w:sz="8" w:color="auto"/>
            </w:tcBorders>
          </w:tcPr>
          <w:p>
            <w:pPr>
              <w:spacing w:after="0"/>
              <w:rPr>
                <w:sz w:val="13"/>
                <w:szCs w:val="13"/>
                <w:color w:val="auto"/>
              </w:rPr>
            </w:pPr>
          </w:p>
        </w:tc>
      </w:tr>
      <w:tr>
        <w:trPr>
          <w:trHeight w:val="154"/>
        </w:trPr>
        <w:tc>
          <w:tcPr>
            <w:tcW w:w="7120" w:type="dxa"/>
            <w:vAlign w:val="bottom"/>
            <w:tcBorders>
              <w:bottom w:val="single" w:sz="8" w:color="CCEEFF"/>
            </w:tcBorders>
          </w:tcPr>
          <w:p>
            <w:pPr>
              <w:spacing w:after="0"/>
              <w:rPr>
                <w:sz w:val="13"/>
                <w:szCs w:val="13"/>
                <w:color w:val="auto"/>
              </w:rPr>
            </w:pPr>
          </w:p>
        </w:tc>
        <w:tc>
          <w:tcPr>
            <w:tcW w:w="136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1"/>
                <w:szCs w:val="11"/>
                <w:b w:val="1"/>
                <w:bCs w:val="1"/>
                <w:color w:val="auto"/>
              </w:rPr>
              <w:t>2024</w:t>
            </w:r>
          </w:p>
        </w:tc>
        <w:tc>
          <w:tcPr>
            <w:tcW w:w="66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1500" w:type="dxa"/>
            <w:vAlign w:val="bottom"/>
            <w:tcBorders>
              <w:bottom w:val="single" w:sz="8" w:color="auto"/>
            </w:tcBorders>
          </w:tcPr>
          <w:p>
            <w:pPr>
              <w:jc w:val="right"/>
              <w:ind w:right="832"/>
              <w:spacing w:after="0"/>
              <w:rPr>
                <w:sz w:val="20"/>
                <w:szCs w:val="20"/>
                <w:color w:val="auto"/>
              </w:rPr>
            </w:pPr>
            <w:r>
              <w:rPr>
                <w:rFonts w:ascii="Times New Roman" w:cs="Times New Roman" w:eastAsia="Times New Roman" w:hAnsi="Times New Roman"/>
                <w:sz w:val="11"/>
                <w:szCs w:val="11"/>
                <w:b w:val="1"/>
                <w:bCs w:val="1"/>
                <w:color w:val="auto"/>
              </w:rPr>
              <w:t>2023</w:t>
            </w:r>
          </w:p>
        </w:tc>
      </w:tr>
      <w:tr>
        <w:trPr>
          <w:trHeight w:val="176"/>
        </w:trPr>
        <w:tc>
          <w:tcPr>
            <w:tcW w:w="7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Patent costs</w:t>
            </w:r>
          </w:p>
        </w:tc>
        <w:tc>
          <w:tcPr>
            <w:tcW w:w="1360" w:type="dxa"/>
            <w:vAlign w:val="bottom"/>
            <w:shd w:val="clear" w:color="auto" w:fill="CCEEFF"/>
          </w:tcPr>
          <w:p>
            <w:pPr>
              <w:jc w:val="right"/>
              <w:ind w:right="1214"/>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2,330</w:t>
            </w: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jc w:val="right"/>
              <w:ind w:right="369"/>
              <w:spacing w:after="0"/>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2,330</w:t>
            </w:r>
          </w:p>
        </w:tc>
      </w:tr>
      <w:tr>
        <w:trPr>
          <w:trHeight w:val="180"/>
        </w:trPr>
        <w:tc>
          <w:tcPr>
            <w:tcW w:w="7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Accumulated amortization</w:t>
            </w:r>
          </w:p>
        </w:tc>
        <w:tc>
          <w:tcPr>
            <w:tcW w:w="13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(2,252)</w:t>
            </w:r>
          </w:p>
        </w:tc>
        <w:tc>
          <w:tcPr>
            <w:tcW w:w="100" w:type="dxa"/>
            <w:vAlign w:val="bottom"/>
            <w:tcBorders>
              <w:bottom w:val="single" w:sz="8" w:color="CCEEFF"/>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(2,120)</w:t>
            </w:r>
          </w:p>
        </w:tc>
      </w:tr>
      <w:tr>
        <w:trPr>
          <w:trHeight w:val="171"/>
        </w:trPr>
        <w:tc>
          <w:tcPr>
            <w:tcW w:w="71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Total finite-lived intangible assets, net</w:t>
            </w:r>
          </w:p>
        </w:tc>
        <w:tc>
          <w:tcPr>
            <w:tcW w:w="136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w:t>
            </w: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210</w:t>
            </w:r>
          </w:p>
        </w:tc>
      </w:tr>
      <w:tr>
        <w:trPr>
          <w:trHeight w:val="212"/>
        </w:trPr>
        <w:tc>
          <w:tcPr>
            <w:tcW w:w="7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500" w:type="dxa"/>
            <w:vAlign w:val="bottom"/>
          </w:tcPr>
          <w:p>
            <w:pPr>
              <w:spacing w:after="0"/>
              <w:rPr>
                <w:sz w:val="18"/>
                <w:szCs w:val="18"/>
                <w:color w:val="auto"/>
              </w:rPr>
            </w:pPr>
          </w:p>
        </w:tc>
      </w:tr>
      <w:tr>
        <w:trPr>
          <w:trHeight w:val="180"/>
        </w:trPr>
        <w:tc>
          <w:tcPr>
            <w:tcW w:w="7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Trademarks and other indefinite-lived intangible assets</w:t>
            </w:r>
          </w:p>
        </w:tc>
        <w:tc>
          <w:tcPr>
            <w:tcW w:w="1360" w:type="dxa"/>
            <w:vAlign w:val="bottom"/>
            <w:tcBorders>
              <w:bottom w:val="single" w:sz="8" w:color="auto"/>
            </w:tcBorders>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245</w:t>
            </w:r>
          </w:p>
        </w:tc>
        <w:tc>
          <w:tcPr>
            <w:tcW w:w="100" w:type="dxa"/>
            <w:vAlign w:val="bottom"/>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spacing w:after="0"/>
              <w:rPr>
                <w:sz w:val="15"/>
                <w:szCs w:val="15"/>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245</w:t>
            </w:r>
          </w:p>
        </w:tc>
      </w:tr>
      <w:tr>
        <w:trPr>
          <w:trHeight w:val="171"/>
        </w:trPr>
        <w:tc>
          <w:tcPr>
            <w:tcW w:w="71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Total intangible assets, net</w:t>
            </w:r>
          </w:p>
        </w:tc>
        <w:tc>
          <w:tcPr>
            <w:tcW w:w="1360" w:type="dxa"/>
            <w:vAlign w:val="bottom"/>
            <w:tcBorders>
              <w:bottom w:val="single" w:sz="8" w:color="auto"/>
            </w:tcBorders>
          </w:tcPr>
          <w:p>
            <w:pPr>
              <w:jc w:val="right"/>
              <w:ind w:right="1214"/>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323</w:t>
            </w:r>
          </w:p>
        </w:tc>
        <w:tc>
          <w:tcPr>
            <w:tcW w:w="100" w:type="dxa"/>
            <w:vAlign w:val="bottom"/>
          </w:tcPr>
          <w:p>
            <w:pPr>
              <w:spacing w:after="0"/>
              <w:rPr>
                <w:sz w:val="14"/>
                <w:szCs w:val="14"/>
                <w:color w:val="auto"/>
              </w:rPr>
            </w:pPr>
          </w:p>
        </w:tc>
        <w:tc>
          <w:tcPr>
            <w:tcW w:w="520" w:type="dxa"/>
            <w:vAlign w:val="bottom"/>
            <w:tcBorders>
              <w:bottom w:val="single" w:sz="8" w:color="auto"/>
            </w:tcBorders>
          </w:tcPr>
          <w:p>
            <w:pPr>
              <w:jc w:val="right"/>
              <w:ind w:right="369"/>
              <w:spacing w:after="0"/>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455</w:t>
            </w:r>
          </w:p>
        </w:tc>
      </w:tr>
      <w:tr>
        <w:trPr>
          <w:trHeight w:val="20"/>
        </w:trPr>
        <w:tc>
          <w:tcPr>
            <w:tcW w:w="71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166" w:lineRule="exact"/>
        <w:rPr>
          <w:sz w:val="20"/>
          <w:szCs w:val="20"/>
          <w:color w:val="auto"/>
        </w:rPr>
      </w:pPr>
    </w:p>
    <w:p>
      <w:pPr>
        <w:ind w:right="220" w:firstLine="255"/>
        <w:spacing w:after="0" w:line="287" w:lineRule="auto"/>
        <w:rPr>
          <w:sz w:val="20"/>
          <w:szCs w:val="20"/>
          <w:color w:val="auto"/>
        </w:rPr>
      </w:pPr>
      <w:r>
        <w:rPr>
          <w:rFonts w:ascii="Times New Roman" w:cs="Times New Roman" w:eastAsia="Times New Roman" w:hAnsi="Times New Roman"/>
          <w:sz w:val="14"/>
          <w:szCs w:val="14"/>
          <w:color w:val="auto"/>
        </w:rPr>
        <w:t>Amortization expense totaled $0.1 million and $0.1 million for the fiscal years ended June 30, 2024 and 2023, respectively. As of June 30, 2024, the remaining weighted-average amortization period for finite-lived intangible assets was 0.75 years. Annual estimated amortization expense is expected to approximate $0.1 million in the succeeding fiscal year.</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6 — Other Accrued Expenses</w:t>
      </w:r>
    </w:p>
    <w:p>
      <w:pPr>
        <w:spacing w:after="0" w:line="11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Other accrued expenses consist of (in thousands):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7120" w:type="dxa"/>
            <w:vAlign w:val="bottom"/>
          </w:tcPr>
          <w:p>
            <w:pPr>
              <w:spacing w:after="0"/>
              <w:rPr>
                <w:sz w:val="13"/>
                <w:szCs w:val="13"/>
                <w:color w:val="auto"/>
              </w:rPr>
            </w:pPr>
          </w:p>
        </w:tc>
        <w:tc>
          <w:tcPr>
            <w:tcW w:w="138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gridSpan w:val="3"/>
          </w:tcPr>
          <w:p>
            <w:pPr>
              <w:jc w:val="right"/>
              <w:ind w:right="309"/>
              <w:spacing w:after="0"/>
              <w:rPr>
                <w:sz w:val="20"/>
                <w:szCs w:val="20"/>
                <w:color w:val="auto"/>
              </w:rPr>
            </w:pPr>
            <w:r>
              <w:rPr>
                <w:rFonts w:ascii="Times New Roman" w:cs="Times New Roman" w:eastAsia="Times New Roman" w:hAnsi="Times New Roman"/>
                <w:sz w:val="11"/>
                <w:szCs w:val="11"/>
                <w:b w:val="1"/>
                <w:bCs w:val="1"/>
                <w:color w:val="auto"/>
              </w:rPr>
              <w:t>June 30,</w:t>
            </w:r>
          </w:p>
        </w:tc>
        <w:tc>
          <w:tcPr>
            <w:tcW w:w="1500" w:type="dxa"/>
            <w:vAlign w:val="bottom"/>
            <w:tcBorders>
              <w:bottom w:val="single" w:sz="8" w:color="auto"/>
            </w:tcBorders>
          </w:tcPr>
          <w:p>
            <w:pPr>
              <w:spacing w:after="0"/>
              <w:rPr>
                <w:sz w:val="13"/>
                <w:szCs w:val="13"/>
                <w:color w:val="auto"/>
              </w:rPr>
            </w:pPr>
          </w:p>
        </w:tc>
      </w:tr>
      <w:tr>
        <w:trPr>
          <w:trHeight w:val="154"/>
        </w:trPr>
        <w:tc>
          <w:tcPr>
            <w:tcW w:w="7120" w:type="dxa"/>
            <w:vAlign w:val="bottom"/>
            <w:tcBorders>
              <w:bottom w:val="single" w:sz="8" w:color="CCEEFF"/>
            </w:tcBorders>
          </w:tcPr>
          <w:p>
            <w:pPr>
              <w:spacing w:after="0"/>
              <w:rPr>
                <w:sz w:val="13"/>
                <w:szCs w:val="13"/>
                <w:color w:val="auto"/>
              </w:rPr>
            </w:pPr>
          </w:p>
        </w:tc>
        <w:tc>
          <w:tcPr>
            <w:tcW w:w="1380" w:type="dxa"/>
            <w:vAlign w:val="bottom"/>
            <w:tcBorders>
              <w:bottom w:val="single" w:sz="8" w:color="auto"/>
            </w:tcBorders>
          </w:tcPr>
          <w:p>
            <w:pPr>
              <w:jc w:val="right"/>
              <w:ind w:right="194"/>
              <w:spacing w:after="0"/>
              <w:rPr>
                <w:sz w:val="20"/>
                <w:szCs w:val="20"/>
                <w:color w:val="auto"/>
              </w:rPr>
            </w:pPr>
            <w:r>
              <w:rPr>
                <w:rFonts w:ascii="Times New Roman" w:cs="Times New Roman" w:eastAsia="Times New Roman" w:hAnsi="Times New Roman"/>
                <w:sz w:val="11"/>
                <w:szCs w:val="11"/>
                <w:b w:val="1"/>
                <w:bCs w:val="1"/>
                <w:color w:val="auto"/>
              </w:rPr>
              <w:t>2024</w:t>
            </w:r>
          </w:p>
        </w:tc>
        <w:tc>
          <w:tcPr>
            <w:tcW w:w="64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1500" w:type="dxa"/>
            <w:vAlign w:val="bottom"/>
            <w:tcBorders>
              <w:bottom w:val="single" w:sz="8" w:color="auto"/>
            </w:tcBorders>
          </w:tcPr>
          <w:p>
            <w:pPr>
              <w:jc w:val="right"/>
              <w:ind w:right="831"/>
              <w:spacing w:after="0"/>
              <w:rPr>
                <w:sz w:val="20"/>
                <w:szCs w:val="20"/>
                <w:color w:val="auto"/>
              </w:rPr>
            </w:pPr>
            <w:r>
              <w:rPr>
                <w:rFonts w:ascii="Times New Roman" w:cs="Times New Roman" w:eastAsia="Times New Roman" w:hAnsi="Times New Roman"/>
                <w:sz w:val="11"/>
                <w:szCs w:val="11"/>
                <w:b w:val="1"/>
                <w:bCs w:val="1"/>
                <w:color w:val="auto"/>
              </w:rPr>
              <w:t>2023</w:t>
            </w:r>
          </w:p>
        </w:tc>
      </w:tr>
      <w:tr>
        <w:trPr>
          <w:trHeight w:val="176"/>
        </w:trPr>
        <w:tc>
          <w:tcPr>
            <w:tcW w:w="7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Accrued incentive compensation</w:t>
            </w:r>
          </w:p>
        </w:tc>
        <w:tc>
          <w:tcPr>
            <w:tcW w:w="1380" w:type="dxa"/>
            <w:vAlign w:val="bottom"/>
            <w:shd w:val="clear" w:color="auto" w:fill="CCEEFF"/>
          </w:tcPr>
          <w:p>
            <w:pPr>
              <w:jc w:val="right"/>
              <w:ind w:right="1234"/>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1,521</w:t>
            </w: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jc w:val="right"/>
              <w:ind w:right="369"/>
              <w:spacing w:after="0"/>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3,060</w:t>
            </w:r>
          </w:p>
        </w:tc>
      </w:tr>
      <w:tr>
        <w:trPr>
          <w:trHeight w:val="180"/>
        </w:trPr>
        <w:tc>
          <w:tcPr>
            <w:tcW w:w="7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Accrued severance</w:t>
            </w:r>
          </w:p>
        </w:tc>
        <w:tc>
          <w:tcPr>
            <w:tcW w:w="13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w:t>
            </w: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w:t>
            </w:r>
          </w:p>
        </w:tc>
      </w:tr>
      <w:tr>
        <w:trPr>
          <w:trHeight w:val="180"/>
        </w:trPr>
        <w:tc>
          <w:tcPr>
            <w:tcW w:w="7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taxes payable</w:t>
            </w:r>
          </w:p>
        </w:tc>
        <w:tc>
          <w:tcPr>
            <w:tcW w:w="138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2,258</w:t>
            </w: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1,730</w:t>
            </w:r>
          </w:p>
        </w:tc>
      </w:tr>
      <w:tr>
        <w:trPr>
          <w:trHeight w:val="180"/>
        </w:trPr>
        <w:tc>
          <w:tcPr>
            <w:tcW w:w="7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Accrued payable to vendors</w:t>
            </w:r>
          </w:p>
        </w:tc>
        <w:tc>
          <w:tcPr>
            <w:tcW w:w="13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434</w:t>
            </w: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720</w:t>
            </w:r>
          </w:p>
        </w:tc>
      </w:tr>
      <w:tr>
        <w:trPr>
          <w:trHeight w:val="180"/>
        </w:trPr>
        <w:tc>
          <w:tcPr>
            <w:tcW w:w="7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Deferred revenue</w:t>
            </w:r>
          </w:p>
        </w:tc>
        <w:tc>
          <w:tcPr>
            <w:tcW w:w="138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860</w:t>
            </w: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834</w:t>
            </w:r>
          </w:p>
        </w:tc>
      </w:tr>
      <w:tr>
        <w:trPr>
          <w:trHeight w:val="180"/>
        </w:trPr>
        <w:tc>
          <w:tcPr>
            <w:tcW w:w="7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Accrued incentives and promotions to consultants</w:t>
            </w:r>
          </w:p>
        </w:tc>
        <w:tc>
          <w:tcPr>
            <w:tcW w:w="13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1,454</w:t>
            </w: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758</w:t>
            </w:r>
          </w:p>
        </w:tc>
      </w:tr>
      <w:tr>
        <w:trPr>
          <w:trHeight w:val="180"/>
        </w:trPr>
        <w:tc>
          <w:tcPr>
            <w:tcW w:w="7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Accrued other expenses</w:t>
            </w:r>
          </w:p>
        </w:tc>
        <w:tc>
          <w:tcPr>
            <w:tcW w:w="1380" w:type="dxa"/>
            <w:vAlign w:val="bottom"/>
            <w:tcBorders>
              <w:bottom w:val="single" w:sz="8" w:color="auto"/>
            </w:tcBorders>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1,257</w:t>
            </w:r>
          </w:p>
        </w:tc>
        <w:tc>
          <w:tcPr>
            <w:tcW w:w="100" w:type="dxa"/>
            <w:vAlign w:val="bottom"/>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spacing w:after="0"/>
              <w:rPr>
                <w:sz w:val="15"/>
                <w:szCs w:val="15"/>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788</w:t>
            </w:r>
          </w:p>
        </w:tc>
      </w:tr>
      <w:tr>
        <w:trPr>
          <w:trHeight w:val="171"/>
        </w:trPr>
        <w:tc>
          <w:tcPr>
            <w:tcW w:w="71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Total other accrued expenses</w:t>
            </w:r>
          </w:p>
        </w:tc>
        <w:tc>
          <w:tcPr>
            <w:tcW w:w="1380" w:type="dxa"/>
            <w:vAlign w:val="bottom"/>
            <w:tcBorders>
              <w:bottom w:val="single" w:sz="8" w:color="auto"/>
            </w:tcBorders>
          </w:tcPr>
          <w:p>
            <w:pPr>
              <w:jc w:val="right"/>
              <w:ind w:right="1234"/>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7,874</w:t>
            </w:r>
          </w:p>
        </w:tc>
        <w:tc>
          <w:tcPr>
            <w:tcW w:w="100" w:type="dxa"/>
            <w:vAlign w:val="bottom"/>
          </w:tcPr>
          <w:p>
            <w:pPr>
              <w:spacing w:after="0"/>
              <w:rPr>
                <w:sz w:val="14"/>
                <w:szCs w:val="14"/>
                <w:color w:val="auto"/>
              </w:rPr>
            </w:pPr>
          </w:p>
        </w:tc>
        <w:tc>
          <w:tcPr>
            <w:tcW w:w="520" w:type="dxa"/>
            <w:vAlign w:val="bottom"/>
            <w:tcBorders>
              <w:bottom w:val="single" w:sz="8" w:color="auto"/>
            </w:tcBorders>
          </w:tcPr>
          <w:p>
            <w:pPr>
              <w:jc w:val="right"/>
              <w:ind w:right="369"/>
              <w:spacing w:after="0"/>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7,932</w:t>
            </w:r>
          </w:p>
        </w:tc>
      </w:tr>
      <w:tr>
        <w:trPr>
          <w:trHeight w:val="20"/>
        </w:trPr>
        <w:tc>
          <w:tcPr>
            <w:tcW w:w="71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7 — Long-Term Debt</w:t>
      </w:r>
    </w:p>
    <w:p>
      <w:pPr>
        <w:spacing w:after="0" w:line="127" w:lineRule="exact"/>
        <w:rPr>
          <w:sz w:val="20"/>
          <w:szCs w:val="20"/>
          <w:color w:val="auto"/>
        </w:rPr>
      </w:pPr>
    </w:p>
    <w:p>
      <w:pPr>
        <w:ind w:right="160" w:firstLine="255"/>
        <w:spacing w:after="0" w:line="264" w:lineRule="auto"/>
        <w:rPr>
          <w:sz w:val="20"/>
          <w:szCs w:val="20"/>
          <w:color w:val="auto"/>
        </w:rPr>
      </w:pPr>
      <w:r>
        <w:rPr>
          <w:rFonts w:ascii="Times New Roman" w:cs="Times New Roman" w:eastAsia="Times New Roman" w:hAnsi="Times New Roman"/>
          <w:sz w:val="14"/>
          <w:szCs w:val="14"/>
          <w:color w:val="auto"/>
        </w:rPr>
        <w:t>On March 30, 2016, the Company entered into a loan agreement (the "2016 Loan Agreement") and a security agreement (the "2016 Security Agreement"). The 2016 Loan Agreement provides for a term loan in an aggregate principal amount of $10.0 million (the "2016 Term Loan") and a revolving loan facility in an aggregate principal amount not to exceed $2.0 million (the "2016 Revolving Loan," and collectively with the 2016 Term Loan, the 2016 Loan Agreement, and the 2016 Security Agreement, and together with the amendments described below, the "2016 Credit Facility"). During the fiscal year ended June 30, 2020, the Company repaid, in full, the balance of the 2016 Term Loan.</w:t>
      </w:r>
    </w:p>
    <w:p>
      <w:pPr>
        <w:spacing w:after="0" w:line="77" w:lineRule="exact"/>
        <w:rPr>
          <w:sz w:val="20"/>
          <w:szCs w:val="20"/>
          <w:color w:val="auto"/>
        </w:rPr>
      </w:pPr>
    </w:p>
    <w:p>
      <w:pPr>
        <w:ind w:right="620" w:firstLine="255"/>
        <w:spacing w:after="0" w:line="287" w:lineRule="auto"/>
        <w:rPr>
          <w:sz w:val="20"/>
          <w:szCs w:val="20"/>
          <w:color w:val="auto"/>
        </w:rPr>
      </w:pPr>
      <w:r>
        <w:rPr>
          <w:rFonts w:ascii="Times New Roman" w:cs="Times New Roman" w:eastAsia="Times New Roman" w:hAnsi="Times New Roman"/>
          <w:sz w:val="14"/>
          <w:szCs w:val="14"/>
          <w:color w:val="auto"/>
        </w:rPr>
        <w:t>On May 4, 2018 and February 1, 2019, the Company entered into loan modification agreements (“Amendment No. 1” and “Amendment No. 2”, respectively). These loan modification agreements amended certain financial covenants and the available borrowing amount under the 2016 Revolving Loan.</w:t>
      </w:r>
    </w:p>
    <w:p>
      <w:pPr>
        <w:spacing w:after="0" w:line="71" w:lineRule="exact"/>
        <w:rPr>
          <w:sz w:val="20"/>
          <w:szCs w:val="20"/>
          <w:color w:val="auto"/>
        </w:rPr>
      </w:pPr>
    </w:p>
    <w:p>
      <w:pPr>
        <w:ind w:right="160" w:firstLine="255"/>
        <w:spacing w:after="0" w:line="259" w:lineRule="auto"/>
        <w:rPr>
          <w:sz w:val="20"/>
          <w:szCs w:val="20"/>
          <w:color w:val="auto"/>
        </w:rPr>
      </w:pPr>
      <w:r>
        <w:rPr>
          <w:rFonts w:ascii="Times New Roman" w:cs="Times New Roman" w:eastAsia="Times New Roman" w:hAnsi="Times New Roman"/>
          <w:sz w:val="14"/>
          <w:szCs w:val="14"/>
          <w:color w:val="auto"/>
        </w:rPr>
        <w:t>On April 1, 2021, the Company entered into a loan modification agreement ("Amendment No. 3"), which amended the 2016 Credit Facility. Amendment No. 3, with an available borrowing amount of $5.0 million, a revised maturity date from March 31, 2021 to March 31, 2024, and a modified variable interest rate based on the one-month United States Treasury Rate, plus a margin of 2.00%, with an interest rate floor of 0.00%. Amendment No. 3 also revised the debt (total liabilities) to tangible net worth ratio (as defined in Amendment No. 3) covenant to require that the Company maintain this ratio not in excess of 2.00 to 1.00, measured as of the end of each fiscal quarter, and revised the definition and calculation of the minimum fixed charge coverage ratio (as defined in Amendment No. 3). There were no other changes to the minimum fixed charge coverage ratio of 1.10 to 1.00 or the minimum working capital of $6.0 million as set forth in previous amendments.</w:t>
      </w:r>
    </w:p>
    <w:p>
      <w:pPr>
        <w:spacing w:after="0" w:line="93" w:lineRule="exact"/>
        <w:rPr>
          <w:sz w:val="20"/>
          <w:szCs w:val="20"/>
          <w:color w:val="auto"/>
        </w:rPr>
      </w:pPr>
    </w:p>
    <w:p>
      <w:pPr>
        <w:ind w:right="180" w:firstLine="255"/>
        <w:spacing w:after="0" w:line="287" w:lineRule="auto"/>
        <w:rPr>
          <w:sz w:val="20"/>
          <w:szCs w:val="20"/>
          <w:color w:val="auto"/>
        </w:rPr>
      </w:pPr>
      <w:r>
        <w:rPr>
          <w:rFonts w:ascii="Times New Roman" w:cs="Times New Roman" w:eastAsia="Times New Roman" w:hAnsi="Times New Roman"/>
          <w:sz w:val="14"/>
          <w:szCs w:val="14"/>
          <w:color w:val="auto"/>
        </w:rPr>
        <w:t>The Company entered into a loan modification agreement ("Amendment No. 4"), effective September 30, 2022, which further amended the 2016 Credit Facility. Amendment No. 4 revised the calculation of the minimum fixed charge coverage</w:t>
      </w:r>
    </w:p>
    <w:p>
      <w:pPr>
        <w:spacing w:after="0" w:line="200" w:lineRule="exact"/>
        <w:rPr>
          <w:sz w:val="20"/>
          <w:szCs w:val="20"/>
          <w:color w:val="auto"/>
        </w:rPr>
      </w:pPr>
    </w:p>
    <w:p>
      <w:pPr>
        <w:spacing w:after="0" w:line="2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3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844" w:right="339" w:bottom="1440" w:gutter="0" w:footer="0" w:header="0"/>
        </w:sectPr>
      </w:pPr>
    </w:p>
    <w:bookmarkStart w:id="76" w:name="page77"/>
    <w:bookmarkEnd w:id="76"/>
    <w:p>
      <w:pPr>
        <w:spacing w:after="0" w:line="270" w:lineRule="auto"/>
        <w:rPr>
          <w:sz w:val="20"/>
          <w:szCs w:val="20"/>
          <w:color w:val="auto"/>
        </w:rPr>
      </w:pPr>
      <w:r>
        <w:rPr>
          <w:rFonts w:ascii="Times New Roman" w:cs="Times New Roman" w:eastAsia="Times New Roman" w:hAnsi="Times New Roman"/>
          <w:sz w:val="14"/>
          <w:szCs w:val="14"/>
          <w:color w:val="auto"/>
        </w:rPr>
        <w:t>ratio (as defined in Amendment No. 4) and allowed the Company to declare and pay dividends, up to $500,000 per quarter, through September 30, 2023. There were no other changes to the covenants or revolving loan facility as set forth in Amendment No. 3. If the Company borrowed under the 2016 Revolving Loan, interest would have been payable quarterly in arrears on the last day of each fiscal quarter.</w:t>
      </w:r>
    </w:p>
    <w:p>
      <w:pPr>
        <w:spacing w:after="0" w:line="72" w:lineRule="exact"/>
        <w:rPr>
          <w:sz w:val="20"/>
          <w:szCs w:val="20"/>
          <w:color w:val="auto"/>
        </w:rPr>
      </w:pPr>
    </w:p>
    <w:p>
      <w:pPr>
        <w:ind w:right="360" w:firstLine="255"/>
        <w:spacing w:after="0" w:line="287" w:lineRule="auto"/>
        <w:rPr>
          <w:sz w:val="20"/>
          <w:szCs w:val="20"/>
          <w:color w:val="auto"/>
        </w:rPr>
      </w:pPr>
      <w:r>
        <w:rPr>
          <w:rFonts w:ascii="Times New Roman" w:cs="Times New Roman" w:eastAsia="Times New Roman" w:hAnsi="Times New Roman"/>
          <w:sz w:val="14"/>
          <w:szCs w:val="14"/>
          <w:color w:val="auto"/>
        </w:rPr>
        <w:t>On August 28, 2023, the Company received approval, without modifying Amendment No. 4, to declare and pay a one-time cash dividend of $0.40 per share of common stock, to be paid on September 22, 2023. The Company also received approval to declare and pay dividends, up to $750,000, per quarter, through September 30, 2024.</w:t>
      </w:r>
    </w:p>
    <w:p>
      <w:pPr>
        <w:spacing w:after="0" w:line="7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On March 31, 2024, the 2016 Credit Facility reached the maturity date and was terminated.</w:t>
      </w:r>
    </w:p>
    <w:p>
      <w:pPr>
        <w:spacing w:after="0" w:line="125" w:lineRule="exact"/>
        <w:rPr>
          <w:sz w:val="20"/>
          <w:szCs w:val="20"/>
          <w:color w:val="auto"/>
        </w:rPr>
      </w:pPr>
    </w:p>
    <w:p>
      <w:pPr>
        <w:ind w:right="40" w:firstLine="255"/>
        <w:spacing w:after="0" w:line="261" w:lineRule="auto"/>
        <w:rPr>
          <w:sz w:val="20"/>
          <w:szCs w:val="20"/>
          <w:color w:val="auto"/>
        </w:rPr>
      </w:pPr>
      <w:r>
        <w:rPr>
          <w:rFonts w:ascii="Times New Roman" w:cs="Times New Roman" w:eastAsia="Times New Roman" w:hAnsi="Times New Roman"/>
          <w:sz w:val="14"/>
          <w:szCs w:val="14"/>
          <w:color w:val="auto"/>
        </w:rPr>
        <w:t>On April 12, 2024, the Company entered into a Loan Agreement (the “Loan Agreement”) with Bank of America, N.A., as Lender (the “Lender”). In connection with the Loan Agreement and on the same date, the Company, Lifeline Nutraceuticals Corporation, as Guarantor (the “Guarantor”), and the Lender also entered into a Continuing and Unconditional Guaranty (the “Continuing and Unconditional Guaranty”) and a Security and Pledge Agreement (the “Security and Pledge Agreement”). The Loan Agreement provides for a revolving line of credit in an aggregate principal amount not to exceed $5.0 million (the “Line of Credit” and collectively with the Loan Agreement, Continuing and Unconditional Guaranty, and the Security and Pledge Agreement, the “2024 Credit Facility”).</w:t>
      </w:r>
    </w:p>
    <w:p>
      <w:pPr>
        <w:spacing w:after="0" w:line="80" w:lineRule="exact"/>
        <w:rPr>
          <w:sz w:val="20"/>
          <w:szCs w:val="20"/>
          <w:color w:val="auto"/>
        </w:rPr>
      </w:pPr>
    </w:p>
    <w:p>
      <w:pPr>
        <w:ind w:right="100" w:firstLine="255"/>
        <w:spacing w:after="0" w:line="264" w:lineRule="auto"/>
        <w:rPr>
          <w:sz w:val="20"/>
          <w:szCs w:val="20"/>
          <w:color w:val="auto"/>
        </w:rPr>
      </w:pPr>
      <w:r>
        <w:rPr>
          <w:rFonts w:ascii="Times New Roman" w:cs="Times New Roman" w:eastAsia="Times New Roman" w:hAnsi="Times New Roman"/>
          <w:sz w:val="14"/>
          <w:szCs w:val="14"/>
          <w:color w:val="auto"/>
        </w:rPr>
        <w:t>In the event the Company borrows under the Line of Credit, interest will be payable commencing May 31, 2024, and then on the last day of each month thereafter until payment in full of all principal outstanding under the Line of Credit, with all unpaid principal and interest due on April 12, 2027 (the “Expiration Date”). The Line of Credit will bear interest at a rate per year equal to the sum of (i) the greater of the Term SOFR Daily Floating Rate (as defined in the Loan Agreement) or 0.00%, plus (ii) 2.00%. Amounts under the Line of Credit may be repaid and re-borrowed from time to time until the Expiration Date. As of June 30, 2024, the effective interest rate is 7.34%.</w:t>
      </w:r>
    </w:p>
    <w:p>
      <w:pPr>
        <w:spacing w:after="0" w:line="87" w:lineRule="exact"/>
        <w:rPr>
          <w:sz w:val="20"/>
          <w:szCs w:val="20"/>
          <w:color w:val="auto"/>
        </w:rPr>
      </w:pPr>
    </w:p>
    <w:p>
      <w:pPr>
        <w:ind w:right="40" w:firstLine="255"/>
        <w:spacing w:after="0" w:line="270" w:lineRule="auto"/>
        <w:rPr>
          <w:sz w:val="20"/>
          <w:szCs w:val="20"/>
          <w:color w:val="auto"/>
        </w:rPr>
      </w:pPr>
      <w:r>
        <w:rPr>
          <w:rFonts w:ascii="Times New Roman" w:cs="Times New Roman" w:eastAsia="Times New Roman" w:hAnsi="Times New Roman"/>
          <w:sz w:val="14"/>
          <w:szCs w:val="14"/>
          <w:color w:val="auto"/>
        </w:rPr>
        <w:t>The Company’s obligations under the Loan Agreement are secured by a security interest in substantially all of the assets of the Company and the Guarantor, and by a pledge of the membership interests of the Company's subsidiaries, as further provided for in the Security and Pledge Agreement. Pursuant to the Continuing and Unconditional Guaranty, the Guarantor guarantees and promises to pay promptly to the Lender all indebtedness of the Company when due.</w:t>
      </w:r>
    </w:p>
    <w:p>
      <w:pPr>
        <w:spacing w:after="0" w:line="83" w:lineRule="exact"/>
        <w:rPr>
          <w:sz w:val="20"/>
          <w:szCs w:val="20"/>
          <w:color w:val="auto"/>
        </w:rPr>
      </w:pPr>
    </w:p>
    <w:p>
      <w:pPr>
        <w:ind w:right="280" w:firstLine="255"/>
        <w:spacing w:after="0" w:line="264" w:lineRule="auto"/>
        <w:rPr>
          <w:sz w:val="20"/>
          <w:szCs w:val="20"/>
          <w:color w:val="auto"/>
        </w:rPr>
      </w:pPr>
      <w:r>
        <w:rPr>
          <w:rFonts w:ascii="Times New Roman" w:cs="Times New Roman" w:eastAsia="Times New Roman" w:hAnsi="Times New Roman"/>
          <w:sz w:val="14"/>
          <w:szCs w:val="14"/>
          <w:color w:val="auto"/>
        </w:rPr>
        <w:t>The Loan Agreement contains customary covenants, both affirmative and negative, that, among other things, restrict the Company’s ability to deal with the Company's assets outside of the ordinary course, incur additional indebtedness, grant liens on the Company's assets, make certain investments, purchase or otherwise acquire all or substantially all the assets or equity interests of other companies, and enter into consolidations, mergers or other combinations. The Loan Agreement requires that the Company maintain specified financial ratios and satisfy certain financial condition tests.</w:t>
      </w:r>
    </w:p>
    <w:p>
      <w:pPr>
        <w:spacing w:after="0" w:line="77" w:lineRule="exact"/>
        <w:rPr>
          <w:sz w:val="20"/>
          <w:szCs w:val="20"/>
          <w:color w:val="auto"/>
        </w:rPr>
      </w:pPr>
    </w:p>
    <w:p>
      <w:pPr>
        <w:ind w:right="20" w:firstLine="255"/>
        <w:spacing w:after="0" w:line="258" w:lineRule="auto"/>
        <w:rPr>
          <w:sz w:val="20"/>
          <w:szCs w:val="20"/>
          <w:color w:val="auto"/>
        </w:rPr>
      </w:pPr>
      <w:r>
        <w:rPr>
          <w:rFonts w:ascii="Times New Roman" w:cs="Times New Roman" w:eastAsia="Times New Roman" w:hAnsi="Times New Roman"/>
          <w:sz w:val="14"/>
          <w:szCs w:val="14"/>
          <w:color w:val="auto"/>
        </w:rPr>
        <w:t>The Loan Agreement contains certain customary events of default, including, among other things, failure of the Company to make required payments under the Loan Agreement, certain breaches of representations made by the Company or the Guarantor, insolvency or bankruptcy of the Company or the Guarantor, failure to have an enforceable first lien or security interest in any property given as security for the Loan Agreement, or failure of the Company to comply with covenants set forth in the Loan Agreement. If an event of default occurs under the Loan Agreement, the obligation of the Lender to make any additional credit available to the Company may be terminated and the amounts outstanding may become immediately due and payable in the discretion of the Lender, provided that in the event of insolvency or bankruptcy of the Company or the Guarantor, all debts outstanding under the Loan Agreement will automatically become due and payable. Upon the occurrence of any default or after maturity, all amounts outstanding under the Loan Agreement will, at the option of the Lender, bear interest at a rate which is 2.00% higher than the rate of interest otherwise provided under the Loan Agreement.</w:t>
      </w:r>
    </w:p>
    <w:p>
      <w:pPr>
        <w:spacing w:after="0" w:line="94" w:lineRule="exact"/>
        <w:rPr>
          <w:sz w:val="20"/>
          <w:szCs w:val="20"/>
          <w:color w:val="auto"/>
        </w:rPr>
      </w:pPr>
    </w:p>
    <w:p>
      <w:pPr>
        <w:ind w:right="400" w:firstLine="255"/>
        <w:spacing w:after="0" w:line="287" w:lineRule="auto"/>
        <w:rPr>
          <w:sz w:val="20"/>
          <w:szCs w:val="20"/>
          <w:color w:val="auto"/>
        </w:rPr>
      </w:pPr>
      <w:r>
        <w:rPr>
          <w:rFonts w:ascii="Times New Roman" w:cs="Times New Roman" w:eastAsia="Times New Roman" w:hAnsi="Times New Roman"/>
          <w:sz w:val="14"/>
          <w:szCs w:val="14"/>
          <w:color w:val="auto"/>
        </w:rPr>
        <w:t>As of June 30, 2024, the Company was in compliance with its financial covenants under the 2024 Credit Facility. As of June 30, 2024, there was no balance outstanding on the 2024 Credit Facility.</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8 — Stockholders’ Equity</w:t>
      </w:r>
    </w:p>
    <w:p>
      <w:pPr>
        <w:spacing w:after="0" w:line="117" w:lineRule="exact"/>
        <w:rPr>
          <w:sz w:val="20"/>
          <w:szCs w:val="20"/>
          <w:color w:val="auto"/>
        </w:rPr>
      </w:pPr>
    </w:p>
    <w:p>
      <w:pPr>
        <w:ind w:right="20" w:firstLine="255"/>
        <w:spacing w:after="0" w:line="264" w:lineRule="auto"/>
        <w:rPr>
          <w:sz w:val="20"/>
          <w:szCs w:val="20"/>
          <w:color w:val="auto"/>
        </w:rPr>
      </w:pPr>
      <w:r>
        <w:rPr>
          <w:rFonts w:ascii="Times New Roman" w:cs="Times New Roman" w:eastAsia="Times New Roman" w:hAnsi="Times New Roman"/>
          <w:sz w:val="14"/>
          <w:szCs w:val="14"/>
          <w:color w:val="auto"/>
        </w:rPr>
        <w:t>During the fiscal years ended June 30, 2024 and 2023, the Company issued zero shares of common stock as a result of the exercise of options. During the fiscal years ended June 30, 2024 and 2023, the Company issued 1.0 million and 0.3 million shares, respectively, under the Company's equity incentive plans. During the fiscal years ended June 30, 2024 and 2023, 0.2 million and 47,000 shares, respectively, of restricted stock were canceled or surrendered as payment of tax withholding upon vesting. During the fiscal years ended June 30, 2024 and 2023, the Company sold 0.1 million and 0.1 million shares under its 2019 Employee Stock Purchase Plan, respectively.</w:t>
      </w:r>
    </w:p>
    <w:p>
      <w:pPr>
        <w:spacing w:after="0" w:line="87" w:lineRule="exact"/>
        <w:rPr>
          <w:sz w:val="20"/>
          <w:szCs w:val="20"/>
          <w:color w:val="auto"/>
        </w:rPr>
      </w:pPr>
    </w:p>
    <w:p>
      <w:pPr>
        <w:ind w:right="360" w:firstLine="255"/>
        <w:spacing w:after="0" w:line="287" w:lineRule="auto"/>
        <w:rPr>
          <w:sz w:val="20"/>
          <w:szCs w:val="20"/>
          <w:color w:val="auto"/>
        </w:rPr>
      </w:pPr>
      <w:r>
        <w:rPr>
          <w:rFonts w:ascii="Times New Roman" w:cs="Times New Roman" w:eastAsia="Times New Roman" w:hAnsi="Times New Roman"/>
          <w:sz w:val="14"/>
          <w:szCs w:val="14"/>
          <w:color w:val="auto"/>
        </w:rPr>
        <w:t>On November 27, 2017, the Company's board approved a stock repurchase program, which was subsequently amended on February 1, 2019. Under the currently approved stock repurchase program, the Company is authorized to purchase up to</w:t>
      </w:r>
    </w:p>
    <w:p>
      <w:pPr>
        <w:spacing w:after="0" w:line="200" w:lineRule="exact"/>
        <w:rPr>
          <w:sz w:val="20"/>
          <w:szCs w:val="20"/>
          <w:color w:val="auto"/>
        </w:rPr>
      </w:pPr>
    </w:p>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3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46" w:right="319" w:bottom="1440" w:gutter="0" w:footer="0" w:header="0"/>
        </w:sectPr>
      </w:pPr>
    </w:p>
    <w:bookmarkStart w:id="77" w:name="page78"/>
    <w:bookmarkEnd w:id="77"/>
    <w:p>
      <w:pPr>
        <w:ind w:right="220"/>
        <w:spacing w:after="0" w:line="258" w:lineRule="auto"/>
        <w:rPr>
          <w:sz w:val="20"/>
          <w:szCs w:val="20"/>
          <w:color w:val="auto"/>
        </w:rPr>
      </w:pPr>
      <w:r>
        <w:rPr>
          <w:rFonts w:ascii="Times New Roman" w:cs="Times New Roman" w:eastAsia="Times New Roman" w:hAnsi="Times New Roman"/>
          <w:sz w:val="14"/>
          <w:szCs w:val="14"/>
          <w:color w:val="auto"/>
        </w:rPr>
        <w:t>$60 million through December 31, 2026. The stock repurchase program permits the Company to purchase shares from time to time through a variety of methods, including in the open market, through privately negotiated transactions or other means as determined by the Company's management, in accordance with applicable securities laws. As part of the stock repurchase program, the Company may enter into a pre-arranged stock repurchase plan which operates in accordance with guidelines specified under Rule 10b5-1 of the Securities Exchange Act of 1934, as amended. Accordingly, any transactions under such stock repurchase plan would be completed in accordance with the terms of the plan, including specified price, volume, and timing conditions. The stock repurchase program may be suspended or discontinued at any time. During the year ended June 30, 2024, the Company purchased 1.0 million shares of its common stock at an aggregate purchase price of $6.4 million under this repurchase program. During the fiscal year ending June 30, 2023, the Company purchased 0.2 million shares of its common stock at an aggregate purchase price of $0.8 million under this repurchase program. At June 30, 2024, there is $20.4 million remaining under this stock repurchase program.</w:t>
      </w:r>
    </w:p>
    <w:p>
      <w:pPr>
        <w:spacing w:after="0" w:line="83" w:lineRule="exact"/>
        <w:rPr>
          <w:sz w:val="20"/>
          <w:szCs w:val="20"/>
          <w:color w:val="auto"/>
        </w:rPr>
      </w:pPr>
    </w:p>
    <w:p>
      <w:pPr>
        <w:jc w:val="both"/>
        <w:ind w:right="80" w:firstLine="255"/>
        <w:spacing w:after="0" w:line="270" w:lineRule="auto"/>
        <w:rPr>
          <w:sz w:val="20"/>
          <w:szCs w:val="20"/>
          <w:color w:val="auto"/>
        </w:rPr>
      </w:pPr>
      <w:r>
        <w:rPr>
          <w:rFonts w:ascii="Times New Roman" w:cs="Times New Roman" w:eastAsia="Times New Roman" w:hAnsi="Times New Roman"/>
          <w:sz w:val="14"/>
          <w:szCs w:val="14"/>
          <w:color w:val="auto"/>
        </w:rPr>
        <w:t>On August 30, 2023, the board approved a stockholder rights agreement (the “Rights Plan”) and declared a dividend of one right for each outstanding share of common stock to stockholders of record on September 11, 2023. Each right entitles holders to purchase one newly issued share of preferred stock at an exercise price of $20 per right, subject to adjustment. Initially, the rights are not exercisable and trade with shares of the Company’s common stock.</w:t>
      </w:r>
    </w:p>
    <w:p>
      <w:pPr>
        <w:spacing w:after="0" w:line="83" w:lineRule="exact"/>
        <w:rPr>
          <w:sz w:val="20"/>
          <w:szCs w:val="20"/>
          <w:color w:val="auto"/>
        </w:rPr>
      </w:pPr>
    </w:p>
    <w:p>
      <w:pPr>
        <w:ind w:firstLine="255"/>
        <w:spacing w:after="0" w:line="264" w:lineRule="auto"/>
        <w:rPr>
          <w:sz w:val="20"/>
          <w:szCs w:val="20"/>
          <w:color w:val="auto"/>
        </w:rPr>
      </w:pPr>
      <w:r>
        <w:rPr>
          <w:rFonts w:ascii="Times New Roman" w:cs="Times New Roman" w:eastAsia="Times New Roman" w:hAnsi="Times New Roman"/>
          <w:sz w:val="14"/>
          <w:szCs w:val="14"/>
          <w:color w:val="auto"/>
        </w:rPr>
        <w:t>In general, the rights become exercisable following a public announcement that a person acquires 12% (or, in the case of passive investors, 20%) or more of the outstanding shares of the Company’s common stock. If a person becomes an acquiring person, each holder of rights (except the acquiring person) will have the right to purchase, for the purchase price, a number of shares of the Company’s common stock at a 50% discount to the then-current trading price. Rather than allowing the rights to be exercised in those circumstances, the board may exchange each right, other than the rights owned by the acquiring person, for a share of the Company’s common stock. The agreement provides for exceptions and additional terms for other certain situations and circumstances.</w:t>
      </w:r>
    </w:p>
    <w:p>
      <w:pPr>
        <w:spacing w:after="0" w:line="87" w:lineRule="exact"/>
        <w:rPr>
          <w:sz w:val="20"/>
          <w:szCs w:val="20"/>
          <w:color w:val="auto"/>
        </w:rPr>
      </w:pPr>
    </w:p>
    <w:p>
      <w:pPr>
        <w:ind w:right="180" w:firstLine="255"/>
        <w:spacing w:after="0" w:line="270" w:lineRule="auto"/>
        <w:rPr>
          <w:sz w:val="20"/>
          <w:szCs w:val="20"/>
          <w:color w:val="auto"/>
        </w:rPr>
      </w:pPr>
      <w:r>
        <w:rPr>
          <w:rFonts w:ascii="Times New Roman" w:cs="Times New Roman" w:eastAsia="Times New Roman" w:hAnsi="Times New Roman"/>
          <w:sz w:val="14"/>
          <w:szCs w:val="14"/>
          <w:color w:val="auto"/>
        </w:rPr>
        <w:t>The Rights Plan is intended to protect the interests of the Company and its stockholders by reducing the likelihood that any entity, person or group gains control of the Company through open-market accumulation or other means without payment of an adequate control premium and expires August 28, 2024. There is currently no impact to the Company’s Consolidated Financial Statements.</w:t>
      </w:r>
    </w:p>
    <w:p>
      <w:pPr>
        <w:spacing w:after="0" w:line="72" w:lineRule="exact"/>
        <w:rPr>
          <w:sz w:val="20"/>
          <w:szCs w:val="20"/>
          <w:color w:val="auto"/>
        </w:rPr>
      </w:pPr>
    </w:p>
    <w:p>
      <w:pPr>
        <w:ind w:right="300" w:firstLine="255"/>
        <w:spacing w:after="0" w:line="287" w:lineRule="auto"/>
        <w:rPr>
          <w:sz w:val="20"/>
          <w:szCs w:val="20"/>
          <w:color w:val="auto"/>
        </w:rPr>
      </w:pPr>
      <w:r>
        <w:rPr>
          <w:rFonts w:ascii="Times New Roman" w:cs="Times New Roman" w:eastAsia="Times New Roman" w:hAnsi="Times New Roman"/>
          <w:sz w:val="14"/>
          <w:szCs w:val="14"/>
          <w:color w:val="auto"/>
        </w:rPr>
        <w:t>The Company’s Certificate of Incorporation authorizes the designation and issuance of shares of preferred stock. However, as of June 30, 2024, none have been issued nor have any rights or preferences been assigned to the preferred stock by the Company’s board.</w:t>
      </w:r>
    </w:p>
    <w:p>
      <w:pPr>
        <w:spacing w:after="0" w:line="6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i w:val="1"/>
          <w:iCs w:val="1"/>
          <w:color w:val="auto"/>
        </w:rPr>
        <w:t>Dividends</w:t>
      </w:r>
    </w:p>
    <w:p>
      <w:pPr>
        <w:spacing w:after="0" w:line="127" w:lineRule="exact"/>
        <w:rPr>
          <w:sz w:val="20"/>
          <w:szCs w:val="20"/>
          <w:color w:val="auto"/>
        </w:rPr>
      </w:pPr>
    </w:p>
    <w:p>
      <w:pPr>
        <w:ind w:right="100" w:firstLine="255"/>
        <w:spacing w:after="0" w:line="264" w:lineRule="auto"/>
        <w:rPr>
          <w:sz w:val="20"/>
          <w:szCs w:val="20"/>
          <w:color w:val="auto"/>
        </w:rPr>
      </w:pPr>
      <w:r>
        <w:rPr>
          <w:rFonts w:ascii="Times New Roman" w:cs="Times New Roman" w:eastAsia="Times New Roman" w:hAnsi="Times New Roman"/>
          <w:sz w:val="14"/>
          <w:szCs w:val="14"/>
          <w:color w:val="auto"/>
        </w:rPr>
        <w:t>The Company paid a one-time cash dividend of $0.40 per share of common stock to stockholders of record in September 2023, quarterly cash dividends of $0.035 per share of common stock to stockholders of record in September 2023, December 2023 and March 2024, and $0.04 per share of common stock in June 2024 which were in the aggregate amount of $6.9 million, or 0.545 per share of common stock for the fiscal year ended June 30, 2024. For the fiscal year ended June 30, 2023, the Company paid to stockholders quarterly cash dividends totaling $1.6 million, or $0.125 per share of common stock.</w:t>
      </w:r>
    </w:p>
    <w:p>
      <w:pPr>
        <w:spacing w:after="0" w:line="77" w:lineRule="exact"/>
        <w:rPr>
          <w:sz w:val="20"/>
          <w:szCs w:val="20"/>
          <w:color w:val="auto"/>
        </w:rPr>
      </w:pPr>
    </w:p>
    <w:p>
      <w:pPr>
        <w:ind w:right="260" w:firstLine="255"/>
        <w:spacing w:after="0" w:line="287" w:lineRule="auto"/>
        <w:rPr>
          <w:sz w:val="20"/>
          <w:szCs w:val="20"/>
          <w:color w:val="auto"/>
        </w:rPr>
      </w:pPr>
      <w:r>
        <w:rPr>
          <w:rFonts w:ascii="Times New Roman" w:cs="Times New Roman" w:eastAsia="Times New Roman" w:hAnsi="Times New Roman"/>
          <w:sz w:val="14"/>
          <w:szCs w:val="14"/>
          <w:color w:val="auto"/>
        </w:rPr>
        <w:t>The declaration of dividends is subject to the discretion of the board and will depend upon various factors, including the Company's earnings, financial condition, restrictions imposed by any indebtedness that may be outstanding, cash requirements, future prospects, and other factors deemed relevant by the board.</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9 — Stock-Based Compensation</w:t>
      </w:r>
    </w:p>
    <w:p>
      <w:pPr>
        <w:spacing w:after="0" w:line="12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u w:val="single" w:color="auto"/>
          <w:color w:val="auto"/>
        </w:rPr>
        <w:t>Long-Term Incentive Plans</w:t>
      </w:r>
    </w:p>
    <w:p>
      <w:pPr>
        <w:spacing w:after="0" w:line="11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color w:val="auto"/>
        </w:rPr>
        <w:t>Equity-Settled Plans</w:t>
      </w:r>
    </w:p>
    <w:p>
      <w:pPr>
        <w:spacing w:after="0" w:line="127" w:lineRule="exact"/>
        <w:rPr>
          <w:sz w:val="20"/>
          <w:szCs w:val="20"/>
          <w:color w:val="auto"/>
        </w:rPr>
      </w:pPr>
    </w:p>
    <w:p>
      <w:pPr>
        <w:ind w:right="60" w:firstLine="255"/>
        <w:spacing w:after="0" w:line="258" w:lineRule="auto"/>
        <w:rPr>
          <w:sz w:val="20"/>
          <w:szCs w:val="20"/>
          <w:color w:val="auto"/>
        </w:rPr>
      </w:pPr>
      <w:r>
        <w:rPr>
          <w:rFonts w:ascii="Times New Roman" w:cs="Times New Roman" w:eastAsia="Times New Roman" w:hAnsi="Times New Roman"/>
          <w:sz w:val="14"/>
          <w:szCs w:val="14"/>
          <w:color w:val="auto"/>
        </w:rPr>
        <w:t>The Company adopted, and the stockholders approved, the 2017 Long-Term Incentive Plan (the “2017 Plan”), effective February 16, 2017, to provide incentives to eligible employees, directors, and consultants. The initial share pool approved was 650,000 shares. On November 9, 2023, the stockholders approved amendments to the 2017 Plan to increase the number of shares of the Company's common stock that are available for issuance under the 2017 plan by 1,138,000 shares. As of June 30, 2024, a maximum of 5.1 million shares of the Company's common stock can be issued under the 2017 Plan in connection with the grant of awards which is calculated as the sum of (i) 4,630,000 shares and (ii) up to 475,000 shares previously reserved for issuance under the Company's prior 2010 Long Term Incentive Plan, including shares returned upon cancellation, termination or forfeiture of awards that were previously granted under that plan. Outstanding stock options awarded under the 2017 Plan have exercise prices of $4.44 per share, vest over a three year vesting period, and have a contractual term of ten years. Awards expire in accordance with the terms of each award and, upon expiration of the award, the shares subject to the award are added</w:t>
      </w: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3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846" w:right="339" w:bottom="1440" w:gutter="0" w:footer="0" w:header="0"/>
        </w:sectPr>
      </w:pPr>
    </w:p>
    <w:bookmarkStart w:id="78" w:name="page79"/>
    <w:bookmarkEnd w:id="78"/>
    <w:p>
      <w:pPr>
        <w:ind w:right="60"/>
        <w:spacing w:after="0" w:line="287" w:lineRule="auto"/>
        <w:rPr>
          <w:sz w:val="20"/>
          <w:szCs w:val="20"/>
          <w:color w:val="auto"/>
        </w:rPr>
      </w:pPr>
      <w:r>
        <w:rPr>
          <w:rFonts w:ascii="Times New Roman" w:cs="Times New Roman" w:eastAsia="Times New Roman" w:hAnsi="Times New Roman"/>
          <w:sz w:val="14"/>
          <w:szCs w:val="14"/>
          <w:color w:val="auto"/>
        </w:rPr>
        <w:t>back to the 2017 Plan. As of June 30, 2024, under the 2017 Plan, there were stock option awards outstanding, net of awards expired, for an aggregate of 0.1 million shares of the Company’s common stock.</w:t>
      </w:r>
    </w:p>
    <w:p>
      <w:pPr>
        <w:spacing w:after="0" w:line="5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color w:val="auto"/>
        </w:rPr>
        <w:t>Employee Stock Purchase Plan</w:t>
      </w:r>
    </w:p>
    <w:p>
      <w:pPr>
        <w:spacing w:after="0" w:line="125" w:lineRule="exact"/>
        <w:rPr>
          <w:sz w:val="20"/>
          <w:szCs w:val="20"/>
          <w:color w:val="auto"/>
        </w:rPr>
      </w:pPr>
    </w:p>
    <w:p>
      <w:pPr>
        <w:ind w:right="480" w:firstLine="255"/>
        <w:spacing w:after="0" w:line="290" w:lineRule="auto"/>
        <w:rPr>
          <w:sz w:val="20"/>
          <w:szCs w:val="20"/>
          <w:color w:val="auto"/>
        </w:rPr>
      </w:pPr>
      <w:r>
        <w:rPr>
          <w:rFonts w:ascii="Times New Roman" w:cs="Times New Roman" w:eastAsia="Times New Roman" w:hAnsi="Times New Roman"/>
          <w:sz w:val="14"/>
          <w:szCs w:val="14"/>
          <w:i w:val="1"/>
          <w:iCs w:val="1"/>
          <w:color w:val="auto"/>
        </w:rPr>
        <w:t xml:space="preserve">General. </w:t>
      </w:r>
      <w:r>
        <w:rPr>
          <w:rFonts w:ascii="Times New Roman" w:cs="Times New Roman" w:eastAsia="Times New Roman" w:hAnsi="Times New Roman"/>
          <w:sz w:val="14"/>
          <w:szCs w:val="14"/>
          <w:color w:val="auto"/>
        </w:rPr>
        <w:t>The Company’s 2019 Employee Stock Purchase Plan ("ESPP") was adopted by the board in September 2018 and approved by its stockholders in November 2018. The ESPP is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intended to qualify under Section 423 of the Internal Revenue Code.</w:t>
      </w:r>
    </w:p>
    <w:p>
      <w:pPr>
        <w:spacing w:after="0" w:line="67" w:lineRule="exact"/>
        <w:rPr>
          <w:sz w:val="20"/>
          <w:szCs w:val="20"/>
          <w:color w:val="auto"/>
        </w:rPr>
      </w:pPr>
    </w:p>
    <w:p>
      <w:pPr>
        <w:ind w:right="60" w:firstLine="255"/>
        <w:spacing w:after="0" w:line="290" w:lineRule="auto"/>
        <w:rPr>
          <w:sz w:val="20"/>
          <w:szCs w:val="20"/>
          <w:color w:val="auto"/>
        </w:rPr>
      </w:pPr>
      <w:r>
        <w:rPr>
          <w:rFonts w:ascii="Times New Roman" w:cs="Times New Roman" w:eastAsia="Times New Roman" w:hAnsi="Times New Roman"/>
          <w:sz w:val="14"/>
          <w:szCs w:val="14"/>
          <w:i w:val="1"/>
          <w:iCs w:val="1"/>
          <w:color w:val="auto"/>
        </w:rPr>
        <w:t xml:space="preserve">Share Reserve. </w:t>
      </w:r>
      <w:r>
        <w:rPr>
          <w:rFonts w:ascii="Times New Roman" w:cs="Times New Roman" w:eastAsia="Times New Roman" w:hAnsi="Times New Roman"/>
          <w:sz w:val="14"/>
          <w:szCs w:val="14"/>
          <w:color w:val="auto"/>
        </w:rPr>
        <w:t>The Company has reserved 0.4 million shares of its common stock for issuance under the ESPP. As of June 30, 2024, 0.1 million shares were available for issuance. The number</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of shares reserved under the ESPP will automatically be adjusted in the event of a stock split, stock dividend or a reverse stock split (including an adjustment to the per-purchase period share limit).</w:t>
      </w:r>
    </w:p>
    <w:p>
      <w:pPr>
        <w:spacing w:after="0" w:line="57" w:lineRule="exact"/>
        <w:rPr>
          <w:sz w:val="20"/>
          <w:szCs w:val="20"/>
          <w:color w:val="auto"/>
        </w:rPr>
      </w:pPr>
    </w:p>
    <w:p>
      <w:pPr>
        <w:ind w:right="20" w:firstLine="255"/>
        <w:spacing w:after="0" w:line="265" w:lineRule="auto"/>
        <w:rPr>
          <w:sz w:val="20"/>
          <w:szCs w:val="20"/>
          <w:color w:val="auto"/>
        </w:rPr>
      </w:pPr>
      <w:r>
        <w:rPr>
          <w:rFonts w:ascii="Times New Roman" w:cs="Times New Roman" w:eastAsia="Times New Roman" w:hAnsi="Times New Roman"/>
          <w:sz w:val="14"/>
          <w:szCs w:val="14"/>
          <w:i w:val="1"/>
          <w:iCs w:val="1"/>
          <w:color w:val="auto"/>
        </w:rPr>
        <w:t xml:space="preserve">Purchase Price. </w:t>
      </w:r>
      <w:r>
        <w:rPr>
          <w:rFonts w:ascii="Times New Roman" w:cs="Times New Roman" w:eastAsia="Times New Roman" w:hAnsi="Times New Roman"/>
          <w:sz w:val="14"/>
          <w:szCs w:val="14"/>
          <w:color w:val="auto"/>
        </w:rPr>
        <w:t>Employees may purchase each share of common stock under the ESPP at a price equal to 85% of the lower of the fair market values of the stock as of the beginning or the end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of the six-month offering periods. An employee’s contributions to the ESPP are limited to 15% of the compensation, and up to a maximum of 3,000 shares may be purchased by an employee during any offering period. A participant shall not be granted an option under the ESPP if such option would permit the participant’s rights to purchase stock to accrue at a rate exceeding $25,000 fair market value of stock for each calendar year in which such option is outstanding at any time.</w:t>
      </w:r>
    </w:p>
    <w:p>
      <w:pPr>
        <w:spacing w:after="0" w:line="85" w:lineRule="exact"/>
        <w:rPr>
          <w:sz w:val="20"/>
          <w:szCs w:val="20"/>
          <w:color w:val="auto"/>
        </w:rPr>
      </w:pPr>
    </w:p>
    <w:p>
      <w:pPr>
        <w:ind w:right="40" w:firstLine="255"/>
        <w:spacing w:after="0" w:line="290" w:lineRule="auto"/>
        <w:rPr>
          <w:sz w:val="20"/>
          <w:szCs w:val="20"/>
          <w:color w:val="auto"/>
        </w:rPr>
      </w:pPr>
      <w:r>
        <w:rPr>
          <w:rFonts w:ascii="Times New Roman" w:cs="Times New Roman" w:eastAsia="Times New Roman" w:hAnsi="Times New Roman"/>
          <w:sz w:val="14"/>
          <w:szCs w:val="14"/>
          <w:i w:val="1"/>
          <w:iCs w:val="1"/>
          <w:color w:val="auto"/>
        </w:rPr>
        <w:t xml:space="preserve">Offering Periods. </w:t>
      </w:r>
      <w:r>
        <w:rPr>
          <w:rFonts w:ascii="Times New Roman" w:cs="Times New Roman" w:eastAsia="Times New Roman" w:hAnsi="Times New Roman"/>
          <w:sz w:val="14"/>
          <w:szCs w:val="14"/>
          <w:color w:val="auto"/>
        </w:rPr>
        <w:t>Unless otherwise determined by the compensation committee, the ESPP will be operated through a series of successive six-month offering periods, which will begin each year</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on March 1 and September 1.</w:t>
      </w:r>
    </w:p>
    <w:p>
      <w:pPr>
        <w:spacing w:after="0" w:line="6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During the fiscal years ended June 30, 2024 and 2023, 0.1 million and 0.1 million shares of common stock were purchased under the ESPP, respectively.</w:t>
      </w:r>
    </w:p>
    <w:p>
      <w:pPr>
        <w:spacing w:after="0" w:line="11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u w:val="single" w:color="auto"/>
          <w:color w:val="auto"/>
        </w:rPr>
        <w:t>Stock-Based Compensation</w:t>
      </w:r>
    </w:p>
    <w:p>
      <w:pPr>
        <w:spacing w:after="0" w:line="125" w:lineRule="exact"/>
        <w:rPr>
          <w:sz w:val="20"/>
          <w:szCs w:val="20"/>
          <w:color w:val="auto"/>
        </w:rPr>
      </w:pPr>
    </w:p>
    <w:p>
      <w:pPr>
        <w:ind w:right="60" w:firstLine="255"/>
        <w:spacing w:after="0" w:line="287" w:lineRule="auto"/>
        <w:rPr>
          <w:sz w:val="20"/>
          <w:szCs w:val="20"/>
          <w:color w:val="auto"/>
        </w:rPr>
      </w:pPr>
      <w:r>
        <w:rPr>
          <w:rFonts w:ascii="Times New Roman" w:cs="Times New Roman" w:eastAsia="Times New Roman" w:hAnsi="Times New Roman"/>
          <w:sz w:val="14"/>
          <w:szCs w:val="14"/>
          <w:color w:val="auto"/>
        </w:rPr>
        <w:t>In accordance with accounting guidance for stock-based compensation, payments in equity instruments for goods or services are accounted for by the fair value method. For the fiscal year ended June 30, 2024 and 2023, stock-based compensation of $3.3 million and $3.2 million, respectively, was reflected as an increase to additional paid in capital.</w:t>
      </w:r>
    </w:p>
    <w:p>
      <w:pPr>
        <w:spacing w:after="0" w:line="71" w:lineRule="exact"/>
        <w:rPr>
          <w:sz w:val="20"/>
          <w:szCs w:val="20"/>
          <w:color w:val="auto"/>
        </w:rPr>
      </w:pPr>
    </w:p>
    <w:p>
      <w:pPr>
        <w:ind w:right="60" w:firstLine="255"/>
        <w:spacing w:after="0" w:line="287" w:lineRule="auto"/>
        <w:rPr>
          <w:sz w:val="20"/>
          <w:szCs w:val="20"/>
          <w:color w:val="auto"/>
        </w:rPr>
      </w:pPr>
      <w:r>
        <w:rPr>
          <w:rFonts w:ascii="Times New Roman" w:cs="Times New Roman" w:eastAsia="Times New Roman" w:hAnsi="Times New Roman"/>
          <w:sz w:val="14"/>
          <w:szCs w:val="14"/>
          <w:color w:val="auto"/>
        </w:rPr>
        <w:t>At June 30, 2024, there was $2.5 million of unrecognized compensation cost related to non-vested stock-based compensation arrangements under the 2017 Plan, based on management's estimate of the shares that will ultimately vest. The Company expects to recognize such costs over a weighted-average period of 1.44 years.</w:t>
      </w:r>
    </w:p>
    <w:p>
      <w:pPr>
        <w:spacing w:after="0" w:line="5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color w:val="auto"/>
        </w:rPr>
        <w:t>Stock Options</w:t>
      </w:r>
    </w:p>
    <w:p>
      <w:pPr>
        <w:spacing w:after="0" w:line="12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There were no stock option grants during the fiscal years ended June 30, 2024 and 2023.</w:t>
      </w:r>
    </w:p>
    <w:p>
      <w:pPr>
        <w:spacing w:after="0" w:line="12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following is a summary of stock option activity for the fiscal years ended June 30, 2024 and 2023:</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444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20" w:type="dxa"/>
            <w:vAlign w:val="bottom"/>
          </w:tcPr>
          <w:p>
            <w:pPr>
              <w:jc w:val="center"/>
              <w:ind w:left="380"/>
              <w:spacing w:after="0"/>
              <w:rPr>
                <w:sz w:val="20"/>
                <w:szCs w:val="20"/>
                <w:color w:val="auto"/>
              </w:rPr>
            </w:pPr>
            <w:r>
              <w:rPr>
                <w:rFonts w:ascii="Times New Roman" w:cs="Times New Roman" w:eastAsia="Times New Roman" w:hAnsi="Times New Roman"/>
                <w:sz w:val="11"/>
                <w:szCs w:val="11"/>
                <w:b w:val="1"/>
                <w:bCs w:val="1"/>
                <w:color w:val="auto"/>
              </w:rPr>
              <w:t>Weighted</w:t>
            </w: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72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rPr>
              <w:t>Weighted</w:t>
            </w:r>
          </w:p>
        </w:tc>
        <w:tc>
          <w:tcPr>
            <w:tcW w:w="100" w:type="dxa"/>
            <w:vAlign w:val="bottom"/>
          </w:tcPr>
          <w:p>
            <w:pPr>
              <w:spacing w:after="0"/>
              <w:rPr>
                <w:sz w:val="11"/>
                <w:szCs w:val="11"/>
                <w:color w:val="auto"/>
              </w:rPr>
            </w:pPr>
          </w:p>
        </w:tc>
        <w:tc>
          <w:tcPr>
            <w:tcW w:w="156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rPr>
              <w:t>Aggregate Intrinsic Value (in</w:t>
            </w:r>
          </w:p>
        </w:tc>
        <w:tc>
          <w:tcPr>
            <w:tcW w:w="0" w:type="dxa"/>
            <w:vAlign w:val="bottom"/>
          </w:tcPr>
          <w:p>
            <w:pPr>
              <w:spacing w:after="0"/>
              <w:rPr>
                <w:sz w:val="1"/>
                <w:szCs w:val="1"/>
                <w:color w:val="auto"/>
              </w:rPr>
            </w:pPr>
          </w:p>
        </w:tc>
      </w:tr>
      <w:tr>
        <w:trPr>
          <w:trHeight w:val="115"/>
        </w:trPr>
        <w:tc>
          <w:tcPr>
            <w:tcW w:w="4440" w:type="dxa"/>
            <w:vAlign w:val="bottom"/>
          </w:tcPr>
          <w:p>
            <w:pPr>
              <w:spacing w:after="0"/>
              <w:rPr>
                <w:sz w:val="9"/>
                <w:szCs w:val="9"/>
                <w:color w:val="auto"/>
              </w:rPr>
            </w:pPr>
          </w:p>
        </w:tc>
        <w:tc>
          <w:tcPr>
            <w:tcW w:w="1380" w:type="dxa"/>
            <w:vAlign w:val="bottom"/>
            <w:vMerge w:val="restart"/>
          </w:tcPr>
          <w:p>
            <w:pPr>
              <w:ind w:left="260"/>
              <w:spacing w:after="0"/>
              <w:rPr>
                <w:sz w:val="20"/>
                <w:szCs w:val="20"/>
                <w:color w:val="auto"/>
              </w:rPr>
            </w:pPr>
            <w:r>
              <w:rPr>
                <w:rFonts w:ascii="Times New Roman" w:cs="Times New Roman" w:eastAsia="Times New Roman" w:hAnsi="Times New Roman"/>
                <w:sz w:val="11"/>
                <w:szCs w:val="11"/>
                <w:b w:val="1"/>
                <w:bCs w:val="1"/>
                <w:color w:val="auto"/>
              </w:rPr>
              <w:t>Options (in thousands)</w:t>
            </w: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1220" w:type="dxa"/>
            <w:vAlign w:val="bottom"/>
          </w:tcPr>
          <w:p>
            <w:pPr>
              <w:jc w:val="center"/>
              <w:ind w:left="360"/>
              <w:spacing w:after="0" w:line="115" w:lineRule="exact"/>
              <w:rPr>
                <w:sz w:val="20"/>
                <w:szCs w:val="20"/>
                <w:color w:val="auto"/>
              </w:rPr>
            </w:pPr>
            <w:r>
              <w:rPr>
                <w:rFonts w:ascii="Times New Roman" w:cs="Times New Roman" w:eastAsia="Times New Roman" w:hAnsi="Times New Roman"/>
                <w:sz w:val="11"/>
                <w:szCs w:val="11"/>
                <w:b w:val="1"/>
                <w:bCs w:val="1"/>
                <w:color w:val="auto"/>
              </w:rPr>
              <w:t>Average</w:t>
            </w: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720" w:type="dxa"/>
            <w:vAlign w:val="bottom"/>
            <w:gridSpan w:val="2"/>
          </w:tcPr>
          <w:p>
            <w:pPr>
              <w:jc w:val="center"/>
              <w:ind w:right="80"/>
              <w:spacing w:after="0" w:line="115" w:lineRule="exact"/>
              <w:rPr>
                <w:sz w:val="20"/>
                <w:szCs w:val="20"/>
                <w:color w:val="auto"/>
              </w:rPr>
            </w:pPr>
            <w:r>
              <w:rPr>
                <w:rFonts w:ascii="Times New Roman" w:cs="Times New Roman" w:eastAsia="Times New Roman" w:hAnsi="Times New Roman"/>
                <w:sz w:val="11"/>
                <w:szCs w:val="11"/>
                <w:b w:val="1"/>
                <w:bCs w:val="1"/>
                <w:color w:val="auto"/>
              </w:rPr>
              <w:t>Average Remaining</w:t>
            </w:r>
          </w:p>
        </w:tc>
        <w:tc>
          <w:tcPr>
            <w:tcW w:w="100" w:type="dxa"/>
            <w:vAlign w:val="bottom"/>
          </w:tcPr>
          <w:p>
            <w:pPr>
              <w:spacing w:after="0"/>
              <w:rPr>
                <w:sz w:val="9"/>
                <w:szCs w:val="9"/>
                <w:color w:val="auto"/>
              </w:rPr>
            </w:pPr>
          </w:p>
        </w:tc>
        <w:tc>
          <w:tcPr>
            <w:tcW w:w="156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4440" w:type="dxa"/>
            <w:vAlign w:val="bottom"/>
          </w:tcPr>
          <w:p>
            <w:pPr>
              <w:spacing w:after="0"/>
              <w:rPr>
                <w:sz w:val="13"/>
                <w:szCs w:val="13"/>
                <w:color w:val="auto"/>
              </w:rPr>
            </w:pPr>
          </w:p>
        </w:tc>
        <w:tc>
          <w:tcPr>
            <w:tcW w:w="1380" w:type="dxa"/>
            <w:vAlign w:val="bottom"/>
            <w:vMerge w:val="continue"/>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20" w:type="dxa"/>
            <w:vAlign w:val="bottom"/>
          </w:tcPr>
          <w:p>
            <w:pPr>
              <w:jc w:val="center"/>
              <w:ind w:left="360"/>
              <w:spacing w:after="0"/>
              <w:rPr>
                <w:sz w:val="20"/>
                <w:szCs w:val="20"/>
                <w:color w:val="auto"/>
              </w:rPr>
            </w:pPr>
            <w:r>
              <w:rPr>
                <w:rFonts w:ascii="Times New Roman" w:cs="Times New Roman" w:eastAsia="Times New Roman" w:hAnsi="Times New Roman"/>
                <w:sz w:val="11"/>
                <w:szCs w:val="11"/>
                <w:b w:val="1"/>
                <w:bCs w:val="1"/>
                <w:color w:val="auto"/>
              </w:rPr>
              <w:t>Exercise Price</w:t>
            </w: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2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rPr>
              <w:t>Contractual Term (in years)</w:t>
            </w:r>
          </w:p>
        </w:tc>
        <w:tc>
          <w:tcPr>
            <w:tcW w:w="100" w:type="dxa"/>
            <w:vAlign w:val="bottom"/>
          </w:tcPr>
          <w:p>
            <w:pPr>
              <w:spacing w:after="0"/>
              <w:rPr>
                <w:sz w:val="13"/>
                <w:szCs w:val="13"/>
                <w:color w:val="auto"/>
              </w:rPr>
            </w:pPr>
          </w:p>
        </w:tc>
        <w:tc>
          <w:tcPr>
            <w:tcW w:w="156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rPr>
              <w:t>thousands)</w:t>
            </w:r>
          </w:p>
        </w:tc>
        <w:tc>
          <w:tcPr>
            <w:tcW w:w="0" w:type="dxa"/>
            <w:vAlign w:val="bottom"/>
          </w:tcPr>
          <w:p>
            <w:pPr>
              <w:spacing w:after="0"/>
              <w:rPr>
                <w:sz w:val="1"/>
                <w:szCs w:val="1"/>
                <w:color w:val="auto"/>
              </w:rPr>
            </w:pPr>
          </w:p>
        </w:tc>
      </w:tr>
      <w:tr>
        <w:trPr>
          <w:trHeight w:val="175"/>
        </w:trPr>
        <w:tc>
          <w:tcPr>
            <w:tcW w:w="44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Outstanding at June 30, 2022</w:t>
            </w:r>
          </w:p>
        </w:tc>
        <w:tc>
          <w:tcPr>
            <w:tcW w:w="138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92</w:t>
            </w:r>
          </w:p>
        </w:tc>
        <w:tc>
          <w:tcPr>
            <w:tcW w:w="80" w:type="dxa"/>
            <w:vAlign w:val="bottom"/>
            <w:tcBorders>
              <w:top w:val="single" w:sz="8" w:color="CCEEFF"/>
            </w:tcBorders>
            <w:shd w:val="clear" w:color="auto" w:fill="CCEEFF"/>
          </w:tcPr>
          <w:p>
            <w:pPr>
              <w:spacing w:after="0"/>
              <w:rPr>
                <w:sz w:val="15"/>
                <w:szCs w:val="15"/>
                <w:color w:val="auto"/>
              </w:rPr>
            </w:pPr>
          </w:p>
        </w:tc>
        <w:tc>
          <w:tcPr>
            <w:tcW w:w="1220" w:type="dxa"/>
            <w:vAlign w:val="bottom"/>
            <w:tcBorders>
              <w:top w:val="single" w:sz="8" w:color="auto"/>
            </w:tcBorders>
            <w:shd w:val="clear" w:color="auto" w:fill="CCEEFF"/>
          </w:tcPr>
          <w:p>
            <w:pPr>
              <w:jc w:val="right"/>
              <w:ind w:right="106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6.23</w:t>
            </w:r>
          </w:p>
        </w:tc>
        <w:tc>
          <w:tcPr>
            <w:tcW w:w="100" w:type="dxa"/>
            <w:vAlign w:val="bottom"/>
            <w:tcBorders>
              <w:top w:val="single" w:sz="8" w:color="CCEEFF"/>
            </w:tcBorders>
            <w:shd w:val="clear" w:color="auto" w:fill="CCEEFF"/>
          </w:tcPr>
          <w:p>
            <w:pPr>
              <w:spacing w:after="0"/>
              <w:rPr>
                <w:sz w:val="15"/>
                <w:szCs w:val="15"/>
                <w:color w:val="auto"/>
              </w:rPr>
            </w:pPr>
          </w:p>
        </w:tc>
        <w:tc>
          <w:tcPr>
            <w:tcW w:w="164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540" w:type="dxa"/>
            <w:vAlign w:val="bottom"/>
            <w:tcBorders>
              <w:top w:val="single" w:sz="8" w:color="auto"/>
            </w:tcBorders>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44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5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Granted</w:t>
            </w:r>
          </w:p>
        </w:tc>
        <w:tc>
          <w:tcPr>
            <w:tcW w:w="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300" w:type="dxa"/>
            <w:vAlign w:val="bottom"/>
            <w:gridSpan w:val="2"/>
            <w:shd w:val="clear" w:color="auto" w:fill="CCEEFF"/>
          </w:tcPr>
          <w:p>
            <w:pPr>
              <w:jc w:val="right"/>
              <w:ind w:right="106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54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8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Exercised</w:t>
            </w:r>
          </w:p>
        </w:tc>
        <w:tc>
          <w:tcPr>
            <w:tcW w:w="2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Forfeited</w:t>
            </w:r>
          </w:p>
        </w:tc>
        <w:tc>
          <w:tcPr>
            <w:tcW w:w="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54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8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Expired or Canceled</w:t>
            </w:r>
          </w:p>
        </w:tc>
        <w:tc>
          <w:tcPr>
            <w:tcW w:w="2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(20)</w:t>
            </w:r>
          </w:p>
        </w:tc>
        <w:tc>
          <w:tcPr>
            <w:tcW w:w="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12.46</w:t>
            </w:r>
          </w:p>
        </w:tc>
        <w:tc>
          <w:tcPr>
            <w:tcW w:w="10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44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Outstanding at June 30, 2023</w:t>
            </w:r>
          </w:p>
        </w:tc>
        <w:tc>
          <w:tcPr>
            <w:tcW w:w="1380" w:type="dxa"/>
            <w:vAlign w:val="bottom"/>
            <w:tcBorders>
              <w:top w:val="single" w:sz="8" w:color="auto"/>
              <w:bottom w:val="single" w:sz="8" w:color="auto"/>
            </w:tcBorders>
            <w:shd w:val="clear" w:color="auto" w:fill="CCEEFF"/>
          </w:tcPr>
          <w:p>
            <w:pPr>
              <w:spacing w:after="0"/>
              <w:rPr>
                <w:sz w:val="14"/>
                <w:szCs w:val="14"/>
                <w:color w:val="auto"/>
              </w:rPr>
            </w:pPr>
          </w:p>
        </w:tc>
        <w:tc>
          <w:tcPr>
            <w:tcW w:w="26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72</w:t>
            </w:r>
          </w:p>
        </w:tc>
        <w:tc>
          <w:tcPr>
            <w:tcW w:w="80" w:type="dxa"/>
            <w:vAlign w:val="bottom"/>
            <w:tcBorders>
              <w:top w:val="single" w:sz="8" w:color="CCEEFF"/>
            </w:tcBorders>
            <w:shd w:val="clear" w:color="auto" w:fill="CCEEFF"/>
          </w:tcPr>
          <w:p>
            <w:pPr>
              <w:spacing w:after="0"/>
              <w:rPr>
                <w:sz w:val="14"/>
                <w:szCs w:val="14"/>
                <w:color w:val="auto"/>
              </w:rPr>
            </w:pPr>
          </w:p>
        </w:tc>
        <w:tc>
          <w:tcPr>
            <w:tcW w:w="1220" w:type="dxa"/>
            <w:vAlign w:val="bottom"/>
            <w:tcBorders>
              <w:top w:val="single" w:sz="8" w:color="CCEEFF"/>
            </w:tcBorders>
            <w:shd w:val="clear" w:color="auto" w:fill="CCEEFF"/>
          </w:tcPr>
          <w:p>
            <w:pPr>
              <w:spacing w:after="0"/>
              <w:rPr>
                <w:sz w:val="14"/>
                <w:szCs w:val="14"/>
                <w:color w:val="auto"/>
              </w:rPr>
            </w:pPr>
          </w:p>
        </w:tc>
        <w:tc>
          <w:tcPr>
            <w:tcW w:w="42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4.44</w:t>
            </w:r>
          </w:p>
        </w:tc>
        <w:tc>
          <w:tcPr>
            <w:tcW w:w="100" w:type="dxa"/>
            <w:vAlign w:val="bottom"/>
            <w:tcBorders>
              <w:top w:val="single" w:sz="8" w:color="CCEEFF"/>
            </w:tcBorders>
            <w:shd w:val="clear" w:color="auto" w:fill="CCEEFF"/>
          </w:tcPr>
          <w:p>
            <w:pPr>
              <w:spacing w:after="0"/>
              <w:rPr>
                <w:sz w:val="14"/>
                <w:szCs w:val="14"/>
                <w:color w:val="auto"/>
              </w:rPr>
            </w:pPr>
          </w:p>
        </w:tc>
        <w:tc>
          <w:tcPr>
            <w:tcW w:w="164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540" w:type="dxa"/>
            <w:vAlign w:val="bottom"/>
            <w:tcBorders>
              <w:top w:val="single" w:sz="8" w:color="CCEEFF"/>
            </w:tcBorders>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0"/>
        </w:trPr>
        <w:tc>
          <w:tcPr>
            <w:tcW w:w="444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5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Granted</w:t>
            </w:r>
          </w:p>
        </w:tc>
        <w:tc>
          <w:tcPr>
            <w:tcW w:w="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300" w:type="dxa"/>
            <w:vAlign w:val="bottom"/>
            <w:gridSpan w:val="2"/>
            <w:shd w:val="clear" w:color="auto" w:fill="CCEEFF"/>
          </w:tcPr>
          <w:p>
            <w:pPr>
              <w:jc w:val="right"/>
              <w:ind w:right="106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54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8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Exercised</w:t>
            </w:r>
          </w:p>
        </w:tc>
        <w:tc>
          <w:tcPr>
            <w:tcW w:w="2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Forfeited</w:t>
            </w:r>
          </w:p>
        </w:tc>
        <w:tc>
          <w:tcPr>
            <w:tcW w:w="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54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8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Expired or Canceled</w:t>
            </w:r>
          </w:p>
        </w:tc>
        <w:tc>
          <w:tcPr>
            <w:tcW w:w="2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44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Outstanding at June 30, 2024</w:t>
            </w:r>
          </w:p>
        </w:tc>
        <w:tc>
          <w:tcPr>
            <w:tcW w:w="1380" w:type="dxa"/>
            <w:vAlign w:val="bottom"/>
            <w:tcBorders>
              <w:top w:val="single" w:sz="8" w:color="auto"/>
              <w:bottom w:val="single" w:sz="8" w:color="auto"/>
            </w:tcBorders>
            <w:shd w:val="clear" w:color="auto" w:fill="CCEEFF"/>
          </w:tcPr>
          <w:p>
            <w:pPr>
              <w:spacing w:after="0"/>
              <w:rPr>
                <w:sz w:val="14"/>
                <w:szCs w:val="14"/>
                <w:color w:val="auto"/>
              </w:rPr>
            </w:pPr>
          </w:p>
        </w:tc>
        <w:tc>
          <w:tcPr>
            <w:tcW w:w="26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72</w:t>
            </w:r>
          </w:p>
        </w:tc>
        <w:tc>
          <w:tcPr>
            <w:tcW w:w="80" w:type="dxa"/>
            <w:vAlign w:val="bottom"/>
            <w:tcBorders>
              <w:top w:val="single" w:sz="8" w:color="CCEEFF"/>
            </w:tcBorders>
            <w:shd w:val="clear" w:color="auto" w:fill="CCEEFF"/>
          </w:tcPr>
          <w:p>
            <w:pPr>
              <w:spacing w:after="0"/>
              <w:rPr>
                <w:sz w:val="14"/>
                <w:szCs w:val="14"/>
                <w:color w:val="auto"/>
              </w:rPr>
            </w:pPr>
          </w:p>
        </w:tc>
        <w:tc>
          <w:tcPr>
            <w:tcW w:w="1220" w:type="dxa"/>
            <w:vAlign w:val="bottom"/>
            <w:tcBorders>
              <w:top w:val="single" w:sz="8" w:color="CCEEFF"/>
            </w:tcBorders>
            <w:shd w:val="clear" w:color="auto" w:fill="CCEEFF"/>
          </w:tcPr>
          <w:p>
            <w:pPr>
              <w:spacing w:after="0"/>
              <w:rPr>
                <w:sz w:val="14"/>
                <w:szCs w:val="14"/>
                <w:color w:val="auto"/>
              </w:rPr>
            </w:pPr>
          </w:p>
        </w:tc>
        <w:tc>
          <w:tcPr>
            <w:tcW w:w="42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4.44</w:t>
            </w:r>
          </w:p>
        </w:tc>
        <w:tc>
          <w:tcPr>
            <w:tcW w:w="100" w:type="dxa"/>
            <w:vAlign w:val="bottom"/>
            <w:tcBorders>
              <w:top w:val="single" w:sz="8" w:color="CCEEFF"/>
            </w:tcBorders>
            <w:shd w:val="clear" w:color="auto" w:fill="CCEEFF"/>
          </w:tcPr>
          <w:p>
            <w:pPr>
              <w:spacing w:after="0"/>
              <w:rPr>
                <w:sz w:val="14"/>
                <w:szCs w:val="14"/>
                <w:color w:val="auto"/>
              </w:rPr>
            </w:pPr>
          </w:p>
        </w:tc>
        <w:tc>
          <w:tcPr>
            <w:tcW w:w="164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3.59</w:t>
            </w:r>
          </w:p>
        </w:tc>
        <w:tc>
          <w:tcPr>
            <w:tcW w:w="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54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Exercisable at June 30, 2024</w:t>
            </w:r>
          </w:p>
        </w:tc>
        <w:tc>
          <w:tcPr>
            <w:tcW w:w="13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72</w:t>
            </w:r>
          </w:p>
        </w:tc>
        <w:tc>
          <w:tcPr>
            <w:tcW w:w="1300" w:type="dxa"/>
            <w:vAlign w:val="bottom"/>
            <w:gridSpan w:val="2"/>
          </w:tcPr>
          <w:p>
            <w:pPr>
              <w:jc w:val="right"/>
              <w:ind w:right="106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4.44</w:t>
            </w:r>
          </w:p>
        </w:tc>
        <w:tc>
          <w:tcPr>
            <w:tcW w:w="100" w:type="dxa"/>
            <w:vAlign w:val="bottom"/>
          </w:tcPr>
          <w:p>
            <w:pPr>
              <w:spacing w:after="0"/>
              <w:rPr>
                <w:sz w:val="14"/>
                <w:szCs w:val="14"/>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3.59</w:t>
            </w:r>
          </w:p>
        </w:tc>
        <w:tc>
          <w:tcPr>
            <w:tcW w:w="8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44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67"/>
        </w:trPr>
        <w:tc>
          <w:tcPr>
            <w:tcW w:w="5820" w:type="dxa"/>
            <w:vAlign w:val="bottom"/>
            <w:gridSpan w:val="2"/>
          </w:tcPr>
          <w:p>
            <w:pPr>
              <w:ind w:left="5580"/>
              <w:spacing w:after="0"/>
              <w:rPr>
                <w:sz w:val="20"/>
                <w:szCs w:val="20"/>
                <w:color w:val="auto"/>
              </w:rPr>
            </w:pPr>
            <w:r>
              <w:rPr>
                <w:rFonts w:ascii="Times New Roman" w:cs="Times New Roman" w:eastAsia="Times New Roman" w:hAnsi="Times New Roman"/>
                <w:sz w:val="14"/>
                <w:szCs w:val="14"/>
                <w:color w:val="auto"/>
              </w:rPr>
              <w:t>79</w:t>
            </w: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4440" w:type="dxa"/>
            <w:vAlign w:val="bottom"/>
            <w:tcBorders>
              <w:bottom w:val="single" w:sz="8" w:color="9A9A9A"/>
            </w:tcBorders>
          </w:tcPr>
          <w:p>
            <w:pPr>
              <w:spacing w:after="0"/>
              <w:rPr>
                <w:sz w:val="7"/>
                <w:szCs w:val="7"/>
                <w:color w:val="auto"/>
              </w:rPr>
            </w:pPr>
          </w:p>
        </w:tc>
        <w:tc>
          <w:tcPr>
            <w:tcW w:w="138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1220" w:type="dxa"/>
            <w:vAlign w:val="bottom"/>
            <w:tcBorders>
              <w:bottom w:val="single" w:sz="8" w:color="9A9A9A"/>
            </w:tcBorders>
          </w:tcPr>
          <w:p>
            <w:pPr>
              <w:spacing w:after="0"/>
              <w:rPr>
                <w:sz w:val="7"/>
                <w:szCs w:val="7"/>
                <w:color w:val="auto"/>
              </w:rPr>
            </w:pPr>
          </w:p>
        </w:tc>
        <w:tc>
          <w:tcPr>
            <w:tcW w:w="42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164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154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36">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37">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846" w:right="319" w:bottom="1440" w:gutter="0" w:footer="0" w:header="0"/>
        </w:sectPr>
      </w:pPr>
    </w:p>
    <w:bookmarkStart w:id="79" w:name="page80"/>
    <w:bookmarkEnd w:id="79"/>
    <w:p>
      <w:pPr>
        <w:ind w:left="260"/>
        <w:spacing w:after="0"/>
        <w:rPr>
          <w:sz w:val="20"/>
          <w:szCs w:val="20"/>
          <w:color w:val="auto"/>
        </w:rPr>
      </w:pPr>
      <w:r>
        <w:rPr>
          <w:rFonts w:ascii="Times New Roman" w:cs="Times New Roman" w:eastAsia="Times New Roman" w:hAnsi="Times New Roman"/>
          <w:sz w:val="14"/>
          <w:szCs w:val="14"/>
          <w:b w:val="1"/>
          <w:bCs w:val="1"/>
          <w:color w:val="auto"/>
        </w:rPr>
        <w:t>Restricted Stock Awards</w:t>
      </w:r>
    </w:p>
    <w:p>
      <w:pPr>
        <w:spacing w:after="0" w:line="12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following is a summary of restricted stock award activity during the fiscal years ended June 30, 2024 and 2023:</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7120" w:type="dxa"/>
            <w:vAlign w:val="bottom"/>
          </w:tcPr>
          <w:p>
            <w:pPr>
              <w:spacing w:after="0"/>
              <w:rPr>
                <w:sz w:val="11"/>
                <w:szCs w:val="11"/>
                <w:color w:val="auto"/>
              </w:rPr>
            </w:pPr>
          </w:p>
        </w:tc>
        <w:tc>
          <w:tcPr>
            <w:tcW w:w="1520" w:type="dxa"/>
            <w:vAlign w:val="bottom"/>
          </w:tcPr>
          <w:p>
            <w:pPr>
              <w:jc w:val="center"/>
              <w:ind w:left="423"/>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20" w:type="dxa"/>
            <w:vAlign w:val="bottom"/>
            <w:gridSpan w:val="2"/>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Weighted Average Grant Date Fair Value</w:t>
            </w:r>
          </w:p>
        </w:tc>
        <w:tc>
          <w:tcPr>
            <w:tcW w:w="0" w:type="dxa"/>
            <w:vAlign w:val="bottom"/>
          </w:tcPr>
          <w:p>
            <w:pPr>
              <w:spacing w:after="0"/>
              <w:rPr>
                <w:sz w:val="1"/>
                <w:szCs w:val="1"/>
                <w:color w:val="auto"/>
              </w:rPr>
            </w:pPr>
          </w:p>
        </w:tc>
      </w:tr>
      <w:tr>
        <w:trPr>
          <w:trHeight w:val="153"/>
        </w:trPr>
        <w:tc>
          <w:tcPr>
            <w:tcW w:w="7120" w:type="dxa"/>
            <w:vAlign w:val="bottom"/>
            <w:tcBorders>
              <w:bottom w:val="single" w:sz="8" w:color="CCEEFF"/>
            </w:tcBorders>
          </w:tcPr>
          <w:p>
            <w:pPr>
              <w:spacing w:after="0"/>
              <w:rPr>
                <w:sz w:val="13"/>
                <w:szCs w:val="13"/>
                <w:color w:val="auto"/>
              </w:rPr>
            </w:pPr>
          </w:p>
        </w:tc>
        <w:tc>
          <w:tcPr>
            <w:tcW w:w="1520" w:type="dxa"/>
            <w:vAlign w:val="bottom"/>
            <w:tcBorders>
              <w:bottom w:val="single" w:sz="8" w:color="auto"/>
            </w:tcBorders>
          </w:tcPr>
          <w:p>
            <w:pPr>
              <w:jc w:val="center"/>
              <w:ind w:left="443"/>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50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2020" w:type="dxa"/>
            <w:vAlign w:val="bottom"/>
            <w:tcBorders>
              <w:bottom w:val="single" w:sz="8" w:color="auto"/>
            </w:tcBorders>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7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Nonvested at June 30, 2022</w:t>
            </w:r>
          </w:p>
        </w:tc>
        <w:tc>
          <w:tcPr>
            <w:tcW w:w="152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w:t>
            </w: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6.85</w:t>
            </w:r>
          </w:p>
        </w:tc>
        <w:tc>
          <w:tcPr>
            <w:tcW w:w="0" w:type="dxa"/>
            <w:vAlign w:val="bottom"/>
          </w:tcPr>
          <w:p>
            <w:pPr>
              <w:spacing w:after="0"/>
              <w:rPr>
                <w:sz w:val="1"/>
                <w:szCs w:val="1"/>
                <w:color w:val="auto"/>
              </w:rPr>
            </w:pPr>
          </w:p>
        </w:tc>
      </w:tr>
      <w:tr>
        <w:trPr>
          <w:trHeight w:val="170"/>
        </w:trPr>
        <w:tc>
          <w:tcPr>
            <w:tcW w:w="71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8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Granted</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w:t>
            </w:r>
          </w:p>
        </w:tc>
        <w:tc>
          <w:tcPr>
            <w:tcW w:w="10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3.85</w:t>
            </w:r>
          </w:p>
        </w:tc>
        <w:tc>
          <w:tcPr>
            <w:tcW w:w="0" w:type="dxa"/>
            <w:vAlign w:val="bottom"/>
          </w:tcPr>
          <w:p>
            <w:pPr>
              <w:spacing w:after="0"/>
              <w:rPr>
                <w:sz w:val="1"/>
                <w:szCs w:val="1"/>
                <w:color w:val="auto"/>
              </w:rPr>
            </w:pPr>
          </w:p>
        </w:tc>
      </w:tr>
      <w:tr>
        <w:trPr>
          <w:trHeight w:val="180"/>
        </w:trPr>
        <w:tc>
          <w:tcPr>
            <w:tcW w:w="86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Vested</w:t>
            </w: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w:t>
            </w: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6.85</w:t>
            </w:r>
          </w:p>
        </w:tc>
        <w:tc>
          <w:tcPr>
            <w:tcW w:w="0" w:type="dxa"/>
            <w:vAlign w:val="bottom"/>
          </w:tcPr>
          <w:p>
            <w:pPr>
              <w:spacing w:after="0"/>
              <w:rPr>
                <w:sz w:val="1"/>
                <w:szCs w:val="1"/>
                <w:color w:val="auto"/>
              </w:rPr>
            </w:pPr>
          </w:p>
        </w:tc>
      </w:tr>
      <w:tr>
        <w:trPr>
          <w:trHeight w:val="180"/>
        </w:trPr>
        <w:tc>
          <w:tcPr>
            <w:tcW w:w="8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Forfeited</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7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Nonvested at June 30, 2023</w:t>
            </w:r>
          </w:p>
        </w:tc>
        <w:tc>
          <w:tcPr>
            <w:tcW w:w="1520" w:type="dxa"/>
            <w:vAlign w:val="bottom"/>
            <w:tcBorders>
              <w:top w:val="single" w:sz="8" w:color="auto"/>
              <w:bottom w:val="single" w:sz="8" w:color="auto"/>
            </w:tcBorders>
          </w:tcPr>
          <w:p>
            <w:pPr>
              <w:spacing w:after="0"/>
              <w:rPr>
                <w:sz w:val="14"/>
                <w:szCs w:val="14"/>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117</w:t>
            </w:r>
          </w:p>
        </w:tc>
        <w:tc>
          <w:tcPr>
            <w:tcW w:w="100" w:type="dxa"/>
            <w:vAlign w:val="bottom"/>
            <w:tcBorders>
              <w:bottom w:val="single" w:sz="8" w:color="CCEEFF"/>
            </w:tcBorders>
          </w:tcPr>
          <w:p>
            <w:pPr>
              <w:spacing w:after="0"/>
              <w:rPr>
                <w:sz w:val="14"/>
                <w:szCs w:val="14"/>
                <w:color w:val="auto"/>
              </w:rPr>
            </w:pPr>
          </w:p>
        </w:tc>
        <w:tc>
          <w:tcPr>
            <w:tcW w:w="900" w:type="dxa"/>
            <w:vAlign w:val="bottom"/>
            <w:tcBorders>
              <w:bottom w:val="single" w:sz="8" w:color="CCEEFF"/>
            </w:tcBorders>
          </w:tcPr>
          <w:p>
            <w:pPr>
              <w:spacing w:after="0"/>
              <w:rPr>
                <w:sz w:val="14"/>
                <w:szCs w:val="14"/>
                <w:color w:val="auto"/>
              </w:rPr>
            </w:pPr>
          </w:p>
        </w:tc>
        <w:tc>
          <w:tcPr>
            <w:tcW w:w="11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3.85</w:t>
            </w:r>
          </w:p>
        </w:tc>
        <w:tc>
          <w:tcPr>
            <w:tcW w:w="0" w:type="dxa"/>
            <w:vAlign w:val="bottom"/>
          </w:tcPr>
          <w:p>
            <w:pPr>
              <w:spacing w:after="0"/>
              <w:rPr>
                <w:sz w:val="1"/>
                <w:szCs w:val="1"/>
                <w:color w:val="auto"/>
              </w:rPr>
            </w:pPr>
          </w:p>
        </w:tc>
      </w:tr>
      <w:tr>
        <w:trPr>
          <w:trHeight w:val="150"/>
        </w:trPr>
        <w:tc>
          <w:tcPr>
            <w:tcW w:w="7120" w:type="dxa"/>
            <w:vAlign w:val="bottom"/>
            <w:shd w:val="clear" w:color="auto" w:fill="CCEEFF"/>
          </w:tcPr>
          <w:p>
            <w:pPr>
              <w:spacing w:after="0"/>
              <w:rPr>
                <w:sz w:val="13"/>
                <w:szCs w:val="13"/>
                <w:color w:val="auto"/>
              </w:rPr>
            </w:pPr>
          </w:p>
        </w:tc>
        <w:tc>
          <w:tcPr>
            <w:tcW w:w="152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8640" w:type="dxa"/>
            <w:vAlign w:val="bottom"/>
            <w:gridSpan w:val="2"/>
          </w:tcPr>
          <w:p>
            <w:pPr>
              <w:ind w:left="20"/>
              <w:spacing w:after="0" w:line="181" w:lineRule="exact"/>
              <w:rPr>
                <w:sz w:val="20"/>
                <w:szCs w:val="20"/>
                <w:color w:val="auto"/>
              </w:rPr>
            </w:pPr>
            <w:r>
              <w:rPr>
                <w:rFonts w:ascii="Times New Roman" w:cs="Times New Roman" w:eastAsia="Times New Roman" w:hAnsi="Times New Roman"/>
                <w:sz w:val="14"/>
                <w:szCs w:val="14"/>
                <w:color w:val="auto"/>
              </w:rPr>
              <w:t>Granted</w:t>
            </w:r>
            <w:r>
              <w:rPr>
                <w:rFonts w:ascii="Times New Roman" w:cs="Times New Roman" w:eastAsia="Times New Roman" w:hAnsi="Times New Roman"/>
                <w:sz w:val="18"/>
                <w:szCs w:val="18"/>
                <w:color w:val="auto"/>
                <w:vertAlign w:val="superscript"/>
              </w:rPr>
              <w:t>(1)</w:t>
            </w: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392</w:t>
            </w:r>
          </w:p>
        </w:tc>
        <w:tc>
          <w:tcPr>
            <w:tcW w:w="100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4.74</w:t>
            </w:r>
          </w:p>
        </w:tc>
        <w:tc>
          <w:tcPr>
            <w:tcW w:w="0" w:type="dxa"/>
            <w:vAlign w:val="bottom"/>
          </w:tcPr>
          <w:p>
            <w:pPr>
              <w:spacing w:after="0"/>
              <w:rPr>
                <w:sz w:val="1"/>
                <w:szCs w:val="1"/>
                <w:color w:val="auto"/>
              </w:rPr>
            </w:pPr>
          </w:p>
        </w:tc>
      </w:tr>
      <w:tr>
        <w:trPr>
          <w:trHeight w:val="180"/>
        </w:trPr>
        <w:tc>
          <w:tcPr>
            <w:tcW w:w="8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Vested</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w:t>
            </w: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3.85</w:t>
            </w:r>
          </w:p>
        </w:tc>
        <w:tc>
          <w:tcPr>
            <w:tcW w:w="0" w:type="dxa"/>
            <w:vAlign w:val="bottom"/>
          </w:tcPr>
          <w:p>
            <w:pPr>
              <w:spacing w:after="0"/>
              <w:rPr>
                <w:sz w:val="1"/>
                <w:szCs w:val="1"/>
                <w:color w:val="auto"/>
              </w:rPr>
            </w:pPr>
          </w:p>
        </w:tc>
      </w:tr>
      <w:tr>
        <w:trPr>
          <w:trHeight w:val="180"/>
        </w:trPr>
        <w:tc>
          <w:tcPr>
            <w:tcW w:w="7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Forfeited</w:t>
            </w:r>
          </w:p>
        </w:tc>
        <w:tc>
          <w:tcPr>
            <w:tcW w:w="152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tcPr>
          <w:p>
            <w:pPr>
              <w:spacing w:after="0"/>
              <w:rPr>
                <w:sz w:val="15"/>
                <w:szCs w:val="15"/>
                <w:color w:val="auto"/>
              </w:rPr>
            </w:pPr>
          </w:p>
        </w:tc>
        <w:tc>
          <w:tcPr>
            <w:tcW w:w="900" w:type="dxa"/>
            <w:vAlign w:val="bottom"/>
            <w:tcBorders>
              <w:bottom w:val="single" w:sz="8" w:color="CCEEFF"/>
            </w:tcBorders>
          </w:tcPr>
          <w:p>
            <w:pPr>
              <w:spacing w:after="0"/>
              <w:rPr>
                <w:sz w:val="15"/>
                <w:szCs w:val="15"/>
                <w:color w:val="auto"/>
              </w:rPr>
            </w:pPr>
          </w:p>
        </w:tc>
        <w:tc>
          <w:tcPr>
            <w:tcW w:w="11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1"/>
        </w:trPr>
        <w:tc>
          <w:tcPr>
            <w:tcW w:w="8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Nonvested at June 30, 2024</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392</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4.74</w:t>
            </w:r>
          </w:p>
        </w:tc>
        <w:tc>
          <w:tcPr>
            <w:tcW w:w="0" w:type="dxa"/>
            <w:vAlign w:val="bottom"/>
          </w:tcPr>
          <w:p>
            <w:pPr>
              <w:spacing w:after="0"/>
              <w:rPr>
                <w:sz w:val="1"/>
                <w:szCs w:val="1"/>
                <w:color w:val="auto"/>
              </w:rPr>
            </w:pPr>
          </w:p>
        </w:tc>
      </w:tr>
      <w:tr>
        <w:trPr>
          <w:trHeight w:val="20"/>
        </w:trPr>
        <w:tc>
          <w:tcPr>
            <w:tcW w:w="712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2" w:lineRule="exact"/>
        <w:rPr>
          <w:sz w:val="20"/>
          <w:szCs w:val="20"/>
          <w:color w:val="auto"/>
        </w:rPr>
      </w:pPr>
    </w:p>
    <w:tbl>
      <w:tblPr>
        <w:tblLayout w:type="fixed"/>
        <w:tblInd w:w="580" w:type="dxa"/>
        <w:tblCellMar>
          <w:top w:w="0" w:type="dxa"/>
          <w:left w:w="0" w:type="dxa"/>
          <w:bottom w:w="0" w:type="dxa"/>
          <w:right w:w="0" w:type="dxa"/>
        </w:tblCellMar>
      </w:tblPr>
      <w:tr>
        <w:trPr>
          <w:trHeight w:val="120"/>
        </w:trPr>
        <w:tc>
          <w:tcPr>
            <w:tcW w:w="280" w:type="dxa"/>
            <w:vAlign w:val="bottom"/>
            <w:vMerge w:val="restart"/>
          </w:tcPr>
          <w:p>
            <w:pPr>
              <w:jc w:val="right"/>
              <w:ind w:right="56"/>
              <w:spacing w:after="0"/>
              <w:rPr>
                <w:sz w:val="20"/>
                <w:szCs w:val="20"/>
                <w:color w:val="auto"/>
              </w:rPr>
            </w:pPr>
            <w:r>
              <w:rPr>
                <w:rFonts w:ascii="Times New Roman" w:cs="Times New Roman" w:eastAsia="Times New Roman" w:hAnsi="Times New Roman"/>
                <w:sz w:val="13"/>
                <w:szCs w:val="13"/>
                <w:color w:val="auto"/>
                <w:w w:val="92"/>
              </w:rPr>
              <w:t>(1)</w:t>
            </w:r>
          </w:p>
        </w:tc>
        <w:tc>
          <w:tcPr>
            <w:tcW w:w="7600" w:type="dxa"/>
            <w:vAlign w:val="bottom"/>
          </w:tcPr>
          <w:p>
            <w:pPr>
              <w:ind w:left="120"/>
              <w:spacing w:after="0"/>
              <w:rPr>
                <w:sz w:val="20"/>
                <w:szCs w:val="20"/>
                <w:color w:val="auto"/>
              </w:rPr>
            </w:pPr>
            <w:r>
              <w:rPr>
                <w:rFonts w:ascii="Times New Roman" w:cs="Times New Roman" w:eastAsia="Times New Roman" w:hAnsi="Times New Roman"/>
                <w:sz w:val="9"/>
                <w:szCs w:val="9"/>
                <w:color w:val="auto"/>
              </w:rPr>
              <w:t>Includes 125,732 shares of restricted stock that were granted in exchange for the cancellation of 48,026 shares of stock units and 77,706 shares of performance restricted stock units on November 6, 2023.</w:t>
            </w:r>
          </w:p>
        </w:tc>
        <w:tc>
          <w:tcPr>
            <w:tcW w:w="0" w:type="dxa"/>
            <w:vAlign w:val="bottom"/>
          </w:tcPr>
          <w:p>
            <w:pPr>
              <w:spacing w:after="0"/>
              <w:rPr>
                <w:sz w:val="1"/>
                <w:szCs w:val="1"/>
                <w:color w:val="auto"/>
              </w:rPr>
            </w:pPr>
          </w:p>
        </w:tc>
      </w:tr>
      <w:tr>
        <w:trPr>
          <w:trHeight w:val="74"/>
        </w:trPr>
        <w:tc>
          <w:tcPr>
            <w:tcW w:w="280" w:type="dxa"/>
            <w:vAlign w:val="bottom"/>
            <w:vMerge w:val="continue"/>
          </w:tcPr>
          <w:p>
            <w:pPr>
              <w:spacing w:after="0"/>
              <w:rPr>
                <w:sz w:val="6"/>
                <w:szCs w:val="6"/>
                <w:color w:val="auto"/>
              </w:rPr>
            </w:pPr>
          </w:p>
        </w:tc>
        <w:tc>
          <w:tcPr>
            <w:tcW w:w="760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18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total vesting date fair value of restricted shares that vested during the fiscal years ended June 30, 2024 and 2023 was $0.7 million and $0.3 million, respectively.</w:t>
      </w:r>
    </w:p>
    <w:p>
      <w:pPr>
        <w:spacing w:after="0" w:line="11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color w:val="auto"/>
        </w:rPr>
        <w:t>Restricted Stock Units</w:t>
      </w:r>
    </w:p>
    <w:p>
      <w:pPr>
        <w:spacing w:after="0" w:line="12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following is a summary of restricted stock units activity during the fiscal years ended June 30, 2024 and 2023:</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7120" w:type="dxa"/>
            <w:vAlign w:val="bottom"/>
            <w:tcBorders>
              <w:bottom w:val="single" w:sz="8" w:color="CCEEFF"/>
            </w:tcBorders>
          </w:tcPr>
          <w:p>
            <w:pPr>
              <w:spacing w:after="0"/>
              <w:rPr>
                <w:sz w:val="13"/>
                <w:szCs w:val="13"/>
                <w:color w:val="auto"/>
              </w:rPr>
            </w:pPr>
          </w:p>
        </w:tc>
        <w:tc>
          <w:tcPr>
            <w:tcW w:w="2020" w:type="dxa"/>
            <w:vAlign w:val="bottom"/>
            <w:tcBorders>
              <w:bottom w:val="single" w:sz="8" w:color="auto"/>
            </w:tcBorders>
          </w:tcPr>
          <w:p>
            <w:pPr>
              <w:jc w:val="right"/>
              <w:ind w:right="171"/>
              <w:spacing w:after="0"/>
              <w:rPr>
                <w:sz w:val="20"/>
                <w:szCs w:val="20"/>
                <w:color w:val="auto"/>
              </w:rPr>
            </w:pPr>
            <w:r>
              <w:rPr>
                <w:rFonts w:ascii="Times New Roman" w:cs="Times New Roman" w:eastAsia="Times New Roman" w:hAnsi="Times New Roman"/>
                <w:sz w:val="11"/>
                <w:szCs w:val="11"/>
                <w:b w:val="1"/>
                <w:bCs w:val="1"/>
                <w:color w:val="auto"/>
              </w:rPr>
              <w:t>Number of Units (in thousands)</w:t>
            </w:r>
          </w:p>
        </w:tc>
        <w:tc>
          <w:tcPr>
            <w:tcW w:w="100" w:type="dxa"/>
            <w:vAlign w:val="bottom"/>
            <w:tcBorders>
              <w:bottom w:val="single" w:sz="8" w:color="CCEEFF"/>
            </w:tcBorders>
          </w:tcPr>
          <w:p>
            <w:pPr>
              <w:spacing w:after="0"/>
              <w:rPr>
                <w:sz w:val="13"/>
                <w:szCs w:val="13"/>
                <w:color w:val="auto"/>
              </w:rPr>
            </w:pPr>
          </w:p>
        </w:tc>
        <w:tc>
          <w:tcPr>
            <w:tcW w:w="202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Weighted Average Grant Date Fair Value</w:t>
            </w:r>
          </w:p>
        </w:tc>
      </w:tr>
      <w:tr>
        <w:trPr>
          <w:trHeight w:val="180"/>
        </w:trPr>
        <w:tc>
          <w:tcPr>
            <w:tcW w:w="7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Nonvested at June 30, 2022</w:t>
            </w: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334</w:t>
            </w: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7.36</w:t>
            </w:r>
          </w:p>
        </w:tc>
      </w:tr>
      <w:tr>
        <w:trPr>
          <w:trHeight w:val="170"/>
        </w:trPr>
        <w:tc>
          <w:tcPr>
            <w:tcW w:w="712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80"/>
        </w:trPr>
        <w:tc>
          <w:tcPr>
            <w:tcW w:w="7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Granted</w:t>
            </w: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417</w:t>
            </w:r>
          </w:p>
        </w:tc>
        <w:tc>
          <w:tcPr>
            <w:tcW w:w="10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4.19</w:t>
            </w:r>
          </w:p>
        </w:tc>
      </w:tr>
      <w:tr>
        <w:trPr>
          <w:trHeight w:val="180"/>
        </w:trPr>
        <w:tc>
          <w:tcPr>
            <w:tcW w:w="7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Vested</w:t>
            </w:r>
          </w:p>
        </w:tc>
        <w:tc>
          <w:tcPr>
            <w:tcW w:w="2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(156)</w:t>
            </w: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8.04</w:t>
            </w:r>
          </w:p>
        </w:tc>
      </w:tr>
      <w:tr>
        <w:trPr>
          <w:trHeight w:val="180"/>
        </w:trPr>
        <w:tc>
          <w:tcPr>
            <w:tcW w:w="7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Forfeited</w:t>
            </w:r>
          </w:p>
        </w:tc>
        <w:tc>
          <w:tcPr>
            <w:tcW w:w="2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w:t>
            </w: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6.20</w:t>
            </w:r>
          </w:p>
        </w:tc>
      </w:tr>
      <w:tr>
        <w:trPr>
          <w:trHeight w:val="171"/>
        </w:trPr>
        <w:tc>
          <w:tcPr>
            <w:tcW w:w="7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Nonvested at June 30, 2023</w:t>
            </w:r>
          </w:p>
        </w:tc>
        <w:tc>
          <w:tcPr>
            <w:tcW w:w="2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539</w:t>
            </w: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4.90</w:t>
            </w:r>
          </w:p>
        </w:tc>
      </w:tr>
      <w:tr>
        <w:trPr>
          <w:trHeight w:val="182"/>
        </w:trPr>
        <w:tc>
          <w:tcPr>
            <w:tcW w:w="712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80"/>
        </w:trPr>
        <w:tc>
          <w:tcPr>
            <w:tcW w:w="7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Granted</w:t>
            </w: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214</w:t>
            </w:r>
          </w:p>
        </w:tc>
        <w:tc>
          <w:tcPr>
            <w:tcW w:w="10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4.90</w:t>
            </w:r>
          </w:p>
        </w:tc>
      </w:tr>
      <w:tr>
        <w:trPr>
          <w:trHeight w:val="180"/>
        </w:trPr>
        <w:tc>
          <w:tcPr>
            <w:tcW w:w="7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Vested</w:t>
            </w:r>
          </w:p>
        </w:tc>
        <w:tc>
          <w:tcPr>
            <w:tcW w:w="2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(331)</w:t>
            </w: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5.05</w:t>
            </w:r>
          </w:p>
        </w:tc>
      </w:tr>
      <w:tr>
        <w:trPr>
          <w:trHeight w:val="180"/>
        </w:trPr>
        <w:tc>
          <w:tcPr>
            <w:tcW w:w="712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4"/>
                <w:szCs w:val="14"/>
                <w:color w:val="auto"/>
              </w:rPr>
              <w:t>Forfeited</w:t>
            </w:r>
            <w:r>
              <w:rPr>
                <w:rFonts w:ascii="Times New Roman" w:cs="Times New Roman" w:eastAsia="Times New Roman" w:hAnsi="Times New Roman"/>
                <w:sz w:val="18"/>
                <w:szCs w:val="18"/>
                <w:color w:val="auto"/>
                <w:vertAlign w:val="superscript"/>
              </w:rPr>
              <w:t>(1)</w:t>
            </w:r>
          </w:p>
        </w:tc>
        <w:tc>
          <w:tcPr>
            <w:tcW w:w="2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w:t>
            </w: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4.48</w:t>
            </w:r>
          </w:p>
        </w:tc>
      </w:tr>
      <w:tr>
        <w:trPr>
          <w:trHeight w:val="171"/>
        </w:trPr>
        <w:tc>
          <w:tcPr>
            <w:tcW w:w="7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Nonvested at June 30, 2024</w:t>
            </w:r>
          </w:p>
        </w:tc>
        <w:tc>
          <w:tcPr>
            <w:tcW w:w="2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338</w:t>
            </w: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4.86</w:t>
            </w:r>
          </w:p>
        </w:tc>
      </w:tr>
      <w:tr>
        <w:trPr>
          <w:trHeight w:val="20"/>
        </w:trPr>
        <w:tc>
          <w:tcPr>
            <w:tcW w:w="7120" w:type="dxa"/>
            <w:vAlign w:val="bottom"/>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bl>
    <w:p>
      <w:pPr>
        <w:spacing w:after="0" w:line="13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9"/>
          <w:szCs w:val="9"/>
          <w:color w:val="auto"/>
        </w:rPr>
        <w:t>Includes 48,206 shares of restricted stock units that were canceled in exchange for restricted stock awards on November 6, 2023.</w:t>
      </w:r>
    </w:p>
    <w:p>
      <w:pPr>
        <w:ind w:left="580"/>
        <w:spacing w:after="0"/>
        <w:rPr>
          <w:sz w:val="20"/>
          <w:szCs w:val="20"/>
          <w:color w:val="auto"/>
        </w:rPr>
      </w:pPr>
      <w:r>
        <w:rPr>
          <w:rFonts w:ascii="Times New Roman" w:cs="Times New Roman" w:eastAsia="Times New Roman" w:hAnsi="Times New Roman"/>
          <w:sz w:val="13"/>
          <w:szCs w:val="13"/>
          <w:color w:val="auto"/>
        </w:rPr>
        <w:t>(1)</w:t>
      </w:r>
    </w:p>
    <w:p>
      <w:pPr>
        <w:spacing w:after="0" w:line="215" w:lineRule="exact"/>
        <w:rPr>
          <w:sz w:val="20"/>
          <w:szCs w:val="20"/>
          <w:color w:val="auto"/>
        </w:rPr>
      </w:pPr>
    </w:p>
    <w:p>
      <w:pPr>
        <w:ind w:left="260" w:right="1440"/>
        <w:spacing w:after="0" w:line="419" w:lineRule="auto"/>
        <w:rPr>
          <w:sz w:val="20"/>
          <w:szCs w:val="20"/>
          <w:color w:val="auto"/>
        </w:rPr>
      </w:pPr>
      <w:r>
        <w:rPr>
          <w:rFonts w:ascii="Times New Roman" w:cs="Times New Roman" w:eastAsia="Times New Roman" w:hAnsi="Times New Roman"/>
          <w:sz w:val="14"/>
          <w:szCs w:val="14"/>
          <w:color w:val="auto"/>
        </w:rPr>
        <w:t xml:space="preserve">The total vesting date fair value of restricted stock units that vested during the fiscal years ended June 30, 2024 and 2023 was $1.9 million and $0.6 million, respectively. </w:t>
      </w:r>
      <w:r>
        <w:rPr>
          <w:rFonts w:ascii="Times New Roman" w:cs="Times New Roman" w:eastAsia="Times New Roman" w:hAnsi="Times New Roman"/>
          <w:sz w:val="14"/>
          <w:szCs w:val="14"/>
          <w:b w:val="1"/>
          <w:bCs w:val="1"/>
          <w:color w:val="auto"/>
        </w:rPr>
        <w:t>Performance Restricted Stock Units</w:t>
      </w:r>
    </w:p>
    <w:p>
      <w:pPr>
        <w:ind w:right="40" w:firstLine="255"/>
        <w:spacing w:after="0" w:line="259" w:lineRule="auto"/>
        <w:rPr>
          <w:sz w:val="20"/>
          <w:szCs w:val="20"/>
          <w:color w:val="auto"/>
        </w:rPr>
      </w:pPr>
      <w:r>
        <w:rPr>
          <w:rFonts w:ascii="Times New Roman" w:cs="Times New Roman" w:eastAsia="Times New Roman" w:hAnsi="Times New Roman"/>
          <w:sz w:val="14"/>
          <w:szCs w:val="14"/>
          <w:color w:val="auto"/>
        </w:rPr>
        <w:t>During the fiscal years ended June 30, 2024 and 2023, the Company awarded performance restricted stock units (the "FY 2024 PRSUs" and "FY 2023 PRSUs," respectively) to certain employees (the "Recipients"). Each performance restricted stock unit represents a contingent right for the Recipients to receive a distribution of shares of common stock of the Company equal to 0% to 200% of the target number of performance restricted stock units subject to the award. The actual number of shares distributed will be based on the Company's achievement of specified financial performance metrics. For FY 2024 PRSUs, the performance period for 50% of the FY 2024 PRSUs ended on June 30, 2024, the performance period for 30% of the FY 2024 PRSUs ends on June 30, 2025, and the performance period for the remaining 20% of the FY 2024 PRSUs ends on June 30, 2026. The financial performance metrics for the fiscal year ended June 30, 2024, were deemed achieved at the 0% achievement level. The performance period for 100% of the FY 2023 PRSUs ended on June 30, 2023, and were deemed achieved at the</w:t>
      </w:r>
    </w:p>
    <w:p>
      <w:pPr>
        <w:spacing w:after="0" w:line="200" w:lineRule="exact"/>
        <w:rPr>
          <w:sz w:val="20"/>
          <w:szCs w:val="20"/>
          <w:color w:val="auto"/>
        </w:rPr>
      </w:pPr>
    </w:p>
    <w:p>
      <w:pPr>
        <w:spacing w:after="0" w:line="3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3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770" w:right="339" w:bottom="1440" w:gutter="0" w:footer="0" w:header="0"/>
        </w:sectPr>
      </w:pPr>
    </w:p>
    <w:bookmarkStart w:id="80" w:name="page81"/>
    <w:bookmarkEnd w:id="80"/>
    <w:p>
      <w:pPr>
        <w:spacing w:after="0" w:line="267" w:lineRule="auto"/>
        <w:rPr>
          <w:sz w:val="20"/>
          <w:szCs w:val="20"/>
          <w:color w:val="auto"/>
        </w:rPr>
      </w:pPr>
      <w:r>
        <w:rPr>
          <w:rFonts w:ascii="Times New Roman" w:cs="Times New Roman" w:eastAsia="Times New Roman" w:hAnsi="Times New Roman"/>
          <w:sz w:val="14"/>
          <w:szCs w:val="14"/>
          <w:color w:val="auto"/>
        </w:rPr>
        <w:t>133.13% achievement level. The FY 2024 PRSUs and FY 2023 PRSUs will vest only to the extent the specified financial performance criteria are achieved and subject to the Recipient’s continued service with the Company, as follows: (i) a portion of the earned award will vest on the first anniversary of the grant date and (ii) an additional portion of the earned award will vest thereafter in a series of quarterly installments. The fair values of the performance restricted stock units are based on the grant date fair value which is the closing price of the Company's common stock on the date of grant.</w:t>
      </w:r>
    </w:p>
    <w:p>
      <w:pPr>
        <w:spacing w:after="0" w:line="24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following is a summary of performance restricted stock units activity during the fiscal years ended June 30, 2024 and 2023:</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7120" w:type="dxa"/>
            <w:vAlign w:val="bottom"/>
            <w:tcBorders>
              <w:bottom w:val="single" w:sz="8" w:color="CCEEFF"/>
            </w:tcBorders>
          </w:tcPr>
          <w:p>
            <w:pPr>
              <w:spacing w:after="0"/>
              <w:rPr>
                <w:sz w:val="13"/>
                <w:szCs w:val="13"/>
                <w:color w:val="auto"/>
              </w:rPr>
            </w:pPr>
          </w:p>
        </w:tc>
        <w:tc>
          <w:tcPr>
            <w:tcW w:w="2020" w:type="dxa"/>
            <w:vAlign w:val="bottom"/>
            <w:tcBorders>
              <w:bottom w:val="single" w:sz="8" w:color="auto"/>
            </w:tcBorders>
          </w:tcPr>
          <w:p>
            <w:pPr>
              <w:jc w:val="right"/>
              <w:ind w:right="171"/>
              <w:spacing w:after="0"/>
              <w:rPr>
                <w:sz w:val="20"/>
                <w:szCs w:val="20"/>
                <w:color w:val="auto"/>
              </w:rPr>
            </w:pPr>
            <w:r>
              <w:rPr>
                <w:rFonts w:ascii="Times New Roman" w:cs="Times New Roman" w:eastAsia="Times New Roman" w:hAnsi="Times New Roman"/>
                <w:sz w:val="11"/>
                <w:szCs w:val="11"/>
                <w:b w:val="1"/>
                <w:bCs w:val="1"/>
                <w:color w:val="auto"/>
              </w:rPr>
              <w:t>Number of Units (in thousands)</w:t>
            </w:r>
          </w:p>
        </w:tc>
        <w:tc>
          <w:tcPr>
            <w:tcW w:w="100" w:type="dxa"/>
            <w:vAlign w:val="bottom"/>
            <w:tcBorders>
              <w:bottom w:val="single" w:sz="8" w:color="CCEEFF"/>
            </w:tcBorders>
          </w:tcPr>
          <w:p>
            <w:pPr>
              <w:spacing w:after="0"/>
              <w:rPr>
                <w:sz w:val="13"/>
                <w:szCs w:val="13"/>
                <w:color w:val="auto"/>
              </w:rPr>
            </w:pPr>
          </w:p>
        </w:tc>
        <w:tc>
          <w:tcPr>
            <w:tcW w:w="202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Weighted Average Grant Date Fair Value</w:t>
            </w:r>
          </w:p>
        </w:tc>
      </w:tr>
      <w:tr>
        <w:trPr>
          <w:trHeight w:val="180"/>
        </w:trPr>
        <w:tc>
          <w:tcPr>
            <w:tcW w:w="7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Nonvested at June 30, 2022</w:t>
            </w: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15.2</w:t>
            </w:r>
          </w:p>
        </w:tc>
      </w:tr>
      <w:tr>
        <w:trPr>
          <w:trHeight w:val="170"/>
        </w:trPr>
        <w:tc>
          <w:tcPr>
            <w:tcW w:w="712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80"/>
        </w:trPr>
        <w:tc>
          <w:tcPr>
            <w:tcW w:w="712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4"/>
                <w:szCs w:val="14"/>
                <w:color w:val="auto"/>
              </w:rPr>
              <w:t>Granted</w:t>
            </w:r>
            <w:r>
              <w:rPr>
                <w:rFonts w:ascii="Times New Roman" w:cs="Times New Roman" w:eastAsia="Times New Roman" w:hAnsi="Times New Roman"/>
                <w:sz w:val="18"/>
                <w:szCs w:val="18"/>
                <w:color w:val="auto"/>
                <w:vertAlign w:val="superscript"/>
              </w:rPr>
              <w:t>(1)</w:t>
            </w: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518</w:t>
            </w:r>
          </w:p>
        </w:tc>
        <w:tc>
          <w:tcPr>
            <w:tcW w:w="10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4.24</w:t>
            </w:r>
          </w:p>
        </w:tc>
      </w:tr>
      <w:tr>
        <w:trPr>
          <w:trHeight w:val="180"/>
        </w:trPr>
        <w:tc>
          <w:tcPr>
            <w:tcW w:w="7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Vested</w:t>
            </w:r>
          </w:p>
        </w:tc>
        <w:tc>
          <w:tcPr>
            <w:tcW w:w="2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15.2</w:t>
            </w:r>
          </w:p>
        </w:tc>
      </w:tr>
      <w:tr>
        <w:trPr>
          <w:trHeight w:val="180"/>
        </w:trPr>
        <w:tc>
          <w:tcPr>
            <w:tcW w:w="7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Forfeited</w:t>
            </w:r>
          </w:p>
        </w:tc>
        <w:tc>
          <w:tcPr>
            <w:tcW w:w="2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4.27</w:t>
            </w:r>
          </w:p>
        </w:tc>
      </w:tr>
      <w:tr>
        <w:trPr>
          <w:trHeight w:val="171"/>
        </w:trPr>
        <w:tc>
          <w:tcPr>
            <w:tcW w:w="7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Nonvested at June 30, 2023</w:t>
            </w:r>
          </w:p>
        </w:tc>
        <w:tc>
          <w:tcPr>
            <w:tcW w:w="2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492</w:t>
            </w:r>
          </w:p>
        </w:tc>
        <w:tc>
          <w:tcPr>
            <w:tcW w:w="100" w:type="dxa"/>
            <w:vAlign w:val="bottom"/>
            <w:tcBorders>
              <w:bottom w:val="single" w:sz="8" w:color="CCEEFF"/>
            </w:tcBorders>
          </w:tcPr>
          <w:p>
            <w:pPr>
              <w:spacing w:after="0"/>
              <w:rPr>
                <w:sz w:val="14"/>
                <w:szCs w:val="14"/>
                <w:color w:val="auto"/>
              </w:rPr>
            </w:pPr>
          </w:p>
        </w:tc>
        <w:tc>
          <w:tcPr>
            <w:tcW w:w="900" w:type="dxa"/>
            <w:vAlign w:val="bottom"/>
            <w:tcBorders>
              <w:bottom w:val="single" w:sz="8" w:color="CCEEFF"/>
            </w:tcBorders>
          </w:tcPr>
          <w:p>
            <w:pPr>
              <w:spacing w:after="0"/>
              <w:rPr>
                <w:sz w:val="14"/>
                <w:szCs w:val="14"/>
                <w:color w:val="auto"/>
              </w:rPr>
            </w:pPr>
          </w:p>
        </w:tc>
        <w:tc>
          <w:tcPr>
            <w:tcW w:w="11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4.24</w:t>
            </w:r>
          </w:p>
        </w:tc>
      </w:tr>
      <w:tr>
        <w:trPr>
          <w:trHeight w:val="150"/>
        </w:trPr>
        <w:tc>
          <w:tcPr>
            <w:tcW w:w="7120" w:type="dxa"/>
            <w:vAlign w:val="bottom"/>
            <w:shd w:val="clear" w:color="auto" w:fill="CCEEFF"/>
          </w:tcPr>
          <w:p>
            <w:pPr>
              <w:spacing w:after="0"/>
              <w:rPr>
                <w:sz w:val="13"/>
                <w:szCs w:val="13"/>
                <w:color w:val="auto"/>
              </w:rPr>
            </w:pPr>
          </w:p>
        </w:tc>
        <w:tc>
          <w:tcPr>
            <w:tcW w:w="20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r>
      <w:tr>
        <w:trPr>
          <w:trHeight w:val="180"/>
        </w:trPr>
        <w:tc>
          <w:tcPr>
            <w:tcW w:w="7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Granted</w:t>
            </w:r>
          </w:p>
        </w:tc>
        <w:tc>
          <w:tcPr>
            <w:tcW w:w="2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350</w:t>
            </w:r>
          </w:p>
        </w:tc>
        <w:tc>
          <w:tcPr>
            <w:tcW w:w="100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4.89</w:t>
            </w:r>
          </w:p>
        </w:tc>
      </w:tr>
      <w:tr>
        <w:trPr>
          <w:trHeight w:val="180"/>
        </w:trPr>
        <w:tc>
          <w:tcPr>
            <w:tcW w:w="7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Vested</w:t>
            </w: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(284)</w:t>
            </w: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4.24</w:t>
            </w:r>
          </w:p>
        </w:tc>
      </w:tr>
      <w:tr>
        <w:trPr>
          <w:trHeight w:val="180"/>
        </w:trPr>
        <w:tc>
          <w:tcPr>
            <w:tcW w:w="7120" w:type="dxa"/>
            <w:vAlign w:val="bottom"/>
            <w:tcBorders>
              <w:bottom w:val="single" w:sz="8" w:color="CCEEFF"/>
            </w:tcBorders>
          </w:tcPr>
          <w:p>
            <w:pPr>
              <w:ind w:left="20"/>
              <w:spacing w:after="0" w:line="181" w:lineRule="exact"/>
              <w:rPr>
                <w:sz w:val="20"/>
                <w:szCs w:val="20"/>
                <w:color w:val="auto"/>
              </w:rPr>
            </w:pPr>
            <w:r>
              <w:rPr>
                <w:rFonts w:ascii="Times New Roman" w:cs="Times New Roman" w:eastAsia="Times New Roman" w:hAnsi="Times New Roman"/>
                <w:sz w:val="14"/>
                <w:szCs w:val="14"/>
                <w:color w:val="auto"/>
              </w:rPr>
              <w:t>Forfeited</w:t>
            </w:r>
            <w:r>
              <w:rPr>
                <w:rFonts w:ascii="Times New Roman" w:cs="Times New Roman" w:eastAsia="Times New Roman" w:hAnsi="Times New Roman"/>
                <w:sz w:val="18"/>
                <w:szCs w:val="18"/>
                <w:color w:val="auto"/>
                <w:vertAlign w:val="superscript"/>
              </w:rPr>
              <w:t>(2)</w:t>
            </w:r>
          </w:p>
        </w:tc>
        <w:tc>
          <w:tcPr>
            <w:tcW w:w="2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(274)</w:t>
            </w:r>
          </w:p>
        </w:tc>
        <w:tc>
          <w:tcPr>
            <w:tcW w:w="100" w:type="dxa"/>
            <w:vAlign w:val="bottom"/>
            <w:tcBorders>
              <w:bottom w:val="single" w:sz="8" w:color="CCEEFF"/>
            </w:tcBorders>
          </w:tcPr>
          <w:p>
            <w:pPr>
              <w:spacing w:after="0"/>
              <w:rPr>
                <w:sz w:val="15"/>
                <w:szCs w:val="15"/>
                <w:color w:val="auto"/>
              </w:rPr>
            </w:pPr>
          </w:p>
        </w:tc>
        <w:tc>
          <w:tcPr>
            <w:tcW w:w="900" w:type="dxa"/>
            <w:vAlign w:val="bottom"/>
            <w:tcBorders>
              <w:bottom w:val="single" w:sz="8" w:color="CCEEFF"/>
            </w:tcBorders>
          </w:tcPr>
          <w:p>
            <w:pPr>
              <w:spacing w:after="0"/>
              <w:rPr>
                <w:sz w:val="15"/>
                <w:szCs w:val="15"/>
                <w:color w:val="auto"/>
              </w:rPr>
            </w:pPr>
          </w:p>
        </w:tc>
        <w:tc>
          <w:tcPr>
            <w:tcW w:w="11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4.68</w:t>
            </w:r>
          </w:p>
        </w:tc>
      </w:tr>
      <w:tr>
        <w:trPr>
          <w:trHeight w:val="196"/>
        </w:trPr>
        <w:tc>
          <w:tcPr>
            <w:tcW w:w="7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Nonvested at June 30, 2024</w:t>
            </w:r>
          </w:p>
        </w:tc>
        <w:tc>
          <w:tcPr>
            <w:tcW w:w="2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284</w:t>
            </w:r>
          </w:p>
        </w:tc>
        <w:tc>
          <w:tcPr>
            <w:tcW w:w="10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4.62</w:t>
            </w:r>
          </w:p>
        </w:tc>
      </w:tr>
      <w:tr>
        <w:trPr>
          <w:trHeight w:val="20"/>
        </w:trPr>
        <w:tc>
          <w:tcPr>
            <w:tcW w:w="7120" w:type="dxa"/>
            <w:vAlign w:val="bottom"/>
            <w:tcBorders>
              <w:top w:val="single" w:sz="8" w:color="CCEEFF"/>
            </w:tcBorders>
          </w:tcPr>
          <w:p>
            <w:pPr>
              <w:spacing w:after="0" w:line="20" w:lineRule="exact"/>
              <w:rPr>
                <w:sz w:val="1"/>
                <w:szCs w:val="1"/>
                <w:color w:val="auto"/>
              </w:rPr>
            </w:pPr>
          </w:p>
        </w:tc>
        <w:tc>
          <w:tcPr>
            <w:tcW w:w="2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r>
    </w:tbl>
    <w:p>
      <w:pPr>
        <w:ind w:left="980" w:hanging="393"/>
        <w:spacing w:after="0" w:line="218" w:lineRule="auto"/>
        <w:tabs>
          <w:tab w:leader="none" w:pos="980" w:val="left"/>
        </w:tabs>
        <w:numPr>
          <w:ilvl w:val="0"/>
          <w:numId w:val="34"/>
        </w:numPr>
        <w:rPr>
          <w:rFonts w:ascii="Times New Roman" w:cs="Times New Roman" w:eastAsia="Times New Roman" w:hAnsi="Times New Roman"/>
          <w:sz w:val="25"/>
          <w:szCs w:val="25"/>
          <w:color w:val="auto"/>
          <w:vertAlign w:val="subscript"/>
        </w:rPr>
      </w:pPr>
      <w:r>
        <w:rPr>
          <w:rFonts w:ascii="Times New Roman" w:cs="Times New Roman" w:eastAsia="Times New Roman" w:hAnsi="Times New Roman"/>
          <w:sz w:val="9"/>
          <w:szCs w:val="9"/>
          <w:color w:val="auto"/>
        </w:rPr>
        <w:t>Includes shares added based on achievement of performance goals in excess of target.</w:t>
      </w:r>
    </w:p>
    <w:p>
      <w:pPr>
        <w:spacing w:after="0" w:line="60" w:lineRule="exact"/>
        <w:rPr>
          <w:rFonts w:ascii="Times New Roman" w:cs="Times New Roman" w:eastAsia="Times New Roman" w:hAnsi="Times New Roman"/>
          <w:sz w:val="25"/>
          <w:szCs w:val="25"/>
          <w:color w:val="auto"/>
          <w:vertAlign w:val="subscript"/>
        </w:rPr>
      </w:pPr>
    </w:p>
    <w:p>
      <w:pPr>
        <w:ind w:left="980" w:hanging="393"/>
        <w:spacing w:after="0" w:line="208" w:lineRule="auto"/>
        <w:tabs>
          <w:tab w:leader="none" w:pos="980" w:val="left"/>
        </w:tabs>
        <w:numPr>
          <w:ilvl w:val="0"/>
          <w:numId w:val="34"/>
        </w:numPr>
        <w:rPr>
          <w:rFonts w:ascii="Times New Roman" w:cs="Times New Roman" w:eastAsia="Times New Roman" w:hAnsi="Times New Roman"/>
          <w:sz w:val="11"/>
          <w:szCs w:val="11"/>
          <w:color w:val="auto"/>
          <w:vertAlign w:val="subscript"/>
        </w:rPr>
      </w:pPr>
      <w:r>
        <w:rPr>
          <w:rFonts w:ascii="Times New Roman" w:cs="Times New Roman" w:eastAsia="Times New Roman" w:hAnsi="Times New Roman"/>
          <w:sz w:val="6"/>
          <w:szCs w:val="6"/>
          <w:color w:val="auto"/>
        </w:rPr>
        <w:t>Includes 77,706 shares of performance restricted stock units that were canceled in exchange for restricted stock awards on November 6, 2023.</w:t>
      </w:r>
    </w:p>
    <w:p>
      <w:pPr>
        <w:spacing w:after="0" w:line="25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total vesting date fair value of performance restricted stock units that vested during the fiscal years ended June 30, 2024 and 2023 was approximately $1.6 million and $4,000, respectively.</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10 — Other Expense, Net</w:t>
      </w:r>
    </w:p>
    <w:p>
      <w:pPr>
        <w:spacing w:after="0" w:line="12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Other expense, net consists of the following (in thousands):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3860" w:type="dxa"/>
            <w:vAlign w:val="bottom"/>
          </w:tcPr>
          <w:p>
            <w:pPr>
              <w:spacing w:after="0"/>
              <w:rPr>
                <w:sz w:val="13"/>
                <w:szCs w:val="13"/>
                <w:color w:val="auto"/>
              </w:rPr>
            </w:pPr>
          </w:p>
        </w:tc>
        <w:tc>
          <w:tcPr>
            <w:tcW w:w="3260" w:type="dxa"/>
            <w:vAlign w:val="bottom"/>
          </w:tcPr>
          <w:p>
            <w:pPr>
              <w:spacing w:after="0"/>
              <w:rPr>
                <w:sz w:val="13"/>
                <w:szCs w:val="13"/>
                <w:color w:val="auto"/>
              </w:rPr>
            </w:pPr>
          </w:p>
        </w:tc>
        <w:tc>
          <w:tcPr>
            <w:tcW w:w="134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gridSpan w:val="3"/>
          </w:tcPr>
          <w:p>
            <w:pPr>
              <w:jc w:val="right"/>
              <w:ind w:right="149"/>
              <w:spacing w:after="0"/>
              <w:rPr>
                <w:sz w:val="20"/>
                <w:szCs w:val="20"/>
                <w:color w:val="auto"/>
              </w:rPr>
            </w:pPr>
            <w:r>
              <w:rPr>
                <w:rFonts w:ascii="Times New Roman" w:cs="Times New Roman" w:eastAsia="Times New Roman" w:hAnsi="Times New Roman"/>
                <w:sz w:val="11"/>
                <w:szCs w:val="11"/>
                <w:b w:val="1"/>
                <w:bCs w:val="1"/>
                <w:color w:val="auto"/>
              </w:rPr>
              <w:t>Years ended June 30,</w:t>
            </w:r>
          </w:p>
        </w:tc>
        <w:tc>
          <w:tcPr>
            <w:tcW w:w="134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3860" w:type="dxa"/>
            <w:vAlign w:val="bottom"/>
            <w:tcBorders>
              <w:bottom w:val="single" w:sz="8" w:color="CCEEFF"/>
            </w:tcBorders>
          </w:tcPr>
          <w:p>
            <w:pPr>
              <w:spacing w:after="0"/>
              <w:rPr>
                <w:sz w:val="13"/>
                <w:szCs w:val="13"/>
                <w:color w:val="auto"/>
              </w:rPr>
            </w:pPr>
          </w:p>
        </w:tc>
        <w:tc>
          <w:tcPr>
            <w:tcW w:w="3260" w:type="dxa"/>
            <w:vAlign w:val="bottom"/>
            <w:tcBorders>
              <w:bottom w:val="single" w:sz="8" w:color="CCEEFF"/>
            </w:tcBorders>
          </w:tcPr>
          <w:p>
            <w:pPr>
              <w:spacing w:after="0"/>
              <w:rPr>
                <w:sz w:val="13"/>
                <w:szCs w:val="13"/>
                <w:color w:val="auto"/>
              </w:rPr>
            </w:pPr>
          </w:p>
        </w:tc>
        <w:tc>
          <w:tcPr>
            <w:tcW w:w="134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1"/>
                <w:szCs w:val="11"/>
                <w:b w:val="1"/>
                <w:bCs w:val="1"/>
                <w:color w:val="auto"/>
              </w:rPr>
              <w:t>2024</w:t>
            </w:r>
          </w:p>
        </w:tc>
        <w:tc>
          <w:tcPr>
            <w:tcW w:w="68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jc w:val="right"/>
              <w:ind w:right="833"/>
              <w:spacing w:after="0"/>
              <w:rPr>
                <w:sz w:val="20"/>
                <w:szCs w:val="20"/>
                <w:color w:val="auto"/>
              </w:rPr>
            </w:pPr>
            <w:r>
              <w:rPr>
                <w:rFonts w:ascii="Times New Roman" w:cs="Times New Roman" w:eastAsia="Times New Roman" w:hAnsi="Times New Roman"/>
                <w:sz w:val="11"/>
                <w:szCs w:val="11"/>
                <w:b w:val="1"/>
                <w:bCs w:val="1"/>
                <w:color w:val="auto"/>
              </w:rPr>
              <w:t>2023</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3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Foreign currency transaction loss, net</w:t>
            </w:r>
          </w:p>
        </w:tc>
        <w:tc>
          <w:tcPr>
            <w:tcW w:w="3260" w:type="dxa"/>
            <w:vAlign w:val="bottom"/>
            <w:shd w:val="clear" w:color="auto" w:fill="CCEEFF"/>
          </w:tcPr>
          <w:p>
            <w:pPr>
              <w:spacing w:after="0"/>
              <w:rPr>
                <w:sz w:val="15"/>
                <w:szCs w:val="15"/>
                <w:color w:val="auto"/>
              </w:rPr>
            </w:pPr>
          </w:p>
        </w:tc>
        <w:tc>
          <w:tcPr>
            <w:tcW w:w="1340" w:type="dxa"/>
            <w:vAlign w:val="bottom"/>
            <w:shd w:val="clear" w:color="auto" w:fill="CCEEFF"/>
          </w:tcPr>
          <w:p>
            <w:pPr>
              <w:jc w:val="right"/>
              <w:ind w:right="1194"/>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(429)</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jc w:val="right"/>
              <w:ind w:right="529"/>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Other income (expense), net</w:t>
            </w:r>
          </w:p>
        </w:tc>
        <w:tc>
          <w:tcPr>
            <w:tcW w:w="3260" w:type="dxa"/>
            <w:vAlign w:val="bottom"/>
            <w:tcBorders>
              <w:bottom w:val="single" w:sz="8" w:color="CCEEFF"/>
            </w:tcBorders>
          </w:tcPr>
          <w:p>
            <w:pPr>
              <w:spacing w:after="0"/>
              <w:rPr>
                <w:sz w:val="15"/>
                <w:szCs w:val="15"/>
                <w:color w:val="auto"/>
              </w:rPr>
            </w:pPr>
          </w:p>
        </w:tc>
        <w:tc>
          <w:tcPr>
            <w:tcW w:w="134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100" w:type="dxa"/>
            <w:vAlign w:val="bottom"/>
            <w:tcBorders>
              <w:bottom w:val="single" w:sz="8" w:color="CCEEFF"/>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38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Total other expense, net</w:t>
            </w:r>
          </w:p>
        </w:tc>
        <w:tc>
          <w:tcPr>
            <w:tcW w:w="3260" w:type="dxa"/>
            <w:vAlign w:val="bottom"/>
            <w:tcBorders>
              <w:bottom w:val="single" w:sz="8" w:color="CCEEFF"/>
            </w:tcBorders>
            <w:shd w:val="clear" w:color="auto" w:fill="CCEEFF"/>
          </w:tcPr>
          <w:p>
            <w:pPr>
              <w:spacing w:after="0"/>
              <w:rPr>
                <w:sz w:val="16"/>
                <w:szCs w:val="16"/>
                <w:color w:val="auto"/>
              </w:rPr>
            </w:pPr>
          </w:p>
        </w:tc>
        <w:tc>
          <w:tcPr>
            <w:tcW w:w="1340" w:type="dxa"/>
            <w:vAlign w:val="bottom"/>
            <w:tcBorders>
              <w:bottom w:val="single" w:sz="8" w:color="auto"/>
            </w:tcBorders>
            <w:shd w:val="clear" w:color="auto" w:fill="CCEEFF"/>
          </w:tcPr>
          <w:p>
            <w:pPr>
              <w:jc w:val="right"/>
              <w:ind w:right="1194"/>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(412)</w:t>
            </w:r>
          </w:p>
        </w:tc>
        <w:tc>
          <w:tcPr>
            <w:tcW w:w="10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auto"/>
            </w:tcBorders>
            <w:shd w:val="clear" w:color="auto" w:fill="CCEEFF"/>
          </w:tcPr>
          <w:p>
            <w:pPr>
              <w:jc w:val="right"/>
              <w:ind w:right="529"/>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860" w:type="dxa"/>
            <w:vAlign w:val="bottom"/>
            <w:tcBorders>
              <w:top w:val="single" w:sz="8" w:color="CCEEFF"/>
            </w:tcBorders>
          </w:tcPr>
          <w:p>
            <w:pPr>
              <w:spacing w:after="0" w:line="20" w:lineRule="exact"/>
              <w:rPr>
                <w:sz w:val="1"/>
                <w:szCs w:val="1"/>
                <w:color w:val="auto"/>
              </w:rPr>
            </w:pPr>
          </w:p>
        </w:tc>
        <w:tc>
          <w:tcPr>
            <w:tcW w:w="3260" w:type="dxa"/>
            <w:vAlign w:val="bottom"/>
            <w:tcBorders>
              <w:top w:val="single" w:sz="8" w:color="CCEEFF"/>
              <w:bottom w:val="single" w:sz="8" w:color="CCEEFF"/>
            </w:tcBorders>
            <w:vMerge w:val="restart"/>
          </w:tcPr>
          <w:p>
            <w:pPr>
              <w:jc w:val="right"/>
              <w:ind w:right="1329"/>
              <w:spacing w:after="0"/>
              <w:rPr>
                <w:sz w:val="20"/>
                <w:szCs w:val="20"/>
                <w:color w:val="auto"/>
              </w:rPr>
            </w:pPr>
            <w:r>
              <w:rPr>
                <w:rFonts w:ascii="Times New Roman" w:cs="Times New Roman" w:eastAsia="Times New Roman" w:hAnsi="Times New Roman"/>
                <w:sz w:val="14"/>
                <w:szCs w:val="14"/>
                <w:color w:val="auto"/>
              </w:rPr>
              <w:t>81</w:t>
            </w: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47"/>
        </w:trPr>
        <w:tc>
          <w:tcPr>
            <w:tcW w:w="3860" w:type="dxa"/>
            <w:vAlign w:val="bottom"/>
          </w:tcPr>
          <w:p>
            <w:pPr>
              <w:spacing w:after="0"/>
              <w:rPr>
                <w:sz w:val="24"/>
                <w:szCs w:val="24"/>
                <w:color w:val="auto"/>
              </w:rPr>
            </w:pPr>
          </w:p>
        </w:tc>
        <w:tc>
          <w:tcPr>
            <w:tcW w:w="3260" w:type="dxa"/>
            <w:vAlign w:val="bottom"/>
            <w:vMerge w:val="continue"/>
          </w:tcPr>
          <w:p>
            <w:pPr>
              <w:spacing w:after="0"/>
              <w:rPr>
                <w:sz w:val="24"/>
                <w:szCs w:val="24"/>
                <w:color w:val="auto"/>
              </w:rPr>
            </w:pPr>
          </w:p>
        </w:tc>
        <w:tc>
          <w:tcPr>
            <w:tcW w:w="13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3860" w:type="dxa"/>
            <w:vAlign w:val="bottom"/>
            <w:tcBorders>
              <w:bottom w:val="single" w:sz="8" w:color="9A9A9A"/>
            </w:tcBorders>
          </w:tcPr>
          <w:p>
            <w:pPr>
              <w:spacing w:after="0"/>
              <w:rPr>
                <w:sz w:val="7"/>
                <w:szCs w:val="7"/>
                <w:color w:val="auto"/>
              </w:rPr>
            </w:pPr>
          </w:p>
        </w:tc>
        <w:tc>
          <w:tcPr>
            <w:tcW w:w="3260" w:type="dxa"/>
            <w:vAlign w:val="bottom"/>
            <w:tcBorders>
              <w:bottom w:val="single" w:sz="8" w:color="9A9A9A"/>
            </w:tcBorders>
          </w:tcPr>
          <w:p>
            <w:pPr>
              <w:spacing w:after="0"/>
              <w:rPr>
                <w:sz w:val="7"/>
                <w:szCs w:val="7"/>
                <w:color w:val="auto"/>
              </w:rPr>
            </w:pPr>
          </w:p>
        </w:tc>
        <w:tc>
          <w:tcPr>
            <w:tcW w:w="1340" w:type="dxa"/>
            <w:vAlign w:val="bottom"/>
            <w:tcBorders>
              <w:bottom w:val="single" w:sz="8" w:color="9A9A9A"/>
            </w:tcBorders>
          </w:tcPr>
          <w:p>
            <w:pPr>
              <w:spacing w:after="0"/>
              <w:rPr>
                <w:sz w:val="7"/>
                <w:szCs w:val="7"/>
                <w:color w:val="auto"/>
              </w:rPr>
            </w:pPr>
          </w:p>
        </w:tc>
        <w:tc>
          <w:tcPr>
            <w:tcW w:w="68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680" w:type="dxa"/>
            <w:vAlign w:val="bottom"/>
            <w:tcBorders>
              <w:bottom w:val="single" w:sz="8" w:color="9A9A9A"/>
            </w:tcBorders>
          </w:tcPr>
          <w:p>
            <w:pPr>
              <w:spacing w:after="0"/>
              <w:rPr>
                <w:sz w:val="7"/>
                <w:szCs w:val="7"/>
                <w:color w:val="auto"/>
              </w:rPr>
            </w:pPr>
          </w:p>
        </w:tc>
        <w:tc>
          <w:tcPr>
            <w:tcW w:w="134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39">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40">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846" w:right="31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4"/>
          <w:szCs w:val="14"/>
          <w:b w:val="1"/>
          <w:bCs w:val="1"/>
          <w:color w:val="auto"/>
        </w:rPr>
        <w:t>Note 11 — Income Taxes</w:t>
      </w:r>
    </w:p>
    <w:p>
      <w:pPr>
        <w:spacing w:after="0" w:line="11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income tax expense for the fiscal years ended June 30, 2024 and 2023 consists of the following (in thousands):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4620" w:type="dxa"/>
            <w:vAlign w:val="bottom"/>
          </w:tcPr>
          <w:p>
            <w:pPr>
              <w:spacing w:after="0"/>
              <w:rPr>
                <w:sz w:val="13"/>
                <w:szCs w:val="13"/>
                <w:color w:val="auto"/>
              </w:rPr>
            </w:pPr>
          </w:p>
        </w:tc>
        <w:tc>
          <w:tcPr>
            <w:tcW w:w="2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2360" w:type="dxa"/>
            <w:vAlign w:val="bottom"/>
            <w:tcBorders>
              <w:bottom w:val="single" w:sz="8" w:color="auto"/>
            </w:tcBorders>
            <w:gridSpan w:val="5"/>
          </w:tcPr>
          <w:p>
            <w:pPr>
              <w:jc w:val="right"/>
              <w:ind w:right="129"/>
              <w:spacing w:after="0"/>
              <w:rPr>
                <w:sz w:val="20"/>
                <w:szCs w:val="20"/>
                <w:color w:val="auto"/>
              </w:rPr>
            </w:pPr>
            <w:r>
              <w:rPr>
                <w:rFonts w:ascii="Times New Roman" w:cs="Times New Roman" w:eastAsia="Times New Roman" w:hAnsi="Times New Roman"/>
                <w:sz w:val="11"/>
                <w:szCs w:val="11"/>
                <w:b w:val="1"/>
                <w:bCs w:val="1"/>
                <w:color w:val="auto"/>
              </w:rPr>
              <w:t>Years ended June 30,</w:t>
            </w:r>
          </w:p>
        </w:tc>
        <w:tc>
          <w:tcPr>
            <w:tcW w:w="136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4620" w:type="dxa"/>
            <w:vAlign w:val="bottom"/>
            <w:tcBorders>
              <w:bottom w:val="single" w:sz="8" w:color="CCEEFF"/>
            </w:tcBorders>
          </w:tcPr>
          <w:p>
            <w:pPr>
              <w:spacing w:after="0"/>
              <w:rPr>
                <w:sz w:val="13"/>
                <w:szCs w:val="13"/>
                <w:color w:val="auto"/>
              </w:rPr>
            </w:pPr>
          </w:p>
        </w:tc>
        <w:tc>
          <w:tcPr>
            <w:tcW w:w="2340" w:type="dxa"/>
            <w:vAlign w:val="bottom"/>
            <w:tcBorders>
              <w:bottom w:val="single" w:sz="8" w:color="CCEEFF"/>
            </w:tcBorders>
          </w:tcPr>
          <w:p>
            <w:pPr>
              <w:spacing w:after="0"/>
              <w:rPr>
                <w:sz w:val="13"/>
                <w:szCs w:val="13"/>
                <w:color w:val="auto"/>
              </w:rPr>
            </w:pPr>
          </w:p>
        </w:tc>
        <w:tc>
          <w:tcPr>
            <w:tcW w:w="160" w:type="dxa"/>
            <w:vAlign w:val="bottom"/>
            <w:tcBorders>
              <w:bottom w:val="single" w:sz="8" w:color="CCEEFF"/>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520" w:type="dxa"/>
            <w:vAlign w:val="bottom"/>
            <w:tcBorders>
              <w:bottom w:val="single" w:sz="8" w:color="auto"/>
            </w:tcBorders>
          </w:tcPr>
          <w:p>
            <w:pPr>
              <w:jc w:val="right"/>
              <w:ind w:right="751"/>
              <w:spacing w:after="0"/>
              <w:rPr>
                <w:sz w:val="20"/>
                <w:szCs w:val="20"/>
                <w:color w:val="auto"/>
              </w:rPr>
            </w:pPr>
            <w:r>
              <w:rPr>
                <w:rFonts w:ascii="Times New Roman" w:cs="Times New Roman" w:eastAsia="Times New Roman" w:hAnsi="Times New Roman"/>
                <w:sz w:val="11"/>
                <w:szCs w:val="11"/>
                <w:b w:val="1"/>
                <w:bCs w:val="1"/>
                <w:color w:val="auto"/>
              </w:rPr>
              <w:t>2024</w:t>
            </w:r>
          </w:p>
        </w:tc>
        <w:tc>
          <w:tcPr>
            <w:tcW w:w="80" w:type="dxa"/>
            <w:vAlign w:val="bottom"/>
            <w:tcBorders>
              <w:bottom w:val="single" w:sz="8" w:color="auto"/>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jc w:val="right"/>
              <w:ind w:right="830"/>
              <w:spacing w:after="0"/>
              <w:rPr>
                <w:sz w:val="20"/>
                <w:szCs w:val="20"/>
                <w:color w:val="auto"/>
              </w:rPr>
            </w:pPr>
            <w:r>
              <w:rPr>
                <w:rFonts w:ascii="Times New Roman" w:cs="Times New Roman" w:eastAsia="Times New Roman" w:hAnsi="Times New Roman"/>
                <w:sz w:val="11"/>
                <w:szCs w:val="11"/>
                <w:b w:val="1"/>
                <w:bCs w:val="1"/>
                <w:color w:val="auto"/>
              </w:rPr>
              <w:t>2023</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Income Before Income Taxes:</w:t>
            </w:r>
          </w:p>
        </w:tc>
        <w:tc>
          <w:tcPr>
            <w:tcW w:w="23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5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36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46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Domestic</w:t>
            </w:r>
          </w:p>
        </w:tc>
        <w:tc>
          <w:tcPr>
            <w:tcW w:w="2920" w:type="dxa"/>
            <w:vAlign w:val="bottom"/>
            <w:gridSpan w:val="3"/>
          </w:tcPr>
          <w:p>
            <w:pPr>
              <w:jc w:val="right"/>
              <w:ind w:right="269"/>
              <w:spacing w:after="0"/>
              <w:rPr>
                <w:sz w:val="20"/>
                <w:szCs w:val="20"/>
                <w:color w:val="auto"/>
              </w:rPr>
            </w:pPr>
            <w:r>
              <w:rPr>
                <w:rFonts w:ascii="Times New Roman" w:cs="Times New Roman" w:eastAsia="Times New Roman" w:hAnsi="Times New Roman"/>
                <w:sz w:val="14"/>
                <w:szCs w:val="14"/>
                <w:color w:val="auto"/>
              </w:rPr>
              <w:t>$</w:t>
            </w:r>
          </w:p>
        </w:tc>
        <w:tc>
          <w:tcPr>
            <w:tcW w:w="16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2,940</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jc w:val="right"/>
              <w:ind w:right="509"/>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2,464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6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International</w:t>
            </w:r>
          </w:p>
        </w:tc>
        <w:tc>
          <w:tcPr>
            <w:tcW w:w="23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spacing w:after="0"/>
              <w:rPr>
                <w:sz w:val="15"/>
                <w:szCs w:val="15"/>
                <w:color w:val="auto"/>
              </w:rPr>
            </w:pPr>
          </w:p>
        </w:tc>
        <w:tc>
          <w:tcPr>
            <w:tcW w:w="160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1,410</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spacing w:after="0"/>
              <w:rPr>
                <w:sz w:val="15"/>
                <w:szCs w:val="15"/>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1,535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462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20" w:type="dxa"/>
            <w:vAlign w:val="bottom"/>
            <w:tcBorders>
              <w:bottom w:val="single" w:sz="8" w:color="auto"/>
            </w:tcBorders>
          </w:tcPr>
          <w:p>
            <w:pPr>
              <w:jc w:val="right"/>
              <w:ind w:right="269"/>
              <w:spacing w:after="0"/>
              <w:rPr>
                <w:sz w:val="20"/>
                <w:szCs w:val="20"/>
                <w:color w:val="auto"/>
              </w:rPr>
            </w:pPr>
            <w:r>
              <w:rPr>
                <w:rFonts w:ascii="Times New Roman" w:cs="Times New Roman" w:eastAsia="Times New Roman" w:hAnsi="Times New Roman"/>
                <w:sz w:val="14"/>
                <w:szCs w:val="14"/>
                <w:color w:val="auto"/>
                <w:w w:val="85"/>
              </w:rPr>
              <w:t>$</w:t>
            </w:r>
          </w:p>
        </w:tc>
        <w:tc>
          <w:tcPr>
            <w:tcW w:w="160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4,350</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Borders>
              <w:bottom w:val="single" w:sz="8" w:color="auto"/>
            </w:tcBorders>
          </w:tcPr>
          <w:p>
            <w:pPr>
              <w:jc w:val="right"/>
              <w:ind w:right="509"/>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3,999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620" w:type="dxa"/>
            <w:vAlign w:val="bottom"/>
            <w:tcBorders>
              <w:bottom w:val="single" w:sz="8" w:color="CCEEFF"/>
            </w:tcBorders>
          </w:tcPr>
          <w:p>
            <w:pPr>
              <w:spacing w:after="0" w:line="20" w:lineRule="exact"/>
              <w:rPr>
                <w:sz w:val="1"/>
                <w:szCs w:val="1"/>
                <w:color w:val="auto"/>
              </w:rPr>
            </w:pPr>
          </w:p>
        </w:tc>
        <w:tc>
          <w:tcPr>
            <w:tcW w:w="23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4620" w:type="dxa"/>
            <w:vAlign w:val="bottom"/>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Current Taxes:</w:t>
            </w:r>
          </w:p>
        </w:tc>
        <w:tc>
          <w:tcPr>
            <w:tcW w:w="23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46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Federal</w:t>
            </w:r>
          </w:p>
        </w:tc>
        <w:tc>
          <w:tcPr>
            <w:tcW w:w="2920" w:type="dxa"/>
            <w:vAlign w:val="bottom"/>
            <w:gridSpan w:val="3"/>
          </w:tcPr>
          <w:p>
            <w:pPr>
              <w:jc w:val="right"/>
              <w:ind w:right="269"/>
              <w:spacing w:after="0"/>
              <w:rPr>
                <w:sz w:val="20"/>
                <w:szCs w:val="20"/>
                <w:color w:val="auto"/>
              </w:rPr>
            </w:pPr>
            <w:r>
              <w:rPr>
                <w:rFonts w:ascii="Times New Roman" w:cs="Times New Roman" w:eastAsia="Times New Roman" w:hAnsi="Times New Roman"/>
                <w:sz w:val="14"/>
                <w:szCs w:val="14"/>
                <w:color w:val="auto"/>
              </w:rPr>
              <w:t>$</w:t>
            </w:r>
          </w:p>
        </w:tc>
        <w:tc>
          <w:tcPr>
            <w:tcW w:w="16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1,457</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jc w:val="right"/>
              <w:ind w:right="509"/>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2,012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6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State</w:t>
            </w:r>
          </w:p>
        </w:tc>
        <w:tc>
          <w:tcPr>
            <w:tcW w:w="23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6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246</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620" w:type="dxa"/>
            <w:vAlign w:val="bottom"/>
            <w:tcBorders>
              <w:bottom w:val="single" w:sz="8" w:color="CCEEFF"/>
            </w:tcBorders>
          </w:tcPr>
          <w:p>
            <w:pPr>
              <w:ind w:left="280"/>
              <w:spacing w:after="0"/>
              <w:rPr>
                <w:sz w:val="20"/>
                <w:szCs w:val="20"/>
                <w:color w:val="auto"/>
              </w:rPr>
            </w:pPr>
            <w:r>
              <w:rPr>
                <w:rFonts w:ascii="Times New Roman" w:cs="Times New Roman" w:eastAsia="Times New Roman" w:hAnsi="Times New Roman"/>
                <w:sz w:val="14"/>
                <w:szCs w:val="14"/>
                <w:color w:val="auto"/>
              </w:rPr>
              <w:t>Foreign</w:t>
            </w:r>
          </w:p>
        </w:tc>
        <w:tc>
          <w:tcPr>
            <w:tcW w:w="2340" w:type="dxa"/>
            <w:vAlign w:val="bottom"/>
            <w:tcBorders>
              <w:bottom w:val="single" w:sz="8" w:color="CCEEFF"/>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984</w:t>
            </w:r>
          </w:p>
        </w:tc>
        <w:tc>
          <w:tcPr>
            <w:tcW w:w="2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686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462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Total Current Income Tax Provision</w:t>
            </w:r>
          </w:p>
        </w:tc>
        <w:tc>
          <w:tcPr>
            <w:tcW w:w="23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20" w:type="dxa"/>
            <w:vAlign w:val="bottom"/>
            <w:shd w:val="clear" w:color="auto" w:fill="CCEEFF"/>
          </w:tcPr>
          <w:p>
            <w:pPr>
              <w:jc w:val="right"/>
              <w:ind w:right="269"/>
              <w:spacing w:after="0"/>
              <w:rPr>
                <w:sz w:val="20"/>
                <w:szCs w:val="20"/>
                <w:color w:val="auto"/>
              </w:rPr>
            </w:pPr>
            <w:r>
              <w:rPr>
                <w:rFonts w:ascii="Times New Roman" w:cs="Times New Roman" w:eastAsia="Times New Roman" w:hAnsi="Times New Roman"/>
                <w:sz w:val="14"/>
                <w:szCs w:val="14"/>
                <w:color w:val="auto"/>
                <w:w w:val="85"/>
              </w:rPr>
              <w:t>$</w:t>
            </w:r>
          </w:p>
        </w:tc>
        <w:tc>
          <w:tcPr>
            <w:tcW w:w="16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2,687</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jc w:val="right"/>
              <w:ind w:right="509"/>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3,134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4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Deferred Taxes:</w:t>
            </w:r>
          </w:p>
        </w:tc>
        <w:tc>
          <w:tcPr>
            <w:tcW w:w="2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6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Federal</w:t>
            </w:r>
          </w:p>
        </w:tc>
        <w:tc>
          <w:tcPr>
            <w:tcW w:w="2920" w:type="dxa"/>
            <w:vAlign w:val="bottom"/>
            <w:gridSpan w:val="3"/>
            <w:shd w:val="clear" w:color="auto" w:fill="CCEEFF"/>
          </w:tcPr>
          <w:p>
            <w:pPr>
              <w:jc w:val="right"/>
              <w:ind w:right="269"/>
              <w:spacing w:after="0"/>
              <w:rPr>
                <w:sz w:val="20"/>
                <w:szCs w:val="20"/>
                <w:color w:val="auto"/>
              </w:rPr>
            </w:pPr>
            <w:r>
              <w:rPr>
                <w:rFonts w:ascii="Times New Roman" w:cs="Times New Roman" w:eastAsia="Times New Roman" w:hAnsi="Times New Roman"/>
                <w:sz w:val="14"/>
                <w:szCs w:val="14"/>
                <w:color w:val="auto"/>
              </w:rPr>
              <w:t>$</w:t>
            </w:r>
          </w:p>
        </w:tc>
        <w:tc>
          <w:tcPr>
            <w:tcW w:w="1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(1,281)</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jc w:val="right"/>
              <w:ind w:right="509"/>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6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State</w:t>
            </w:r>
          </w:p>
        </w:tc>
        <w:tc>
          <w:tcPr>
            <w:tcW w:w="2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6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(151)</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6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Foreign</w:t>
            </w:r>
          </w:p>
        </w:tc>
        <w:tc>
          <w:tcPr>
            <w:tcW w:w="23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spacing w:after="0"/>
              <w:rPr>
                <w:sz w:val="15"/>
                <w:szCs w:val="15"/>
                <w:color w:val="auto"/>
              </w:rPr>
            </w:pPr>
          </w:p>
        </w:tc>
        <w:tc>
          <w:tcPr>
            <w:tcW w:w="160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158</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spacing w:after="0"/>
              <w:rPr>
                <w:sz w:val="15"/>
                <w:szCs w:val="15"/>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4620" w:type="dxa"/>
            <w:vAlign w:val="bottom"/>
            <w:tcBorders>
              <w:bottom w:val="single" w:sz="8" w:color="CCEEFF"/>
            </w:tcBorders>
          </w:tcPr>
          <w:p>
            <w:pPr>
              <w:ind w:left="520"/>
              <w:spacing w:after="0"/>
              <w:rPr>
                <w:sz w:val="20"/>
                <w:szCs w:val="20"/>
                <w:color w:val="auto"/>
              </w:rPr>
            </w:pPr>
            <w:r>
              <w:rPr>
                <w:rFonts w:ascii="Times New Roman" w:cs="Times New Roman" w:eastAsia="Times New Roman" w:hAnsi="Times New Roman"/>
                <w:sz w:val="14"/>
                <w:szCs w:val="14"/>
                <w:color w:val="auto"/>
              </w:rPr>
              <w:t>Total Deferred Income Tax Provision</w:t>
            </w:r>
          </w:p>
        </w:tc>
        <w:tc>
          <w:tcPr>
            <w:tcW w:w="234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420" w:type="dxa"/>
            <w:vAlign w:val="bottom"/>
            <w:tcBorders>
              <w:bottom w:val="single" w:sz="8" w:color="auto"/>
            </w:tcBorders>
          </w:tcPr>
          <w:p>
            <w:pPr>
              <w:jc w:val="right"/>
              <w:ind w:right="269"/>
              <w:spacing w:after="0"/>
              <w:rPr>
                <w:sz w:val="20"/>
                <w:szCs w:val="20"/>
                <w:color w:val="auto"/>
              </w:rPr>
            </w:pPr>
            <w:r>
              <w:rPr>
                <w:rFonts w:ascii="Times New Roman" w:cs="Times New Roman" w:eastAsia="Times New Roman" w:hAnsi="Times New Roman"/>
                <w:sz w:val="14"/>
                <w:szCs w:val="14"/>
                <w:color w:val="auto"/>
                <w:w w:val="85"/>
              </w:rPr>
              <w:t>$</w:t>
            </w:r>
          </w:p>
        </w:tc>
        <w:tc>
          <w:tcPr>
            <w:tcW w:w="160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(1,274)</w:t>
            </w: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660" w:type="dxa"/>
            <w:vAlign w:val="bottom"/>
            <w:tcBorders>
              <w:bottom w:val="single" w:sz="8" w:color="auto"/>
            </w:tcBorders>
          </w:tcPr>
          <w:p>
            <w:pPr>
              <w:jc w:val="right"/>
              <w:ind w:right="509"/>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(1,675)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4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 Tax Provision</w:t>
            </w:r>
          </w:p>
        </w:tc>
        <w:tc>
          <w:tcPr>
            <w:tcW w:w="234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auto"/>
            </w:tcBorders>
            <w:shd w:val="clear" w:color="auto" w:fill="CCEEFF"/>
          </w:tcPr>
          <w:p>
            <w:pPr>
              <w:jc w:val="right"/>
              <w:ind w:right="269"/>
              <w:spacing w:after="0"/>
              <w:rPr>
                <w:sz w:val="20"/>
                <w:szCs w:val="20"/>
                <w:color w:val="auto"/>
              </w:rPr>
            </w:pPr>
            <w:r>
              <w:rPr>
                <w:rFonts w:ascii="Times New Roman" w:cs="Times New Roman" w:eastAsia="Times New Roman" w:hAnsi="Times New Roman"/>
                <w:sz w:val="14"/>
                <w:szCs w:val="14"/>
                <w:color w:val="auto"/>
                <w:w w:val="85"/>
              </w:rPr>
              <w:t>$</w:t>
            </w:r>
          </w:p>
        </w:tc>
        <w:tc>
          <w:tcPr>
            <w:tcW w:w="160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1,413</w:t>
            </w:r>
          </w:p>
        </w:tc>
        <w:tc>
          <w:tcPr>
            <w:tcW w:w="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jc w:val="right"/>
              <w:ind w:right="509"/>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1,459</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960" w:type="dxa"/>
            <w:vAlign w:val="bottom"/>
            <w:tcBorders>
              <w:top w:val="single" w:sz="8" w:color="CCEEFF"/>
            </w:tcBorders>
            <w:gridSpan w:val="2"/>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940" w:type="dxa"/>
            <w:vAlign w:val="bottom"/>
            <w:tcBorders>
              <w:top w:val="single" w:sz="8" w:color="CCEEFF"/>
              <w:bottom w:val="single" w:sz="8" w:color="auto"/>
            </w:tcBorders>
            <w:gridSpan w:val="2"/>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2"/>
        </w:trPr>
        <w:tc>
          <w:tcPr>
            <w:tcW w:w="9240" w:type="dxa"/>
            <w:vAlign w:val="bottom"/>
            <w:gridSpan w:val="8"/>
          </w:tcPr>
          <w:p>
            <w:pPr>
              <w:ind w:left="260"/>
              <w:spacing w:after="0"/>
              <w:rPr>
                <w:sz w:val="20"/>
                <w:szCs w:val="20"/>
                <w:color w:val="auto"/>
              </w:rPr>
            </w:pPr>
            <w:r>
              <w:rPr>
                <w:rFonts w:ascii="Times New Roman" w:cs="Times New Roman" w:eastAsia="Times New Roman" w:hAnsi="Times New Roman"/>
                <w:sz w:val="14"/>
                <w:szCs w:val="14"/>
                <w:color w:val="auto"/>
              </w:rPr>
              <w:t>The effective income tax rate for the fiscal years ended June 30, 2024 and 2023 differs from the U.S. Federal statutory income tax rate due to the following:</w:t>
            </w:r>
          </w:p>
        </w:tc>
        <w:tc>
          <w:tcPr>
            <w:tcW w:w="6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2"/>
        </w:trPr>
        <w:tc>
          <w:tcPr>
            <w:tcW w:w="462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gridSpan w:val="5"/>
          </w:tcPr>
          <w:p>
            <w:pPr>
              <w:jc w:val="right"/>
              <w:ind w:right="209"/>
              <w:spacing w:after="0"/>
              <w:rPr>
                <w:sz w:val="20"/>
                <w:szCs w:val="20"/>
                <w:color w:val="auto"/>
              </w:rPr>
            </w:pPr>
            <w:r>
              <w:rPr>
                <w:rFonts w:ascii="Times New Roman" w:cs="Times New Roman" w:eastAsia="Times New Roman" w:hAnsi="Times New Roman"/>
                <w:sz w:val="11"/>
                <w:szCs w:val="11"/>
                <w:b w:val="1"/>
                <w:bCs w:val="1"/>
                <w:color w:val="auto"/>
              </w:rPr>
              <w:t>Years ended June 30,</w:t>
            </w:r>
          </w:p>
        </w:tc>
        <w:tc>
          <w:tcPr>
            <w:tcW w:w="13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4"/>
        </w:trPr>
        <w:tc>
          <w:tcPr>
            <w:tcW w:w="4620" w:type="dxa"/>
            <w:vAlign w:val="bottom"/>
            <w:tcBorders>
              <w:bottom w:val="single" w:sz="8" w:color="CCEEFF"/>
            </w:tcBorders>
          </w:tcPr>
          <w:p>
            <w:pPr>
              <w:spacing w:after="0"/>
              <w:rPr>
                <w:sz w:val="13"/>
                <w:szCs w:val="13"/>
                <w:color w:val="auto"/>
              </w:rPr>
            </w:pPr>
          </w:p>
        </w:tc>
        <w:tc>
          <w:tcPr>
            <w:tcW w:w="234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520" w:type="dxa"/>
            <w:vAlign w:val="bottom"/>
            <w:tcBorders>
              <w:bottom w:val="single" w:sz="8" w:color="auto"/>
            </w:tcBorders>
          </w:tcPr>
          <w:p>
            <w:pPr>
              <w:jc w:val="right"/>
              <w:ind w:right="871"/>
              <w:spacing w:after="0"/>
              <w:rPr>
                <w:sz w:val="20"/>
                <w:szCs w:val="20"/>
                <w:color w:val="auto"/>
              </w:rPr>
            </w:pPr>
            <w:r>
              <w:rPr>
                <w:rFonts w:ascii="Times New Roman" w:cs="Times New Roman" w:eastAsia="Times New Roman" w:hAnsi="Times New Roman"/>
                <w:sz w:val="11"/>
                <w:szCs w:val="11"/>
                <w:b w:val="1"/>
                <w:bCs w:val="1"/>
                <w:color w:val="auto"/>
              </w:rPr>
              <w:t>2024</w:t>
            </w:r>
          </w:p>
        </w:tc>
        <w:tc>
          <w:tcPr>
            <w:tcW w:w="8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jc w:val="right"/>
              <w:ind w:right="870"/>
              <w:spacing w:after="0"/>
              <w:rPr>
                <w:sz w:val="20"/>
                <w:szCs w:val="20"/>
                <w:color w:val="auto"/>
              </w:rPr>
            </w:pPr>
            <w:r>
              <w:rPr>
                <w:rFonts w:ascii="Times New Roman" w:cs="Times New Roman" w:eastAsia="Times New Roman" w:hAnsi="Times New Roman"/>
                <w:sz w:val="11"/>
                <w:szCs w:val="11"/>
                <w:b w:val="1"/>
                <w:bCs w:val="1"/>
                <w:color w:val="auto"/>
              </w:rPr>
              <w:t>2023</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Federal statutory income tax rate</w:t>
            </w:r>
          </w:p>
        </w:tc>
        <w:tc>
          <w:tcPr>
            <w:tcW w:w="23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21.0 %</w:t>
            </w: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21.0 %</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State income taxes, net of federal benefit</w:t>
            </w:r>
          </w:p>
        </w:tc>
        <w:tc>
          <w:tcPr>
            <w:tcW w:w="2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1.2 %</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0.8 %</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Foreign tax rate difference</w:t>
            </w:r>
          </w:p>
        </w:tc>
        <w:tc>
          <w:tcPr>
            <w:tcW w:w="23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8.0 %</w:t>
            </w: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8.3 %</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Tax return to provision true-up</w:t>
            </w:r>
          </w:p>
        </w:tc>
        <w:tc>
          <w:tcPr>
            <w:tcW w:w="2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3.2 %</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Limit on future stock compensation due to 162(m)</w:t>
            </w:r>
          </w:p>
        </w:tc>
        <w:tc>
          <w:tcPr>
            <w:tcW w:w="23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2.8 %</w:t>
            </w: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4.3 %</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Foreign withholding tax</w:t>
            </w:r>
          </w:p>
        </w:tc>
        <w:tc>
          <w:tcPr>
            <w:tcW w:w="2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2.6 %</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0.4 %</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differences</w:t>
            </w:r>
          </w:p>
        </w:tc>
        <w:tc>
          <w:tcPr>
            <w:tcW w:w="23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1.6 %</w:t>
            </w: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Revalue of deferred for change in federal tax rate</w:t>
            </w:r>
          </w:p>
        </w:tc>
        <w:tc>
          <w:tcPr>
            <w:tcW w:w="2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0.0 %</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0.1 %</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Permanent differences:</w:t>
            </w:r>
          </w:p>
        </w:tc>
        <w:tc>
          <w:tcPr>
            <w:tcW w:w="23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6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 stock-based compensation</w:t>
            </w:r>
          </w:p>
        </w:tc>
        <w:tc>
          <w:tcPr>
            <w:tcW w:w="2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5.8 %</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6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 current year section 162(m) limitation</w:t>
            </w:r>
          </w:p>
        </w:tc>
        <w:tc>
          <w:tcPr>
            <w:tcW w:w="23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7.0 %</w:t>
            </w: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0.0 %</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6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 foreign derived intangible income deduction</w:t>
            </w:r>
          </w:p>
        </w:tc>
        <w:tc>
          <w:tcPr>
            <w:tcW w:w="2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(0.7)%</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6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 tax credits</w:t>
            </w:r>
          </w:p>
        </w:tc>
        <w:tc>
          <w:tcPr>
            <w:tcW w:w="23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w:t>
            </w: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6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 meals and entertainment</w:t>
            </w:r>
          </w:p>
        </w:tc>
        <w:tc>
          <w:tcPr>
            <w:tcW w:w="2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1.3 %</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0.8 %</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6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 removal of additional permanent reinvestment assertions</w:t>
            </w:r>
          </w:p>
        </w:tc>
        <w:tc>
          <w:tcPr>
            <w:tcW w:w="23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1.2 %</w:t>
            </w: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0.3 %</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6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 change in uncertain tax positions</w:t>
            </w:r>
          </w:p>
        </w:tc>
        <w:tc>
          <w:tcPr>
            <w:tcW w:w="2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1.2 %</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0.0 %</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6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 accrual for foreign tax audits</w:t>
            </w:r>
          </w:p>
        </w:tc>
        <w:tc>
          <w:tcPr>
            <w:tcW w:w="23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7.7 %</w:t>
            </w: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0.0 %</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6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 other permanent differences</w:t>
            </w:r>
          </w:p>
        </w:tc>
        <w:tc>
          <w:tcPr>
            <w:tcW w:w="2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1.8 %</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2.1 %</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Change in valuation allowance</w:t>
            </w:r>
          </w:p>
        </w:tc>
        <w:tc>
          <w:tcPr>
            <w:tcW w:w="234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spacing w:after="0"/>
              <w:rPr>
                <w:sz w:val="15"/>
                <w:szCs w:val="15"/>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0.5 %</w:t>
            </w: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spacing w:after="0"/>
              <w:rPr>
                <w:sz w:val="15"/>
                <w:szCs w:val="15"/>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0.7 %</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4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 tax provision</w:t>
            </w:r>
          </w:p>
        </w:tc>
        <w:tc>
          <w:tcPr>
            <w:tcW w:w="23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32.5 %</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36.5 %</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2340" w:type="dxa"/>
            <w:vAlign w:val="bottom"/>
            <w:vMerge w:val="restart"/>
          </w:tcPr>
          <w:p>
            <w:pPr>
              <w:jc w:val="right"/>
              <w:ind w:right="1169"/>
              <w:spacing w:after="0"/>
              <w:rPr>
                <w:sz w:val="20"/>
                <w:szCs w:val="20"/>
                <w:color w:val="auto"/>
              </w:rPr>
            </w:pPr>
            <w:r>
              <w:rPr>
                <w:rFonts w:ascii="Times New Roman" w:cs="Times New Roman" w:eastAsia="Times New Roman" w:hAnsi="Times New Roman"/>
                <w:sz w:val="14"/>
                <w:szCs w:val="14"/>
                <w:color w:val="auto"/>
              </w:rPr>
              <w:t>82</w:t>
            </w:r>
          </w:p>
        </w:tc>
        <w:tc>
          <w:tcPr>
            <w:tcW w:w="1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78"/>
        </w:trPr>
        <w:tc>
          <w:tcPr>
            <w:tcW w:w="4620" w:type="dxa"/>
            <w:vAlign w:val="bottom"/>
          </w:tcPr>
          <w:p>
            <w:pPr>
              <w:spacing w:after="0"/>
              <w:rPr>
                <w:sz w:val="24"/>
                <w:szCs w:val="24"/>
                <w:color w:val="auto"/>
              </w:rPr>
            </w:pPr>
          </w:p>
        </w:tc>
        <w:tc>
          <w:tcPr>
            <w:tcW w:w="234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4620" w:type="dxa"/>
            <w:vAlign w:val="bottom"/>
            <w:tcBorders>
              <w:bottom w:val="single" w:sz="8" w:color="9A9A9A"/>
            </w:tcBorders>
          </w:tcPr>
          <w:p>
            <w:pPr>
              <w:spacing w:after="0"/>
              <w:rPr>
                <w:sz w:val="7"/>
                <w:szCs w:val="7"/>
                <w:color w:val="auto"/>
              </w:rPr>
            </w:pPr>
          </w:p>
        </w:tc>
        <w:tc>
          <w:tcPr>
            <w:tcW w:w="234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420" w:type="dxa"/>
            <w:vAlign w:val="bottom"/>
            <w:tcBorders>
              <w:bottom w:val="single" w:sz="8" w:color="9A9A9A"/>
            </w:tcBorders>
          </w:tcPr>
          <w:p>
            <w:pPr>
              <w:spacing w:after="0"/>
              <w:rPr>
                <w:sz w:val="7"/>
                <w:szCs w:val="7"/>
                <w:color w:val="auto"/>
              </w:rPr>
            </w:pPr>
          </w:p>
        </w:tc>
        <w:tc>
          <w:tcPr>
            <w:tcW w:w="152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660" w:type="dxa"/>
            <w:vAlign w:val="bottom"/>
            <w:tcBorders>
              <w:bottom w:val="single" w:sz="8" w:color="9A9A9A"/>
            </w:tcBorders>
          </w:tcPr>
          <w:p>
            <w:pPr>
              <w:spacing w:after="0"/>
              <w:rPr>
                <w:sz w:val="7"/>
                <w:szCs w:val="7"/>
                <w:color w:val="auto"/>
              </w:rPr>
            </w:pPr>
          </w:p>
        </w:tc>
        <w:tc>
          <w:tcPr>
            <w:tcW w:w="136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41">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42">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844" w:right="319" w:bottom="1440" w:gutter="0" w:footer="0" w:header="0"/>
        </w:sectPr>
      </w:pPr>
    </w:p>
    <w:bookmarkStart w:id="82" w:name="page83"/>
    <w:bookmarkEnd w:id="82"/>
    <w:p>
      <w:pPr>
        <w:ind w:left="260"/>
        <w:spacing w:after="0"/>
        <w:rPr>
          <w:sz w:val="20"/>
          <w:szCs w:val="20"/>
          <w:color w:val="auto"/>
        </w:rPr>
      </w:pPr>
      <w:r>
        <w:rPr>
          <w:rFonts w:ascii="Times New Roman" w:cs="Times New Roman" w:eastAsia="Times New Roman" w:hAnsi="Times New Roman"/>
          <w:sz w:val="14"/>
          <w:szCs w:val="14"/>
          <w:color w:val="auto"/>
        </w:rPr>
        <w:t>The components of the deferred tax assets and liabilities as of June 30, 2024 and 2023 are as follows (in thousands):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7120" w:type="dxa"/>
            <w:vAlign w:val="bottom"/>
          </w:tcPr>
          <w:p>
            <w:pPr>
              <w:spacing w:after="0"/>
              <w:rPr>
                <w:sz w:val="13"/>
                <w:szCs w:val="13"/>
                <w:color w:val="auto"/>
              </w:rPr>
            </w:pPr>
          </w:p>
        </w:tc>
        <w:tc>
          <w:tcPr>
            <w:tcW w:w="136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gridSpan w:val="3"/>
          </w:tcPr>
          <w:p>
            <w:pPr>
              <w:jc w:val="right"/>
              <w:ind w:right="309"/>
              <w:spacing w:after="0"/>
              <w:rPr>
                <w:sz w:val="20"/>
                <w:szCs w:val="20"/>
                <w:color w:val="auto"/>
              </w:rPr>
            </w:pPr>
            <w:r>
              <w:rPr>
                <w:rFonts w:ascii="Times New Roman" w:cs="Times New Roman" w:eastAsia="Times New Roman" w:hAnsi="Times New Roman"/>
                <w:sz w:val="11"/>
                <w:szCs w:val="11"/>
                <w:b w:val="1"/>
                <w:bCs w:val="1"/>
                <w:color w:val="auto"/>
              </w:rPr>
              <w:t>June 30,</w:t>
            </w:r>
          </w:p>
        </w:tc>
        <w:tc>
          <w:tcPr>
            <w:tcW w:w="1500" w:type="dxa"/>
            <w:vAlign w:val="bottom"/>
            <w:tcBorders>
              <w:bottom w:val="single" w:sz="8" w:color="auto"/>
            </w:tcBorders>
          </w:tcPr>
          <w:p>
            <w:pPr>
              <w:spacing w:after="0"/>
              <w:rPr>
                <w:sz w:val="13"/>
                <w:szCs w:val="13"/>
                <w:color w:val="auto"/>
              </w:rPr>
            </w:pPr>
          </w:p>
        </w:tc>
      </w:tr>
      <w:tr>
        <w:trPr>
          <w:trHeight w:val="154"/>
        </w:trPr>
        <w:tc>
          <w:tcPr>
            <w:tcW w:w="7120" w:type="dxa"/>
            <w:vAlign w:val="bottom"/>
            <w:tcBorders>
              <w:bottom w:val="single" w:sz="8" w:color="CCEEFF"/>
            </w:tcBorders>
          </w:tcPr>
          <w:p>
            <w:pPr>
              <w:spacing w:after="0"/>
              <w:rPr>
                <w:sz w:val="13"/>
                <w:szCs w:val="13"/>
                <w:color w:val="auto"/>
              </w:rPr>
            </w:pPr>
          </w:p>
        </w:tc>
        <w:tc>
          <w:tcPr>
            <w:tcW w:w="136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1"/>
                <w:szCs w:val="11"/>
                <w:b w:val="1"/>
                <w:bCs w:val="1"/>
                <w:color w:val="auto"/>
              </w:rPr>
              <w:t>2024</w:t>
            </w:r>
          </w:p>
        </w:tc>
        <w:tc>
          <w:tcPr>
            <w:tcW w:w="66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1500" w:type="dxa"/>
            <w:vAlign w:val="bottom"/>
            <w:tcBorders>
              <w:bottom w:val="single" w:sz="8" w:color="auto"/>
            </w:tcBorders>
          </w:tcPr>
          <w:p>
            <w:pPr>
              <w:jc w:val="right"/>
              <w:ind w:right="830"/>
              <w:spacing w:after="0"/>
              <w:rPr>
                <w:sz w:val="20"/>
                <w:szCs w:val="20"/>
                <w:color w:val="auto"/>
              </w:rPr>
            </w:pPr>
            <w:r>
              <w:rPr>
                <w:rFonts w:ascii="Times New Roman" w:cs="Times New Roman" w:eastAsia="Times New Roman" w:hAnsi="Times New Roman"/>
                <w:sz w:val="11"/>
                <w:szCs w:val="11"/>
                <w:b w:val="1"/>
                <w:bCs w:val="1"/>
                <w:color w:val="auto"/>
              </w:rPr>
              <w:t>2023</w:t>
            </w:r>
          </w:p>
        </w:tc>
      </w:tr>
      <w:tr>
        <w:trPr>
          <w:trHeight w:val="166"/>
        </w:trPr>
        <w:tc>
          <w:tcPr>
            <w:tcW w:w="7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Deferred tax assets:</w:t>
            </w:r>
          </w:p>
        </w:tc>
        <w:tc>
          <w:tcPr>
            <w:tcW w:w="13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500" w:type="dxa"/>
            <w:vAlign w:val="bottom"/>
            <w:shd w:val="clear" w:color="auto" w:fill="CCEEFF"/>
          </w:tcPr>
          <w:p>
            <w:pPr>
              <w:spacing w:after="0"/>
              <w:rPr>
                <w:sz w:val="14"/>
                <w:szCs w:val="14"/>
                <w:color w:val="auto"/>
              </w:rPr>
            </w:pPr>
          </w:p>
        </w:tc>
      </w:tr>
      <w:tr>
        <w:trPr>
          <w:trHeight w:val="180"/>
        </w:trPr>
        <w:tc>
          <w:tcPr>
            <w:tcW w:w="71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Federal, state, and foreign net operating loss carryovers</w:t>
            </w:r>
          </w:p>
        </w:tc>
        <w:tc>
          <w:tcPr>
            <w:tcW w:w="1360" w:type="dxa"/>
            <w:vAlign w:val="bottom"/>
          </w:tcPr>
          <w:p>
            <w:pPr>
              <w:jc w:val="right"/>
              <w:ind w:right="1212"/>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271</w:t>
            </w:r>
          </w:p>
        </w:tc>
        <w:tc>
          <w:tcPr>
            <w:tcW w:w="100" w:type="dxa"/>
            <w:vAlign w:val="bottom"/>
          </w:tcPr>
          <w:p>
            <w:pPr>
              <w:spacing w:after="0"/>
              <w:rPr>
                <w:sz w:val="15"/>
                <w:szCs w:val="15"/>
                <w:color w:val="auto"/>
              </w:rPr>
            </w:pPr>
          </w:p>
        </w:tc>
        <w:tc>
          <w:tcPr>
            <w:tcW w:w="520" w:type="dxa"/>
            <w:vAlign w:val="bottom"/>
          </w:tcPr>
          <w:p>
            <w:pPr>
              <w:jc w:val="right"/>
              <w:ind w:right="369"/>
              <w:spacing w:after="0"/>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250</w:t>
            </w:r>
          </w:p>
        </w:tc>
      </w:tr>
      <w:tr>
        <w:trPr>
          <w:trHeight w:val="180"/>
        </w:trPr>
        <w:tc>
          <w:tcPr>
            <w:tcW w:w="71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Stock option compensation</w:t>
            </w:r>
          </w:p>
        </w:tc>
        <w:tc>
          <w:tcPr>
            <w:tcW w:w="136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360</w:t>
            </w: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549</w:t>
            </w:r>
          </w:p>
        </w:tc>
      </w:tr>
      <w:tr>
        <w:trPr>
          <w:trHeight w:val="180"/>
        </w:trPr>
        <w:tc>
          <w:tcPr>
            <w:tcW w:w="71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174 costs</w:t>
            </w:r>
          </w:p>
        </w:tc>
        <w:tc>
          <w:tcPr>
            <w:tcW w:w="136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2,578</w:t>
            </w: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955</w:t>
            </w:r>
          </w:p>
        </w:tc>
      </w:tr>
      <w:tr>
        <w:trPr>
          <w:trHeight w:val="180"/>
        </w:trPr>
        <w:tc>
          <w:tcPr>
            <w:tcW w:w="71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Lease liability</w:t>
            </w:r>
          </w:p>
        </w:tc>
        <w:tc>
          <w:tcPr>
            <w:tcW w:w="136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3,223</w:t>
            </w: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3,100</w:t>
            </w:r>
          </w:p>
        </w:tc>
      </w:tr>
      <w:tr>
        <w:trPr>
          <w:trHeight w:val="180"/>
        </w:trPr>
        <w:tc>
          <w:tcPr>
            <w:tcW w:w="7120" w:type="dxa"/>
            <w:vAlign w:val="bottom"/>
            <w:tcBorders>
              <w:bottom w:val="single" w:sz="8" w:color="CCEEFF"/>
            </w:tcBorders>
          </w:tcPr>
          <w:p>
            <w:pPr>
              <w:ind w:left="280"/>
              <w:spacing w:after="0"/>
              <w:rPr>
                <w:sz w:val="20"/>
                <w:szCs w:val="20"/>
                <w:color w:val="auto"/>
              </w:rPr>
            </w:pPr>
            <w:r>
              <w:rPr>
                <w:rFonts w:ascii="Times New Roman" w:cs="Times New Roman" w:eastAsia="Times New Roman" w:hAnsi="Times New Roman"/>
                <w:sz w:val="14"/>
                <w:szCs w:val="14"/>
                <w:color w:val="auto"/>
              </w:rPr>
              <w:t>Accrued vacation, allowance for returns, bonuses &amp; other</w:t>
            </w:r>
          </w:p>
        </w:tc>
        <w:tc>
          <w:tcPr>
            <w:tcW w:w="13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2,119</w:t>
            </w:r>
          </w:p>
        </w:tc>
        <w:tc>
          <w:tcPr>
            <w:tcW w:w="100" w:type="dxa"/>
            <w:vAlign w:val="bottom"/>
            <w:tcBorders>
              <w:bottom w:val="single" w:sz="8" w:color="CCEEFF"/>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3,005</w:t>
            </w:r>
          </w:p>
        </w:tc>
      </w:tr>
      <w:tr>
        <w:trPr>
          <w:trHeight w:val="171"/>
        </w:trPr>
        <w:tc>
          <w:tcPr>
            <w:tcW w:w="71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Gross deferred tax asset</w:t>
            </w:r>
          </w:p>
        </w:tc>
        <w:tc>
          <w:tcPr>
            <w:tcW w:w="1360" w:type="dxa"/>
            <w:vAlign w:val="bottom"/>
            <w:shd w:val="clear" w:color="auto" w:fill="CCEEFF"/>
          </w:tcPr>
          <w:p>
            <w:pPr>
              <w:jc w:val="right"/>
              <w:ind w:right="1212"/>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8,551</w:t>
            </w: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jc w:val="right"/>
              <w:ind w:right="369"/>
              <w:spacing w:after="0"/>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7,859</w:t>
            </w:r>
          </w:p>
        </w:tc>
      </w:tr>
      <w:tr>
        <w:trPr>
          <w:trHeight w:val="202"/>
        </w:trPr>
        <w:tc>
          <w:tcPr>
            <w:tcW w:w="7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500" w:type="dxa"/>
            <w:vAlign w:val="bottom"/>
          </w:tcPr>
          <w:p>
            <w:pPr>
              <w:spacing w:after="0"/>
              <w:rPr>
                <w:sz w:val="17"/>
                <w:szCs w:val="17"/>
                <w:color w:val="auto"/>
              </w:rPr>
            </w:pPr>
          </w:p>
        </w:tc>
      </w:tr>
      <w:tr>
        <w:trPr>
          <w:trHeight w:val="180"/>
        </w:trPr>
        <w:tc>
          <w:tcPr>
            <w:tcW w:w="7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Deferred tax liabilities:</w:t>
            </w:r>
          </w:p>
        </w:tc>
        <w:tc>
          <w:tcPr>
            <w:tcW w:w="13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r>
      <w:tr>
        <w:trPr>
          <w:trHeight w:val="180"/>
        </w:trPr>
        <w:tc>
          <w:tcPr>
            <w:tcW w:w="71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Patents and trademarks</w:t>
            </w:r>
          </w:p>
        </w:tc>
        <w:tc>
          <w:tcPr>
            <w:tcW w:w="1360" w:type="dxa"/>
            <w:vAlign w:val="bottom"/>
          </w:tcPr>
          <w:p>
            <w:pPr>
              <w:jc w:val="right"/>
              <w:ind w:right="1212"/>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100" w:type="dxa"/>
            <w:vAlign w:val="bottom"/>
          </w:tcPr>
          <w:p>
            <w:pPr>
              <w:spacing w:after="0"/>
              <w:rPr>
                <w:sz w:val="15"/>
                <w:szCs w:val="15"/>
                <w:color w:val="auto"/>
              </w:rPr>
            </w:pPr>
          </w:p>
        </w:tc>
        <w:tc>
          <w:tcPr>
            <w:tcW w:w="520" w:type="dxa"/>
            <w:vAlign w:val="bottom"/>
          </w:tcPr>
          <w:p>
            <w:pPr>
              <w:jc w:val="right"/>
              <w:ind w:right="369"/>
              <w:spacing w:after="0"/>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w:t>
            </w:r>
          </w:p>
        </w:tc>
      </w:tr>
      <w:tr>
        <w:trPr>
          <w:trHeight w:val="180"/>
        </w:trPr>
        <w:tc>
          <w:tcPr>
            <w:tcW w:w="71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Property &amp; equipment</w:t>
            </w:r>
          </w:p>
        </w:tc>
        <w:tc>
          <w:tcPr>
            <w:tcW w:w="136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(798)</w:t>
            </w: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(1,571)</w:t>
            </w:r>
          </w:p>
        </w:tc>
      </w:tr>
      <w:tr>
        <w:trPr>
          <w:trHeight w:val="180"/>
        </w:trPr>
        <w:tc>
          <w:tcPr>
            <w:tcW w:w="71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Right of use asset</w:t>
            </w:r>
          </w:p>
        </w:tc>
        <w:tc>
          <w:tcPr>
            <w:tcW w:w="136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(2,263)</w:t>
            </w: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(2,057)</w:t>
            </w:r>
          </w:p>
        </w:tc>
      </w:tr>
      <w:tr>
        <w:trPr>
          <w:trHeight w:val="180"/>
        </w:trPr>
        <w:tc>
          <w:tcPr>
            <w:tcW w:w="71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Other</w:t>
            </w:r>
          </w:p>
        </w:tc>
        <w:tc>
          <w:tcPr>
            <w:tcW w:w="1360" w:type="dxa"/>
            <w:vAlign w:val="bottom"/>
            <w:tcBorders>
              <w:bottom w:val="single" w:sz="8" w:color="auto"/>
            </w:tcBorders>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(472)</w:t>
            </w:r>
          </w:p>
        </w:tc>
        <w:tc>
          <w:tcPr>
            <w:tcW w:w="100" w:type="dxa"/>
            <w:vAlign w:val="bottom"/>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spacing w:after="0"/>
              <w:rPr>
                <w:sz w:val="15"/>
                <w:szCs w:val="15"/>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(470)</w:t>
            </w:r>
          </w:p>
        </w:tc>
      </w:tr>
      <w:tr>
        <w:trPr>
          <w:trHeight w:val="171"/>
        </w:trPr>
        <w:tc>
          <w:tcPr>
            <w:tcW w:w="7120" w:type="dxa"/>
            <w:vAlign w:val="bottom"/>
            <w:tcBorders>
              <w:bottom w:val="single" w:sz="8" w:color="CCEEFF"/>
            </w:tcBorders>
          </w:tcPr>
          <w:p>
            <w:pPr>
              <w:ind w:left="440"/>
              <w:spacing w:after="0"/>
              <w:rPr>
                <w:sz w:val="20"/>
                <w:szCs w:val="20"/>
                <w:color w:val="auto"/>
              </w:rPr>
            </w:pPr>
            <w:r>
              <w:rPr>
                <w:rFonts w:ascii="Times New Roman" w:cs="Times New Roman" w:eastAsia="Times New Roman" w:hAnsi="Times New Roman"/>
                <w:sz w:val="14"/>
                <w:szCs w:val="14"/>
                <w:color w:val="auto"/>
              </w:rPr>
              <w:t>Gross deferred tax liabilities</w:t>
            </w:r>
          </w:p>
        </w:tc>
        <w:tc>
          <w:tcPr>
            <w:tcW w:w="13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(3,563)</w:t>
            </w:r>
          </w:p>
        </w:tc>
        <w:tc>
          <w:tcPr>
            <w:tcW w:w="100" w:type="dxa"/>
            <w:vAlign w:val="bottom"/>
            <w:tcBorders>
              <w:bottom w:val="single" w:sz="8" w:color="CCEEFF"/>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(4,164)</w:t>
            </w:r>
          </w:p>
        </w:tc>
      </w:tr>
      <w:tr>
        <w:trPr>
          <w:trHeight w:val="171"/>
        </w:trPr>
        <w:tc>
          <w:tcPr>
            <w:tcW w:w="7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Less: valuation allowance</w:t>
            </w:r>
          </w:p>
        </w:tc>
        <w:tc>
          <w:tcPr>
            <w:tcW w:w="1360" w:type="dxa"/>
            <w:vAlign w:val="bottom"/>
            <w:tcBorders>
              <w:bottom w:val="single" w:sz="8" w:color="auto"/>
            </w:tcBorders>
            <w:shd w:val="clear" w:color="auto" w:fill="CCEEFF"/>
          </w:tcPr>
          <w:p>
            <w:pPr>
              <w:spacing w:after="0"/>
              <w:rPr>
                <w:sz w:val="14"/>
                <w:szCs w:val="14"/>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(720)</w:t>
            </w:r>
          </w:p>
        </w:tc>
        <w:tc>
          <w:tcPr>
            <w:tcW w:w="100" w:type="dxa"/>
            <w:vAlign w:val="bottom"/>
            <w:shd w:val="clear" w:color="auto" w:fill="CCEEFF"/>
          </w:tcPr>
          <w:p>
            <w:pPr>
              <w:spacing w:after="0"/>
              <w:rPr>
                <w:sz w:val="14"/>
                <w:szCs w:val="14"/>
                <w:color w:val="auto"/>
              </w:rPr>
            </w:pPr>
          </w:p>
        </w:tc>
        <w:tc>
          <w:tcPr>
            <w:tcW w:w="520" w:type="dxa"/>
            <w:vAlign w:val="bottom"/>
            <w:tcBorders>
              <w:bottom w:val="single" w:sz="8" w:color="auto"/>
            </w:tcBorders>
            <w:shd w:val="clear" w:color="auto" w:fill="CCEEFF"/>
          </w:tcPr>
          <w:p>
            <w:pPr>
              <w:spacing w:after="0"/>
              <w:rPr>
                <w:sz w:val="14"/>
                <w:szCs w:val="14"/>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(704)</w:t>
            </w:r>
          </w:p>
        </w:tc>
      </w:tr>
      <w:tr>
        <w:trPr>
          <w:trHeight w:val="171"/>
        </w:trPr>
        <w:tc>
          <w:tcPr>
            <w:tcW w:w="7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Deferred tax assets, net</w:t>
            </w:r>
          </w:p>
        </w:tc>
        <w:tc>
          <w:tcPr>
            <w:tcW w:w="1360" w:type="dxa"/>
            <w:vAlign w:val="bottom"/>
            <w:tcBorders>
              <w:bottom w:val="single" w:sz="8" w:color="auto"/>
            </w:tcBorders>
          </w:tcPr>
          <w:p>
            <w:pPr>
              <w:jc w:val="right"/>
              <w:ind w:right="1212"/>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4,268</w:t>
            </w:r>
          </w:p>
        </w:tc>
        <w:tc>
          <w:tcPr>
            <w:tcW w:w="100" w:type="dxa"/>
            <w:vAlign w:val="bottom"/>
          </w:tcPr>
          <w:p>
            <w:pPr>
              <w:spacing w:after="0"/>
              <w:rPr>
                <w:sz w:val="14"/>
                <w:szCs w:val="14"/>
                <w:color w:val="auto"/>
              </w:rPr>
            </w:pPr>
          </w:p>
        </w:tc>
        <w:tc>
          <w:tcPr>
            <w:tcW w:w="520" w:type="dxa"/>
            <w:vAlign w:val="bottom"/>
            <w:tcBorders>
              <w:bottom w:val="single" w:sz="8" w:color="auto"/>
            </w:tcBorders>
          </w:tcPr>
          <w:p>
            <w:pPr>
              <w:jc w:val="right"/>
              <w:ind w:right="369"/>
              <w:spacing w:after="0"/>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2,991</w:t>
            </w:r>
          </w:p>
        </w:tc>
      </w:tr>
      <w:tr>
        <w:trPr>
          <w:trHeight w:val="20"/>
        </w:trPr>
        <w:tc>
          <w:tcPr>
            <w:tcW w:w="71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166" w:lineRule="exact"/>
        <w:rPr>
          <w:sz w:val="20"/>
          <w:szCs w:val="20"/>
          <w:color w:val="auto"/>
        </w:rPr>
      </w:pPr>
    </w:p>
    <w:p>
      <w:pPr>
        <w:ind w:right="60" w:firstLine="255"/>
        <w:spacing w:after="0" w:line="287" w:lineRule="auto"/>
        <w:rPr>
          <w:sz w:val="20"/>
          <w:szCs w:val="20"/>
          <w:color w:val="auto"/>
        </w:rPr>
      </w:pPr>
      <w:r>
        <w:rPr>
          <w:rFonts w:ascii="Times New Roman" w:cs="Times New Roman" w:eastAsia="Times New Roman" w:hAnsi="Times New Roman"/>
          <w:sz w:val="14"/>
          <w:szCs w:val="14"/>
          <w:color w:val="auto"/>
        </w:rPr>
        <w:t>The Company has adopted accounting guidance for uncertain tax positions ("UTPs") which provides that in order to recognize an uncertain tax benefit, the taxpayer must be more likely than not of sustaining the position. The measurement of the benefit is calculated as the largest amount that is more than 50% likely to be realized upon recognition of the benefit.</w:t>
      </w:r>
    </w:p>
    <w:p>
      <w:pPr>
        <w:spacing w:after="0" w:line="71" w:lineRule="exact"/>
        <w:rPr>
          <w:sz w:val="20"/>
          <w:szCs w:val="20"/>
          <w:color w:val="auto"/>
        </w:rPr>
      </w:pPr>
    </w:p>
    <w:p>
      <w:pPr>
        <w:ind w:firstLine="255"/>
        <w:spacing w:after="0" w:line="261" w:lineRule="auto"/>
        <w:rPr>
          <w:sz w:val="20"/>
          <w:szCs w:val="20"/>
          <w:color w:val="auto"/>
        </w:rPr>
      </w:pPr>
      <w:r>
        <w:rPr>
          <w:rFonts w:ascii="Times New Roman" w:cs="Times New Roman" w:eastAsia="Times New Roman" w:hAnsi="Times New Roman"/>
          <w:sz w:val="14"/>
          <w:szCs w:val="14"/>
          <w:color w:val="auto"/>
        </w:rPr>
        <w:t>In the fiscal year ending June 30, 2024, the Company began recording a withholding tax obligation on its rebalanced commission payments to the U.S. parent company it has not obtained treaty rates for. The Company does not believe it will obtain treaty rates, but will also not be able to take a foreign tax credit at this time. Since the Company believes it is unlikely to receive treaty benefits, it has recorded the taxes, the foreign tax credit on those taxes, and a corresponding UTP against the foreign tax credit. The UTP totaling $0.1 million was recorded against the foreign tax credit as of June 30, 2024. If the Company is successful with its treaty benefit application or receives an opinion through appeals, competent authority, etc., it will remove the UTP at that time. The UTP recorded is the foreign taxes that will not be credited, but reduced by the benefit the Company will receive from deducting the taxes.</w:t>
      </w:r>
    </w:p>
    <w:p>
      <w:pPr>
        <w:spacing w:after="0" w:line="90" w:lineRule="exact"/>
        <w:rPr>
          <w:sz w:val="20"/>
          <w:szCs w:val="20"/>
          <w:color w:val="auto"/>
        </w:rPr>
      </w:pPr>
    </w:p>
    <w:p>
      <w:pPr>
        <w:ind w:firstLine="255"/>
        <w:spacing w:after="0" w:line="270" w:lineRule="auto"/>
        <w:rPr>
          <w:sz w:val="20"/>
          <w:szCs w:val="20"/>
          <w:color w:val="auto"/>
        </w:rPr>
      </w:pPr>
      <w:r>
        <w:rPr>
          <w:rFonts w:ascii="Times New Roman" w:cs="Times New Roman" w:eastAsia="Times New Roman" w:hAnsi="Times New Roman"/>
          <w:sz w:val="14"/>
          <w:szCs w:val="14"/>
          <w:color w:val="auto"/>
        </w:rPr>
        <w:t>The Company is also currently undergoing income tax audits in foreign jurisdictions. For the fiscal year ending June 30, 2024, the Company accrued a total $0.3 million related to foreign income tax audits. At this time, the Company believes this amount reflects the amount that is has more than 50% likelihood to be paid upon settlement including interest and penalties. The Company will continue to evaluate as the audits progress.</w:t>
      </w:r>
    </w:p>
    <w:p>
      <w:pPr>
        <w:spacing w:after="0" w:line="72" w:lineRule="exact"/>
        <w:rPr>
          <w:sz w:val="20"/>
          <w:szCs w:val="20"/>
          <w:color w:val="auto"/>
        </w:rPr>
      </w:pPr>
    </w:p>
    <w:p>
      <w:pPr>
        <w:ind w:right="60" w:firstLine="255"/>
        <w:spacing w:after="0" w:line="287" w:lineRule="auto"/>
        <w:rPr>
          <w:sz w:val="20"/>
          <w:szCs w:val="20"/>
          <w:color w:val="auto"/>
        </w:rPr>
      </w:pPr>
      <w:r>
        <w:rPr>
          <w:rFonts w:ascii="Times New Roman" w:cs="Times New Roman" w:eastAsia="Times New Roman" w:hAnsi="Times New Roman"/>
          <w:sz w:val="14"/>
          <w:szCs w:val="14"/>
          <w:color w:val="auto"/>
        </w:rPr>
        <w:t>The Company has reserved $0.4 million for taxes related to the UTPs as of June 30, 2024. There were no changes to the liability for UTPs for the fiscal year ended June 30, 2023. There were no unrecognized tax benefits for the fiscal years ended June 30, 2024 and 2023.</w:t>
      </w:r>
    </w:p>
    <w:p>
      <w:pPr>
        <w:spacing w:after="0" w:line="71" w:lineRule="exact"/>
        <w:rPr>
          <w:sz w:val="20"/>
          <w:szCs w:val="20"/>
          <w:color w:val="auto"/>
        </w:rPr>
      </w:pPr>
    </w:p>
    <w:p>
      <w:pPr>
        <w:ind w:right="500" w:firstLine="255"/>
        <w:spacing w:after="0" w:line="287" w:lineRule="auto"/>
        <w:rPr>
          <w:sz w:val="20"/>
          <w:szCs w:val="20"/>
          <w:color w:val="auto"/>
        </w:rPr>
      </w:pPr>
      <w:r>
        <w:rPr>
          <w:rFonts w:ascii="Times New Roman" w:cs="Times New Roman" w:eastAsia="Times New Roman" w:hAnsi="Times New Roman"/>
          <w:sz w:val="14"/>
          <w:szCs w:val="14"/>
          <w:color w:val="auto"/>
        </w:rPr>
        <w:t>During fiscal 2022, the Company removed its permanent reinvestment assertion in Japan. In fiscal 2024, the Company also removed its permanent reinvestment assertions in Taiwan and Australia and recorded the tax effects of that change.</w:t>
      </w:r>
    </w:p>
    <w:p>
      <w:pPr>
        <w:spacing w:after="0" w:line="71" w:lineRule="exact"/>
        <w:rPr>
          <w:sz w:val="20"/>
          <w:szCs w:val="20"/>
          <w:color w:val="auto"/>
        </w:rPr>
      </w:pPr>
    </w:p>
    <w:p>
      <w:pPr>
        <w:ind w:right="260" w:firstLine="255"/>
        <w:spacing w:after="0" w:line="287" w:lineRule="auto"/>
        <w:rPr>
          <w:sz w:val="20"/>
          <w:szCs w:val="20"/>
          <w:color w:val="auto"/>
        </w:rPr>
      </w:pPr>
      <w:r>
        <w:rPr>
          <w:rFonts w:ascii="Times New Roman" w:cs="Times New Roman" w:eastAsia="Times New Roman" w:hAnsi="Times New Roman"/>
          <w:sz w:val="14"/>
          <w:szCs w:val="14"/>
          <w:color w:val="auto"/>
        </w:rPr>
        <w:t>For Taiwan, the Company recorded provisions for withholding tax that it will pay to Taiwan upon payment of dividends. The Company did not record any unborn foreign tax credit related to Taiwan withholding tax. The Company believes any withholding tax paid on dividends will be ineligible for a foreign tax credit.</w:t>
      </w:r>
    </w:p>
    <w:p>
      <w:pPr>
        <w:spacing w:after="0" w:line="61" w:lineRule="exact"/>
        <w:rPr>
          <w:sz w:val="20"/>
          <w:szCs w:val="20"/>
          <w:color w:val="auto"/>
        </w:rPr>
      </w:pPr>
    </w:p>
    <w:p>
      <w:pPr>
        <w:ind w:right="80" w:firstLine="255"/>
        <w:spacing w:after="0" w:line="287" w:lineRule="auto"/>
        <w:rPr>
          <w:sz w:val="20"/>
          <w:szCs w:val="20"/>
          <w:color w:val="auto"/>
        </w:rPr>
      </w:pPr>
      <w:r>
        <w:rPr>
          <w:rFonts w:ascii="Times New Roman" w:cs="Times New Roman" w:eastAsia="Times New Roman" w:hAnsi="Times New Roman"/>
          <w:sz w:val="14"/>
          <w:szCs w:val="14"/>
          <w:color w:val="auto"/>
        </w:rPr>
        <w:t>The Company did not record any withholding tax to Australia upon the payment of dividends. There is a 15% withholding rate on unfranked dividends between Australia and Singapore, but the Company does not anticipate paying any unfranked dividends, so it has not recorded any withholding tax to Australia.</w:t>
      </w:r>
    </w:p>
    <w:p>
      <w:pPr>
        <w:spacing w:after="0" w:line="71" w:lineRule="exact"/>
        <w:rPr>
          <w:sz w:val="20"/>
          <w:szCs w:val="20"/>
          <w:color w:val="auto"/>
        </w:rPr>
      </w:pPr>
    </w:p>
    <w:p>
      <w:pPr>
        <w:ind w:right="40" w:firstLine="255"/>
        <w:spacing w:after="0" w:line="287" w:lineRule="auto"/>
        <w:rPr>
          <w:sz w:val="20"/>
          <w:szCs w:val="20"/>
          <w:color w:val="auto"/>
        </w:rPr>
      </w:pPr>
      <w:r>
        <w:rPr>
          <w:rFonts w:ascii="Times New Roman" w:cs="Times New Roman" w:eastAsia="Times New Roman" w:hAnsi="Times New Roman"/>
          <w:sz w:val="14"/>
          <w:szCs w:val="14"/>
          <w:color w:val="auto"/>
        </w:rPr>
        <w:t>The Company has also recorded income taxes to various states when the cash is repatriated from Taiwan and Australia. The Company did not record any federal income tax implications because any withholding tax on dividends will be ineligible for a foreign tax credit.</w:t>
      </w:r>
    </w:p>
    <w:p>
      <w:pPr>
        <w:spacing w:after="0" w:line="200" w:lineRule="exact"/>
        <w:rPr>
          <w:sz w:val="20"/>
          <w:szCs w:val="20"/>
          <w:color w:val="auto"/>
        </w:rPr>
      </w:pPr>
    </w:p>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4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846" w:right="339" w:bottom="1440" w:gutter="0" w:footer="0" w:header="0"/>
        </w:sectPr>
      </w:pPr>
    </w:p>
    <w:bookmarkStart w:id="83" w:name="page84"/>
    <w:bookmarkEnd w:id="83"/>
    <w:p>
      <w:pPr>
        <w:ind w:right="100" w:firstLine="255"/>
        <w:spacing w:after="0" w:line="287" w:lineRule="auto"/>
        <w:rPr>
          <w:sz w:val="20"/>
          <w:szCs w:val="20"/>
          <w:color w:val="auto"/>
        </w:rPr>
      </w:pPr>
      <w:r>
        <w:rPr>
          <w:rFonts w:ascii="Times New Roman" w:cs="Times New Roman" w:eastAsia="Times New Roman" w:hAnsi="Times New Roman"/>
          <w:sz w:val="14"/>
          <w:szCs w:val="14"/>
          <w:color w:val="auto"/>
        </w:rPr>
        <w:t>The tax years open for examination by the Internal Revenue Service (“IRS”) include returns for fiscal years June 30, 2021 through present and the open tax years by state tax authorities include returns for fiscal years June 30, 2020 through present. In addition, the IRS and state tax authorities may examine net operating losses ("NOLs") for any previous years if utilized by the Company.</w:t>
      </w:r>
    </w:p>
    <w:p>
      <w:pPr>
        <w:spacing w:after="0" w:line="6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change in the valuation allowance were as follows (in thousands):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7120" w:type="dxa"/>
            <w:vAlign w:val="bottom"/>
          </w:tcPr>
          <w:p>
            <w:pPr>
              <w:spacing w:after="0"/>
              <w:rPr>
                <w:sz w:val="13"/>
                <w:szCs w:val="13"/>
                <w:color w:val="auto"/>
              </w:rPr>
            </w:pPr>
          </w:p>
        </w:tc>
        <w:tc>
          <w:tcPr>
            <w:tcW w:w="134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gridSpan w:val="3"/>
          </w:tcPr>
          <w:p>
            <w:pPr>
              <w:jc w:val="right"/>
              <w:ind w:right="149"/>
              <w:spacing w:after="0"/>
              <w:rPr>
                <w:sz w:val="20"/>
                <w:szCs w:val="20"/>
                <w:color w:val="auto"/>
              </w:rPr>
            </w:pPr>
            <w:r>
              <w:rPr>
                <w:rFonts w:ascii="Times New Roman" w:cs="Times New Roman" w:eastAsia="Times New Roman" w:hAnsi="Times New Roman"/>
                <w:sz w:val="11"/>
                <w:szCs w:val="11"/>
                <w:b w:val="1"/>
                <w:bCs w:val="1"/>
                <w:color w:val="auto"/>
              </w:rPr>
              <w:t>Years ended June 30,</w:t>
            </w:r>
          </w:p>
        </w:tc>
        <w:tc>
          <w:tcPr>
            <w:tcW w:w="1340" w:type="dxa"/>
            <w:vAlign w:val="bottom"/>
            <w:tcBorders>
              <w:bottom w:val="single" w:sz="8" w:color="auto"/>
            </w:tcBorders>
          </w:tcPr>
          <w:p>
            <w:pPr>
              <w:spacing w:after="0"/>
              <w:rPr>
                <w:sz w:val="13"/>
                <w:szCs w:val="13"/>
                <w:color w:val="auto"/>
              </w:rPr>
            </w:pPr>
          </w:p>
        </w:tc>
      </w:tr>
      <w:tr>
        <w:trPr>
          <w:trHeight w:val="154"/>
        </w:trPr>
        <w:tc>
          <w:tcPr>
            <w:tcW w:w="7120" w:type="dxa"/>
            <w:vAlign w:val="bottom"/>
            <w:tcBorders>
              <w:bottom w:val="single" w:sz="8" w:color="CCEEFF"/>
            </w:tcBorders>
          </w:tcPr>
          <w:p>
            <w:pPr>
              <w:spacing w:after="0"/>
              <w:rPr>
                <w:sz w:val="13"/>
                <w:szCs w:val="13"/>
                <w:color w:val="auto"/>
              </w:rPr>
            </w:pPr>
          </w:p>
        </w:tc>
        <w:tc>
          <w:tcPr>
            <w:tcW w:w="134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1"/>
                <w:szCs w:val="11"/>
                <w:b w:val="1"/>
                <w:bCs w:val="1"/>
                <w:color w:val="auto"/>
              </w:rPr>
              <w:t>2023</w:t>
            </w:r>
          </w:p>
        </w:tc>
        <w:tc>
          <w:tcPr>
            <w:tcW w:w="68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jc w:val="right"/>
              <w:ind w:right="833"/>
              <w:spacing w:after="0"/>
              <w:rPr>
                <w:sz w:val="20"/>
                <w:szCs w:val="20"/>
                <w:color w:val="auto"/>
              </w:rPr>
            </w:pPr>
            <w:r>
              <w:rPr>
                <w:rFonts w:ascii="Times New Roman" w:cs="Times New Roman" w:eastAsia="Times New Roman" w:hAnsi="Times New Roman"/>
                <w:sz w:val="11"/>
                <w:szCs w:val="11"/>
                <w:b w:val="1"/>
                <w:bCs w:val="1"/>
                <w:color w:val="auto"/>
              </w:rPr>
              <w:t>2022</w:t>
            </w:r>
          </w:p>
        </w:tc>
      </w:tr>
      <w:tr>
        <w:trPr>
          <w:trHeight w:val="176"/>
        </w:trPr>
        <w:tc>
          <w:tcPr>
            <w:tcW w:w="7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Beginning balance</w:t>
            </w:r>
          </w:p>
        </w:tc>
        <w:tc>
          <w:tcPr>
            <w:tcW w:w="1340" w:type="dxa"/>
            <w:vAlign w:val="bottom"/>
            <w:shd w:val="clear" w:color="auto" w:fill="CCEEFF"/>
          </w:tcPr>
          <w:p>
            <w:pPr>
              <w:jc w:val="right"/>
              <w:ind w:right="1194"/>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704</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jc w:val="right"/>
              <w:ind w:right="529"/>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675</w:t>
            </w:r>
          </w:p>
        </w:tc>
      </w:tr>
      <w:tr>
        <w:trPr>
          <w:trHeight w:val="180"/>
        </w:trPr>
        <w:tc>
          <w:tcPr>
            <w:tcW w:w="7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Increases</w:t>
            </w:r>
          </w:p>
        </w:tc>
        <w:tc>
          <w:tcPr>
            <w:tcW w:w="134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100" w:type="dxa"/>
            <w:vAlign w:val="bottom"/>
            <w:tcBorders>
              <w:bottom w:val="single" w:sz="8" w:color="CCEEFF"/>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w:t>
            </w:r>
          </w:p>
        </w:tc>
      </w:tr>
      <w:tr>
        <w:trPr>
          <w:trHeight w:val="196"/>
        </w:trPr>
        <w:tc>
          <w:tcPr>
            <w:tcW w:w="7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Ending balance</w:t>
            </w:r>
          </w:p>
        </w:tc>
        <w:tc>
          <w:tcPr>
            <w:tcW w:w="1340" w:type="dxa"/>
            <w:vAlign w:val="bottom"/>
            <w:tcBorders>
              <w:bottom w:val="single" w:sz="8" w:color="auto"/>
            </w:tcBorders>
            <w:shd w:val="clear" w:color="auto" w:fill="CCEEFF"/>
          </w:tcPr>
          <w:p>
            <w:pPr>
              <w:jc w:val="right"/>
              <w:ind w:right="1194"/>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720</w:t>
            </w:r>
          </w:p>
        </w:tc>
        <w:tc>
          <w:tcPr>
            <w:tcW w:w="10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auto"/>
            </w:tcBorders>
            <w:shd w:val="clear" w:color="auto" w:fill="CCEEFF"/>
          </w:tcPr>
          <w:p>
            <w:pPr>
              <w:jc w:val="right"/>
              <w:ind w:right="529"/>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704</w:t>
            </w:r>
          </w:p>
        </w:tc>
      </w:tr>
      <w:tr>
        <w:trPr>
          <w:trHeight w:val="20"/>
        </w:trPr>
        <w:tc>
          <w:tcPr>
            <w:tcW w:w="712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166" w:lineRule="exact"/>
        <w:rPr>
          <w:sz w:val="20"/>
          <w:szCs w:val="20"/>
          <w:color w:val="auto"/>
        </w:rPr>
      </w:pPr>
    </w:p>
    <w:p>
      <w:pPr>
        <w:ind w:right="180" w:firstLine="255"/>
        <w:spacing w:after="0" w:line="270" w:lineRule="auto"/>
        <w:rPr>
          <w:sz w:val="20"/>
          <w:szCs w:val="20"/>
          <w:color w:val="auto"/>
        </w:rPr>
      </w:pPr>
      <w:r>
        <w:rPr>
          <w:rFonts w:ascii="Times New Roman" w:cs="Times New Roman" w:eastAsia="Times New Roman" w:hAnsi="Times New Roman"/>
          <w:sz w:val="14"/>
          <w:szCs w:val="14"/>
          <w:color w:val="auto"/>
        </w:rPr>
        <w:t>The change in valuation allowance during the fiscal year ended June 30, 2024 related to current year income in entities with a full valuation allowance along with a change to the United States valuation allowance based on the Company converting from a blended rate to a state-by-state provision. During the fiscal year ended June 30, 2023, the change in valuation allowance related to current year income in entities with a full valuation allowance along with a change to the United States valuation allowance based on updated projections and changes to the blended rate.</w:t>
      </w:r>
    </w:p>
    <w:p>
      <w:pPr>
        <w:spacing w:after="0" w:line="8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As of June 30, 2024, the Company had utilized all of its Federal NOL carry-forwards. As of June 30, 2024, state NOLs were $5.6 million and foreign NOLs were $0.4 million.</w:t>
      </w:r>
    </w:p>
    <w:p>
      <w:pPr>
        <w:spacing w:after="0" w:line="12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total recognized tax benefit from settlement of stock-based awards for the fiscal years ending June 30, 2024 and 2023, was $0.2 million and $0.2 million, respectively.</w:t>
      </w:r>
    </w:p>
    <w:p>
      <w:pPr>
        <w:spacing w:after="0" w:line="115" w:lineRule="exact"/>
        <w:rPr>
          <w:sz w:val="20"/>
          <w:szCs w:val="20"/>
          <w:color w:val="auto"/>
        </w:rPr>
      </w:pPr>
    </w:p>
    <w:p>
      <w:pPr>
        <w:ind w:right="140" w:firstLine="255"/>
        <w:spacing w:after="0" w:line="287" w:lineRule="auto"/>
        <w:rPr>
          <w:sz w:val="20"/>
          <w:szCs w:val="20"/>
          <w:color w:val="auto"/>
        </w:rPr>
      </w:pPr>
      <w:r>
        <w:rPr>
          <w:rFonts w:ascii="Times New Roman" w:cs="Times New Roman" w:eastAsia="Times New Roman" w:hAnsi="Times New Roman"/>
          <w:sz w:val="14"/>
          <w:szCs w:val="14"/>
          <w:color w:val="auto"/>
        </w:rPr>
        <w:t>The Company conducts its business globally. As a result, the Company and its subsidiaries file income tax returns in the U.S. federal jurisdiction and various state and foreign jurisdictions, and are subject to examination for the open tax years of June 30, 2020 through June 30, 2024.</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12 — Leases</w:t>
      </w:r>
    </w:p>
    <w:p>
      <w:pPr>
        <w:spacing w:after="0" w:line="127" w:lineRule="exact"/>
        <w:rPr>
          <w:sz w:val="20"/>
          <w:szCs w:val="20"/>
          <w:color w:val="auto"/>
        </w:rPr>
      </w:pPr>
    </w:p>
    <w:p>
      <w:pPr>
        <w:ind w:right="20" w:firstLine="255"/>
        <w:spacing w:after="0" w:line="270" w:lineRule="auto"/>
        <w:rPr>
          <w:sz w:val="20"/>
          <w:szCs w:val="20"/>
          <w:color w:val="auto"/>
        </w:rPr>
      </w:pPr>
      <w:r>
        <w:rPr>
          <w:rFonts w:ascii="Times New Roman" w:cs="Times New Roman" w:eastAsia="Times New Roman" w:hAnsi="Times New Roman"/>
          <w:sz w:val="14"/>
          <w:szCs w:val="14"/>
          <w:color w:val="auto"/>
        </w:rPr>
        <w:t>The Company has operating leases for current corporate offices and certain equipment. These leases have remaining terms of approximately one to eight years. As of June 30, 2024, the weighted average remaining lease term and weighted average discount rate for operating leases was 6.90 years and 3.46%, respectively. As of June 30, 2023, the weighted average remaining lease term and weighted average discount rate for operating leases was 8.27 years and 3.25%, respectively.</w:t>
      </w:r>
    </w:p>
    <w:p>
      <w:pPr>
        <w:spacing w:after="0" w:line="72" w:lineRule="exact"/>
        <w:rPr>
          <w:sz w:val="20"/>
          <w:szCs w:val="20"/>
          <w:color w:val="auto"/>
        </w:rPr>
      </w:pPr>
    </w:p>
    <w:p>
      <w:pPr>
        <w:ind w:right="60" w:firstLine="255"/>
        <w:spacing w:after="0" w:line="270" w:lineRule="auto"/>
        <w:rPr>
          <w:sz w:val="20"/>
          <w:szCs w:val="20"/>
          <w:color w:val="auto"/>
        </w:rPr>
      </w:pPr>
      <w:r>
        <w:rPr>
          <w:rFonts w:ascii="Times New Roman" w:cs="Times New Roman" w:eastAsia="Times New Roman" w:hAnsi="Times New Roman"/>
          <w:sz w:val="14"/>
          <w:szCs w:val="14"/>
          <w:color w:val="auto"/>
        </w:rPr>
        <w:t>In July 2023, LifeVantage Japan entered into an operating lease agreement with Sumitomo Mitsui Trust Bank, Limited, for a new office located in the Shinagawa Grand Central Tower in Tokyo, Japan. The lease is for approximately 5,200 square feet and has a lease term from July 1, 2023 through June 30, 2026 with the option to renew for an additional two years. Lease payments began in November 2023 totaling approximately $28,000 per month, or $0.3 million per year.</w:t>
      </w:r>
    </w:p>
    <w:p>
      <w:pPr>
        <w:spacing w:after="0" w:line="83" w:lineRule="exact"/>
        <w:rPr>
          <w:sz w:val="20"/>
          <w:szCs w:val="20"/>
          <w:color w:val="auto"/>
        </w:rPr>
      </w:pPr>
    </w:p>
    <w:p>
      <w:pPr>
        <w:ind w:right="60" w:firstLine="255"/>
        <w:spacing w:after="0" w:line="287" w:lineRule="auto"/>
        <w:rPr>
          <w:sz w:val="20"/>
          <w:szCs w:val="20"/>
          <w:color w:val="auto"/>
        </w:rPr>
      </w:pPr>
      <w:r>
        <w:rPr>
          <w:rFonts w:ascii="Times New Roman" w:cs="Times New Roman" w:eastAsia="Times New Roman" w:hAnsi="Times New Roman"/>
          <w:sz w:val="14"/>
          <w:szCs w:val="14"/>
          <w:color w:val="auto"/>
        </w:rPr>
        <w:t>During the fiscal year ended June 30, 2024, the Company also entered into new operating leases with previous lessors in Thailand and Taiwan and extended the operating lease Philippines. Each of these leases have a lease term of three years, expiring in fiscal year 2027.</w:t>
      </w:r>
    </w:p>
    <w:p>
      <w:pPr>
        <w:spacing w:after="0" w:line="7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components of lease expense for the fiscal years ended June 30, 2024 and 2023, were as follows: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7120" w:type="dxa"/>
            <w:vAlign w:val="bottom"/>
          </w:tcPr>
          <w:p>
            <w:pPr>
              <w:spacing w:after="0"/>
              <w:rPr>
                <w:sz w:val="13"/>
                <w:szCs w:val="13"/>
                <w:color w:val="auto"/>
              </w:rPr>
            </w:pPr>
          </w:p>
        </w:tc>
        <w:tc>
          <w:tcPr>
            <w:tcW w:w="134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gridSpan w:val="3"/>
          </w:tcPr>
          <w:p>
            <w:pPr>
              <w:jc w:val="right"/>
              <w:ind w:right="149"/>
              <w:spacing w:after="0"/>
              <w:rPr>
                <w:sz w:val="20"/>
                <w:szCs w:val="20"/>
                <w:color w:val="auto"/>
              </w:rPr>
            </w:pPr>
            <w:r>
              <w:rPr>
                <w:rFonts w:ascii="Times New Roman" w:cs="Times New Roman" w:eastAsia="Times New Roman" w:hAnsi="Times New Roman"/>
                <w:sz w:val="11"/>
                <w:szCs w:val="11"/>
                <w:b w:val="1"/>
                <w:bCs w:val="1"/>
                <w:color w:val="auto"/>
              </w:rPr>
              <w:t>Years ended June 30,</w:t>
            </w:r>
          </w:p>
        </w:tc>
        <w:tc>
          <w:tcPr>
            <w:tcW w:w="1340" w:type="dxa"/>
            <w:vAlign w:val="bottom"/>
            <w:tcBorders>
              <w:bottom w:val="single" w:sz="8" w:color="auto"/>
            </w:tcBorders>
          </w:tcPr>
          <w:p>
            <w:pPr>
              <w:spacing w:after="0"/>
              <w:rPr>
                <w:sz w:val="13"/>
                <w:szCs w:val="13"/>
                <w:color w:val="auto"/>
              </w:rPr>
            </w:pPr>
          </w:p>
        </w:tc>
      </w:tr>
      <w:tr>
        <w:trPr>
          <w:trHeight w:val="154"/>
        </w:trPr>
        <w:tc>
          <w:tcPr>
            <w:tcW w:w="7120" w:type="dxa"/>
            <w:vAlign w:val="bottom"/>
            <w:tcBorders>
              <w:bottom w:val="single" w:sz="8" w:color="CCEEFF"/>
            </w:tcBorders>
          </w:tcPr>
          <w:p>
            <w:pPr>
              <w:spacing w:after="0"/>
              <w:rPr>
                <w:sz w:val="13"/>
                <w:szCs w:val="13"/>
                <w:color w:val="auto"/>
              </w:rPr>
            </w:pPr>
          </w:p>
        </w:tc>
        <w:tc>
          <w:tcPr>
            <w:tcW w:w="134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1"/>
                <w:szCs w:val="11"/>
                <w:b w:val="1"/>
                <w:bCs w:val="1"/>
                <w:color w:val="auto"/>
              </w:rPr>
              <w:t>2024</w:t>
            </w:r>
          </w:p>
        </w:tc>
        <w:tc>
          <w:tcPr>
            <w:tcW w:w="68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jc w:val="right"/>
              <w:ind w:right="832"/>
              <w:spacing w:after="0"/>
              <w:rPr>
                <w:sz w:val="20"/>
                <w:szCs w:val="20"/>
                <w:color w:val="auto"/>
              </w:rPr>
            </w:pPr>
            <w:r>
              <w:rPr>
                <w:rFonts w:ascii="Times New Roman" w:cs="Times New Roman" w:eastAsia="Times New Roman" w:hAnsi="Times New Roman"/>
                <w:sz w:val="11"/>
                <w:szCs w:val="11"/>
                <w:b w:val="1"/>
                <w:bCs w:val="1"/>
                <w:color w:val="auto"/>
              </w:rPr>
              <w:t>2023</w:t>
            </w:r>
          </w:p>
        </w:tc>
      </w:tr>
      <w:tr>
        <w:trPr>
          <w:trHeight w:val="166"/>
        </w:trPr>
        <w:tc>
          <w:tcPr>
            <w:tcW w:w="7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Operating lease expense</w:t>
            </w:r>
          </w:p>
        </w:tc>
        <w:tc>
          <w:tcPr>
            <w:tcW w:w="13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r>
      <w:tr>
        <w:trPr>
          <w:trHeight w:val="180"/>
        </w:trPr>
        <w:tc>
          <w:tcPr>
            <w:tcW w:w="71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Operating lease cost</w:t>
            </w:r>
          </w:p>
        </w:tc>
        <w:tc>
          <w:tcPr>
            <w:tcW w:w="1340" w:type="dxa"/>
            <w:vAlign w:val="bottom"/>
          </w:tcPr>
          <w:p>
            <w:pPr>
              <w:jc w:val="right"/>
              <w:ind w:right="1194"/>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1,913</w:t>
            </w:r>
          </w:p>
        </w:tc>
        <w:tc>
          <w:tcPr>
            <w:tcW w:w="100" w:type="dxa"/>
            <w:vAlign w:val="bottom"/>
          </w:tcPr>
          <w:p>
            <w:pPr>
              <w:spacing w:after="0"/>
              <w:rPr>
                <w:sz w:val="15"/>
                <w:szCs w:val="15"/>
                <w:color w:val="auto"/>
              </w:rPr>
            </w:pPr>
          </w:p>
        </w:tc>
        <w:tc>
          <w:tcPr>
            <w:tcW w:w="680" w:type="dxa"/>
            <w:vAlign w:val="bottom"/>
          </w:tcPr>
          <w:p>
            <w:pPr>
              <w:jc w:val="right"/>
              <w:ind w:right="529"/>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2,537</w:t>
            </w:r>
          </w:p>
        </w:tc>
      </w:tr>
      <w:tr>
        <w:trPr>
          <w:trHeight w:val="180"/>
        </w:trPr>
        <w:tc>
          <w:tcPr>
            <w:tcW w:w="71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Variable lease cost</w:t>
            </w:r>
          </w:p>
        </w:tc>
        <w:tc>
          <w:tcPr>
            <w:tcW w:w="134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174</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283</w:t>
            </w:r>
          </w:p>
        </w:tc>
      </w:tr>
      <w:tr>
        <w:trPr>
          <w:trHeight w:val="180"/>
        </w:trPr>
        <w:tc>
          <w:tcPr>
            <w:tcW w:w="7120" w:type="dxa"/>
            <w:vAlign w:val="bottom"/>
            <w:tcBorders>
              <w:bottom w:val="single" w:sz="8" w:color="CCEEFF"/>
            </w:tcBorders>
          </w:tcPr>
          <w:p>
            <w:pPr>
              <w:ind w:left="280"/>
              <w:spacing w:after="0"/>
              <w:rPr>
                <w:sz w:val="20"/>
                <w:szCs w:val="20"/>
                <w:color w:val="auto"/>
              </w:rPr>
            </w:pPr>
            <w:r>
              <w:rPr>
                <w:rFonts w:ascii="Times New Roman" w:cs="Times New Roman" w:eastAsia="Times New Roman" w:hAnsi="Times New Roman"/>
                <w:sz w:val="14"/>
                <w:szCs w:val="14"/>
                <w:color w:val="auto"/>
              </w:rPr>
              <w:t>Short-term lease cost</w:t>
            </w:r>
          </w:p>
        </w:tc>
        <w:tc>
          <w:tcPr>
            <w:tcW w:w="134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47</w:t>
            </w:r>
          </w:p>
        </w:tc>
        <w:tc>
          <w:tcPr>
            <w:tcW w:w="100" w:type="dxa"/>
            <w:vAlign w:val="bottom"/>
            <w:tcBorders>
              <w:bottom w:val="single" w:sz="8" w:color="CCEEFF"/>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76</w:t>
            </w:r>
          </w:p>
        </w:tc>
      </w:tr>
      <w:tr>
        <w:trPr>
          <w:trHeight w:val="196"/>
        </w:trPr>
        <w:tc>
          <w:tcPr>
            <w:tcW w:w="7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lease expense</w:t>
            </w:r>
          </w:p>
        </w:tc>
        <w:tc>
          <w:tcPr>
            <w:tcW w:w="1340" w:type="dxa"/>
            <w:vAlign w:val="bottom"/>
            <w:tcBorders>
              <w:bottom w:val="single" w:sz="8" w:color="auto"/>
            </w:tcBorders>
            <w:shd w:val="clear" w:color="auto" w:fill="CCEEFF"/>
          </w:tcPr>
          <w:p>
            <w:pPr>
              <w:jc w:val="right"/>
              <w:ind w:right="1194"/>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2,134</w:t>
            </w:r>
          </w:p>
        </w:tc>
        <w:tc>
          <w:tcPr>
            <w:tcW w:w="10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auto"/>
            </w:tcBorders>
            <w:shd w:val="clear" w:color="auto" w:fill="CCEEFF"/>
          </w:tcPr>
          <w:p>
            <w:pPr>
              <w:jc w:val="right"/>
              <w:ind w:right="529"/>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2,896</w:t>
            </w:r>
          </w:p>
        </w:tc>
      </w:tr>
      <w:tr>
        <w:trPr>
          <w:trHeight w:val="20"/>
        </w:trPr>
        <w:tc>
          <w:tcPr>
            <w:tcW w:w="712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17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Supplemental cash flow information related to operating leases was as follows (in thousands):</w:t>
      </w:r>
    </w:p>
    <w:p>
      <w:pPr>
        <w:spacing w:after="0" w:line="200" w:lineRule="exact"/>
        <w:rPr>
          <w:sz w:val="20"/>
          <w:szCs w:val="20"/>
          <w:color w:val="auto"/>
        </w:rPr>
      </w:pPr>
    </w:p>
    <w:p>
      <w:pPr>
        <w:spacing w:after="0" w:line="3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4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846" w:right="339" w:bottom="1440" w:gutter="0" w:footer="0" w:header="0"/>
        </w:sectPr>
      </w:pPr>
    </w:p>
    <w:bookmarkStart w:id="84" w:name="page85"/>
    <w:bookmarkEnd w:id="84"/>
    <w:tbl>
      <w:tblPr>
        <w:tblLayout w:type="fixed"/>
        <w:tblInd w:w="0" w:type="dxa"/>
        <w:tblCellMar>
          <w:top w:w="0" w:type="dxa"/>
          <w:left w:w="0" w:type="dxa"/>
          <w:bottom w:w="0" w:type="dxa"/>
          <w:right w:w="0" w:type="dxa"/>
        </w:tblCellMar>
      </w:tblPr>
      <w:tr>
        <w:trPr>
          <w:trHeight w:val="158"/>
        </w:trPr>
        <w:tc>
          <w:tcPr>
            <w:tcW w:w="7120" w:type="dxa"/>
            <w:vAlign w:val="bottom"/>
            <w:tcBorders>
              <w:bottom w:val="single" w:sz="8" w:color="CCEEFF"/>
            </w:tcBorders>
          </w:tcPr>
          <w:p>
            <w:pPr>
              <w:spacing w:after="0"/>
              <w:rPr>
                <w:sz w:val="13"/>
                <w:szCs w:val="13"/>
                <w:color w:val="auto"/>
              </w:rPr>
            </w:pPr>
          </w:p>
        </w:tc>
        <w:tc>
          <w:tcPr>
            <w:tcW w:w="150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1"/>
                <w:szCs w:val="11"/>
                <w:b w:val="1"/>
                <w:bCs w:val="1"/>
                <w:color w:val="auto"/>
              </w:rPr>
              <w:t>June 30, 2024</w:t>
            </w:r>
          </w:p>
        </w:tc>
        <w:tc>
          <w:tcPr>
            <w:tcW w:w="52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640" w:type="dxa"/>
            <w:vAlign w:val="bottom"/>
            <w:tcBorders>
              <w:bottom w:val="single" w:sz="8" w:color="auto"/>
            </w:tcBorders>
          </w:tcPr>
          <w:p>
            <w:pPr>
              <w:jc w:val="right"/>
              <w:ind w:right="611"/>
              <w:spacing w:after="0"/>
              <w:rPr>
                <w:sz w:val="20"/>
                <w:szCs w:val="20"/>
                <w:color w:val="auto"/>
              </w:rPr>
            </w:pPr>
            <w:r>
              <w:rPr>
                <w:rFonts w:ascii="Times New Roman" w:cs="Times New Roman" w:eastAsia="Times New Roman" w:hAnsi="Times New Roman"/>
                <w:sz w:val="11"/>
                <w:szCs w:val="11"/>
                <w:b w:val="1"/>
                <w:bCs w:val="1"/>
                <w:color w:val="auto"/>
              </w:rPr>
              <w:t>June 30, 2023</w:t>
            </w:r>
          </w:p>
        </w:tc>
      </w:tr>
      <w:tr>
        <w:trPr>
          <w:trHeight w:val="180"/>
        </w:trPr>
        <w:tc>
          <w:tcPr>
            <w:tcW w:w="7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Operating cash outflows from operating leases</w:t>
            </w:r>
          </w:p>
        </w:tc>
        <w:tc>
          <w:tcPr>
            <w:tcW w:w="1500" w:type="dxa"/>
            <w:vAlign w:val="bottom"/>
            <w:shd w:val="clear" w:color="auto" w:fill="CCEEFF"/>
          </w:tcPr>
          <w:p>
            <w:pPr>
              <w:jc w:val="right"/>
              <w:ind w:right="1354"/>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2,187</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2,973</w:t>
            </w:r>
          </w:p>
        </w:tc>
      </w:tr>
      <w:tr>
        <w:trPr>
          <w:trHeight w:val="184"/>
        </w:trPr>
        <w:tc>
          <w:tcPr>
            <w:tcW w:w="7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Right-of-use assets obtained in exchange for lease obligations</w:t>
            </w:r>
          </w:p>
        </w:tc>
        <w:tc>
          <w:tcPr>
            <w:tcW w:w="1500" w:type="dxa"/>
            <w:vAlign w:val="bottom"/>
          </w:tcPr>
          <w:p>
            <w:pPr>
              <w:jc w:val="right"/>
              <w:ind w:right="1354"/>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2,475</w:t>
            </w:r>
          </w:p>
        </w:tc>
        <w:tc>
          <w:tcPr>
            <w:tcW w:w="100" w:type="dxa"/>
            <w:vAlign w:val="bottom"/>
          </w:tcPr>
          <w:p>
            <w:pPr>
              <w:spacing w:after="0"/>
              <w:rPr>
                <w:sz w:val="16"/>
                <w:szCs w:val="16"/>
                <w:color w:val="auto"/>
              </w:rPr>
            </w:pPr>
          </w:p>
        </w:tc>
        <w:tc>
          <w:tcPr>
            <w:tcW w:w="380" w:type="dxa"/>
            <w:vAlign w:val="bottom"/>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346"/>
        </w:trPr>
        <w:tc>
          <w:tcPr>
            <w:tcW w:w="71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Maturity of lease liabilities at June 30, 2024 are as follows (in thousands):</w:t>
            </w:r>
          </w:p>
        </w:tc>
        <w:tc>
          <w:tcPr>
            <w:tcW w:w="15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288"/>
        </w:trPr>
        <w:tc>
          <w:tcPr>
            <w:tcW w:w="7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1"/>
                <w:szCs w:val="11"/>
                <w:b w:val="1"/>
                <w:bCs w:val="1"/>
                <w:color w:val="auto"/>
              </w:rPr>
              <w:t>Year ended June 30,</w:t>
            </w:r>
          </w:p>
        </w:tc>
        <w:tc>
          <w:tcPr>
            <w:tcW w:w="150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jc w:val="right"/>
              <w:ind w:right="751"/>
              <w:spacing w:after="0"/>
              <w:rPr>
                <w:sz w:val="20"/>
                <w:szCs w:val="20"/>
                <w:color w:val="auto"/>
              </w:rPr>
            </w:pPr>
            <w:r>
              <w:rPr>
                <w:rFonts w:ascii="Times New Roman" w:cs="Times New Roman" w:eastAsia="Times New Roman" w:hAnsi="Times New Roman"/>
                <w:sz w:val="11"/>
                <w:szCs w:val="11"/>
                <w:b w:val="1"/>
                <w:bCs w:val="1"/>
                <w:color w:val="auto"/>
              </w:rPr>
              <w:t>Amount</w:t>
            </w:r>
          </w:p>
        </w:tc>
      </w:tr>
      <w:tr>
        <w:trPr>
          <w:trHeight w:val="180"/>
        </w:trPr>
        <w:tc>
          <w:tcPr>
            <w:tcW w:w="7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2025</w:t>
            </w:r>
          </w:p>
        </w:tc>
        <w:tc>
          <w:tcPr>
            <w:tcW w:w="15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2,111</w:t>
            </w:r>
          </w:p>
        </w:tc>
      </w:tr>
      <w:tr>
        <w:trPr>
          <w:trHeight w:val="180"/>
        </w:trPr>
        <w:tc>
          <w:tcPr>
            <w:tcW w:w="7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2026</w:t>
            </w:r>
          </w:p>
        </w:tc>
        <w:tc>
          <w:tcPr>
            <w:tcW w:w="15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2,154</w:t>
            </w:r>
          </w:p>
        </w:tc>
      </w:tr>
      <w:tr>
        <w:trPr>
          <w:trHeight w:val="180"/>
        </w:trPr>
        <w:tc>
          <w:tcPr>
            <w:tcW w:w="7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2027</w:t>
            </w:r>
          </w:p>
        </w:tc>
        <w:tc>
          <w:tcPr>
            <w:tcW w:w="15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2,151</w:t>
            </w:r>
          </w:p>
        </w:tc>
      </w:tr>
      <w:tr>
        <w:trPr>
          <w:trHeight w:val="180"/>
        </w:trPr>
        <w:tc>
          <w:tcPr>
            <w:tcW w:w="7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2028</w:t>
            </w:r>
          </w:p>
        </w:tc>
        <w:tc>
          <w:tcPr>
            <w:tcW w:w="15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2,037</w:t>
            </w:r>
          </w:p>
        </w:tc>
      </w:tr>
      <w:tr>
        <w:trPr>
          <w:trHeight w:val="180"/>
        </w:trPr>
        <w:tc>
          <w:tcPr>
            <w:tcW w:w="7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2029</w:t>
            </w:r>
          </w:p>
        </w:tc>
        <w:tc>
          <w:tcPr>
            <w:tcW w:w="15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1,772</w:t>
            </w:r>
          </w:p>
        </w:tc>
      </w:tr>
      <w:tr>
        <w:trPr>
          <w:trHeight w:val="180"/>
        </w:trPr>
        <w:tc>
          <w:tcPr>
            <w:tcW w:w="7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Thereafter</w:t>
            </w:r>
          </w:p>
        </w:tc>
        <w:tc>
          <w:tcPr>
            <w:tcW w:w="1500" w:type="dxa"/>
            <w:vAlign w:val="bottom"/>
            <w:tcBorders>
              <w:bottom w:val="single" w:sz="8" w:color="CCEEFF"/>
            </w:tcBorders>
          </w:tcPr>
          <w:p>
            <w:pPr>
              <w:spacing w:after="0"/>
              <w:rPr>
                <w:sz w:val="15"/>
                <w:szCs w:val="15"/>
                <w:color w:val="auto"/>
              </w:rPr>
            </w:pPr>
          </w:p>
        </w:tc>
        <w:tc>
          <w:tcPr>
            <w:tcW w:w="52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4,622</w:t>
            </w:r>
          </w:p>
        </w:tc>
      </w:tr>
      <w:tr>
        <w:trPr>
          <w:trHeight w:val="171"/>
        </w:trPr>
        <w:tc>
          <w:tcPr>
            <w:tcW w:w="7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15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14,847</w:t>
            </w:r>
          </w:p>
        </w:tc>
      </w:tr>
      <w:tr>
        <w:trPr>
          <w:trHeight w:val="180"/>
        </w:trPr>
        <w:tc>
          <w:tcPr>
            <w:tcW w:w="7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Less: imputed interest</w:t>
            </w:r>
          </w:p>
        </w:tc>
        <w:tc>
          <w:tcPr>
            <w:tcW w:w="1500" w:type="dxa"/>
            <w:vAlign w:val="bottom"/>
            <w:tcBorders>
              <w:bottom w:val="single" w:sz="8" w:color="CCEEFF"/>
            </w:tcBorders>
          </w:tcPr>
          <w:p>
            <w:pPr>
              <w:spacing w:after="0"/>
              <w:rPr>
                <w:sz w:val="15"/>
                <w:szCs w:val="15"/>
                <w:color w:val="auto"/>
              </w:rPr>
            </w:pPr>
          </w:p>
        </w:tc>
        <w:tc>
          <w:tcPr>
            <w:tcW w:w="52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(1,235)</w:t>
            </w:r>
          </w:p>
        </w:tc>
      </w:tr>
      <w:tr>
        <w:trPr>
          <w:trHeight w:val="196"/>
        </w:trPr>
        <w:tc>
          <w:tcPr>
            <w:tcW w:w="7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Present value of lease liabilities</w:t>
            </w:r>
          </w:p>
        </w:tc>
        <w:tc>
          <w:tcPr>
            <w:tcW w:w="150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13,612</w:t>
            </w:r>
          </w:p>
        </w:tc>
      </w:tr>
      <w:tr>
        <w:trPr>
          <w:trHeight w:val="20"/>
        </w:trPr>
        <w:tc>
          <w:tcPr>
            <w:tcW w:w="712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r>
    </w:tbl>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13 — Commitments and Contingencies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Contingencies</w:t>
      </w:r>
    </w:p>
    <w:p>
      <w:pPr>
        <w:spacing w:after="0" w:line="115" w:lineRule="exact"/>
        <w:rPr>
          <w:sz w:val="20"/>
          <w:szCs w:val="20"/>
          <w:color w:val="auto"/>
        </w:rPr>
      </w:pPr>
    </w:p>
    <w:p>
      <w:pPr>
        <w:ind w:firstLine="255"/>
        <w:spacing w:after="0" w:line="260" w:lineRule="auto"/>
        <w:rPr>
          <w:sz w:val="20"/>
          <w:szCs w:val="20"/>
          <w:color w:val="auto"/>
        </w:rPr>
      </w:pPr>
      <w:r>
        <w:rPr>
          <w:rFonts w:ascii="Times New Roman" w:cs="Times New Roman" w:eastAsia="Times New Roman" w:hAnsi="Times New Roman"/>
          <w:sz w:val="14"/>
          <w:szCs w:val="14"/>
          <w:color w:val="auto"/>
        </w:rPr>
        <w:t xml:space="preserve">The Company accounts for contingent liabilities in accordance with ASC 450, </w:t>
      </w:r>
      <w:r>
        <w:rPr>
          <w:rFonts w:ascii="Times New Roman" w:cs="Times New Roman" w:eastAsia="Times New Roman" w:hAnsi="Times New Roman"/>
          <w:sz w:val="14"/>
          <w:szCs w:val="14"/>
          <w:i w:val="1"/>
          <w:iCs w:val="1"/>
          <w:color w:val="auto"/>
        </w:rPr>
        <w:t>Contingencies</w:t>
      </w:r>
      <w:r>
        <w:rPr>
          <w:rFonts w:ascii="Times New Roman" w:cs="Times New Roman" w:eastAsia="Times New Roman" w:hAnsi="Times New Roman"/>
          <w:sz w:val="14"/>
          <w:szCs w:val="14"/>
          <w:color w:val="auto"/>
        </w:rPr>
        <w:t>. This guidance requires management to assess potential contingent liabilities that may exist as of the date of the financial statements to determine the probability and amount of loss that may have occurred, which inherently involves an exercise of judgment. If the assessment of a contingency indicates that it is probable that a material loss has been incurred and the amount of the liability can be estimated, then the estimated liability would be accrued in the Company’s financial statements. If the assessment indicates that a potential material loss contingency is not probable but is reasonably possible, or is probable but cannot be estimated, then the nature of the contingent liability, and an estimate of the range of possible losses, if determinable and material, would be disclosed. For loss contingencies considered remote, no accrual or disclosures are generally made. Management has assessed potential contingent liabilities as of June 30, 2024, and based on the assessment there are no probable loss contingencies requiring accrual or disclosures within its financial statements.</w:t>
      </w:r>
    </w:p>
    <w:p>
      <w:pPr>
        <w:spacing w:after="0" w:line="8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Legal Accruals</w:t>
      </w:r>
    </w:p>
    <w:p>
      <w:pPr>
        <w:spacing w:after="0" w:line="127" w:lineRule="exact"/>
        <w:rPr>
          <w:sz w:val="20"/>
          <w:szCs w:val="20"/>
          <w:color w:val="auto"/>
        </w:rPr>
      </w:pPr>
    </w:p>
    <w:p>
      <w:pPr>
        <w:ind w:right="40" w:firstLine="255"/>
        <w:spacing w:after="0" w:line="256" w:lineRule="auto"/>
        <w:rPr>
          <w:sz w:val="20"/>
          <w:szCs w:val="20"/>
          <w:color w:val="auto"/>
        </w:rPr>
      </w:pPr>
      <w:r>
        <w:rPr>
          <w:rFonts w:ascii="Times New Roman" w:cs="Times New Roman" w:eastAsia="Times New Roman" w:hAnsi="Times New Roman"/>
          <w:sz w:val="14"/>
          <w:szCs w:val="14"/>
          <w:color w:val="auto"/>
        </w:rPr>
        <w:t>In addition to commitments and obligations in the ordinary course of business, from time to time, the Company is subject to various claims, pending and potential legal actions, investigations relating to governmental laws and regulations and other matters arising out of the normal conduct of its business. Management assesses contingencies to determine the degree of probability and range of possible loss for potential accrual in the consolidated financial statements. An estimated loss contingency is accrued in the consolidated financial statements if it is probable that a liability has been incurred and the amount of the loss can be reasonably estimated. Because evaluating legal claims and litigation results are inherently unpredictable and unfavorable results could occur, assessing contingencies is highly subjective and requires judgments about future events. When evaluating contingencies, management may be unable to provide a meaningful estimate due to a number of factors, including the procedural status of the matter in question, the presence of complex or novel legal theories, and/or the ongoing discovery and development of information important to the matters. In addition, damage amounts claimed or asserted against the Company may be unsupported, exaggerated, or unrelated to possible outcomes, and as such are not meaningful indicators of a potential liability. Management regularly reviews contingencies to determine the adequacy of financial statement accruals and related disclosures. The amount of ultimate loss may differ from these estimates. It is possible that cash flows or results of operations could be materially affected in any particular period by the unfavorable publicity or resolution of one or more of these contingencies. Whether any losses finally determined in any claim, action, investigation or proceeding or publicity related to such could reasonably have a material effect on the Company's business, financial condition, results of operations or cash flows will depend on a number of variables, including: the timing and amount of such losses; the structure and type of any remedies; the significance of the impact of any such losses, damages or remedies may have on the consolidated financial statements; and the unique facts and circumstances of the particular matter that may give rise to additional factors.</w:t>
      </w:r>
    </w:p>
    <w:p>
      <w:pPr>
        <w:spacing w:after="0" w:line="250" w:lineRule="exact"/>
        <w:rPr>
          <w:sz w:val="20"/>
          <w:szCs w:val="20"/>
          <w:color w:val="auto"/>
        </w:rPr>
      </w:pPr>
    </w:p>
    <w:p>
      <w:pPr>
        <w:ind w:right="20"/>
        <w:spacing w:after="0" w:line="290" w:lineRule="auto"/>
        <w:rPr>
          <w:sz w:val="20"/>
          <w:szCs w:val="20"/>
          <w:color w:val="auto"/>
        </w:rPr>
      </w:pPr>
      <w:r>
        <w:rPr>
          <w:rFonts w:ascii="Times New Roman" w:cs="Times New Roman" w:eastAsia="Times New Roman" w:hAnsi="Times New Roman"/>
          <w:sz w:val="14"/>
          <w:szCs w:val="14"/>
          <w:i w:val="1"/>
          <w:iCs w:val="1"/>
          <w:color w:val="auto"/>
        </w:rPr>
        <w:t>Other Matters</w:t>
      </w:r>
      <w:r>
        <w:rPr>
          <w:rFonts w:ascii="Times New Roman" w:cs="Times New Roman" w:eastAsia="Times New Roman" w:hAnsi="Times New Roman"/>
          <w:sz w:val="14"/>
          <w:szCs w:val="14"/>
          <w:color w:val="auto"/>
        </w:rPr>
        <w:t>. The Company may become involved in other litigation and regulatory matters incidental to its business and the matters disclosed in this annual report on Form 10-K, including, but not</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limited to, product liability claims, regulatory actions, employment matters and commercial disputes. The Company intends to defend itself in any such matters and does not currently</w:t>
      </w:r>
    </w:p>
    <w:p>
      <w:pPr>
        <w:spacing w:after="0" w:line="200" w:lineRule="exact"/>
        <w:rPr>
          <w:sz w:val="20"/>
          <w:szCs w:val="20"/>
          <w:color w:val="auto"/>
        </w:rPr>
      </w:pPr>
    </w:p>
    <w:p>
      <w:pPr>
        <w:spacing w:after="0" w:line="2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4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73" w:right="31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4"/>
          <w:szCs w:val="14"/>
          <w:color w:val="auto"/>
        </w:rPr>
        <w:t>believe that the outcome of any such matters will have a material adverse effect on the Company's business, financial condition, results of operations and cash flows.</w:t>
      </w:r>
    </w:p>
    <w:p>
      <w:pPr>
        <w:sectPr>
          <w:pgSz w:w="11900" w:h="16838" w:orient="portrait"/>
          <w:cols w:equalWidth="0" w:num="1">
            <w:col w:w="10159"/>
          </w:cols>
          <w:pgMar w:left="300" w:top="846" w:right="1440" w:bottom="1440" w:gutter="0" w:footer="0" w:header="0"/>
        </w:sectPr>
      </w:pPr>
    </w:p>
    <w:p>
      <w:pPr>
        <w:spacing w:after="0" w:line="200" w:lineRule="exact"/>
        <w:rPr>
          <w:sz w:val="20"/>
          <w:szCs w:val="20"/>
          <w:color w:val="auto"/>
        </w:rPr>
      </w:pPr>
    </w:p>
    <w:p>
      <w:pPr>
        <w:spacing w:after="0" w:line="350"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86</w:t>
      </w:r>
    </w:p>
    <w:p>
      <w:pPr>
        <w:sectPr>
          <w:pgSz w:w="11900" w:h="16838" w:orient="portrait"/>
          <w:cols w:equalWidth="0" w:num="1">
            <w:col w:w="10159"/>
          </w:cols>
          <w:pgMar w:left="300" w:top="846" w:right="1440" w:bottom="1440" w:gutter="0" w:footer="0" w:header="0"/>
          <w:type w:val="continuous"/>
        </w:sectPr>
      </w:pPr>
    </w:p>
    <w:bookmarkStart w:id="86" w:name="page87"/>
    <w:bookmarkEnd w:id="86"/>
    <w:p>
      <w:pPr>
        <w:jc w:val="center"/>
        <w:spacing w:after="0"/>
        <w:rPr>
          <w:sz w:val="20"/>
          <w:szCs w:val="20"/>
          <w:color w:val="auto"/>
        </w:rPr>
      </w:pPr>
      <w:r>
        <w:rPr>
          <w:rFonts w:ascii="Times New Roman" w:cs="Times New Roman" w:eastAsia="Times New Roman" w:hAnsi="Times New Roman"/>
          <w:sz w:val="16"/>
          <w:szCs w:val="16"/>
          <w:b w:val="1"/>
          <w:bCs w:val="1"/>
          <w:color w:val="auto"/>
        </w:rPr>
        <w:t>LIFEVANTAGE CORPORATION</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2017 LONG-TERM INCENTIVE PLAN</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(Adopted on December 6, 2016,</w:t>
      </w:r>
    </w:p>
    <w:p>
      <w:pPr>
        <w:spacing w:after="0" w:line="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Effective on February 16, 2017 and</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Amended on November 16, 2017, January 19, 2018,</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September 20, 2018, August 27, 2020, September 19, 2022 and September 21, 2023)</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SECTION 1. INTRODUCTION</w:t>
      </w:r>
    </w:p>
    <w:p>
      <w:pPr>
        <w:spacing w:after="0" w:line="159" w:lineRule="exact"/>
        <w:rPr>
          <w:sz w:val="20"/>
          <w:szCs w:val="20"/>
          <w:color w:val="auto"/>
        </w:rPr>
      </w:pPr>
    </w:p>
    <w:p>
      <w:pPr>
        <w:jc w:val="both"/>
        <w:ind w:firstLine="573"/>
        <w:spacing w:after="0" w:line="304" w:lineRule="auto"/>
        <w:rPr>
          <w:sz w:val="20"/>
          <w:szCs w:val="20"/>
          <w:color w:val="auto"/>
        </w:rPr>
      </w:pPr>
      <w:r>
        <w:rPr>
          <w:rFonts w:ascii="Times New Roman" w:cs="Times New Roman" w:eastAsia="Times New Roman" w:hAnsi="Times New Roman"/>
          <w:sz w:val="14"/>
          <w:szCs w:val="14"/>
          <w:color w:val="auto"/>
        </w:rPr>
        <w:t>The Board adopted the LifeVantage Corporation 2017 Long-Term Incentive Plan on the Adoption Date conditioned upon and subject to obtaining Company stockholder approval. Stockholder approval for the Plan was obtained on February 16, 2017. The Board amended the Plan on November 16, 2017 and January 19, 2018, pursuant to which 425,000 Shares in the aggregate were added to the reserve under the Plan, such that the maximum aggregate number of Shares that may be issued under the Plan (and pursuant to the exercise of Incentive Stock Options) shall be 1,550,000 Shares (the “2017/2018 Amendment”). The 2017/2018 Amendment was approved by the Company’s stockholders on February 2, 2018. On September 20, 2018, the Board further amended the Plan to add 715,000 Shares to the reserve under the Plan and increase the maximum aggregate number of Shares that may be issued under the Plan (and pursuant to the exercise of Incentive Stock Options) from 1,550,000 Shares to 2,265,000 (the “September 2018 Amendment”). The September 2018 Amendment was approved by the Company’s stockholders on November 15, 2018. On August 27, 2020, the Board further amended the Plan to add 650,000 Shares to the reserve under the Plan to increase the maximum aggregate number of Shares that may be issued under the Plan (and pursuant to the exercise of Incentive Stock Options) from 2,265,000 to 2,915,000 (the “August 2020 Amendment”). The August 2020 Amendment was approved by the Company’s stockholders on November 12, 2020. On September 19, 2022, the Board further amended the Plan to (i) add 1,052,000 Shares to the reserve under the Plan to increase the maximum aggregate number of Shares that may be issued under the Plan (and pursuant to the exercise of Incentive Stock Options) from 2,915,000 to 3,967,000, (ii) amend the share recycling provisions set forth in Section 5(b) and (iii) amend the vesting acceleration provisions applicable to Awards upon a Change in Control in Section 12 (the “September 2022 Amendment”). The September 2022 Amendment was approved by the Company’s stockholders on November 10, 2022. On September 21, 2023, the Board further amended the Plan to add 1,138,000 shares to the reserve under the Plan to increase the maximum aggregate number of Shares that may be issued under the Plan (and pursuant to the exercise of Incentive Stock Options) from 3,967,000 to 5,105,000.</w:t>
      </w:r>
    </w:p>
    <w:p>
      <w:pPr>
        <w:spacing w:after="0" w:line="86" w:lineRule="exact"/>
        <w:rPr>
          <w:sz w:val="20"/>
          <w:szCs w:val="20"/>
          <w:color w:val="auto"/>
        </w:rPr>
      </w:pPr>
    </w:p>
    <w:p>
      <w:pPr>
        <w:jc w:val="both"/>
        <w:ind w:firstLine="573"/>
        <w:spacing w:after="0" w:line="306" w:lineRule="auto"/>
        <w:rPr>
          <w:sz w:val="20"/>
          <w:szCs w:val="20"/>
          <w:color w:val="auto"/>
        </w:rPr>
      </w:pPr>
      <w:r>
        <w:rPr>
          <w:rFonts w:ascii="Times New Roman" w:cs="Times New Roman" w:eastAsia="Times New Roman" w:hAnsi="Times New Roman"/>
          <w:sz w:val="14"/>
          <w:szCs w:val="14"/>
          <w:color w:val="auto"/>
        </w:rPr>
        <w:t>The purposes of the Plan are to (i) attract and retain the services of persons eligible to participate in the Plan; (ii) motivate Selected Employees, by means of appropriate equity and performance based incentives, to achieve long-term performance goals; (iii) provide equity and performance based incentive compensation opportunities that are competitive with those of other similar companies; and (iv) further align Participants’ interests with those of the Company’s other stockholders and thereby promote the financial interests of the Company and its affiliates and enhancement of stockholder return.</w:t>
      </w:r>
    </w:p>
    <w:p>
      <w:pPr>
        <w:spacing w:after="0" w:line="60" w:lineRule="exact"/>
        <w:rPr>
          <w:sz w:val="20"/>
          <w:szCs w:val="20"/>
          <w:color w:val="auto"/>
        </w:rPr>
      </w:pPr>
    </w:p>
    <w:p>
      <w:pPr>
        <w:jc w:val="both"/>
        <w:ind w:firstLine="509"/>
        <w:spacing w:after="0" w:line="319" w:lineRule="auto"/>
        <w:rPr>
          <w:sz w:val="20"/>
          <w:szCs w:val="20"/>
          <w:color w:val="auto"/>
        </w:rPr>
      </w:pPr>
      <w:r>
        <w:rPr>
          <w:rFonts w:ascii="Times New Roman" w:cs="Times New Roman" w:eastAsia="Times New Roman" w:hAnsi="Times New Roman"/>
          <w:sz w:val="14"/>
          <w:szCs w:val="14"/>
          <w:color w:val="auto"/>
        </w:rPr>
        <w:t>The Plan seeks to achieve this purpose by providing for Awards in the form of Options (which may constitute Incentive Stock Options or Non statutory Stock Options), Stock Appreciation Rights, Restricted Stock Grants, Stock Units and/or Cash Awards, as well as any other form of equity award consistent with the terms of the Plan.</w:t>
      </w:r>
    </w:p>
    <w:p>
      <w:pPr>
        <w:spacing w:after="0" w:line="4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Capitalized terms shall have the meaning provided in Section 2 unless otherwise provided in this Plan or any related Award Agreement.</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SECTION 2. DEFINITIONS</w:t>
      </w:r>
    </w:p>
    <w:p>
      <w:pPr>
        <w:spacing w:after="0" w:line="127" w:lineRule="exact"/>
        <w:rPr>
          <w:sz w:val="20"/>
          <w:szCs w:val="20"/>
          <w:color w:val="auto"/>
        </w:rPr>
      </w:pPr>
    </w:p>
    <w:p>
      <w:pPr>
        <w:ind w:left="700" w:hanging="186"/>
        <w:spacing w:after="0"/>
        <w:tabs>
          <w:tab w:leader="none" w:pos="70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Adoption Date</w:t>
      </w:r>
      <w:r>
        <w:rPr>
          <w:rFonts w:ascii="Times New Roman" w:cs="Times New Roman" w:eastAsia="Times New Roman" w:hAnsi="Times New Roman"/>
          <w:sz w:val="14"/>
          <w:szCs w:val="14"/>
          <w:color w:val="auto"/>
        </w:rPr>
        <w:t>” means December 6, 2016.</w:t>
      </w:r>
    </w:p>
    <w:p>
      <w:pPr>
        <w:spacing w:after="0" w:line="114" w:lineRule="exact"/>
        <w:rPr>
          <w:rFonts w:ascii="Times New Roman" w:cs="Times New Roman" w:eastAsia="Times New Roman" w:hAnsi="Times New Roman"/>
          <w:sz w:val="14"/>
          <w:szCs w:val="14"/>
          <w:color w:val="auto"/>
        </w:rPr>
      </w:pPr>
    </w:p>
    <w:p>
      <w:pPr>
        <w:ind w:firstLine="514"/>
        <w:spacing w:after="0" w:line="334" w:lineRule="auto"/>
        <w:tabs>
          <w:tab w:leader="none" w:pos="709"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Affiliate</w:t>
      </w:r>
      <w:r>
        <w:rPr>
          <w:rFonts w:ascii="Times New Roman" w:cs="Times New Roman" w:eastAsia="Times New Roman" w:hAnsi="Times New Roman"/>
          <w:sz w:val="14"/>
          <w:szCs w:val="14"/>
          <w:color w:val="auto"/>
        </w:rPr>
        <w:t>” means any entity other than a Subsidiary, if the Company and/or one or more Subsidiaries own not less than 50% of such entity. For purposes of determining an individual’s “Service,” this definition shall include any entity other than a Subsidiary, if the Company, a Parent and/or one or more Subsidiaries own not less than 50% of such entity.</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w:t>
      </w:r>
    </w:p>
    <w:p>
      <w:pPr>
        <w:sectPr>
          <w:pgSz w:w="11900" w:h="16838" w:orient="portrait"/>
          <w:cols w:equalWidth="0" w:num="1">
            <w:col w:w="11280"/>
          </w:cols>
          <w:pgMar w:left="300" w:top="745" w:right="319" w:bottom="1440" w:gutter="0" w:footer="0" w:header="0"/>
        </w:sectPr>
      </w:pPr>
    </w:p>
    <w:bookmarkStart w:id="87" w:name="page88"/>
    <w:bookmarkEnd w:id="87"/>
    <w:p>
      <w:pPr>
        <w:ind w:left="700" w:hanging="186"/>
        <w:spacing w:after="0"/>
        <w:tabs>
          <w:tab w:leader="none" w:pos="700" w:val="left"/>
        </w:tabs>
        <w:numPr>
          <w:ilvl w:val="1"/>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Award</w:t>
      </w:r>
      <w:r>
        <w:rPr>
          <w:rFonts w:ascii="Times New Roman" w:cs="Times New Roman" w:eastAsia="Times New Roman" w:hAnsi="Times New Roman"/>
          <w:sz w:val="14"/>
          <w:szCs w:val="14"/>
          <w:color w:val="auto"/>
        </w:rPr>
        <w:t>” means any award, under this Plan, to a Selected Employee of an Option, SAR, Restricted Stock Grant, Stock Unit or to a Covered Employee of any Cash Award.</w:t>
      </w:r>
    </w:p>
    <w:p>
      <w:pPr>
        <w:spacing w:after="0" w:line="114" w:lineRule="exact"/>
        <w:rPr>
          <w:rFonts w:ascii="Times New Roman" w:cs="Times New Roman" w:eastAsia="Times New Roman" w:hAnsi="Times New Roman"/>
          <w:sz w:val="14"/>
          <w:szCs w:val="14"/>
          <w:color w:val="auto"/>
        </w:rPr>
      </w:pPr>
    </w:p>
    <w:p>
      <w:pPr>
        <w:ind w:firstLine="514"/>
        <w:spacing w:after="0" w:line="334" w:lineRule="auto"/>
        <w:tabs>
          <w:tab w:leader="none" w:pos="709" w:val="left"/>
        </w:tabs>
        <w:numPr>
          <w:ilvl w:val="1"/>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Award Agreement</w:t>
      </w:r>
      <w:r>
        <w:rPr>
          <w:rFonts w:ascii="Times New Roman" w:cs="Times New Roman" w:eastAsia="Times New Roman" w:hAnsi="Times New Roman"/>
          <w:sz w:val="14"/>
          <w:szCs w:val="14"/>
          <w:color w:val="auto"/>
        </w:rPr>
        <w:t>” means a Stock Option Agreement, a SAR Agreement, a Restricted Stock Grant Agreement, a Stock Unit Agreement or such other agreement evidencing an Award granted under the Plan.</w:t>
      </w:r>
    </w:p>
    <w:p>
      <w:pPr>
        <w:spacing w:after="0" w:line="29" w:lineRule="exact"/>
        <w:rPr>
          <w:rFonts w:ascii="Times New Roman" w:cs="Times New Roman" w:eastAsia="Times New Roman" w:hAnsi="Times New Roman"/>
          <w:sz w:val="14"/>
          <w:szCs w:val="14"/>
          <w:color w:val="auto"/>
        </w:rPr>
      </w:pPr>
    </w:p>
    <w:p>
      <w:pPr>
        <w:ind w:left="700" w:hanging="186"/>
        <w:spacing w:after="0"/>
        <w:tabs>
          <w:tab w:leader="none" w:pos="700" w:val="left"/>
        </w:tabs>
        <w:numPr>
          <w:ilvl w:val="1"/>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Board</w:t>
      </w:r>
      <w:r>
        <w:rPr>
          <w:rFonts w:ascii="Times New Roman" w:cs="Times New Roman" w:eastAsia="Times New Roman" w:hAnsi="Times New Roman"/>
          <w:sz w:val="14"/>
          <w:szCs w:val="14"/>
          <w:color w:val="auto"/>
        </w:rPr>
        <w:t>” means the Board of Directors of the Company, as constituted from time to time.</w:t>
      </w:r>
    </w:p>
    <w:p>
      <w:pPr>
        <w:spacing w:after="0" w:line="125" w:lineRule="exact"/>
        <w:rPr>
          <w:rFonts w:ascii="Times New Roman" w:cs="Times New Roman" w:eastAsia="Times New Roman" w:hAnsi="Times New Roman"/>
          <w:sz w:val="14"/>
          <w:szCs w:val="14"/>
          <w:color w:val="auto"/>
        </w:rPr>
      </w:pPr>
    </w:p>
    <w:p>
      <w:pPr>
        <w:ind w:left="700" w:hanging="186"/>
        <w:spacing w:after="0"/>
        <w:tabs>
          <w:tab w:leader="none" w:pos="700" w:val="left"/>
        </w:tabs>
        <w:numPr>
          <w:ilvl w:val="1"/>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Cash Award</w:t>
      </w:r>
      <w:r>
        <w:rPr>
          <w:rFonts w:ascii="Times New Roman" w:cs="Times New Roman" w:eastAsia="Times New Roman" w:hAnsi="Times New Roman"/>
          <w:sz w:val="14"/>
          <w:szCs w:val="14"/>
          <w:color w:val="auto"/>
        </w:rPr>
        <w:t>” means an award of a bonus opportunity, under this Plan, to a Covered Employee that (i) is payable in cash, (ii) is not an Option, SAR, Restricted Stock Grant or Stock Unit,</w:t>
      </w:r>
    </w:p>
    <w:p>
      <w:pPr>
        <w:spacing w:after="0" w:line="29" w:lineRule="exact"/>
        <w:rPr>
          <w:rFonts w:ascii="Times New Roman" w:cs="Times New Roman" w:eastAsia="Times New Roman" w:hAnsi="Times New Roman"/>
          <w:sz w:val="14"/>
          <w:szCs w:val="14"/>
          <w:color w:val="auto"/>
        </w:rPr>
      </w:pPr>
    </w:p>
    <w:p>
      <w:pPr>
        <w:ind w:left="260" w:hanging="255"/>
        <w:spacing w:after="0"/>
        <w:tabs>
          <w:tab w:leader="none" w:pos="26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is paid based on achievement of Performance Goal(s) and (iv) may be intended to qualify as performance-based compensation under Code Section 162(m).</w:t>
      </w:r>
    </w:p>
    <w:p>
      <w:pPr>
        <w:spacing w:after="0" w:line="125" w:lineRule="exact"/>
        <w:rPr>
          <w:rFonts w:ascii="Times New Roman" w:cs="Times New Roman" w:eastAsia="Times New Roman" w:hAnsi="Times New Roman"/>
          <w:sz w:val="14"/>
          <w:szCs w:val="14"/>
          <w:color w:val="auto"/>
        </w:rPr>
      </w:pPr>
    </w:p>
    <w:p>
      <w:pPr>
        <w:ind w:right="80" w:firstLine="514"/>
        <w:spacing w:after="0" w:line="309" w:lineRule="auto"/>
        <w:tabs>
          <w:tab w:leader="none" w:pos="709" w:val="left"/>
        </w:tabs>
        <w:numPr>
          <w:ilvl w:val="1"/>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Cashless Exercise</w:t>
      </w:r>
      <w:r>
        <w:rPr>
          <w:rFonts w:ascii="Times New Roman" w:cs="Times New Roman" w:eastAsia="Times New Roman" w:hAnsi="Times New Roman"/>
          <w:sz w:val="14"/>
          <w:szCs w:val="14"/>
          <w:color w:val="auto"/>
        </w:rPr>
        <w:t>” means, to the extent that a Stock Option Agreement so provides and as permitted by applicable law and in accordance with any procedures established by the Committee, an arrangement whereby payment of some or all of the aggregate Exercise Price may be made all or in part by delivery of an irrevocable direction to a securities broker to sell Shares and to deliver all or part of the sale proceeds to the Company. Cashless Exercise may also be utilized to satisfy an Option’s tax withholding obligations as provided in Section 14(b).</w:t>
      </w:r>
    </w:p>
    <w:p>
      <w:pPr>
        <w:spacing w:after="0" w:line="46" w:lineRule="exact"/>
        <w:rPr>
          <w:rFonts w:ascii="Times New Roman" w:cs="Times New Roman" w:eastAsia="Times New Roman" w:hAnsi="Times New Roman"/>
          <w:sz w:val="14"/>
          <w:szCs w:val="14"/>
          <w:color w:val="auto"/>
        </w:rPr>
      </w:pPr>
    </w:p>
    <w:p>
      <w:pPr>
        <w:ind w:left="720" w:hanging="206"/>
        <w:spacing w:after="0"/>
        <w:tabs>
          <w:tab w:leader="none" w:pos="720" w:val="left"/>
        </w:tabs>
        <w:numPr>
          <w:ilvl w:val="1"/>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Cause</w:t>
      </w:r>
      <w:r>
        <w:rPr>
          <w:rFonts w:ascii="Times New Roman" w:cs="Times New Roman" w:eastAsia="Times New Roman" w:hAnsi="Times New Roman"/>
          <w:sz w:val="14"/>
          <w:szCs w:val="14"/>
          <w:color w:val="auto"/>
        </w:rPr>
        <w:t>” means, except as may otherwise be provided in a Participant’s employment agreement or applicable Award Agreement (and in such case the employment agreement or Award</w:t>
      </w:r>
    </w:p>
    <w:p>
      <w:pPr>
        <w:spacing w:after="0" w:line="40" w:lineRule="exact"/>
        <w:rPr>
          <w:rFonts w:ascii="Times New Roman" w:cs="Times New Roman" w:eastAsia="Times New Roman" w:hAnsi="Times New Roman"/>
          <w:sz w:val="14"/>
          <w:szCs w:val="14"/>
          <w:color w:val="auto"/>
        </w:rPr>
      </w:pPr>
    </w:p>
    <w:p>
      <w:pPr>
        <w:jc w:val="both"/>
        <w:spacing w:after="0" w:line="295"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Agreement shall govern as to the definition of Cause), (i) dishonesty or fraud, (ii) serious willful misconduct, (iii) unauthorized use or disclosure of confidential information or trade secrets, (iv) conviction or confession of a felony, or (v) any other act or omission by a Participant that, in the opinion of the Company, could reasonably be expected to adversely affect the Company’s or a Subsidiary’s or an Affiliate’s business, financial condition, prospects and/or reputation. In each of the foregoing subclauses (i) through (v), whether or not a “Cause” event has occurred will be</w:t>
      </w:r>
    </w:p>
    <w:p>
      <w:pPr>
        <w:jc w:val="both"/>
        <w:spacing w:after="0" w:line="292"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determined by the Company’s chief human resources officer or other person performing that function or, in the case of Participants who are Directors or Officers or Section 16 Persons, the Board, each of whose determination shall be final, conclusive and binding. A Participant’s Service shall be deemed to have terminated for Cause if, after the Participant’s Service has terminated, facts and</w:t>
      </w:r>
    </w:p>
    <w:p>
      <w:pPr>
        <w:spacing w:after="0" w:line="319"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circumstances are discovered that would have justified a termination for Cause, including, without limitation, violation of material Company policies or breach of confidentiality or other restrictive covenants that may apply to the Participant.</w:t>
      </w:r>
    </w:p>
    <w:p>
      <w:pPr>
        <w:spacing w:after="0" w:line="49" w:lineRule="exact"/>
        <w:rPr>
          <w:rFonts w:ascii="Times New Roman" w:cs="Times New Roman" w:eastAsia="Times New Roman" w:hAnsi="Times New Roman"/>
          <w:sz w:val="14"/>
          <w:szCs w:val="14"/>
          <w:color w:val="auto"/>
        </w:rPr>
      </w:pPr>
    </w:p>
    <w:p>
      <w:pPr>
        <w:jc w:val="both"/>
        <w:ind w:firstLine="514"/>
        <w:spacing w:after="0" w:line="289" w:lineRule="auto"/>
        <w:tabs>
          <w:tab w:leader="none" w:pos="678" w:val="left"/>
        </w:tabs>
        <w:numPr>
          <w:ilvl w:val="1"/>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Change in Control</w:t>
      </w:r>
      <w:r>
        <w:rPr>
          <w:rFonts w:ascii="Times New Roman" w:cs="Times New Roman" w:eastAsia="Times New Roman" w:hAnsi="Times New Roman"/>
          <w:sz w:val="14"/>
          <w:szCs w:val="14"/>
          <w:color w:val="auto"/>
        </w:rPr>
        <w:t>” means, except as may otherwise be provided in a Participant’s employment agreement or applicable Award Agreement (and in such case the employment agreement or Award Agreement shall govern as to the definition of Change in Control), the occurrence of any one or more of the following: (i) any merger, consolidation or business combination in which the stockholders of the Company immediately prior to the merger, consolidation or business combination do not own at least a majority of the outstanding equity interests of the surviving parent entity,</w:t>
      </w:r>
    </w:p>
    <w:p>
      <w:pPr>
        <w:spacing w:after="0" w:line="1" w:lineRule="exact"/>
        <w:rPr>
          <w:rFonts w:ascii="Times New Roman" w:cs="Times New Roman" w:eastAsia="Times New Roman" w:hAnsi="Times New Roman"/>
          <w:sz w:val="14"/>
          <w:szCs w:val="14"/>
          <w:color w:val="auto"/>
        </w:rPr>
      </w:pPr>
    </w:p>
    <w:p>
      <w:pPr>
        <w:ind w:left="220" w:hanging="215"/>
        <w:spacing w:after="0"/>
        <w:tabs>
          <w:tab w:leader="none" w:pos="22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sale of all or substantially all of the Company's assets, (iii) the acquisition of beneficial ownership or control of (including, without limitation, power to vote) a majority of the outstanding</w:t>
      </w:r>
    </w:p>
    <w:p>
      <w:pPr>
        <w:spacing w:after="0" w:line="40" w:lineRule="exact"/>
        <w:rPr>
          <w:rFonts w:ascii="Times New Roman" w:cs="Times New Roman" w:eastAsia="Times New Roman" w:hAnsi="Times New Roman"/>
          <w:sz w:val="14"/>
          <w:szCs w:val="14"/>
          <w:color w:val="auto"/>
        </w:rPr>
      </w:pPr>
    </w:p>
    <w:p>
      <w:pPr>
        <w:spacing w:after="0" w:line="319"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Shares by any person or entity (including a “group” as defined by or under Section 13(d)(3) of the Exchange Act), (iv) the dissolution or liquidation of the Company, or (v) a contested election of directors, as a result of which or in connection with which the persons who were directors of the Company before such election or their nominees cease to constitute a majority of the Board.</w:t>
      </w:r>
    </w:p>
    <w:p>
      <w:pPr>
        <w:spacing w:after="0" w:line="49" w:lineRule="exact"/>
        <w:rPr>
          <w:sz w:val="20"/>
          <w:szCs w:val="20"/>
          <w:color w:val="auto"/>
        </w:rPr>
      </w:pPr>
    </w:p>
    <w:p>
      <w:pPr>
        <w:jc w:val="both"/>
        <w:ind w:firstLine="509"/>
        <w:spacing w:after="0" w:line="301" w:lineRule="auto"/>
        <w:rPr>
          <w:sz w:val="20"/>
          <w:szCs w:val="20"/>
          <w:color w:val="auto"/>
        </w:rPr>
      </w:pPr>
      <w:r>
        <w:rPr>
          <w:rFonts w:ascii="Times New Roman" w:cs="Times New Roman" w:eastAsia="Times New Roman" w:hAnsi="Times New Roman"/>
          <w:sz w:val="14"/>
          <w:szCs w:val="14"/>
          <w:color w:val="auto"/>
        </w:rPr>
        <w:t>A transaction shall not constitute a Change in Control if its sole purpose is to change the state of the Company's incorporation or to create a holding company that will be owned in substantially the same proportions by the persons who held the Company's securities immediately before such transactions. In addition, if a Change in Control constitutes a payment event with respect to any Award which provides for a deferral of compensation and is subject to Code Section 409A, then notwithstanding anything to the contrary in the Plan or applicable Award Agreement the transaction with respect to such Award must also constitute a “change in control event” as defined in Treasury Regulation Section 1.409A-3(i)(5) to the extent required by Code Section 409A.</w:t>
      </w:r>
    </w:p>
    <w:p>
      <w:pPr>
        <w:spacing w:after="0" w:line="62" w:lineRule="exact"/>
        <w:rPr>
          <w:sz w:val="20"/>
          <w:szCs w:val="20"/>
          <w:color w:val="auto"/>
        </w:rPr>
      </w:pPr>
    </w:p>
    <w:p>
      <w:pPr>
        <w:ind w:left="780" w:hanging="266"/>
        <w:spacing w:after="0"/>
        <w:tabs>
          <w:tab w:leader="none" w:pos="78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Code</w:t>
      </w:r>
      <w:r>
        <w:rPr>
          <w:rFonts w:ascii="Times New Roman" w:cs="Times New Roman" w:eastAsia="Times New Roman" w:hAnsi="Times New Roman"/>
          <w:sz w:val="14"/>
          <w:szCs w:val="14"/>
          <w:color w:val="auto"/>
        </w:rPr>
        <w:t>” means the Internal Revenue Code of 1986, as amended, and the regulations and interpretations promulgated thereunder.</w:t>
      </w:r>
    </w:p>
    <w:p>
      <w:pPr>
        <w:spacing w:after="0" w:line="125" w:lineRule="exact"/>
        <w:rPr>
          <w:rFonts w:ascii="Times New Roman" w:cs="Times New Roman" w:eastAsia="Times New Roman" w:hAnsi="Times New Roman"/>
          <w:sz w:val="14"/>
          <w:szCs w:val="14"/>
          <w:color w:val="auto"/>
        </w:rPr>
      </w:pPr>
    </w:p>
    <w:p>
      <w:pPr>
        <w:ind w:left="820" w:hanging="306"/>
        <w:spacing w:after="0"/>
        <w:tabs>
          <w:tab w:leader="none" w:pos="82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Committee</w:t>
      </w:r>
      <w:r>
        <w:rPr>
          <w:rFonts w:ascii="Times New Roman" w:cs="Times New Roman" w:eastAsia="Times New Roman" w:hAnsi="Times New Roman"/>
          <w:sz w:val="14"/>
          <w:szCs w:val="14"/>
          <w:color w:val="auto"/>
        </w:rPr>
        <w:t>” means a committee described in Section 3.</w:t>
      </w: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w:t>
      </w:r>
    </w:p>
    <w:p>
      <w:pPr>
        <w:sectPr>
          <w:pgSz w:w="11900" w:h="16838" w:orient="portrait"/>
          <w:cols w:equalWidth="0" w:num="1">
            <w:col w:w="11280"/>
          </w:cols>
          <w:pgMar w:left="300" w:top="740" w:right="319" w:bottom="1440" w:gutter="0" w:footer="0" w:header="0"/>
        </w:sectPr>
      </w:pPr>
    </w:p>
    <w:bookmarkStart w:id="88" w:name="page89"/>
    <w:bookmarkEnd w:id="88"/>
    <w:p>
      <w:pPr>
        <w:ind w:firstLine="514"/>
        <w:spacing w:after="0" w:line="319" w:lineRule="auto"/>
        <w:tabs>
          <w:tab w:leader="none" w:pos="784"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Common Stock</w:t>
      </w:r>
      <w:r>
        <w:rPr>
          <w:rFonts w:ascii="Times New Roman" w:cs="Times New Roman" w:eastAsia="Times New Roman" w:hAnsi="Times New Roman"/>
          <w:sz w:val="14"/>
          <w:szCs w:val="14"/>
          <w:color w:val="auto"/>
        </w:rPr>
        <w:t>” means the Company’s common stock, $0.001 par value per Share, and any other securities into which such shares are changed, for which such shares are exchanged or which may be issued in respect thereof.</w:t>
      </w:r>
    </w:p>
    <w:p>
      <w:pPr>
        <w:spacing w:after="0" w:line="49" w:lineRule="exact"/>
        <w:rPr>
          <w:rFonts w:ascii="Times New Roman" w:cs="Times New Roman" w:eastAsia="Times New Roman" w:hAnsi="Times New Roman"/>
          <w:sz w:val="14"/>
          <w:szCs w:val="14"/>
          <w:color w:val="auto"/>
        </w:rPr>
      </w:pPr>
    </w:p>
    <w:p>
      <w:pPr>
        <w:ind w:left="860" w:hanging="346"/>
        <w:spacing w:after="0"/>
        <w:tabs>
          <w:tab w:leader="none" w:pos="86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Company</w:t>
      </w:r>
      <w:r>
        <w:rPr>
          <w:rFonts w:ascii="Times New Roman" w:cs="Times New Roman" w:eastAsia="Times New Roman" w:hAnsi="Times New Roman"/>
          <w:sz w:val="14"/>
          <w:szCs w:val="14"/>
          <w:color w:val="auto"/>
        </w:rPr>
        <w:t>” means LifeVantage Corporation, a Colorado corporation.</w:t>
      </w:r>
    </w:p>
    <w:p>
      <w:pPr>
        <w:spacing w:after="0" w:line="114" w:lineRule="exact"/>
        <w:rPr>
          <w:rFonts w:ascii="Times New Roman" w:cs="Times New Roman" w:eastAsia="Times New Roman" w:hAnsi="Times New Roman"/>
          <w:sz w:val="14"/>
          <w:szCs w:val="14"/>
          <w:color w:val="auto"/>
        </w:rPr>
      </w:pPr>
    </w:p>
    <w:p>
      <w:pPr>
        <w:ind w:firstLine="514"/>
        <w:spacing w:after="0" w:line="334" w:lineRule="auto"/>
        <w:tabs>
          <w:tab w:leader="none" w:pos="869"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Consultant</w:t>
      </w:r>
      <w:r>
        <w:rPr>
          <w:rFonts w:ascii="Times New Roman" w:cs="Times New Roman" w:eastAsia="Times New Roman" w:hAnsi="Times New Roman"/>
          <w:sz w:val="14"/>
          <w:szCs w:val="14"/>
          <w:color w:val="auto"/>
        </w:rPr>
        <w:t>” means a consultant or adviser who provides bona fide services to the Company, a Parent, a Subsidiary or an Affiliate, other than as an Employee, Director or Non-Employee Director and who qualifies as a consultant or adviser under Instruction A.1.(a)(1) of Form S-8 under the Securities Act.</w:t>
      </w:r>
    </w:p>
    <w:p>
      <w:pPr>
        <w:spacing w:after="0" w:line="29" w:lineRule="exact"/>
        <w:rPr>
          <w:rFonts w:ascii="Times New Roman" w:cs="Times New Roman" w:eastAsia="Times New Roman" w:hAnsi="Times New Roman"/>
          <w:sz w:val="14"/>
          <w:szCs w:val="14"/>
          <w:color w:val="auto"/>
        </w:rPr>
      </w:pPr>
    </w:p>
    <w:p>
      <w:pPr>
        <w:ind w:left="820" w:hanging="306"/>
        <w:spacing w:after="0"/>
        <w:tabs>
          <w:tab w:leader="none" w:pos="82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Covered Employees</w:t>
      </w:r>
      <w:r>
        <w:rPr>
          <w:rFonts w:ascii="Times New Roman" w:cs="Times New Roman" w:eastAsia="Times New Roman" w:hAnsi="Times New Roman"/>
          <w:sz w:val="14"/>
          <w:szCs w:val="14"/>
          <w:color w:val="auto"/>
        </w:rPr>
        <w:t>” means those individuals whose compensation is subject to the deduction limitations of Code Section 162(m).</w:t>
      </w:r>
    </w:p>
    <w:p>
      <w:pPr>
        <w:spacing w:after="0" w:line="125" w:lineRule="exact"/>
        <w:rPr>
          <w:rFonts w:ascii="Times New Roman" w:cs="Times New Roman" w:eastAsia="Times New Roman" w:hAnsi="Times New Roman"/>
          <w:sz w:val="14"/>
          <w:szCs w:val="14"/>
          <w:color w:val="auto"/>
        </w:rPr>
      </w:pPr>
    </w:p>
    <w:p>
      <w:pPr>
        <w:ind w:left="860" w:hanging="346"/>
        <w:spacing w:after="0"/>
        <w:tabs>
          <w:tab w:leader="none" w:pos="86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Director</w:t>
      </w:r>
      <w:r>
        <w:rPr>
          <w:rFonts w:ascii="Times New Roman" w:cs="Times New Roman" w:eastAsia="Times New Roman" w:hAnsi="Times New Roman"/>
          <w:sz w:val="14"/>
          <w:szCs w:val="14"/>
          <w:color w:val="auto"/>
        </w:rPr>
        <w:t>” means a member of the Board who is also an Employee.</w:t>
      </w:r>
    </w:p>
    <w:p>
      <w:pPr>
        <w:spacing w:after="0" w:line="114" w:lineRule="exact"/>
        <w:rPr>
          <w:rFonts w:ascii="Times New Roman" w:cs="Times New Roman" w:eastAsia="Times New Roman" w:hAnsi="Times New Roman"/>
          <w:sz w:val="14"/>
          <w:szCs w:val="14"/>
          <w:color w:val="auto"/>
        </w:rPr>
      </w:pPr>
    </w:p>
    <w:p>
      <w:pPr>
        <w:ind w:left="860" w:hanging="346"/>
        <w:spacing w:after="0"/>
        <w:tabs>
          <w:tab w:leader="none" w:pos="86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Disability</w:t>
      </w:r>
      <w:r>
        <w:rPr>
          <w:rFonts w:ascii="Times New Roman" w:cs="Times New Roman" w:eastAsia="Times New Roman" w:hAnsi="Times New Roman"/>
          <w:sz w:val="14"/>
          <w:szCs w:val="14"/>
          <w:color w:val="auto"/>
        </w:rPr>
        <w:t>” means, except as may otherwise be provided in a Participant’s employment agreement or applicable Award Agreement (and in such case the employment agreement or</w:t>
      </w:r>
    </w:p>
    <w:p>
      <w:pPr>
        <w:spacing w:after="0" w:line="40" w:lineRule="exact"/>
        <w:rPr>
          <w:rFonts w:ascii="Times New Roman" w:cs="Times New Roman" w:eastAsia="Times New Roman" w:hAnsi="Times New Roman"/>
          <w:sz w:val="14"/>
          <w:szCs w:val="14"/>
          <w:color w:val="auto"/>
        </w:rPr>
      </w:pPr>
    </w:p>
    <w:p>
      <w:pPr>
        <w:jc w:val="both"/>
        <w:spacing w:after="0" w:line="309"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Award Agreement shall govern as to the definition of Disability), that the Participant is classified as disabled under a long-term disability policy of the Company or, if no such policy applies, the Participant is unable to engage in any substantial gainful activity by reason of any medically determinable physical or mental impairment which can be expected to result in death or which has lasted or can be expected to last for a continuous period of not less than 12 months.</w:t>
      </w:r>
    </w:p>
    <w:p>
      <w:pPr>
        <w:spacing w:after="0" w:line="46" w:lineRule="exact"/>
        <w:rPr>
          <w:rFonts w:ascii="Times New Roman" w:cs="Times New Roman" w:eastAsia="Times New Roman" w:hAnsi="Times New Roman"/>
          <w:sz w:val="14"/>
          <w:szCs w:val="14"/>
          <w:color w:val="auto"/>
        </w:rPr>
      </w:pPr>
    </w:p>
    <w:p>
      <w:pPr>
        <w:ind w:left="800" w:hanging="286"/>
        <w:spacing w:after="0"/>
        <w:tabs>
          <w:tab w:leader="none" w:pos="80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Employee</w:t>
      </w:r>
      <w:r>
        <w:rPr>
          <w:rFonts w:ascii="Times New Roman" w:cs="Times New Roman" w:eastAsia="Times New Roman" w:hAnsi="Times New Roman"/>
          <w:sz w:val="14"/>
          <w:szCs w:val="14"/>
          <w:color w:val="auto"/>
        </w:rPr>
        <w:t>” means any individual who is a common-law employee of the Company, or of a Parent, or of a Subsidiary or of an Affiliate.</w:t>
      </w:r>
    </w:p>
    <w:p>
      <w:pPr>
        <w:spacing w:after="0" w:line="125" w:lineRule="exact"/>
        <w:rPr>
          <w:rFonts w:ascii="Times New Roman" w:cs="Times New Roman" w:eastAsia="Times New Roman" w:hAnsi="Times New Roman"/>
          <w:sz w:val="14"/>
          <w:szCs w:val="14"/>
          <w:color w:val="auto"/>
        </w:rPr>
      </w:pPr>
    </w:p>
    <w:p>
      <w:pPr>
        <w:ind w:left="800" w:hanging="286"/>
        <w:spacing w:after="0"/>
        <w:tabs>
          <w:tab w:leader="none" w:pos="80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Equity Award</w:t>
      </w:r>
      <w:r>
        <w:rPr>
          <w:rFonts w:ascii="Times New Roman" w:cs="Times New Roman" w:eastAsia="Times New Roman" w:hAnsi="Times New Roman"/>
          <w:sz w:val="14"/>
          <w:szCs w:val="14"/>
          <w:color w:val="auto"/>
        </w:rPr>
        <w:t>” means any Award other than a Cash Award.</w:t>
      </w:r>
    </w:p>
    <w:p>
      <w:pPr>
        <w:spacing w:after="0" w:line="125" w:lineRule="exact"/>
        <w:rPr>
          <w:rFonts w:ascii="Times New Roman" w:cs="Times New Roman" w:eastAsia="Times New Roman" w:hAnsi="Times New Roman"/>
          <w:sz w:val="14"/>
          <w:szCs w:val="14"/>
          <w:color w:val="auto"/>
        </w:rPr>
      </w:pPr>
    </w:p>
    <w:p>
      <w:pPr>
        <w:ind w:left="780" w:hanging="266"/>
        <w:spacing w:after="0"/>
        <w:tabs>
          <w:tab w:leader="none" w:pos="78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Exchange Act</w:t>
      </w:r>
      <w:r>
        <w:rPr>
          <w:rFonts w:ascii="Times New Roman" w:cs="Times New Roman" w:eastAsia="Times New Roman" w:hAnsi="Times New Roman"/>
          <w:sz w:val="14"/>
          <w:szCs w:val="14"/>
          <w:color w:val="auto"/>
        </w:rPr>
        <w:t>” means the Securities Exchange Act of 1934, as amended.</w:t>
      </w:r>
    </w:p>
    <w:p>
      <w:pPr>
        <w:spacing w:after="0" w:line="114" w:lineRule="exact"/>
        <w:rPr>
          <w:rFonts w:ascii="Times New Roman" w:cs="Times New Roman" w:eastAsia="Times New Roman" w:hAnsi="Times New Roman"/>
          <w:sz w:val="14"/>
          <w:szCs w:val="14"/>
          <w:color w:val="auto"/>
        </w:rPr>
      </w:pPr>
    </w:p>
    <w:p>
      <w:pPr>
        <w:ind w:left="820" w:hanging="306"/>
        <w:spacing w:after="0"/>
        <w:tabs>
          <w:tab w:leader="none" w:pos="82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Exercise Price</w:t>
      </w:r>
      <w:r>
        <w:rPr>
          <w:rFonts w:ascii="Times New Roman" w:cs="Times New Roman" w:eastAsia="Times New Roman" w:hAnsi="Times New Roman"/>
          <w:sz w:val="14"/>
          <w:szCs w:val="14"/>
          <w:color w:val="auto"/>
        </w:rPr>
        <w:t>” means, in the case of an Option, the amount for which a Share may be purchased upon exercise of such Option, as specified in the applicable Stock Option Agreement.</w:t>
      </w:r>
    </w:p>
    <w:p>
      <w:pPr>
        <w:spacing w:after="0" w:line="40" w:lineRule="exact"/>
        <w:rPr>
          <w:rFonts w:ascii="Times New Roman" w:cs="Times New Roman" w:eastAsia="Times New Roman" w:hAnsi="Times New Roman"/>
          <w:sz w:val="14"/>
          <w:szCs w:val="14"/>
          <w:color w:val="auto"/>
        </w:rPr>
      </w:pPr>
    </w:p>
    <w:p>
      <w:pPr>
        <w:spacing w:after="0" w:line="319"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Exercise Price</w:t>
      </w:r>
      <w:r>
        <w:rPr>
          <w:rFonts w:ascii="Times New Roman" w:cs="Times New Roman" w:eastAsia="Times New Roman" w:hAnsi="Times New Roman"/>
          <w:sz w:val="14"/>
          <w:szCs w:val="14"/>
          <w:color w:val="auto"/>
        </w:rPr>
        <w:t>,” in the case of a SAR, means an amount, as specified in the applicable SAR Agreement, which is subtracted from the Fair Market Value in determining the amount payable to a Participant upon exercise of such SAR.</w:t>
      </w:r>
    </w:p>
    <w:p>
      <w:pPr>
        <w:spacing w:after="0" w:line="49" w:lineRule="exact"/>
        <w:rPr>
          <w:rFonts w:ascii="Times New Roman" w:cs="Times New Roman" w:eastAsia="Times New Roman" w:hAnsi="Times New Roman"/>
          <w:sz w:val="14"/>
          <w:szCs w:val="14"/>
          <w:color w:val="auto"/>
        </w:rPr>
      </w:pPr>
    </w:p>
    <w:p>
      <w:pPr>
        <w:ind w:left="820" w:hanging="306"/>
        <w:spacing w:after="0"/>
        <w:tabs>
          <w:tab w:leader="none" w:pos="82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Fair Market Value</w:t>
      </w:r>
      <w:r>
        <w:rPr>
          <w:rFonts w:ascii="Times New Roman" w:cs="Times New Roman" w:eastAsia="Times New Roman" w:hAnsi="Times New Roman"/>
          <w:sz w:val="14"/>
          <w:szCs w:val="14"/>
          <w:color w:val="auto"/>
        </w:rPr>
        <w:t>” means the market price of a Share, determined by the Committee as follows:</w:t>
      </w:r>
    </w:p>
    <w:p>
      <w:pPr>
        <w:spacing w:after="0" w:line="114" w:lineRule="exact"/>
        <w:rPr>
          <w:rFonts w:ascii="Times New Roman" w:cs="Times New Roman" w:eastAsia="Times New Roman" w:hAnsi="Times New Roman"/>
          <w:sz w:val="14"/>
          <w:szCs w:val="14"/>
          <w:color w:val="auto"/>
        </w:rPr>
      </w:pPr>
    </w:p>
    <w:p>
      <w:pPr>
        <w:ind w:left="1320" w:hanging="297"/>
        <w:spacing w:after="0"/>
        <w:tabs>
          <w:tab w:leader="none" w:pos="1320" w:val="left"/>
        </w:tabs>
        <w:numPr>
          <w:ilvl w:val="1"/>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the Shares are traded on a stock exchange (such as the New York Stock Exchange, NYSE MKT, the NASDAQ Global Market or NASDAQ Capital Market) at the time of</w:t>
      </w:r>
    </w:p>
    <w:p>
      <w:pPr>
        <w:spacing w:after="0" w:line="40" w:lineRule="exact"/>
        <w:rPr>
          <w:rFonts w:ascii="Times New Roman" w:cs="Times New Roman" w:eastAsia="Times New Roman" w:hAnsi="Times New Roman"/>
          <w:sz w:val="14"/>
          <w:szCs w:val="14"/>
          <w:color w:val="auto"/>
        </w:rPr>
      </w:pPr>
    </w:p>
    <w:p>
      <w:pPr>
        <w:spacing w:after="0" w:line="319"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determination, then the Fair Market Value shall be equal to the regular session closing price for such stock as reported by such exchange (or the exchange or market with the greatest volume of trading in the Shares) on the date of determination, or if there are no sales on such date, on the last date preceding such date on which a closing price was reported;</w:t>
      </w:r>
    </w:p>
    <w:p>
      <w:pPr>
        <w:spacing w:after="0" w:line="49" w:lineRule="exact"/>
        <w:rPr>
          <w:rFonts w:ascii="Times New Roman" w:cs="Times New Roman" w:eastAsia="Times New Roman" w:hAnsi="Times New Roman"/>
          <w:sz w:val="14"/>
          <w:szCs w:val="14"/>
          <w:color w:val="auto"/>
        </w:rPr>
      </w:pPr>
    </w:p>
    <w:p>
      <w:pPr>
        <w:ind w:firstLine="1023"/>
        <w:spacing w:after="0" w:line="319" w:lineRule="auto"/>
        <w:tabs>
          <w:tab w:leader="none" w:pos="1353" w:val="left"/>
        </w:tabs>
        <w:numPr>
          <w:ilvl w:val="1"/>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the Shares are traded on the OTC Bulletin Board at the time of determination, then the Fair Market Value shall be equal to the last-sale price reported by the OTC Bulletin Board for such date, or if there are no sales on such date, on the last date preceding such date on which a sale was reported; and</w:t>
      </w:r>
    </w:p>
    <w:p>
      <w:pPr>
        <w:spacing w:after="0" w:line="49" w:lineRule="exact"/>
        <w:rPr>
          <w:rFonts w:ascii="Times New Roman" w:cs="Times New Roman" w:eastAsia="Times New Roman" w:hAnsi="Times New Roman"/>
          <w:sz w:val="14"/>
          <w:szCs w:val="14"/>
          <w:color w:val="auto"/>
        </w:rPr>
      </w:pPr>
    </w:p>
    <w:p>
      <w:pPr>
        <w:ind w:firstLine="1023"/>
        <w:spacing w:after="0" w:line="319" w:lineRule="auto"/>
        <w:tabs>
          <w:tab w:leader="none" w:pos="1441" w:val="left"/>
        </w:tabs>
        <w:numPr>
          <w:ilvl w:val="1"/>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neither of the foregoing provisions is applicable, then the Fair Market Value shall be determined by the Committee in good faith using a reasonable application of a reasonable valuation method as the Committee deems appropriate.</w:t>
      </w:r>
    </w:p>
    <w:p>
      <w:pPr>
        <w:spacing w:after="0" w:line="49" w:lineRule="exact"/>
        <w:rPr>
          <w:sz w:val="20"/>
          <w:szCs w:val="20"/>
          <w:color w:val="auto"/>
        </w:rPr>
      </w:pPr>
    </w:p>
    <w:p>
      <w:pPr>
        <w:ind w:firstLine="509"/>
        <w:spacing w:after="0" w:line="319" w:lineRule="auto"/>
        <w:rPr>
          <w:sz w:val="20"/>
          <w:szCs w:val="20"/>
          <w:color w:val="auto"/>
        </w:rPr>
      </w:pPr>
      <w:r>
        <w:rPr>
          <w:rFonts w:ascii="Times New Roman" w:cs="Times New Roman" w:eastAsia="Times New Roman" w:hAnsi="Times New Roman"/>
          <w:sz w:val="14"/>
          <w:szCs w:val="14"/>
          <w:color w:val="auto"/>
        </w:rPr>
        <w:t>Whenever possible, the determination of Fair Market Value by the Committee shall be based on the prices reported by the applicable exchange or the OTC Bulletin Board, as applicable, or a nationally recognized publisher of stock prices or quotations (including an electronic on-line publication). Such determination shall be conclusive and binding on all persons.</w:t>
      </w:r>
    </w:p>
    <w:p>
      <w:pPr>
        <w:spacing w:after="0" w:line="49" w:lineRule="exact"/>
        <w:rPr>
          <w:sz w:val="20"/>
          <w:szCs w:val="20"/>
          <w:color w:val="auto"/>
        </w:rPr>
      </w:pPr>
    </w:p>
    <w:p>
      <w:pPr>
        <w:ind w:left="860" w:hanging="346"/>
        <w:spacing w:after="0"/>
        <w:tabs>
          <w:tab w:leader="none" w:pos="86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Fiscal Year</w:t>
      </w:r>
      <w:r>
        <w:rPr>
          <w:rFonts w:ascii="Times New Roman" w:cs="Times New Roman" w:eastAsia="Times New Roman" w:hAnsi="Times New Roman"/>
          <w:sz w:val="14"/>
          <w:szCs w:val="14"/>
          <w:color w:val="auto"/>
        </w:rPr>
        <w:t>” means the Company’s fiscal year.</w:t>
      </w:r>
    </w:p>
    <w:p>
      <w:pPr>
        <w:spacing w:after="0" w:line="125" w:lineRule="exact"/>
        <w:rPr>
          <w:rFonts w:ascii="Times New Roman" w:cs="Times New Roman" w:eastAsia="Times New Roman" w:hAnsi="Times New Roman"/>
          <w:sz w:val="14"/>
          <w:szCs w:val="14"/>
          <w:color w:val="auto"/>
        </w:rPr>
      </w:pPr>
    </w:p>
    <w:p>
      <w:pPr>
        <w:ind w:left="820" w:hanging="306"/>
        <w:spacing w:after="0"/>
        <w:tabs>
          <w:tab w:leader="none" w:pos="82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Incentive Stock Option</w:t>
      </w:r>
      <w:r>
        <w:rPr>
          <w:rFonts w:ascii="Times New Roman" w:cs="Times New Roman" w:eastAsia="Times New Roman" w:hAnsi="Times New Roman"/>
          <w:sz w:val="14"/>
          <w:szCs w:val="14"/>
          <w:color w:val="auto"/>
        </w:rPr>
        <w:t>” or “</w:t>
      </w:r>
      <w:r>
        <w:rPr>
          <w:rFonts w:ascii="Times New Roman" w:cs="Times New Roman" w:eastAsia="Times New Roman" w:hAnsi="Times New Roman"/>
          <w:sz w:val="14"/>
          <w:szCs w:val="14"/>
          <w:u w:val="single" w:color="auto"/>
          <w:color w:val="auto"/>
        </w:rPr>
        <w:t>ISO</w:t>
      </w:r>
      <w:r>
        <w:rPr>
          <w:rFonts w:ascii="Times New Roman" w:cs="Times New Roman" w:eastAsia="Times New Roman" w:hAnsi="Times New Roman"/>
          <w:sz w:val="14"/>
          <w:szCs w:val="14"/>
          <w:color w:val="auto"/>
        </w:rPr>
        <w:t>” means an incentive stock option described in Code Section 422.</w:t>
      </w:r>
    </w:p>
    <w:p>
      <w:pPr>
        <w:spacing w:after="0" w:line="114" w:lineRule="exact"/>
        <w:rPr>
          <w:rFonts w:ascii="Times New Roman" w:cs="Times New Roman" w:eastAsia="Times New Roman" w:hAnsi="Times New Roman"/>
          <w:sz w:val="14"/>
          <w:szCs w:val="14"/>
          <w:color w:val="auto"/>
        </w:rPr>
      </w:pPr>
    </w:p>
    <w:p>
      <w:pPr>
        <w:ind w:firstLine="514"/>
        <w:spacing w:after="0" w:line="334" w:lineRule="auto"/>
        <w:tabs>
          <w:tab w:leader="none" w:pos="837"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Net Exercise</w:t>
      </w:r>
      <w:r>
        <w:rPr>
          <w:rFonts w:ascii="Times New Roman" w:cs="Times New Roman" w:eastAsia="Times New Roman" w:hAnsi="Times New Roman"/>
          <w:sz w:val="14"/>
          <w:szCs w:val="14"/>
          <w:color w:val="auto"/>
        </w:rPr>
        <w:t>” means, to the extent that a Stock Option Agreement so provides and as permitted by applicable law, an arrangement pursuant to which the number of Shares issued to the Optionee in connection with the Optionee’s exercise of the Option will be reduced by the Company’s retention of a portion of such Shares. Upon such a net</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w:t>
      </w:r>
    </w:p>
    <w:p>
      <w:pPr>
        <w:sectPr>
          <w:pgSz w:w="11900" w:h="16838" w:orient="portrait"/>
          <w:cols w:equalWidth="0" w:num="1">
            <w:col w:w="11280"/>
          </w:cols>
          <w:pgMar w:left="300" w:top="740" w:right="319" w:bottom="1440" w:gutter="0" w:footer="0" w:header="0"/>
        </w:sectPr>
      </w:pPr>
    </w:p>
    <w:bookmarkStart w:id="89" w:name="page90"/>
    <w:bookmarkEnd w:id="89"/>
    <w:p>
      <w:pPr>
        <w:spacing w:after="0" w:line="292" w:lineRule="auto"/>
        <w:rPr>
          <w:sz w:val="20"/>
          <w:szCs w:val="20"/>
          <w:color w:val="auto"/>
        </w:rPr>
      </w:pPr>
      <w:r>
        <w:rPr>
          <w:rFonts w:ascii="Times New Roman" w:cs="Times New Roman" w:eastAsia="Times New Roman" w:hAnsi="Times New Roman"/>
          <w:sz w:val="14"/>
          <w:szCs w:val="14"/>
          <w:color w:val="auto"/>
        </w:rPr>
        <w:t>exercise of an Option, the Optionee will receive a net number of Shares that is equal to (i) the number of Shares as to which the Option is being exercised minus (ii) the quotient (rounded down to the nearest whole number) of the aggregate Exercise Price of the Shares being exercised divided by the Fair Market Value of a Share on the Option exercise date. The number of Shares covered by clause</w:t>
      </w:r>
    </w:p>
    <w:p>
      <w:pPr>
        <w:spacing w:after="0" w:line="1" w:lineRule="exact"/>
        <w:rPr>
          <w:sz w:val="20"/>
          <w:szCs w:val="20"/>
          <w:color w:val="auto"/>
        </w:rPr>
      </w:pPr>
    </w:p>
    <w:p>
      <w:pPr>
        <w:jc w:val="both"/>
        <w:ind w:firstLine="5"/>
        <w:spacing w:after="0" w:line="309" w:lineRule="auto"/>
        <w:tabs>
          <w:tab w:leader="none" w:pos="208"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will be retained by the Company and not delivered to the Optionee. No fractional Shares will be created as a result of a Net Exercise and the Optionee must contemporaneously pay for any portion of the aggregate Exercise Price that is not covered by the Shares retained by the Company under clause (ii). The number of Shares delivered to the Optionee may be further reduced if Net Exercise is utilized under Section 14(b) to satisfy applicable tax withholding obligations.</w:t>
      </w:r>
    </w:p>
    <w:p>
      <w:pPr>
        <w:spacing w:after="0" w:line="46" w:lineRule="exact"/>
        <w:rPr>
          <w:rFonts w:ascii="Times New Roman" w:cs="Times New Roman" w:eastAsia="Times New Roman" w:hAnsi="Times New Roman"/>
          <w:sz w:val="14"/>
          <w:szCs w:val="14"/>
          <w:color w:val="auto"/>
        </w:rPr>
      </w:pPr>
    </w:p>
    <w:p>
      <w:pPr>
        <w:ind w:left="820" w:hanging="306"/>
        <w:spacing w:after="0"/>
        <w:tabs>
          <w:tab w:leader="none" w:pos="820" w:val="left"/>
        </w:tabs>
        <w:numPr>
          <w:ilvl w:val="1"/>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Non-Employee Director</w:t>
      </w:r>
      <w:r>
        <w:rPr>
          <w:rFonts w:ascii="Times New Roman" w:cs="Times New Roman" w:eastAsia="Times New Roman" w:hAnsi="Times New Roman"/>
          <w:sz w:val="14"/>
          <w:szCs w:val="14"/>
          <w:color w:val="auto"/>
        </w:rPr>
        <w:t>” means a member of the Board who is not an Employee.</w:t>
      </w:r>
    </w:p>
    <w:p>
      <w:pPr>
        <w:spacing w:after="0" w:line="125" w:lineRule="exact"/>
        <w:rPr>
          <w:sz w:val="20"/>
          <w:szCs w:val="20"/>
          <w:color w:val="auto"/>
        </w:rPr>
      </w:pPr>
    </w:p>
    <w:p>
      <w:pPr>
        <w:ind w:left="880" w:hanging="366"/>
        <w:spacing w:after="0"/>
        <w:tabs>
          <w:tab w:leader="none" w:pos="880" w:val="left"/>
        </w:tabs>
        <w:numPr>
          <w:ilvl w:val="1"/>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Nonstatutory Stock Option</w:t>
      </w:r>
      <w:r>
        <w:rPr>
          <w:rFonts w:ascii="Times New Roman" w:cs="Times New Roman" w:eastAsia="Times New Roman" w:hAnsi="Times New Roman"/>
          <w:sz w:val="14"/>
          <w:szCs w:val="14"/>
          <w:color w:val="auto"/>
        </w:rPr>
        <w:t>” or “</w:t>
      </w:r>
      <w:r>
        <w:rPr>
          <w:rFonts w:ascii="Times New Roman" w:cs="Times New Roman" w:eastAsia="Times New Roman" w:hAnsi="Times New Roman"/>
          <w:sz w:val="14"/>
          <w:szCs w:val="14"/>
          <w:u w:val="single" w:color="auto"/>
          <w:color w:val="auto"/>
        </w:rPr>
        <w:t>NSO</w:t>
      </w:r>
      <w:r>
        <w:rPr>
          <w:rFonts w:ascii="Times New Roman" w:cs="Times New Roman" w:eastAsia="Times New Roman" w:hAnsi="Times New Roman"/>
          <w:sz w:val="14"/>
          <w:szCs w:val="14"/>
          <w:color w:val="auto"/>
        </w:rPr>
        <w:t>” means a stock option that is not an ISO.</w:t>
      </w:r>
    </w:p>
    <w:p>
      <w:pPr>
        <w:spacing w:after="0" w:line="114" w:lineRule="exact"/>
        <w:rPr>
          <w:rFonts w:ascii="Times New Roman" w:cs="Times New Roman" w:eastAsia="Times New Roman" w:hAnsi="Times New Roman"/>
          <w:sz w:val="14"/>
          <w:szCs w:val="14"/>
          <w:color w:val="auto"/>
        </w:rPr>
      </w:pPr>
    </w:p>
    <w:p>
      <w:pPr>
        <w:ind w:left="900" w:hanging="386"/>
        <w:spacing w:after="0"/>
        <w:tabs>
          <w:tab w:leader="none" w:pos="900" w:val="left"/>
        </w:tabs>
        <w:numPr>
          <w:ilvl w:val="1"/>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Officer</w:t>
      </w:r>
      <w:r>
        <w:rPr>
          <w:rFonts w:ascii="Times New Roman" w:cs="Times New Roman" w:eastAsia="Times New Roman" w:hAnsi="Times New Roman"/>
          <w:sz w:val="14"/>
          <w:szCs w:val="14"/>
          <w:color w:val="auto"/>
        </w:rPr>
        <w:t>” means an individual who is an officer of the Company within the meaning of Rule 16a-1(f) of the Exchange Act.</w:t>
      </w:r>
    </w:p>
    <w:p>
      <w:pPr>
        <w:spacing w:after="0" w:line="125" w:lineRule="exact"/>
        <w:rPr>
          <w:rFonts w:ascii="Times New Roman" w:cs="Times New Roman" w:eastAsia="Times New Roman" w:hAnsi="Times New Roman"/>
          <w:sz w:val="14"/>
          <w:szCs w:val="14"/>
          <w:color w:val="auto"/>
        </w:rPr>
      </w:pPr>
    </w:p>
    <w:p>
      <w:pPr>
        <w:ind w:firstLine="514"/>
        <w:spacing w:after="0" w:line="319" w:lineRule="auto"/>
        <w:tabs>
          <w:tab w:leader="none" w:pos="913" w:val="left"/>
        </w:tabs>
        <w:numPr>
          <w:ilvl w:val="1"/>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Option</w:t>
      </w:r>
      <w:r>
        <w:rPr>
          <w:rFonts w:ascii="Times New Roman" w:cs="Times New Roman" w:eastAsia="Times New Roman" w:hAnsi="Times New Roman"/>
          <w:sz w:val="14"/>
          <w:szCs w:val="14"/>
          <w:color w:val="auto"/>
        </w:rPr>
        <w:t>” means an ISO or NSO granted under the Plan entitling the Optionee to purchase a specified number of Shares, at such times and applying a specified Exercise Price, as provided in the applicable Stock Option Agreement.</w:t>
      </w:r>
    </w:p>
    <w:p>
      <w:pPr>
        <w:spacing w:after="0" w:line="49" w:lineRule="exact"/>
        <w:rPr>
          <w:rFonts w:ascii="Times New Roman" w:cs="Times New Roman" w:eastAsia="Times New Roman" w:hAnsi="Times New Roman"/>
          <w:sz w:val="14"/>
          <w:szCs w:val="14"/>
          <w:color w:val="auto"/>
        </w:rPr>
      </w:pPr>
    </w:p>
    <w:p>
      <w:pPr>
        <w:ind w:left="900" w:hanging="386"/>
        <w:spacing w:after="0"/>
        <w:tabs>
          <w:tab w:leader="none" w:pos="900" w:val="left"/>
        </w:tabs>
        <w:numPr>
          <w:ilvl w:val="1"/>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Optionee</w:t>
      </w:r>
      <w:r>
        <w:rPr>
          <w:rFonts w:ascii="Times New Roman" w:cs="Times New Roman" w:eastAsia="Times New Roman" w:hAnsi="Times New Roman"/>
          <w:sz w:val="14"/>
          <w:szCs w:val="14"/>
          <w:color w:val="auto"/>
        </w:rPr>
        <w:t>” means an individual, estate or other entity that holds an Option.</w:t>
      </w:r>
    </w:p>
    <w:p>
      <w:pPr>
        <w:spacing w:after="0" w:line="114" w:lineRule="exact"/>
        <w:rPr>
          <w:rFonts w:ascii="Times New Roman" w:cs="Times New Roman" w:eastAsia="Times New Roman" w:hAnsi="Times New Roman"/>
          <w:sz w:val="14"/>
          <w:szCs w:val="14"/>
          <w:color w:val="auto"/>
        </w:rPr>
      </w:pPr>
    </w:p>
    <w:p>
      <w:pPr>
        <w:jc w:val="both"/>
        <w:ind w:firstLine="514"/>
        <w:spacing w:after="0" w:line="317" w:lineRule="auto"/>
        <w:tabs>
          <w:tab w:leader="none" w:pos="892" w:val="left"/>
        </w:tabs>
        <w:numPr>
          <w:ilvl w:val="1"/>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Parent</w:t>
      </w:r>
      <w:r>
        <w:rPr>
          <w:rFonts w:ascii="Times New Roman" w:cs="Times New Roman" w:eastAsia="Times New Roman" w:hAnsi="Times New Roman"/>
          <w:sz w:val="14"/>
          <w:szCs w:val="14"/>
          <w:color w:val="auto"/>
        </w:rPr>
        <w:t>” means any corporation (other than the Company) in an unbroken chain of corporations ending with the Company, if each of the corporations other than the Company owns stock possessing 50% or more of the total combined voting power of all classes of stock in one of the other corporations in such chain. A corporation that attains the status of a Parent on a date after the Adoption Date shall be considered a Parent commencing as of such date.</w:t>
      </w:r>
    </w:p>
    <w:p>
      <w:pPr>
        <w:spacing w:after="0" w:line="41" w:lineRule="exact"/>
        <w:rPr>
          <w:rFonts w:ascii="Times New Roman" w:cs="Times New Roman" w:eastAsia="Times New Roman" w:hAnsi="Times New Roman"/>
          <w:sz w:val="14"/>
          <w:szCs w:val="14"/>
          <w:color w:val="auto"/>
        </w:rPr>
      </w:pPr>
    </w:p>
    <w:p>
      <w:pPr>
        <w:ind w:left="840" w:hanging="326"/>
        <w:spacing w:after="0"/>
        <w:tabs>
          <w:tab w:leader="none" w:pos="840" w:val="left"/>
        </w:tabs>
        <w:numPr>
          <w:ilvl w:val="1"/>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Participant</w:t>
      </w:r>
      <w:r>
        <w:rPr>
          <w:rFonts w:ascii="Times New Roman" w:cs="Times New Roman" w:eastAsia="Times New Roman" w:hAnsi="Times New Roman"/>
          <w:sz w:val="14"/>
          <w:szCs w:val="14"/>
          <w:color w:val="auto"/>
        </w:rPr>
        <w:t>” means an individual or estate or other entity that holds an Award.</w:t>
      </w:r>
    </w:p>
    <w:p>
      <w:pPr>
        <w:spacing w:after="0" w:line="146" w:lineRule="exact"/>
        <w:rPr>
          <w:rFonts w:ascii="Times New Roman" w:cs="Times New Roman" w:eastAsia="Times New Roman" w:hAnsi="Times New Roman"/>
          <w:sz w:val="14"/>
          <w:szCs w:val="14"/>
          <w:color w:val="auto"/>
        </w:rPr>
      </w:pPr>
    </w:p>
    <w:p>
      <w:pPr>
        <w:ind w:left="920" w:hanging="406"/>
        <w:spacing w:after="0"/>
        <w:tabs>
          <w:tab w:leader="none" w:pos="920" w:val="left"/>
        </w:tabs>
        <w:numPr>
          <w:ilvl w:val="1"/>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Performance Goals</w:t>
      </w:r>
      <w:r>
        <w:rPr>
          <w:rFonts w:ascii="Times New Roman" w:cs="Times New Roman" w:eastAsia="Times New Roman" w:hAnsi="Times New Roman"/>
          <w:sz w:val="14"/>
          <w:szCs w:val="14"/>
          <w:color w:val="auto"/>
        </w:rPr>
        <w:t>” means one or more objective performance targets established for a Participant which may be described in terms of Company-wide objectives and/or objectives</w:t>
      </w:r>
    </w:p>
    <w:p>
      <w:pPr>
        <w:spacing w:after="0" w:line="40" w:lineRule="exact"/>
        <w:rPr>
          <w:rFonts w:ascii="Times New Roman" w:cs="Times New Roman" w:eastAsia="Times New Roman" w:hAnsi="Times New Roman"/>
          <w:sz w:val="14"/>
          <w:szCs w:val="14"/>
          <w:color w:val="auto"/>
        </w:rPr>
      </w:pPr>
    </w:p>
    <w:p>
      <w:pPr>
        <w:jc w:val="both"/>
        <w:spacing w:after="0" w:line="292"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that are related to the performance of the individual Participant or a Parent, Subsidiary, Affiliate, division, department or function within the Company or entity in which the Participant is employed, and such targets may be applied either individually, alternatively or in any combination, and measured either annually or cumulatively over a period of years, on an absolute basis or relative to a pre-</w:t>
      </w:r>
    </w:p>
    <w:p>
      <w:pPr>
        <w:jc w:val="both"/>
        <w:spacing w:after="0" w:line="292"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established target, to previous years’ results or to a designated comparison group, in each case as specified by the Committee. Any Performance Goals that are included in an Award in order to make such Award qualify as performance-based compensation under Code Section 162(m) shall be limited to one or more of the following target objectives: (i) operating income; (ii) earnings before</w:t>
      </w:r>
    </w:p>
    <w:p>
      <w:pPr>
        <w:jc w:val="both"/>
        <w:spacing w:after="0" w:line="295"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interest, taxes, depreciation and amortization, or EBITDA; (iii) earnings; (iv) cash flow; (v) market share; (vi) sales or revenue, including with respect to a particular product, business line, geography or market; (vii) expenses; (viii) cost of goods sold; (ix) profit/loss or profit margin; (x) working capital; (xi) return on equity or assets or investment; (xii) earnings per share; (xiii) economic value added, or EVA; (xiv) stock price including without limitation total stockholder return; (xv) price/earnings ratio; (xvi) debt or debt-to-equity; (xvii) accounts receivable; (xviii) writeoffs; (xix) cash;</w:t>
      </w:r>
    </w:p>
    <w:p>
      <w:pPr>
        <w:jc w:val="both"/>
        <w:ind w:firstLine="5"/>
        <w:spacing w:after="0" w:line="292" w:lineRule="auto"/>
        <w:tabs>
          <w:tab w:leader="none" w:pos="292"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assets; (xxi) liquidity; (xxii) operations; (xxiii) research or related milestones; (xxiv) business development; (xxv) intellectual property (e.g., patents); (xxvi) product development; (xxvii) regulatory activity; (xxviii) information technology; (xxix) financings; (xxx) product quality control; (xxxi) management; (xxxii) human resources; (xxxiii) corporate governance; (xxxiv) compliance</w:t>
      </w:r>
    </w:p>
    <w:p>
      <w:pPr>
        <w:jc w:val="both"/>
        <w:spacing w:after="0" w:line="292"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program; (xxxv) legal matters; (xxxvi) internal controls; (xxxvii) policies and procedures; (xxxviii) accounting and reporting; (xxxix) strategic alliances, licensing and partnering; (xl) site, plant or building development; (xli) corporate transactions including without limitation mergers, acquisitions, divestitures and/or joint ventures; (xlii) customer satisfaction; (xliii) capital expenditures and/or</w:t>
      </w:r>
    </w:p>
    <w:p>
      <w:pPr>
        <w:spacing w:after="0" w:line="319"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(xliv) Company advancement milestones. Awards issued to individuals who are not Covered Employees (or which are not intended to qualify as performance-based compensation under Code Section 162(m)) may take into account other (or no) factors.</w:t>
      </w:r>
    </w:p>
    <w:p>
      <w:pPr>
        <w:spacing w:after="0" w:line="70" w:lineRule="exact"/>
        <w:rPr>
          <w:rFonts w:ascii="Times New Roman" w:cs="Times New Roman" w:eastAsia="Times New Roman" w:hAnsi="Times New Roman"/>
          <w:sz w:val="14"/>
          <w:szCs w:val="14"/>
          <w:color w:val="auto"/>
        </w:rPr>
      </w:pPr>
    </w:p>
    <w:p>
      <w:pPr>
        <w:ind w:firstLine="514"/>
        <w:spacing w:after="0" w:line="334" w:lineRule="auto"/>
        <w:tabs>
          <w:tab w:leader="none" w:pos="929" w:val="left"/>
        </w:tabs>
        <w:numPr>
          <w:ilvl w:val="1"/>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Performance Period</w:t>
      </w:r>
      <w:r>
        <w:rPr>
          <w:rFonts w:ascii="Times New Roman" w:cs="Times New Roman" w:eastAsia="Times New Roman" w:hAnsi="Times New Roman"/>
          <w:sz w:val="14"/>
          <w:szCs w:val="14"/>
          <w:color w:val="auto"/>
        </w:rPr>
        <w:t>” means any period of time as determined by the Committee, in its sole discretion. The Committee may establish different Performance Periods for different Participants, and the Committee may establish concurrent or overlapping Performance Periods.</w:t>
      </w:r>
    </w:p>
    <w:p>
      <w:pPr>
        <w:spacing w:after="0" w:line="29" w:lineRule="exact"/>
        <w:rPr>
          <w:rFonts w:ascii="Times New Roman" w:cs="Times New Roman" w:eastAsia="Times New Roman" w:hAnsi="Times New Roman"/>
          <w:sz w:val="14"/>
          <w:szCs w:val="14"/>
          <w:color w:val="auto"/>
        </w:rPr>
      </w:pPr>
    </w:p>
    <w:p>
      <w:pPr>
        <w:ind w:left="820" w:hanging="306"/>
        <w:spacing w:after="0"/>
        <w:tabs>
          <w:tab w:leader="none" w:pos="820" w:val="left"/>
        </w:tabs>
        <w:numPr>
          <w:ilvl w:val="1"/>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Plan</w:t>
      </w:r>
      <w:r>
        <w:rPr>
          <w:rFonts w:ascii="Times New Roman" w:cs="Times New Roman" w:eastAsia="Times New Roman" w:hAnsi="Times New Roman"/>
          <w:sz w:val="14"/>
          <w:szCs w:val="14"/>
          <w:color w:val="auto"/>
        </w:rPr>
        <w:t>” means this LifeVantage Corporation 2017 Long-Term Incentive Plan as it may be amended from time to time.</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w:t>
      </w:r>
    </w:p>
    <w:p>
      <w:pPr>
        <w:sectPr>
          <w:pgSz w:w="11900" w:h="16838" w:orient="portrait"/>
          <w:cols w:equalWidth="0" w:num="1">
            <w:col w:w="11280"/>
          </w:cols>
          <w:pgMar w:left="300" w:top="740" w:right="319" w:bottom="1440" w:gutter="0" w:footer="0" w:header="0"/>
        </w:sectPr>
      </w:pPr>
    </w:p>
    <w:bookmarkStart w:id="90" w:name="page91"/>
    <w:bookmarkEnd w:id="90"/>
    <w:p>
      <w:pPr>
        <w:ind w:left="820" w:hanging="306"/>
        <w:spacing w:after="0"/>
        <w:tabs>
          <w:tab w:leader="none" w:pos="820"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Prior Equity Compensation Plan Award</w:t>
      </w:r>
      <w:r>
        <w:rPr>
          <w:rFonts w:ascii="Times New Roman" w:cs="Times New Roman" w:eastAsia="Times New Roman" w:hAnsi="Times New Roman"/>
          <w:sz w:val="14"/>
          <w:szCs w:val="14"/>
          <w:color w:val="auto"/>
        </w:rPr>
        <w:t>” means an award outstanding under a Prior Equity Compensation Plan as of the September 2022 Amendment.</w:t>
      </w:r>
    </w:p>
    <w:p>
      <w:pPr>
        <w:spacing w:after="0" w:line="114" w:lineRule="exact"/>
        <w:rPr>
          <w:rFonts w:ascii="Times New Roman" w:cs="Times New Roman" w:eastAsia="Times New Roman" w:hAnsi="Times New Roman"/>
          <w:sz w:val="14"/>
          <w:szCs w:val="14"/>
          <w:color w:val="auto"/>
        </w:rPr>
      </w:pPr>
    </w:p>
    <w:p>
      <w:pPr>
        <w:ind w:firstLine="514"/>
        <w:spacing w:after="0" w:line="334" w:lineRule="auto"/>
        <w:tabs>
          <w:tab w:leader="none" w:pos="886"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Prior Equity Compensation Plans</w:t>
      </w:r>
      <w:r>
        <w:rPr>
          <w:rFonts w:ascii="Times New Roman" w:cs="Times New Roman" w:eastAsia="Times New Roman" w:hAnsi="Times New Roman"/>
          <w:sz w:val="14"/>
          <w:szCs w:val="14"/>
          <w:color w:val="auto"/>
        </w:rPr>
        <w:t>” means the Company’s 2010 Long-Term Incentive Plan (the “</w:t>
      </w:r>
      <w:r>
        <w:rPr>
          <w:rFonts w:ascii="Times New Roman" w:cs="Times New Roman" w:eastAsia="Times New Roman" w:hAnsi="Times New Roman"/>
          <w:sz w:val="14"/>
          <w:szCs w:val="14"/>
          <w:u w:val="single" w:color="auto"/>
          <w:color w:val="auto"/>
        </w:rPr>
        <w:t>2010 Plan</w:t>
      </w:r>
      <w:r>
        <w:rPr>
          <w:rFonts w:ascii="Times New Roman" w:cs="Times New Roman" w:eastAsia="Times New Roman" w:hAnsi="Times New Roman"/>
          <w:sz w:val="14"/>
          <w:szCs w:val="14"/>
          <w:color w:val="auto"/>
        </w:rPr>
        <w:t>”), 2007 Long-Term Incentive Plan (as assumed from Lifeline Therapeutics, Inc., a Colorado corporation) and its predecessor plans and any other Company equity compensation plans.</w:t>
      </w:r>
    </w:p>
    <w:p>
      <w:pPr>
        <w:spacing w:after="0" w:line="29" w:lineRule="exact"/>
        <w:rPr>
          <w:rFonts w:ascii="Times New Roman" w:cs="Times New Roman" w:eastAsia="Times New Roman" w:hAnsi="Times New Roman"/>
          <w:sz w:val="14"/>
          <w:szCs w:val="14"/>
          <w:color w:val="auto"/>
        </w:rPr>
      </w:pPr>
    </w:p>
    <w:p>
      <w:pPr>
        <w:ind w:firstLine="514"/>
        <w:spacing w:after="0" w:line="334" w:lineRule="auto"/>
        <w:tabs>
          <w:tab w:leader="none" w:pos="845"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Re-Price</w:t>
      </w:r>
      <w:r>
        <w:rPr>
          <w:rFonts w:ascii="Times New Roman" w:cs="Times New Roman" w:eastAsia="Times New Roman" w:hAnsi="Times New Roman"/>
          <w:sz w:val="14"/>
          <w:szCs w:val="14"/>
          <w:color w:val="auto"/>
        </w:rPr>
        <w:t>” means that the Company has lowered or reduced the Exercise Price of outstanding Options and/or outstanding SARs for any Participant(s) in a manner described by SEC Regulation S-K Item 402(d)(2)(viii) (or as described in any successor provision(s) or definition(s)).</w:t>
      </w:r>
    </w:p>
    <w:p>
      <w:pPr>
        <w:spacing w:after="0" w:line="29" w:lineRule="exact"/>
        <w:rPr>
          <w:rFonts w:ascii="Times New Roman" w:cs="Times New Roman" w:eastAsia="Times New Roman" w:hAnsi="Times New Roman"/>
          <w:sz w:val="14"/>
          <w:szCs w:val="14"/>
          <w:color w:val="auto"/>
        </w:rPr>
      </w:pPr>
    </w:p>
    <w:p>
      <w:pPr>
        <w:ind w:left="960" w:hanging="446"/>
        <w:spacing w:after="0"/>
        <w:tabs>
          <w:tab w:leader="none" w:pos="960"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Restricted Stock Grant</w:t>
      </w:r>
      <w:r>
        <w:rPr>
          <w:rFonts w:ascii="Times New Roman" w:cs="Times New Roman" w:eastAsia="Times New Roman" w:hAnsi="Times New Roman"/>
          <w:sz w:val="14"/>
          <w:szCs w:val="14"/>
          <w:color w:val="auto"/>
        </w:rPr>
        <w:t>” means Shares awarded under the Plan as provided in Section 9.</w:t>
      </w:r>
    </w:p>
    <w:p>
      <w:pPr>
        <w:spacing w:after="0" w:line="125" w:lineRule="exact"/>
        <w:rPr>
          <w:rFonts w:ascii="Times New Roman" w:cs="Times New Roman" w:eastAsia="Times New Roman" w:hAnsi="Times New Roman"/>
          <w:sz w:val="14"/>
          <w:szCs w:val="14"/>
          <w:color w:val="auto"/>
        </w:rPr>
      </w:pPr>
    </w:p>
    <w:p>
      <w:pPr>
        <w:ind w:left="900" w:hanging="386"/>
        <w:spacing w:after="0"/>
        <w:tabs>
          <w:tab w:leader="none" w:pos="900"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Restricted Stock Grant Agreement</w:t>
      </w:r>
      <w:r>
        <w:rPr>
          <w:rFonts w:ascii="Times New Roman" w:cs="Times New Roman" w:eastAsia="Times New Roman" w:hAnsi="Times New Roman"/>
          <w:sz w:val="14"/>
          <w:szCs w:val="14"/>
          <w:color w:val="auto"/>
        </w:rPr>
        <w:t>” means the agreement described in Section 9 evidencing each Award of a Restricted Stock Grant.</w:t>
      </w:r>
    </w:p>
    <w:p>
      <w:pPr>
        <w:spacing w:after="0" w:line="114" w:lineRule="exact"/>
        <w:rPr>
          <w:rFonts w:ascii="Times New Roman" w:cs="Times New Roman" w:eastAsia="Times New Roman" w:hAnsi="Times New Roman"/>
          <w:sz w:val="14"/>
          <w:szCs w:val="14"/>
          <w:color w:val="auto"/>
        </w:rPr>
      </w:pPr>
    </w:p>
    <w:p>
      <w:pPr>
        <w:ind w:left="900" w:hanging="386"/>
        <w:spacing w:after="0"/>
        <w:tabs>
          <w:tab w:leader="none" w:pos="900"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SAR Agreement</w:t>
      </w:r>
      <w:r>
        <w:rPr>
          <w:rFonts w:ascii="Times New Roman" w:cs="Times New Roman" w:eastAsia="Times New Roman" w:hAnsi="Times New Roman"/>
          <w:sz w:val="14"/>
          <w:szCs w:val="14"/>
          <w:color w:val="auto"/>
        </w:rPr>
        <w:t>” means the agreement described in Section 8 evidencing each Award of a Stock Appreciation Right.</w:t>
      </w:r>
    </w:p>
    <w:p>
      <w:pPr>
        <w:spacing w:after="0" w:line="125" w:lineRule="exact"/>
        <w:rPr>
          <w:rFonts w:ascii="Times New Roman" w:cs="Times New Roman" w:eastAsia="Times New Roman" w:hAnsi="Times New Roman"/>
          <w:sz w:val="14"/>
          <w:szCs w:val="14"/>
          <w:color w:val="auto"/>
        </w:rPr>
      </w:pPr>
    </w:p>
    <w:p>
      <w:pPr>
        <w:ind w:left="900" w:hanging="386"/>
        <w:spacing w:after="0"/>
        <w:tabs>
          <w:tab w:leader="none" w:pos="900"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SEC</w:t>
      </w:r>
      <w:r>
        <w:rPr>
          <w:rFonts w:ascii="Times New Roman" w:cs="Times New Roman" w:eastAsia="Times New Roman" w:hAnsi="Times New Roman"/>
          <w:sz w:val="14"/>
          <w:szCs w:val="14"/>
          <w:color w:val="auto"/>
        </w:rPr>
        <w:t>” means the Securities and Exchange Commission.</w:t>
      </w:r>
    </w:p>
    <w:p>
      <w:pPr>
        <w:spacing w:after="0" w:line="114" w:lineRule="exact"/>
        <w:rPr>
          <w:rFonts w:ascii="Times New Roman" w:cs="Times New Roman" w:eastAsia="Times New Roman" w:hAnsi="Times New Roman"/>
          <w:sz w:val="14"/>
          <w:szCs w:val="14"/>
          <w:color w:val="auto"/>
        </w:rPr>
      </w:pPr>
    </w:p>
    <w:p>
      <w:pPr>
        <w:ind w:left="900" w:hanging="386"/>
        <w:spacing w:after="0"/>
        <w:tabs>
          <w:tab w:leader="none" w:pos="900"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Section 16 Persons</w:t>
      </w:r>
      <w:r>
        <w:rPr>
          <w:rFonts w:ascii="Times New Roman" w:cs="Times New Roman" w:eastAsia="Times New Roman" w:hAnsi="Times New Roman"/>
          <w:sz w:val="14"/>
          <w:szCs w:val="14"/>
          <w:color w:val="auto"/>
        </w:rPr>
        <w:t>” means those officers, directors or other persons who are subject to Section 16 of the Exchange Act.</w:t>
      </w:r>
    </w:p>
    <w:p>
      <w:pPr>
        <w:spacing w:after="0" w:line="125" w:lineRule="exact"/>
        <w:rPr>
          <w:rFonts w:ascii="Times New Roman" w:cs="Times New Roman" w:eastAsia="Times New Roman" w:hAnsi="Times New Roman"/>
          <w:sz w:val="14"/>
          <w:szCs w:val="14"/>
          <w:color w:val="auto"/>
        </w:rPr>
      </w:pPr>
    </w:p>
    <w:p>
      <w:pPr>
        <w:ind w:left="840" w:hanging="326"/>
        <w:spacing w:after="0"/>
        <w:tabs>
          <w:tab w:leader="none" w:pos="840"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Securities Act</w:t>
      </w:r>
      <w:r>
        <w:rPr>
          <w:rFonts w:ascii="Times New Roman" w:cs="Times New Roman" w:eastAsia="Times New Roman" w:hAnsi="Times New Roman"/>
          <w:sz w:val="14"/>
          <w:szCs w:val="14"/>
          <w:color w:val="auto"/>
        </w:rPr>
        <w:t>” means the Securities Act of 1933, as amended.</w:t>
      </w:r>
    </w:p>
    <w:p>
      <w:pPr>
        <w:spacing w:after="0" w:line="114" w:lineRule="exact"/>
        <w:rPr>
          <w:rFonts w:ascii="Times New Roman" w:cs="Times New Roman" w:eastAsia="Times New Roman" w:hAnsi="Times New Roman"/>
          <w:sz w:val="14"/>
          <w:szCs w:val="14"/>
          <w:color w:val="auto"/>
        </w:rPr>
      </w:pPr>
    </w:p>
    <w:p>
      <w:pPr>
        <w:ind w:left="860" w:hanging="346"/>
        <w:spacing w:after="0"/>
        <w:tabs>
          <w:tab w:leader="none" w:pos="860"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Selected Employee</w:t>
      </w:r>
      <w:r>
        <w:rPr>
          <w:rFonts w:ascii="Times New Roman" w:cs="Times New Roman" w:eastAsia="Times New Roman" w:hAnsi="Times New Roman"/>
          <w:sz w:val="14"/>
          <w:szCs w:val="14"/>
          <w:color w:val="auto"/>
        </w:rPr>
        <w:t>” means an Employee, Consultant, Director, or Non-Employee Director who has been selected by the Committee to receive an Award under the Plan.</w:t>
      </w:r>
    </w:p>
    <w:p>
      <w:pPr>
        <w:spacing w:after="0" w:line="125" w:lineRule="exact"/>
        <w:rPr>
          <w:rFonts w:ascii="Times New Roman" w:cs="Times New Roman" w:eastAsia="Times New Roman" w:hAnsi="Times New Roman"/>
          <w:sz w:val="14"/>
          <w:szCs w:val="14"/>
          <w:color w:val="auto"/>
        </w:rPr>
      </w:pPr>
    </w:p>
    <w:p>
      <w:pPr>
        <w:ind w:left="820" w:hanging="306"/>
        <w:spacing w:after="0"/>
        <w:tabs>
          <w:tab w:leader="none" w:pos="820"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Separation From Service</w:t>
      </w:r>
      <w:r>
        <w:rPr>
          <w:rFonts w:ascii="Times New Roman" w:cs="Times New Roman" w:eastAsia="Times New Roman" w:hAnsi="Times New Roman"/>
          <w:sz w:val="14"/>
          <w:szCs w:val="14"/>
          <w:color w:val="auto"/>
        </w:rPr>
        <w:t>” means a Participant’s separation from service with the Company within the meaning provided to such term under Code Section 409A.</w:t>
      </w:r>
    </w:p>
    <w:p>
      <w:pPr>
        <w:spacing w:after="0" w:line="125" w:lineRule="exact"/>
        <w:rPr>
          <w:rFonts w:ascii="Times New Roman" w:cs="Times New Roman" w:eastAsia="Times New Roman" w:hAnsi="Times New Roman"/>
          <w:sz w:val="14"/>
          <w:szCs w:val="14"/>
          <w:color w:val="auto"/>
        </w:rPr>
      </w:pPr>
    </w:p>
    <w:p>
      <w:pPr>
        <w:jc w:val="both"/>
        <w:ind w:firstLine="514"/>
        <w:spacing w:after="0" w:line="292" w:lineRule="auto"/>
        <w:tabs>
          <w:tab w:leader="none" w:pos="897"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Service</w:t>
      </w:r>
      <w:r>
        <w:rPr>
          <w:rFonts w:ascii="Times New Roman" w:cs="Times New Roman" w:eastAsia="Times New Roman" w:hAnsi="Times New Roman"/>
          <w:sz w:val="14"/>
          <w:szCs w:val="14"/>
          <w:color w:val="auto"/>
        </w:rPr>
        <w:t>” means service as an Employee, Director, Non-Employee Director or Consultant. Service will be deemed terminated as soon as the entity to which Service is being provided is no longer either (i) the Company, (ii) a Parent, (iii) a Subsidiary or (iv) an Affiliate. A Participant’s Service does not terminate if he or she is a common-law employee with respect to the Company,</w:t>
      </w:r>
    </w:p>
    <w:p>
      <w:pPr>
        <w:jc w:val="both"/>
        <w:spacing w:after="0" w:line="292"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Parent, a Subsidiary or an Affiliate and goes on a bona fide leave of absence that was approved by the Company in writing and the terms of the leave provide for continued service crediting, or when continued service crediting is required by applicable law. However, for purposes of determining whether an Option is entitled to continuing ISO status, a common-law employee’s Service will</w:t>
      </w:r>
    </w:p>
    <w:p>
      <w:pPr>
        <w:jc w:val="both"/>
        <w:spacing w:after="0" w:line="292"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be treated as terminating ninety (90) days after such Employee went on leave, unless such Employee’s right to return to active work is guaranteed by law or by a contract. Service terminates in any event when the approved leave ends, unless such Employee immediately returns to active work. The Committee determines which leaves count toward Service, and when Service commences and</w:t>
      </w:r>
    </w:p>
    <w:p>
      <w:pPr>
        <w:jc w:val="both"/>
        <w:spacing w:after="0" w:line="292"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terminates for all purposes under the Plan. For avoidance of doubt, a Participant’s Service shall not be deemed terminated if the Committee determines that (i) a transition of employment to service with a partnership, joint venture or corporation not meeting the requirements of a Subsidiary in which the Company or a Subsidiary is a party is not considered a termination of Service, (ii) the</w:t>
      </w:r>
    </w:p>
    <w:p>
      <w:pPr>
        <w:jc w:val="both"/>
        <w:spacing w:after="0" w:line="309"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Participant transfers between service as an Employee and service as a Consultant or other personal service provider (or vice versa), or (iii) the Participant transfers between service as an Employee and that of a Non-Employee Director (or vice versa). The Committee may determine whether any company transaction, such as a sale or spin-off of a division or subsidiary that employs a Participant, shall be deemed to result in termination of Service for purposes of any affected Awards, and the Committee’s decision shall be final and binding.</w:t>
      </w:r>
    </w:p>
    <w:p>
      <w:pPr>
        <w:spacing w:after="0" w:line="46" w:lineRule="exact"/>
        <w:rPr>
          <w:rFonts w:ascii="Times New Roman" w:cs="Times New Roman" w:eastAsia="Times New Roman" w:hAnsi="Times New Roman"/>
          <w:sz w:val="14"/>
          <w:szCs w:val="14"/>
          <w:color w:val="auto"/>
        </w:rPr>
      </w:pPr>
    </w:p>
    <w:p>
      <w:pPr>
        <w:ind w:left="900" w:hanging="386"/>
        <w:spacing w:after="0"/>
        <w:tabs>
          <w:tab w:leader="none" w:pos="900"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Share</w:t>
      </w:r>
      <w:r>
        <w:rPr>
          <w:rFonts w:ascii="Times New Roman" w:cs="Times New Roman" w:eastAsia="Times New Roman" w:hAnsi="Times New Roman"/>
          <w:sz w:val="14"/>
          <w:szCs w:val="14"/>
          <w:color w:val="auto"/>
        </w:rPr>
        <w:t>” means one share of Common Stock.</w:t>
      </w:r>
    </w:p>
    <w:p>
      <w:pPr>
        <w:spacing w:after="0" w:line="125" w:lineRule="exact"/>
        <w:rPr>
          <w:rFonts w:ascii="Times New Roman" w:cs="Times New Roman" w:eastAsia="Times New Roman" w:hAnsi="Times New Roman"/>
          <w:sz w:val="14"/>
          <w:szCs w:val="14"/>
          <w:color w:val="auto"/>
        </w:rPr>
      </w:pPr>
    </w:p>
    <w:p>
      <w:pPr>
        <w:ind w:left="1000" w:hanging="486"/>
        <w:spacing w:after="0"/>
        <w:tabs>
          <w:tab w:leader="none" w:pos="1000"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Stockholder Approval Date</w:t>
      </w:r>
      <w:r>
        <w:rPr>
          <w:rFonts w:ascii="Times New Roman" w:cs="Times New Roman" w:eastAsia="Times New Roman" w:hAnsi="Times New Roman"/>
          <w:sz w:val="14"/>
          <w:szCs w:val="14"/>
          <w:color w:val="auto"/>
        </w:rPr>
        <w:t>” means the date that the Company’s stockholders approve this Plan provided that such approval must occur on or before the first anniversary of the</w:t>
      </w:r>
    </w:p>
    <w:p>
      <w:pPr>
        <w:spacing w:after="0" w:line="29" w:lineRule="exact"/>
        <w:rPr>
          <w:rFonts w:ascii="Times New Roman" w:cs="Times New Roman" w:eastAsia="Times New Roman" w:hAnsi="Times New Roman"/>
          <w:sz w:val="14"/>
          <w:szCs w:val="14"/>
          <w:color w:val="auto"/>
        </w:rPr>
      </w:pPr>
    </w:p>
    <w:p>
      <w:pPr>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Adoption Date.</w:t>
      </w:r>
    </w:p>
    <w:p>
      <w:pPr>
        <w:spacing w:after="0" w:line="125" w:lineRule="exact"/>
        <w:rPr>
          <w:rFonts w:ascii="Times New Roman" w:cs="Times New Roman" w:eastAsia="Times New Roman" w:hAnsi="Times New Roman"/>
          <w:sz w:val="14"/>
          <w:szCs w:val="14"/>
          <w:color w:val="auto"/>
        </w:rPr>
      </w:pPr>
    </w:p>
    <w:p>
      <w:pPr>
        <w:ind w:left="900" w:hanging="386"/>
        <w:spacing w:after="0"/>
        <w:tabs>
          <w:tab w:leader="none" w:pos="900"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Specified Employee</w:t>
      </w:r>
      <w:r>
        <w:rPr>
          <w:rFonts w:ascii="Times New Roman" w:cs="Times New Roman" w:eastAsia="Times New Roman" w:hAnsi="Times New Roman"/>
          <w:sz w:val="14"/>
          <w:szCs w:val="14"/>
          <w:color w:val="auto"/>
        </w:rPr>
        <w:t>” means a Participant who is considered a “specified employee” within the meaning provided to such term under Code Section 409A.</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w:t>
      </w:r>
    </w:p>
    <w:p>
      <w:pPr>
        <w:sectPr>
          <w:pgSz w:w="11900" w:h="16838" w:orient="portrait"/>
          <w:cols w:equalWidth="0" w:num="1">
            <w:col w:w="11280"/>
          </w:cols>
          <w:pgMar w:left="300" w:top="740" w:right="319" w:bottom="1440" w:gutter="0" w:footer="0" w:header="0"/>
        </w:sectPr>
      </w:pPr>
    </w:p>
    <w:bookmarkStart w:id="91" w:name="page92"/>
    <w:bookmarkEnd w:id="91"/>
    <w:p>
      <w:pPr>
        <w:ind w:firstLine="514"/>
        <w:spacing w:after="0" w:line="319" w:lineRule="auto"/>
        <w:tabs>
          <w:tab w:leader="none" w:pos="918"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Stock Appreciation Right</w:t>
      </w:r>
      <w:r>
        <w:rPr>
          <w:rFonts w:ascii="Times New Roman" w:cs="Times New Roman" w:eastAsia="Times New Roman" w:hAnsi="Times New Roman"/>
          <w:sz w:val="14"/>
          <w:szCs w:val="14"/>
          <w:color w:val="auto"/>
        </w:rPr>
        <w:t>” or “</w:t>
      </w:r>
      <w:r>
        <w:rPr>
          <w:rFonts w:ascii="Times New Roman" w:cs="Times New Roman" w:eastAsia="Times New Roman" w:hAnsi="Times New Roman"/>
          <w:sz w:val="14"/>
          <w:szCs w:val="14"/>
          <w:u w:val="single" w:color="auto"/>
          <w:color w:val="auto"/>
        </w:rPr>
        <w:t>SAR</w:t>
      </w:r>
      <w:r>
        <w:rPr>
          <w:rFonts w:ascii="Times New Roman" w:cs="Times New Roman" w:eastAsia="Times New Roman" w:hAnsi="Times New Roman"/>
          <w:sz w:val="14"/>
          <w:szCs w:val="14"/>
          <w:color w:val="auto"/>
        </w:rPr>
        <w:t>” means a stock appreciation right awarded under the Plan which provides the holder with a right to potentially receive, in cash and/or Shares, value with respect to a specific number of Shares, as provided in Section 8.</w:t>
      </w:r>
    </w:p>
    <w:p>
      <w:pPr>
        <w:spacing w:after="0" w:line="49" w:lineRule="exact"/>
        <w:rPr>
          <w:rFonts w:ascii="Times New Roman" w:cs="Times New Roman" w:eastAsia="Times New Roman" w:hAnsi="Times New Roman"/>
          <w:sz w:val="14"/>
          <w:szCs w:val="14"/>
          <w:color w:val="auto"/>
        </w:rPr>
      </w:pPr>
    </w:p>
    <w:p>
      <w:pPr>
        <w:ind w:left="880" w:hanging="366"/>
        <w:spacing w:after="0"/>
        <w:tabs>
          <w:tab w:leader="none" w:pos="88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Stock Option Agreement</w:t>
      </w:r>
      <w:r>
        <w:rPr>
          <w:rFonts w:ascii="Times New Roman" w:cs="Times New Roman" w:eastAsia="Times New Roman" w:hAnsi="Times New Roman"/>
          <w:sz w:val="14"/>
          <w:szCs w:val="14"/>
          <w:color w:val="auto"/>
        </w:rPr>
        <w:t>” means the agreement described in Section 6 evidencing each Award of an Option.</w:t>
      </w:r>
    </w:p>
    <w:p>
      <w:pPr>
        <w:spacing w:after="0" w:line="115" w:lineRule="exact"/>
        <w:rPr>
          <w:sz w:val="20"/>
          <w:szCs w:val="20"/>
          <w:color w:val="auto"/>
        </w:rPr>
      </w:pPr>
    </w:p>
    <w:p>
      <w:pPr>
        <w:ind w:left="940" w:hanging="426"/>
        <w:spacing w:after="0"/>
        <w:tabs>
          <w:tab w:leader="none" w:pos="940"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Stock Unit</w:t>
      </w:r>
      <w:r>
        <w:rPr>
          <w:rFonts w:ascii="Times New Roman" w:cs="Times New Roman" w:eastAsia="Times New Roman" w:hAnsi="Times New Roman"/>
          <w:sz w:val="14"/>
          <w:szCs w:val="14"/>
          <w:color w:val="auto"/>
        </w:rPr>
        <w:t>” means a bookkeeping entry representing the equivalent of one Share, as awarded under the Plan and as provided in Section 10.</w:t>
      </w:r>
    </w:p>
    <w:p>
      <w:pPr>
        <w:spacing w:after="0" w:line="125" w:lineRule="exact"/>
        <w:rPr>
          <w:rFonts w:ascii="Times New Roman" w:cs="Times New Roman" w:eastAsia="Times New Roman" w:hAnsi="Times New Roman"/>
          <w:sz w:val="14"/>
          <w:szCs w:val="14"/>
          <w:color w:val="auto"/>
        </w:rPr>
      </w:pPr>
    </w:p>
    <w:p>
      <w:pPr>
        <w:ind w:left="960" w:hanging="446"/>
        <w:spacing w:after="0"/>
        <w:tabs>
          <w:tab w:leader="none" w:pos="960"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Stock Unit Agreement</w:t>
      </w:r>
      <w:r>
        <w:rPr>
          <w:rFonts w:ascii="Times New Roman" w:cs="Times New Roman" w:eastAsia="Times New Roman" w:hAnsi="Times New Roman"/>
          <w:sz w:val="14"/>
          <w:szCs w:val="14"/>
          <w:color w:val="auto"/>
        </w:rPr>
        <w:t>” means the agreement described in Section 10 evidencing each Award of Stock Units.</w:t>
      </w:r>
    </w:p>
    <w:p>
      <w:pPr>
        <w:spacing w:after="0" w:line="114" w:lineRule="exact"/>
        <w:rPr>
          <w:rFonts w:ascii="Times New Roman" w:cs="Times New Roman" w:eastAsia="Times New Roman" w:hAnsi="Times New Roman"/>
          <w:sz w:val="14"/>
          <w:szCs w:val="14"/>
          <w:color w:val="auto"/>
        </w:rPr>
      </w:pPr>
    </w:p>
    <w:p>
      <w:pPr>
        <w:ind w:left="1000" w:hanging="486"/>
        <w:spacing w:after="0"/>
        <w:tabs>
          <w:tab w:leader="none" w:pos="1000"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Subsidiary</w:t>
      </w:r>
      <w:r>
        <w:rPr>
          <w:rFonts w:ascii="Times New Roman" w:cs="Times New Roman" w:eastAsia="Times New Roman" w:hAnsi="Times New Roman"/>
          <w:sz w:val="14"/>
          <w:szCs w:val="14"/>
          <w:color w:val="auto"/>
        </w:rPr>
        <w:t>” means any corporation (other than the Company) in an unbroken chain of corporations beginning with the Company, if each of the corporations other than the last</w:t>
      </w:r>
    </w:p>
    <w:p>
      <w:pPr>
        <w:spacing w:after="0" w:line="40" w:lineRule="exact"/>
        <w:rPr>
          <w:rFonts w:ascii="Times New Roman" w:cs="Times New Roman" w:eastAsia="Times New Roman" w:hAnsi="Times New Roman"/>
          <w:sz w:val="14"/>
          <w:szCs w:val="14"/>
          <w:color w:val="auto"/>
        </w:rPr>
      </w:pPr>
    </w:p>
    <w:p>
      <w:pPr>
        <w:spacing w:after="0" w:line="319"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corporation in the unbroken chain owns stock possessing 50% or more of the total combined voting power of all classes of stock in one of the other corporations in such chain. A corporation that attains the status of a Subsidiary on a date after the Adoption Date shall be considered a Subsidiary commencing as of such date.</w:t>
      </w:r>
    </w:p>
    <w:p>
      <w:pPr>
        <w:spacing w:after="0" w:line="49" w:lineRule="exact"/>
        <w:rPr>
          <w:rFonts w:ascii="Times New Roman" w:cs="Times New Roman" w:eastAsia="Times New Roman" w:hAnsi="Times New Roman"/>
          <w:sz w:val="14"/>
          <w:szCs w:val="14"/>
          <w:color w:val="auto"/>
        </w:rPr>
      </w:pPr>
    </w:p>
    <w:p>
      <w:pPr>
        <w:ind w:left="960" w:hanging="446"/>
        <w:spacing w:after="0"/>
        <w:tabs>
          <w:tab w:leader="none" w:pos="960"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Termination Date</w:t>
      </w:r>
      <w:r>
        <w:rPr>
          <w:rFonts w:ascii="Times New Roman" w:cs="Times New Roman" w:eastAsia="Times New Roman" w:hAnsi="Times New Roman"/>
          <w:sz w:val="14"/>
          <w:szCs w:val="14"/>
          <w:color w:val="auto"/>
        </w:rPr>
        <w:t>” means the date on which a Participant’s Service terminates as determined by the Committee.</w:t>
      </w:r>
    </w:p>
    <w:p>
      <w:pPr>
        <w:spacing w:after="0" w:line="114" w:lineRule="exact"/>
        <w:rPr>
          <w:rFonts w:ascii="Times New Roman" w:cs="Times New Roman" w:eastAsia="Times New Roman" w:hAnsi="Times New Roman"/>
          <w:sz w:val="14"/>
          <w:szCs w:val="14"/>
          <w:color w:val="auto"/>
        </w:rPr>
      </w:pPr>
    </w:p>
    <w:p>
      <w:pPr>
        <w:ind w:firstLine="514"/>
        <w:spacing w:after="0" w:line="334" w:lineRule="auto"/>
        <w:tabs>
          <w:tab w:leader="none" w:pos="944"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10-Percent Stockholder</w:t>
      </w:r>
      <w:r>
        <w:rPr>
          <w:rFonts w:ascii="Times New Roman" w:cs="Times New Roman" w:eastAsia="Times New Roman" w:hAnsi="Times New Roman"/>
          <w:sz w:val="14"/>
          <w:szCs w:val="14"/>
          <w:color w:val="auto"/>
        </w:rPr>
        <w:t>” means an individual who owns more than 10% of the total combined voting power of all classes of outstanding stock of the Company, its Parent or any of its Subsidiaries. In determining stock ownership, the attribution rules of Section 424(d) of the Code shall be applied.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SECTION 3. ADMINISTRATION</w:t>
      </w:r>
    </w:p>
    <w:p>
      <w:pPr>
        <w:spacing w:after="0" w:line="127" w:lineRule="exact"/>
        <w:rPr>
          <w:sz w:val="20"/>
          <w:szCs w:val="20"/>
          <w:color w:val="auto"/>
        </w:rPr>
      </w:pPr>
    </w:p>
    <w:p>
      <w:pPr>
        <w:ind w:left="860" w:hanging="346"/>
        <w:spacing w:after="0"/>
        <w:tabs>
          <w:tab w:leader="none" w:pos="860"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Committee Composition</w:t>
      </w:r>
      <w:r>
        <w:rPr>
          <w:rFonts w:ascii="Times New Roman" w:cs="Times New Roman" w:eastAsia="Times New Roman" w:hAnsi="Times New Roman"/>
          <w:sz w:val="14"/>
          <w:szCs w:val="14"/>
          <w:color w:val="auto"/>
        </w:rPr>
        <w:t>. A Committee appointed by the Board shall administer the Plan. Unless the Board provides otherwise, the Board’s compensation committee (or a comparable</w:t>
      </w:r>
    </w:p>
    <w:p>
      <w:pPr>
        <w:spacing w:after="0" w:line="40" w:lineRule="exact"/>
        <w:rPr>
          <w:rFonts w:ascii="Times New Roman" w:cs="Times New Roman" w:eastAsia="Times New Roman" w:hAnsi="Times New Roman"/>
          <w:sz w:val="14"/>
          <w:szCs w:val="14"/>
          <w:color w:val="auto"/>
        </w:rPr>
      </w:pPr>
    </w:p>
    <w:p>
      <w:pPr>
        <w:spacing w:after="0" w:line="319"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committee of the Board) shall be the Committee. The Board may also at any time terminate the functions of the Committee and re-assume all powers and authority previously delegated to the Committee.</w:t>
      </w:r>
    </w:p>
    <w:p>
      <w:pPr>
        <w:spacing w:after="0" w:line="49" w:lineRule="exact"/>
        <w:rPr>
          <w:sz w:val="20"/>
          <w:szCs w:val="20"/>
          <w:color w:val="auto"/>
        </w:rPr>
      </w:pPr>
    </w:p>
    <w:p>
      <w:pPr>
        <w:jc w:val="both"/>
        <w:ind w:firstLine="509"/>
        <w:spacing w:after="0" w:line="309" w:lineRule="auto"/>
        <w:rPr>
          <w:sz w:val="20"/>
          <w:szCs w:val="20"/>
          <w:color w:val="auto"/>
        </w:rPr>
      </w:pPr>
      <w:r>
        <w:rPr>
          <w:rFonts w:ascii="Times New Roman" w:cs="Times New Roman" w:eastAsia="Times New Roman" w:hAnsi="Times New Roman"/>
          <w:sz w:val="14"/>
          <w:szCs w:val="14"/>
          <w:color w:val="auto"/>
        </w:rPr>
        <w:t>To the extent required, the Committee shall have membership composition which enables (i) Awards to Section 16 Persons to qualify as exempt from liability under Section 16(b) of the Exchange Act and (ii) Awards to Covered Employees to be able to qualify as performance-based compensation as provided under Code Section 162(m) (to the extent such Awards are intended to qualify as performance-based compensation).</w:t>
      </w:r>
    </w:p>
    <w:p>
      <w:pPr>
        <w:spacing w:after="0" w:line="47" w:lineRule="exact"/>
        <w:rPr>
          <w:sz w:val="20"/>
          <w:szCs w:val="20"/>
          <w:color w:val="auto"/>
        </w:rPr>
      </w:pPr>
    </w:p>
    <w:p>
      <w:pPr>
        <w:jc w:val="both"/>
        <w:ind w:firstLine="509"/>
        <w:spacing w:after="0" w:line="306" w:lineRule="auto"/>
        <w:rPr>
          <w:sz w:val="20"/>
          <w:szCs w:val="20"/>
          <w:color w:val="auto"/>
        </w:rPr>
      </w:pPr>
      <w:r>
        <w:rPr>
          <w:rFonts w:ascii="Times New Roman" w:cs="Times New Roman" w:eastAsia="Times New Roman" w:hAnsi="Times New Roman"/>
          <w:sz w:val="14"/>
          <w:szCs w:val="14"/>
          <w:color w:val="auto"/>
        </w:rPr>
        <w:t>The Board may also appoint one or more separate committees of the Board, each composed of directors of the Company who need not qualify under Rule 16b-3 of the Exchange Act or Code Section 162(m), that may administer the Plan with respect to Selected Employees who are not Section 16 Persons or Covered Employees, respectively, may grant Awards under the Plan to such Selected Employees and may determine all terms of such Awards. To the extent permitted by applicable law, the Board may also appoint a committee, composed of one or more Officers, that may authorize Awards to Employees (who are not Section 16 Persons or Covered Employees) within parameters specified by the Board and consistent with any limitations imposed by applicable law.</w:t>
      </w:r>
    </w:p>
    <w:p>
      <w:pPr>
        <w:spacing w:after="0" w:line="4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Committee shall comply with rules and regulations applicable to it, including under the rules of any exchange on which the Shares are traded.</w:t>
      </w:r>
    </w:p>
    <w:p>
      <w:pPr>
        <w:spacing w:after="0" w:line="1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Notwithstanding the foregoing, the Board shall constitute the Committee and shall administer the Plan with respect to all Awards granted to Non-Employee Directors.</w:t>
      </w:r>
    </w:p>
    <w:p>
      <w:pPr>
        <w:spacing w:after="0" w:line="115" w:lineRule="exact"/>
        <w:rPr>
          <w:sz w:val="20"/>
          <w:szCs w:val="20"/>
          <w:color w:val="auto"/>
        </w:rPr>
      </w:pPr>
    </w:p>
    <w:p>
      <w:pPr>
        <w:ind w:firstLine="514"/>
        <w:spacing w:after="0" w:line="334" w:lineRule="auto"/>
        <w:tabs>
          <w:tab w:leader="none" w:pos="847"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Authority of the Committee</w:t>
      </w:r>
      <w:r>
        <w:rPr>
          <w:rFonts w:ascii="Times New Roman" w:cs="Times New Roman" w:eastAsia="Times New Roman" w:hAnsi="Times New Roman"/>
          <w:sz w:val="14"/>
          <w:szCs w:val="14"/>
          <w:color w:val="auto"/>
        </w:rPr>
        <w:t>. Subject to the provisions of the Plan, the Committee shall have full authority and discretion to take any actions it deems necessary or advisable for the administration of the Plan. Such actions shall include without limitation:</w:t>
      </w:r>
    </w:p>
    <w:p>
      <w:pPr>
        <w:spacing w:after="0" w:line="29" w:lineRule="exact"/>
        <w:rPr>
          <w:rFonts w:ascii="Times New Roman" w:cs="Times New Roman" w:eastAsia="Times New Roman" w:hAnsi="Times New Roman"/>
          <w:sz w:val="14"/>
          <w:szCs w:val="14"/>
          <w:color w:val="auto"/>
        </w:rPr>
      </w:pPr>
    </w:p>
    <w:p>
      <w:pPr>
        <w:ind w:left="1300" w:hanging="277"/>
        <w:spacing w:after="0"/>
        <w:tabs>
          <w:tab w:leader="none" w:pos="1300" w:val="left"/>
        </w:tabs>
        <w:numPr>
          <w:ilvl w:val="1"/>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determining Selected Employees who are to receive Awards under the Plan;</w:t>
      </w:r>
    </w:p>
    <w:p>
      <w:pPr>
        <w:spacing w:after="0" w:line="125" w:lineRule="exact"/>
        <w:rPr>
          <w:rFonts w:ascii="Times New Roman" w:cs="Times New Roman" w:eastAsia="Times New Roman" w:hAnsi="Times New Roman"/>
          <w:sz w:val="14"/>
          <w:szCs w:val="14"/>
          <w:color w:val="auto"/>
        </w:rPr>
      </w:pPr>
    </w:p>
    <w:p>
      <w:pPr>
        <w:ind w:left="1420" w:hanging="397"/>
        <w:spacing w:after="0"/>
        <w:tabs>
          <w:tab w:leader="none" w:pos="1420" w:val="left"/>
        </w:tabs>
        <w:numPr>
          <w:ilvl w:val="1"/>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determining the type, number, vesting requirements, Performance Goals (if any) and their degree of satisfaction, and other features and conditions of such Awards and</w:t>
      </w:r>
    </w:p>
    <w:p>
      <w:pPr>
        <w:spacing w:after="0" w:line="40" w:lineRule="exact"/>
        <w:rPr>
          <w:rFonts w:ascii="Times New Roman" w:cs="Times New Roman" w:eastAsia="Times New Roman" w:hAnsi="Times New Roman"/>
          <w:sz w:val="14"/>
          <w:szCs w:val="14"/>
          <w:color w:val="auto"/>
        </w:rPr>
      </w:pPr>
    </w:p>
    <w:p>
      <w:pPr>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amending such Awards;</w:t>
      </w: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w:t>
      </w:r>
    </w:p>
    <w:p>
      <w:pPr>
        <w:sectPr>
          <w:pgSz w:w="11900" w:h="16838" w:orient="portrait"/>
          <w:cols w:equalWidth="0" w:num="1">
            <w:col w:w="11280"/>
          </w:cols>
          <w:pgMar w:left="300" w:top="740" w:right="319" w:bottom="1440" w:gutter="0" w:footer="0" w:header="0"/>
        </w:sectPr>
      </w:pPr>
    </w:p>
    <w:bookmarkStart w:id="92" w:name="page93"/>
    <w:bookmarkEnd w:id="92"/>
    <w:p>
      <w:pPr>
        <w:ind w:left="1380" w:hanging="357"/>
        <w:spacing w:after="0"/>
        <w:tabs>
          <w:tab w:leader="none" w:pos="1380"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correcting any defect, supplying any omission, or reconciling or clarifying any inconsistency in the Plan or any Award Agreement;</w:t>
      </w:r>
    </w:p>
    <w:p>
      <w:pPr>
        <w:spacing w:after="0" w:line="114" w:lineRule="exact"/>
        <w:rPr>
          <w:rFonts w:ascii="Times New Roman" w:cs="Times New Roman" w:eastAsia="Times New Roman" w:hAnsi="Times New Roman"/>
          <w:sz w:val="14"/>
          <w:szCs w:val="14"/>
          <w:color w:val="auto"/>
        </w:rPr>
      </w:pPr>
    </w:p>
    <w:p>
      <w:pPr>
        <w:ind w:left="1420" w:hanging="397"/>
        <w:spacing w:after="0"/>
        <w:tabs>
          <w:tab w:leader="none" w:pos="1420"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accelerating the vesting, or extending the post-termination exercise term, or waiving restrictions, of Awards at any time and under such terms and conditions as it deems</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appropriate;</w:t>
      </w:r>
    </w:p>
    <w:p>
      <w:pPr>
        <w:spacing w:after="0" w:line="115" w:lineRule="exact"/>
        <w:rPr>
          <w:sz w:val="20"/>
          <w:szCs w:val="20"/>
          <w:color w:val="auto"/>
        </w:rPr>
      </w:pPr>
    </w:p>
    <w:p>
      <w:pPr>
        <w:ind w:left="1320" w:hanging="297"/>
        <w:spacing w:after="0"/>
        <w:tabs>
          <w:tab w:leader="none" w:pos="1320"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interpreting the Plan and any Award Agreements;</w:t>
      </w:r>
    </w:p>
    <w:p>
      <w:pPr>
        <w:spacing w:after="0" w:line="125" w:lineRule="exact"/>
        <w:rPr>
          <w:rFonts w:ascii="Times New Roman" w:cs="Times New Roman" w:eastAsia="Times New Roman" w:hAnsi="Times New Roman"/>
          <w:sz w:val="14"/>
          <w:szCs w:val="14"/>
          <w:color w:val="auto"/>
        </w:rPr>
      </w:pPr>
    </w:p>
    <w:p>
      <w:pPr>
        <w:ind w:left="1360" w:hanging="337"/>
        <w:spacing w:after="0"/>
        <w:tabs>
          <w:tab w:leader="none" w:pos="1360"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making all other decisions relating to the operation of the Plan; and</w:t>
      </w:r>
    </w:p>
    <w:p>
      <w:pPr>
        <w:spacing w:after="0" w:line="114" w:lineRule="exact"/>
        <w:rPr>
          <w:rFonts w:ascii="Times New Roman" w:cs="Times New Roman" w:eastAsia="Times New Roman" w:hAnsi="Times New Roman"/>
          <w:sz w:val="14"/>
          <w:szCs w:val="14"/>
          <w:color w:val="auto"/>
        </w:rPr>
      </w:pPr>
    </w:p>
    <w:p>
      <w:pPr>
        <w:ind w:firstLine="1023"/>
        <w:spacing w:after="0" w:line="334" w:lineRule="auto"/>
        <w:tabs>
          <w:tab w:leader="none" w:pos="1419"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adopting such plans or subplans as may be deemed necessary or appropriate to provide for the participation by non-U.S. employees of the Company and its Subsidiaries and Affiliates, which plans and/or subplans shall be attached hereto as appendices.</w:t>
      </w:r>
    </w:p>
    <w:p>
      <w:pPr>
        <w:spacing w:after="0" w:line="29" w:lineRule="exact"/>
        <w:rPr>
          <w:sz w:val="20"/>
          <w:szCs w:val="20"/>
          <w:color w:val="auto"/>
        </w:rPr>
      </w:pPr>
    </w:p>
    <w:p>
      <w:pPr>
        <w:jc w:val="both"/>
        <w:ind w:firstLine="509"/>
        <w:spacing w:after="0" w:line="309" w:lineRule="auto"/>
        <w:rPr>
          <w:sz w:val="20"/>
          <w:szCs w:val="20"/>
          <w:color w:val="auto"/>
        </w:rPr>
      </w:pPr>
      <w:r>
        <w:rPr>
          <w:rFonts w:ascii="Times New Roman" w:cs="Times New Roman" w:eastAsia="Times New Roman" w:hAnsi="Times New Roman"/>
          <w:sz w:val="14"/>
          <w:szCs w:val="14"/>
          <w:color w:val="auto"/>
        </w:rPr>
        <w:t>The Committee may adopt such rules or guidelines, as it deems appropriate to implement the Plan. The Committee’s determinations under the Plan shall be final, conclusive and binding on all persons. The Committee’s decisions and determinations need not be uniform and may be made selectively among Participants in the Committee’s sole discretion. The Committee’s decisions and determinations will be afforded the maximum deference provided by applicable law.</w:t>
      </w:r>
    </w:p>
    <w:p>
      <w:pPr>
        <w:spacing w:after="0" w:line="57" w:lineRule="exact"/>
        <w:rPr>
          <w:sz w:val="20"/>
          <w:szCs w:val="20"/>
          <w:color w:val="auto"/>
        </w:rPr>
      </w:pPr>
    </w:p>
    <w:p>
      <w:pPr>
        <w:jc w:val="both"/>
        <w:ind w:firstLine="514"/>
        <w:spacing w:after="0" w:line="295" w:lineRule="auto"/>
        <w:tabs>
          <w:tab w:leader="none" w:pos="839" w:val="left"/>
        </w:tabs>
        <w:numPr>
          <w:ilvl w:val="0"/>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Indemnification</w:t>
      </w:r>
      <w:r>
        <w:rPr>
          <w:rFonts w:ascii="Times New Roman" w:cs="Times New Roman" w:eastAsia="Times New Roman" w:hAnsi="Times New Roman"/>
          <w:sz w:val="14"/>
          <w:szCs w:val="14"/>
          <w:color w:val="auto"/>
        </w:rPr>
        <w:t>. To the maximum extent permitted by applicable law, each member of the Committee, or of the Board, or any persons (including without limitation Employees and Officers) who are delegated by the Board or Committee to perform oversight or administrative functions in connection with the Plan, shall be indemnified and held harmless by the Company against and from (i) any loss, cost, liability, or expense that may be imposed upon or reasonably incurred by him or her in connection with or resulting from any claim, action, suit, or proceeding to which he</w:t>
      </w:r>
    </w:p>
    <w:p>
      <w:pPr>
        <w:jc w:val="both"/>
        <w:spacing w:after="0" w:line="292"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or she may be a party or in which he or she may be involved by reason of any action taken or failure to act under the Plan or any Award Agreement, and (ii) from any and all amounts paid by him or her in settlement thereof, with the Company’s approval, or paid by him or her in satisfaction of any judgment in any such claim, action, suit, or proceeding against him or her, provided he or she shall</w:t>
      </w:r>
    </w:p>
    <w:p>
      <w:pPr>
        <w:jc w:val="both"/>
        <w:spacing w:after="0" w:line="309"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give the Company an opportunity, at its own expense, to handle and defend the same before he or she undertakes to handle and defend it on his or her own behalf. The foregoing right of indemnification shall not be exclusive of any other rights of indemnification to which such persons may be entitled under the Company’s Articles of Incorporation or Bylaws, by contract, as a matter of law, or otherwise, or under any power that the Company may have to indemnify them or hold them harmless.</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SECTION 4. GENERAL</w:t>
      </w:r>
    </w:p>
    <w:p>
      <w:pPr>
        <w:spacing w:after="0" w:line="127" w:lineRule="exact"/>
        <w:rPr>
          <w:sz w:val="20"/>
          <w:szCs w:val="20"/>
          <w:color w:val="auto"/>
        </w:rPr>
      </w:pPr>
    </w:p>
    <w:p>
      <w:pPr>
        <w:ind w:left="820" w:hanging="306"/>
        <w:spacing w:after="0"/>
        <w:tabs>
          <w:tab w:leader="none" w:pos="820" w:val="left"/>
        </w:tabs>
        <w:numPr>
          <w:ilvl w:val="0"/>
          <w:numId w:val="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General Eligibility</w:t>
      </w:r>
      <w:r>
        <w:rPr>
          <w:rFonts w:ascii="Times New Roman" w:cs="Times New Roman" w:eastAsia="Times New Roman" w:hAnsi="Times New Roman"/>
          <w:sz w:val="14"/>
          <w:szCs w:val="14"/>
          <w:color w:val="auto"/>
        </w:rPr>
        <w:t>. Only Employees, Consultants, Directors and Non-Employee Directors shall be eligible for designation as Selected Employees by the Committee.</w:t>
      </w:r>
    </w:p>
    <w:p>
      <w:pPr>
        <w:spacing w:after="0" w:line="114" w:lineRule="exact"/>
        <w:rPr>
          <w:rFonts w:ascii="Times New Roman" w:cs="Times New Roman" w:eastAsia="Times New Roman" w:hAnsi="Times New Roman"/>
          <w:sz w:val="14"/>
          <w:szCs w:val="14"/>
          <w:color w:val="auto"/>
        </w:rPr>
      </w:pPr>
    </w:p>
    <w:p>
      <w:pPr>
        <w:ind w:left="860" w:hanging="346"/>
        <w:spacing w:after="0"/>
        <w:tabs>
          <w:tab w:leader="none" w:pos="860" w:val="left"/>
        </w:tabs>
        <w:numPr>
          <w:ilvl w:val="0"/>
          <w:numId w:val="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Incentive Stock Options</w:t>
      </w:r>
      <w:r>
        <w:rPr>
          <w:rFonts w:ascii="Times New Roman" w:cs="Times New Roman" w:eastAsia="Times New Roman" w:hAnsi="Times New Roman"/>
          <w:sz w:val="14"/>
          <w:szCs w:val="14"/>
          <w:color w:val="auto"/>
        </w:rPr>
        <w:t>. Only Selected Employees who are common-law employees of the Company, a Parent or a Subsidiary shall be eligible for the grant of ISOs. In addition, a</w:t>
      </w:r>
    </w:p>
    <w:p>
      <w:pPr>
        <w:spacing w:after="0" w:line="40" w:lineRule="exact"/>
        <w:rPr>
          <w:rFonts w:ascii="Times New Roman" w:cs="Times New Roman" w:eastAsia="Times New Roman" w:hAnsi="Times New Roman"/>
          <w:sz w:val="14"/>
          <w:szCs w:val="14"/>
          <w:color w:val="auto"/>
        </w:rPr>
      </w:pPr>
    </w:p>
    <w:p>
      <w:pPr>
        <w:jc w:val="both"/>
        <w:spacing w:after="0" w:line="292"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Selected Employee who is a 10-Percent Stockholder shall not be eligible for the grant of an ISO unless the requirements set forth in Section 422(c)(5) of the Code are satisfied. If and to the extent that any Shares are issued under a portion of any Option that exceeds the $100,000 limitation of Section 422 of the Code, such Shares shall not be treated as issued under an ISO notwithstanding any</w:t>
      </w:r>
    </w:p>
    <w:p>
      <w:pPr>
        <w:spacing w:after="0" w:line="319"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designation otherwise. Certain decisions, amendments, interpretations and actions by the Committee and certain actions by a Participant may cause an Option to cease to qualify as an ISO pursuant to the Code and by accepting an Option the Participant agrees in advance to such disqualifying action.</w:t>
      </w:r>
    </w:p>
    <w:p>
      <w:pPr>
        <w:spacing w:after="0" w:line="49" w:lineRule="exact"/>
        <w:rPr>
          <w:rFonts w:ascii="Times New Roman" w:cs="Times New Roman" w:eastAsia="Times New Roman" w:hAnsi="Times New Roman"/>
          <w:sz w:val="14"/>
          <w:szCs w:val="14"/>
          <w:color w:val="auto"/>
        </w:rPr>
      </w:pPr>
    </w:p>
    <w:p>
      <w:pPr>
        <w:jc w:val="both"/>
        <w:ind w:firstLine="514"/>
        <w:spacing w:after="0" w:line="309" w:lineRule="auto"/>
        <w:tabs>
          <w:tab w:leader="none" w:pos="818" w:val="left"/>
        </w:tabs>
        <w:numPr>
          <w:ilvl w:val="0"/>
          <w:numId w:val="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Restrictions on Shares</w:t>
      </w:r>
      <w:r>
        <w:rPr>
          <w:rFonts w:ascii="Times New Roman" w:cs="Times New Roman" w:eastAsia="Times New Roman" w:hAnsi="Times New Roman"/>
          <w:sz w:val="14"/>
          <w:szCs w:val="14"/>
          <w:color w:val="auto"/>
        </w:rPr>
        <w:t>. Any Shares issued pursuant to an Award shall be subject to such Company policies, rights of repurchase, rights of first refusal and other transfer restrictions as the Committee may determine. Such restrictions shall apply in addition to any restrictions that may apply to holders of Shares generally and shall also comply to the extent necessary with applicable law. In no event shall the Company be required to issue fractional Shares under this Plan.</w:t>
      </w:r>
    </w:p>
    <w:p>
      <w:pPr>
        <w:spacing w:after="0" w:line="57" w:lineRule="exact"/>
        <w:rPr>
          <w:rFonts w:ascii="Times New Roman" w:cs="Times New Roman" w:eastAsia="Times New Roman" w:hAnsi="Times New Roman"/>
          <w:sz w:val="14"/>
          <w:szCs w:val="14"/>
          <w:color w:val="auto"/>
        </w:rPr>
      </w:pPr>
    </w:p>
    <w:p>
      <w:pPr>
        <w:jc w:val="both"/>
        <w:ind w:firstLine="514"/>
        <w:spacing w:after="0" w:line="309" w:lineRule="auto"/>
        <w:tabs>
          <w:tab w:leader="none" w:pos="816" w:val="left"/>
        </w:tabs>
        <w:numPr>
          <w:ilvl w:val="0"/>
          <w:numId w:val="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Beneficiaries</w:t>
      </w:r>
      <w:r>
        <w:rPr>
          <w:rFonts w:ascii="Times New Roman" w:cs="Times New Roman" w:eastAsia="Times New Roman" w:hAnsi="Times New Roman"/>
          <w:sz w:val="14"/>
          <w:szCs w:val="14"/>
          <w:color w:val="auto"/>
        </w:rPr>
        <w:t>. A Participant may designate one or more beneficiaries with respect to an Award by timely filing the prescribed form with the Company. A beneficiary designation may be changed by filing the prescribed form with the Company at any time before the Participant’s death. If no beneficiary was designated or if no designated beneficiary survives the Participant, then after a Participant’s death any vested Award(s) shall be transferred or distributed to the Participant’s estate.</w:t>
      </w:r>
    </w:p>
    <w:p>
      <w:pPr>
        <w:spacing w:after="0" w:line="46" w:lineRule="exact"/>
        <w:rPr>
          <w:rFonts w:ascii="Times New Roman" w:cs="Times New Roman" w:eastAsia="Times New Roman" w:hAnsi="Times New Roman"/>
          <w:sz w:val="14"/>
          <w:szCs w:val="14"/>
          <w:color w:val="auto"/>
        </w:rPr>
      </w:pPr>
    </w:p>
    <w:p>
      <w:pPr>
        <w:ind w:firstLine="514"/>
        <w:spacing w:after="0" w:line="334" w:lineRule="auto"/>
        <w:tabs>
          <w:tab w:leader="none" w:pos="829" w:val="left"/>
        </w:tabs>
        <w:numPr>
          <w:ilvl w:val="0"/>
          <w:numId w:val="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Performance Goals</w:t>
      </w:r>
      <w:r>
        <w:rPr>
          <w:rFonts w:ascii="Times New Roman" w:cs="Times New Roman" w:eastAsia="Times New Roman" w:hAnsi="Times New Roman"/>
          <w:sz w:val="14"/>
          <w:szCs w:val="14"/>
          <w:color w:val="auto"/>
        </w:rPr>
        <w:t>. The Committee may, in its discretion, include Performance Goals or other performance objectives in any Award. If Performance Goals are included in Awards to Covered Employees in order to enable such Awards</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w:t>
      </w:r>
    </w:p>
    <w:p>
      <w:pPr>
        <w:sectPr>
          <w:pgSz w:w="11900" w:h="16838" w:orient="portrait"/>
          <w:cols w:equalWidth="0" w:num="1">
            <w:col w:w="11280"/>
          </w:cols>
          <w:pgMar w:left="300" w:top="740" w:right="319" w:bottom="1440" w:gutter="0" w:footer="0" w:header="0"/>
        </w:sectPr>
      </w:pPr>
    </w:p>
    <w:bookmarkStart w:id="93" w:name="page94"/>
    <w:bookmarkEnd w:id="93"/>
    <w:p>
      <w:pPr>
        <w:jc w:val="both"/>
        <w:spacing w:after="0" w:line="297" w:lineRule="auto"/>
        <w:rPr>
          <w:sz w:val="20"/>
          <w:szCs w:val="20"/>
          <w:color w:val="auto"/>
        </w:rPr>
      </w:pPr>
      <w:r>
        <w:rPr>
          <w:rFonts w:ascii="Times New Roman" w:cs="Times New Roman" w:eastAsia="Times New Roman" w:hAnsi="Times New Roman"/>
          <w:sz w:val="14"/>
          <w:szCs w:val="14"/>
          <w:color w:val="auto"/>
        </w:rPr>
        <w:t>to qualify as performance-based compensation under Code Section 162(m), then such Awards will be subject to the achievement of such Performance Goals that will be established and administered pursuant to the requirements of Code Section 162(m) and as described in this Section 4(e). If an Award is intended to qualify as performance-based compensation under Code Section 162(m) and to the extent required by Code Section 162(m), the Committee shall certify in writing the degree to which the Performance Goals have been satisfied before any Shares underlying an Award or any Award payments are released to a Covered Employee with respect to a Performance Period. Without limitation, the approved minutes of a Committee meeting shall constitute such written certification. With respect to Awards that are intended to qualify as performance-based compensation under Code Section 162(m), the Committee may adjust the evaluation of performance under a Performance Goal (to the extent permitted by Code Section 162(m)) to remove the effects of certain events including without limitation the following:</w:t>
      </w:r>
    </w:p>
    <w:p>
      <w:pPr>
        <w:spacing w:after="0" w:line="67" w:lineRule="exact"/>
        <w:rPr>
          <w:sz w:val="20"/>
          <w:szCs w:val="20"/>
          <w:color w:val="auto"/>
        </w:rPr>
      </w:pPr>
    </w:p>
    <w:p>
      <w:pPr>
        <w:ind w:left="1300" w:hanging="277"/>
        <w:spacing w:after="0"/>
        <w:tabs>
          <w:tab w:leader="none" w:pos="1300" w:val="left"/>
        </w:tabs>
        <w:numPr>
          <w:ilvl w:val="0"/>
          <w:numId w:val="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asset write-downs or discontinued operations,</w:t>
      </w:r>
    </w:p>
    <w:p>
      <w:pPr>
        <w:spacing w:after="0" w:line="114" w:lineRule="exact"/>
        <w:rPr>
          <w:rFonts w:ascii="Times New Roman" w:cs="Times New Roman" w:eastAsia="Times New Roman" w:hAnsi="Times New Roman"/>
          <w:sz w:val="14"/>
          <w:szCs w:val="14"/>
          <w:color w:val="auto"/>
        </w:rPr>
      </w:pPr>
    </w:p>
    <w:p>
      <w:pPr>
        <w:ind w:left="1340" w:hanging="317"/>
        <w:spacing w:after="0"/>
        <w:tabs>
          <w:tab w:leader="none" w:pos="1340" w:val="left"/>
        </w:tabs>
        <w:numPr>
          <w:ilvl w:val="0"/>
          <w:numId w:val="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litigation or claim judgments or settlements,</w:t>
      </w:r>
    </w:p>
    <w:p>
      <w:pPr>
        <w:spacing w:after="0" w:line="125" w:lineRule="exact"/>
        <w:rPr>
          <w:rFonts w:ascii="Times New Roman" w:cs="Times New Roman" w:eastAsia="Times New Roman" w:hAnsi="Times New Roman"/>
          <w:sz w:val="14"/>
          <w:szCs w:val="14"/>
          <w:color w:val="auto"/>
        </w:rPr>
      </w:pPr>
    </w:p>
    <w:p>
      <w:pPr>
        <w:ind w:left="1380" w:hanging="357"/>
        <w:spacing w:after="0"/>
        <w:tabs>
          <w:tab w:leader="none" w:pos="1380" w:val="left"/>
        </w:tabs>
        <w:numPr>
          <w:ilvl w:val="0"/>
          <w:numId w:val="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material changes in or provisions under tax law, accounting principles or other such laws or provisions affecting reported results,</w:t>
      </w:r>
    </w:p>
    <w:p>
      <w:pPr>
        <w:spacing w:after="0" w:line="114" w:lineRule="exact"/>
        <w:rPr>
          <w:rFonts w:ascii="Times New Roman" w:cs="Times New Roman" w:eastAsia="Times New Roman" w:hAnsi="Times New Roman"/>
          <w:sz w:val="14"/>
          <w:szCs w:val="14"/>
          <w:color w:val="auto"/>
        </w:rPr>
      </w:pPr>
    </w:p>
    <w:p>
      <w:pPr>
        <w:ind w:left="1360" w:hanging="337"/>
        <w:spacing w:after="0"/>
        <w:tabs>
          <w:tab w:leader="none" w:pos="1360" w:val="left"/>
        </w:tabs>
        <w:numPr>
          <w:ilvl w:val="0"/>
          <w:numId w:val="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reorganizations or restructuring programs or divestitures or acquisitions, and/or</w:t>
      </w:r>
    </w:p>
    <w:p>
      <w:pPr>
        <w:spacing w:after="0" w:line="125" w:lineRule="exact"/>
        <w:rPr>
          <w:rFonts w:ascii="Times New Roman" w:cs="Times New Roman" w:eastAsia="Times New Roman" w:hAnsi="Times New Roman"/>
          <w:sz w:val="14"/>
          <w:szCs w:val="14"/>
          <w:color w:val="auto"/>
        </w:rPr>
      </w:pPr>
    </w:p>
    <w:p>
      <w:pPr>
        <w:ind w:firstLine="1023"/>
        <w:spacing w:after="0" w:line="319" w:lineRule="auto"/>
        <w:tabs>
          <w:tab w:leader="none" w:pos="1337" w:val="left"/>
        </w:tabs>
        <w:numPr>
          <w:ilvl w:val="0"/>
          <w:numId w:val="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extraordinary non-recurring items as described in applicable accounting principles and/or items of gain, loss or expense determined to be extraordinary or unusual in nature or infrequent in occurrence.</w:t>
      </w:r>
    </w:p>
    <w:p>
      <w:pPr>
        <w:spacing w:after="0" w:line="49" w:lineRule="exact"/>
        <w:rPr>
          <w:sz w:val="20"/>
          <w:szCs w:val="20"/>
          <w:color w:val="auto"/>
        </w:rPr>
      </w:pPr>
    </w:p>
    <w:p>
      <w:pPr>
        <w:jc w:val="both"/>
        <w:ind w:firstLine="509"/>
        <w:spacing w:after="0" w:line="306" w:lineRule="auto"/>
        <w:rPr>
          <w:sz w:val="20"/>
          <w:szCs w:val="20"/>
          <w:color w:val="auto"/>
        </w:rPr>
      </w:pPr>
      <w:r>
        <w:rPr>
          <w:rFonts w:ascii="Times New Roman" w:cs="Times New Roman" w:eastAsia="Times New Roman" w:hAnsi="Times New Roman"/>
          <w:sz w:val="14"/>
          <w:szCs w:val="14"/>
          <w:color w:val="auto"/>
        </w:rPr>
        <w:t>Notwithstanding satisfaction of any completion of any Performance Goal, to the extent specified at the time of grant of an Award, the number of Shares, Options, SARs, Stock Units or other benefits granted, issued, retainable and/or vested under an Award on account of satisfaction of such Performance Goals may be reduced by the Committee on the basis of such further considerations as the Committee in its sole discretion shall determine. Awards with Performance Goals or performance objectives (if any) that are granted to Selected Employees who are not Covered Employees or any Awards to Covered Employees which are not intended to qualify as performance-based compensation under Code Section 162(m) need not comply with the requirements of Code Section 162(m).</w:t>
      </w:r>
    </w:p>
    <w:p>
      <w:pPr>
        <w:spacing w:after="0" w:line="49" w:lineRule="exact"/>
        <w:rPr>
          <w:sz w:val="20"/>
          <w:szCs w:val="20"/>
          <w:color w:val="auto"/>
        </w:rPr>
      </w:pPr>
    </w:p>
    <w:p>
      <w:pPr>
        <w:ind w:left="820" w:hanging="306"/>
        <w:spacing w:after="0"/>
        <w:tabs>
          <w:tab w:leader="none" w:pos="820" w:val="left"/>
        </w:tabs>
        <w:numPr>
          <w:ilvl w:val="0"/>
          <w:numId w:val="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No Rights as a Stockholder</w:t>
      </w:r>
      <w:r>
        <w:rPr>
          <w:rFonts w:ascii="Times New Roman" w:cs="Times New Roman" w:eastAsia="Times New Roman" w:hAnsi="Times New Roman"/>
          <w:sz w:val="14"/>
          <w:szCs w:val="14"/>
          <w:color w:val="auto"/>
        </w:rPr>
        <w:t>. A Participant, or a transferee of a Participant, shall have no rights as a stockholder (including without limitation voting rights or dividend or distribution</w:t>
      </w:r>
    </w:p>
    <w:p>
      <w:pPr>
        <w:spacing w:after="0" w:line="40" w:lineRule="exact"/>
        <w:rPr>
          <w:rFonts w:ascii="Times New Roman" w:cs="Times New Roman" w:eastAsia="Times New Roman" w:hAnsi="Times New Roman"/>
          <w:sz w:val="14"/>
          <w:szCs w:val="14"/>
          <w:color w:val="auto"/>
        </w:rPr>
      </w:pPr>
    </w:p>
    <w:p>
      <w:pPr>
        <w:jc w:val="both"/>
        <w:spacing w:after="0" w:line="292"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rights) with respect to any Common Stock covered by an Award until such person becomes entitled to receive such Common Stock, has satisfied any applicable withholding or tax obligations relating to the Award and the Common Stock has been issued to the Participant. No adjustment shall be made for cash or stock dividends or other rights for which the record date is prior to the date when such</w:t>
      </w:r>
    </w:p>
    <w:p>
      <w:pPr>
        <w:spacing w:after="0" w:line="319"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Common Stock is issued, except as expressly provided in Section 11. For the avoidance of doubt, no Award shall allow for the payment of dividends with respect to any portion of the Award that does not vest or as to which applicable vesting or performance conditions are not satisfied.</w:t>
      </w:r>
    </w:p>
    <w:p>
      <w:pPr>
        <w:spacing w:after="0" w:line="49" w:lineRule="exact"/>
        <w:rPr>
          <w:rFonts w:ascii="Times New Roman" w:cs="Times New Roman" w:eastAsia="Times New Roman" w:hAnsi="Times New Roman"/>
          <w:sz w:val="14"/>
          <w:szCs w:val="14"/>
          <w:color w:val="auto"/>
        </w:rPr>
      </w:pPr>
    </w:p>
    <w:p>
      <w:pPr>
        <w:jc w:val="both"/>
        <w:ind w:firstLine="514"/>
        <w:spacing w:after="0" w:line="309" w:lineRule="auto"/>
        <w:tabs>
          <w:tab w:leader="none" w:pos="826" w:val="left"/>
        </w:tabs>
        <w:numPr>
          <w:ilvl w:val="0"/>
          <w:numId w:val="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Termination of Service</w:t>
      </w:r>
      <w:r>
        <w:rPr>
          <w:rFonts w:ascii="Times New Roman" w:cs="Times New Roman" w:eastAsia="Times New Roman" w:hAnsi="Times New Roman"/>
          <w:sz w:val="14"/>
          <w:szCs w:val="14"/>
          <w:color w:val="auto"/>
        </w:rPr>
        <w:t>. Unless the applicable Award Agreement or employment agreement provides otherwise (and in such case, the Award or employment agreement shall govern as to the consequences of a termination of Service for such Awards), the following rules shall govern the vesting, exercisability and term of outstanding Awards held by a Participant in the event of termination of such Participant’s Service (in all cases subject to the term of the Option or SAR as applicable):</w:t>
      </w:r>
    </w:p>
    <w:p>
      <w:pPr>
        <w:spacing w:after="0" w:line="46" w:lineRule="exact"/>
        <w:rPr>
          <w:rFonts w:ascii="Times New Roman" w:cs="Times New Roman" w:eastAsia="Times New Roman" w:hAnsi="Times New Roman"/>
          <w:sz w:val="14"/>
          <w:szCs w:val="14"/>
          <w:color w:val="auto"/>
        </w:rPr>
      </w:pPr>
    </w:p>
    <w:p>
      <w:pPr>
        <w:ind w:left="1320" w:hanging="297"/>
        <w:spacing w:after="0"/>
        <w:tabs>
          <w:tab w:leader="none" w:pos="1320" w:val="left"/>
        </w:tabs>
        <w:numPr>
          <w:ilvl w:val="1"/>
          <w:numId w:val="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the Service of a Participant is terminated for Cause, then all of the Participant’s Options, SARs, unvested portions of Stock Units and unvested portions of Restricted Stock</w:t>
      </w:r>
    </w:p>
    <w:p>
      <w:pPr>
        <w:spacing w:after="0" w:line="40" w:lineRule="exact"/>
        <w:rPr>
          <w:rFonts w:ascii="Times New Roman" w:cs="Times New Roman" w:eastAsia="Times New Roman" w:hAnsi="Times New Roman"/>
          <w:sz w:val="14"/>
          <w:szCs w:val="14"/>
          <w:color w:val="auto"/>
        </w:rPr>
      </w:pPr>
    </w:p>
    <w:p>
      <w:pPr>
        <w:spacing w:after="0" w:line="319"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Grants shall terminate and be forfeited immediately without consideration as of the Termination Date (except for repayment of any amounts the Participant had previously paid to the Company to acquire Shares underlying the forfeited Awards);</w:t>
      </w:r>
    </w:p>
    <w:p>
      <w:pPr>
        <w:spacing w:after="0" w:line="49" w:lineRule="exact"/>
        <w:rPr>
          <w:rFonts w:ascii="Times New Roman" w:cs="Times New Roman" w:eastAsia="Times New Roman" w:hAnsi="Times New Roman"/>
          <w:sz w:val="14"/>
          <w:szCs w:val="14"/>
          <w:color w:val="auto"/>
        </w:rPr>
      </w:pPr>
    </w:p>
    <w:p>
      <w:pPr>
        <w:ind w:left="1360" w:hanging="337"/>
        <w:spacing w:after="0"/>
        <w:tabs>
          <w:tab w:leader="none" w:pos="1360" w:val="left"/>
        </w:tabs>
        <w:numPr>
          <w:ilvl w:val="1"/>
          <w:numId w:val="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the Service of Participant is terminated for any reason other than for Cause and other due to the Participant’s death or Disability, then the vested portion of the Participant’s</w:t>
      </w:r>
    </w:p>
    <w:p>
      <w:pPr>
        <w:spacing w:after="0" w:line="40" w:lineRule="exact"/>
        <w:rPr>
          <w:rFonts w:ascii="Times New Roman" w:cs="Times New Roman" w:eastAsia="Times New Roman" w:hAnsi="Times New Roman"/>
          <w:sz w:val="14"/>
          <w:szCs w:val="14"/>
          <w:color w:val="auto"/>
        </w:rPr>
      </w:pPr>
    </w:p>
    <w:p>
      <w:pPr>
        <w:spacing w:after="0" w:line="319"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then-outstanding Options/SARs may be exercised by such Participant or his or her personal representative within three months after the Termination Date and all unvested portions of the Participant’s outstanding Awards shall be forfeited without consideration as of the Termination Date (except for</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w:t>
      </w:r>
    </w:p>
    <w:p>
      <w:pPr>
        <w:sectPr>
          <w:pgSz w:w="11900" w:h="16838" w:orient="portrait"/>
          <w:cols w:equalWidth="0" w:num="1">
            <w:col w:w="11280"/>
          </w:cols>
          <w:pgMar w:left="300" w:top="740" w:right="31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4"/>
          <w:szCs w:val="14"/>
          <w:color w:val="auto"/>
        </w:rPr>
        <w:t>repayment of any amounts the Participant had previously paid to the Company to acquire Shares underlying the forfeited Awards); or</w:t>
      </w:r>
    </w:p>
    <w:p>
      <w:pPr>
        <w:spacing w:after="0" w:line="115" w:lineRule="exact"/>
        <w:rPr>
          <w:sz w:val="20"/>
          <w:szCs w:val="20"/>
          <w:color w:val="auto"/>
        </w:rPr>
      </w:pPr>
    </w:p>
    <w:p>
      <w:pPr>
        <w:ind w:left="1380" w:hanging="357"/>
        <w:spacing w:after="0"/>
        <w:tabs>
          <w:tab w:leader="none" w:pos="1380" w:val="left"/>
        </w:tabs>
        <w:numPr>
          <w:ilvl w:val="1"/>
          <w:numId w:val="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the Service of a Participant is terminated due to the Participant’s death or Disability, the vested portion of the Participant’s then outstanding Options/SARs may be exercised</w:t>
      </w:r>
    </w:p>
    <w:p>
      <w:pPr>
        <w:spacing w:after="0" w:line="40" w:lineRule="exact"/>
        <w:rPr>
          <w:rFonts w:ascii="Times New Roman" w:cs="Times New Roman" w:eastAsia="Times New Roman" w:hAnsi="Times New Roman"/>
          <w:sz w:val="14"/>
          <w:szCs w:val="14"/>
          <w:color w:val="auto"/>
        </w:rPr>
      </w:pPr>
    </w:p>
    <w:p>
      <w:pPr>
        <w:spacing w:after="0" w:line="319"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within twelve months after the Termination Date and all unvested portions of any outstanding Awards shall be forfeited without consideration as of the Termination Date (except for repayment of any amounts the Participant had previously paid to the Company to acquire Shares underlying the forfeited Awards).</w:t>
      </w:r>
    </w:p>
    <w:p>
      <w:pPr>
        <w:spacing w:after="0" w:line="49" w:lineRule="exact"/>
        <w:rPr>
          <w:rFonts w:ascii="Times New Roman" w:cs="Times New Roman" w:eastAsia="Times New Roman" w:hAnsi="Times New Roman"/>
          <w:sz w:val="14"/>
          <w:szCs w:val="14"/>
          <w:color w:val="auto"/>
        </w:rPr>
      </w:pPr>
    </w:p>
    <w:p>
      <w:pPr>
        <w:jc w:val="both"/>
        <w:ind w:firstLine="514"/>
        <w:spacing w:after="0" w:line="292" w:lineRule="auto"/>
        <w:tabs>
          <w:tab w:leader="none" w:pos="826" w:val="left"/>
        </w:tabs>
        <w:numPr>
          <w:ilvl w:val="0"/>
          <w:numId w:val="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Code Section 409A</w:t>
      </w:r>
      <w:r>
        <w:rPr>
          <w:rFonts w:ascii="Times New Roman" w:cs="Times New Roman" w:eastAsia="Times New Roman" w:hAnsi="Times New Roman"/>
          <w:sz w:val="14"/>
          <w:szCs w:val="14"/>
          <w:color w:val="auto"/>
        </w:rPr>
        <w:t>. Notwithstanding anything in the Plan to the contrary, the Plan and Awards granted hereunder are intended to comply with the requirements of Code Section 409A and shall be interpreted in a manner consistent with such intention. In the event that any provision of the Plan or an Award Agreement is determined by the Committee to not comply with the</w:t>
      </w:r>
    </w:p>
    <w:p>
      <w:pPr>
        <w:jc w:val="both"/>
        <w:spacing w:after="0" w:line="292"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applicable requirements of Code Section 409A and the Treasury Regulations and other guidance issued thereunder, the Committee shall have the authority to take such actions and to make such changes to the Plan or an Award Agreement as the Committee deems necessary to comply with such requirements, provided that no such action shall adversely affect any outstanding Award without</w:t>
      </w:r>
    </w:p>
    <w:p>
      <w:pPr>
        <w:jc w:val="both"/>
        <w:spacing w:after="0" w:line="292"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consent of the affected Participant. Each payment to a Participant made pursuant to this Plan shall be considered a separate payment and not one of a series of payments for purposes of Code Section 409A. Notwithstanding the foregoing or anything elsewhere in the Plan or an Award Agreement to the contrary, if upon a Participant’s Separation From Service he/she is then a Specified</w:t>
      </w:r>
    </w:p>
    <w:p>
      <w:pPr>
        <w:jc w:val="both"/>
        <w:spacing w:after="0" w:line="295"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Employee, then solely to the extent necessary to comply with Code Section 409A and avoid the imposition of taxes under Code Section 409A, the Company shall defer payment of “nonqualified deferred compensation” subject to Code Section 409A payable as a result of and within six (6) months following such Separation From Service under this Plan until the earlier of (i) the first business day of the seventh month following the Participant’s Separation From Service, or (ii) ten (10) days after the Company receives written confirmation of the Participant’s death. Any such delayed</w:t>
      </w:r>
    </w:p>
    <w:p>
      <w:pPr>
        <w:spacing w:after="0" w:line="319"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payments shall be made without interest. In no event whatsoever shall the Company be liable for any additional tax, interest or penalties that may be imposed on a Participant by Code Section 409A or for any damages for failing to comply with Code Section 409A.</w:t>
      </w:r>
    </w:p>
    <w:p>
      <w:pPr>
        <w:spacing w:after="0" w:line="49" w:lineRule="exact"/>
        <w:rPr>
          <w:rFonts w:ascii="Times New Roman" w:cs="Times New Roman" w:eastAsia="Times New Roman" w:hAnsi="Times New Roman"/>
          <w:sz w:val="14"/>
          <w:szCs w:val="14"/>
          <w:color w:val="auto"/>
        </w:rPr>
      </w:pPr>
    </w:p>
    <w:p>
      <w:pPr>
        <w:jc w:val="both"/>
        <w:ind w:firstLine="514"/>
        <w:spacing w:after="0" w:line="292" w:lineRule="auto"/>
        <w:tabs>
          <w:tab w:leader="none" w:pos="805" w:val="left"/>
        </w:tabs>
        <w:numPr>
          <w:ilvl w:val="0"/>
          <w:numId w:val="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Suspension or Termination of Awards</w:t>
      </w:r>
      <w:r>
        <w:rPr>
          <w:rFonts w:ascii="Times New Roman" w:cs="Times New Roman" w:eastAsia="Times New Roman" w:hAnsi="Times New Roman"/>
          <w:sz w:val="14"/>
          <w:szCs w:val="14"/>
          <w:color w:val="auto"/>
        </w:rPr>
        <w:t>. If at any time (including after a notice of exercise has been delivered) the Committee (or the Board), reasonably believes that a Participant has committed an act of Cause (which includes a failure to act), the Committee (or Board) may suspend the Participant’s right to exercise any Option or SAR (or payment of a Cash Award or vesting of</w:t>
      </w:r>
    </w:p>
    <w:p>
      <w:pPr>
        <w:jc w:val="both"/>
        <w:spacing w:after="0" w:line="309"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Restricted Stock Grants or Stock Units) pending a determination of whether there was in fact an act of Cause. If the Committee (or the Board) determines a Participant has committed an act of Cause, neither the Participant nor his or her estate shall be entitled to exercise any outstanding Option or SAR whatsoever and all of Participant’s outstanding Awards shall then terminate without consideration. Any determination by the Committee (or the Board) with respect to the foregoing shall be final, conclusive and binding on all interested parties.</w:t>
      </w:r>
    </w:p>
    <w:p>
      <w:pPr>
        <w:spacing w:after="0" w:line="46" w:lineRule="exact"/>
        <w:rPr>
          <w:rFonts w:ascii="Times New Roman" w:cs="Times New Roman" w:eastAsia="Times New Roman" w:hAnsi="Times New Roman"/>
          <w:sz w:val="14"/>
          <w:szCs w:val="14"/>
          <w:color w:val="auto"/>
        </w:rPr>
      </w:pPr>
    </w:p>
    <w:p>
      <w:pPr>
        <w:ind w:firstLine="514"/>
        <w:spacing w:after="0" w:line="334" w:lineRule="auto"/>
        <w:tabs>
          <w:tab w:leader="none" w:pos="841" w:val="left"/>
        </w:tabs>
        <w:numPr>
          <w:ilvl w:val="0"/>
          <w:numId w:val="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Electronic Communications</w:t>
      </w:r>
      <w:r>
        <w:rPr>
          <w:rFonts w:ascii="Times New Roman" w:cs="Times New Roman" w:eastAsia="Times New Roman" w:hAnsi="Times New Roman"/>
          <w:sz w:val="14"/>
          <w:szCs w:val="14"/>
          <w:color w:val="auto"/>
        </w:rPr>
        <w:t>. Subject to compliance with applicable law and/or regulations, an Award Agreement or other documentation or notices relating to the Plan and/or Awards may be communicated to Participants by electronic media.</w:t>
      </w:r>
    </w:p>
    <w:p>
      <w:pPr>
        <w:spacing w:after="0" w:line="29" w:lineRule="exact"/>
        <w:rPr>
          <w:rFonts w:ascii="Times New Roman" w:cs="Times New Roman" w:eastAsia="Times New Roman" w:hAnsi="Times New Roman"/>
          <w:sz w:val="14"/>
          <w:szCs w:val="14"/>
          <w:color w:val="auto"/>
        </w:rPr>
      </w:pPr>
    </w:p>
    <w:p>
      <w:pPr>
        <w:ind w:left="840" w:hanging="326"/>
        <w:spacing w:after="0"/>
        <w:tabs>
          <w:tab w:leader="none" w:pos="840" w:val="left"/>
        </w:tabs>
        <w:numPr>
          <w:ilvl w:val="0"/>
          <w:numId w:val="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Unfunded Plan</w:t>
      </w:r>
      <w:r>
        <w:rPr>
          <w:rFonts w:ascii="Times New Roman" w:cs="Times New Roman" w:eastAsia="Times New Roman" w:hAnsi="Times New Roman"/>
          <w:sz w:val="14"/>
          <w:szCs w:val="14"/>
          <w:color w:val="auto"/>
        </w:rPr>
        <w:t>. Insofar as it provides for Awards, the Plan shall be unfunded. Although bookkeeping accounts may be established with respect to Participants who are granted Awards</w:t>
      </w:r>
    </w:p>
    <w:p>
      <w:pPr>
        <w:spacing w:after="0" w:line="40" w:lineRule="exact"/>
        <w:rPr>
          <w:rFonts w:ascii="Times New Roman" w:cs="Times New Roman" w:eastAsia="Times New Roman" w:hAnsi="Times New Roman"/>
          <w:sz w:val="14"/>
          <w:szCs w:val="14"/>
          <w:color w:val="auto"/>
        </w:rPr>
      </w:pPr>
    </w:p>
    <w:p>
      <w:pPr>
        <w:spacing w:after="0" w:line="319"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under this Plan, any such accounts will be used merely as a bookkeeping convenience. The Company shall not be required to segregate any assets which may at any time be represented by Awards, nor shall this Plan be construed as providing for such segregation, nor shall the Company or the Committee be deemed to be a trustee of stock or cash to be awarded under the Plan.</w:t>
      </w:r>
    </w:p>
    <w:p>
      <w:pPr>
        <w:spacing w:after="0" w:line="49" w:lineRule="exact"/>
        <w:rPr>
          <w:rFonts w:ascii="Times New Roman" w:cs="Times New Roman" w:eastAsia="Times New Roman" w:hAnsi="Times New Roman"/>
          <w:sz w:val="14"/>
          <w:szCs w:val="14"/>
          <w:color w:val="auto"/>
        </w:rPr>
      </w:pPr>
    </w:p>
    <w:p>
      <w:pPr>
        <w:jc w:val="both"/>
        <w:ind w:firstLine="514"/>
        <w:spacing w:after="0" w:line="306" w:lineRule="auto"/>
        <w:tabs>
          <w:tab w:leader="none" w:pos="816" w:val="left"/>
        </w:tabs>
        <w:numPr>
          <w:ilvl w:val="0"/>
          <w:numId w:val="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Liability of Company</w:t>
      </w:r>
      <w:r>
        <w:rPr>
          <w:rFonts w:ascii="Times New Roman" w:cs="Times New Roman" w:eastAsia="Times New Roman" w:hAnsi="Times New Roman"/>
          <w:sz w:val="14"/>
          <w:szCs w:val="14"/>
          <w:color w:val="auto"/>
        </w:rPr>
        <w:t>. The Company (or members of the Board or Committee) shall not be liable to a Participant or other persons as to: (a) the non-issuance or sale of Shares as to which the Company has been unable to obtain from any regulatory body having jurisdiction the authority deemed by the Company’s counsel to be necessary to the lawful issuance and sale of any Shares hereunder; and (b) any unexpected or adverse tax consequence or any tax consequence expected, but not realized, by any Participant or other person due to the grant, receipt, exercise or settlement of any Award granted hereunder.</w:t>
      </w:r>
    </w:p>
    <w:p>
      <w:pPr>
        <w:spacing w:after="0" w:line="48" w:lineRule="exact"/>
        <w:rPr>
          <w:rFonts w:ascii="Times New Roman" w:cs="Times New Roman" w:eastAsia="Times New Roman" w:hAnsi="Times New Roman"/>
          <w:sz w:val="14"/>
          <w:szCs w:val="14"/>
          <w:color w:val="auto"/>
        </w:rPr>
      </w:pPr>
    </w:p>
    <w:p>
      <w:pPr>
        <w:ind w:firstLine="514"/>
        <w:spacing w:after="0" w:line="334" w:lineRule="auto"/>
        <w:tabs>
          <w:tab w:leader="none" w:pos="855" w:val="left"/>
        </w:tabs>
        <w:numPr>
          <w:ilvl w:val="0"/>
          <w:numId w:val="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Reformation</w:t>
      </w:r>
      <w:r>
        <w:rPr>
          <w:rFonts w:ascii="Times New Roman" w:cs="Times New Roman" w:eastAsia="Times New Roman" w:hAnsi="Times New Roman"/>
          <w:sz w:val="14"/>
          <w:szCs w:val="14"/>
          <w:color w:val="auto"/>
        </w:rPr>
        <w:t>. In the event any provision of this Plan shall be held illegal or invalid for any reason, such provisions will be reformed by the Board if possible and to the extent needed in order to be held legal and valid. If it is not</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w:t>
      </w:r>
    </w:p>
    <w:p>
      <w:pPr>
        <w:sectPr>
          <w:pgSz w:w="11900" w:h="16838" w:orient="portrait"/>
          <w:cols w:equalWidth="0" w:num="1">
            <w:col w:w="11280"/>
          </w:cols>
          <w:pgMar w:left="300" w:top="740" w:right="319" w:bottom="1440" w:gutter="0" w:footer="0" w:header="0"/>
        </w:sectPr>
      </w:pPr>
    </w:p>
    <w:bookmarkStart w:id="95" w:name="page96"/>
    <w:bookmarkEnd w:id="95"/>
    <w:p>
      <w:pPr>
        <w:spacing w:after="0" w:line="319" w:lineRule="auto"/>
        <w:rPr>
          <w:sz w:val="20"/>
          <w:szCs w:val="20"/>
          <w:color w:val="auto"/>
        </w:rPr>
      </w:pPr>
      <w:r>
        <w:rPr>
          <w:rFonts w:ascii="Times New Roman" w:cs="Times New Roman" w:eastAsia="Times New Roman" w:hAnsi="Times New Roman"/>
          <w:sz w:val="14"/>
          <w:szCs w:val="14"/>
          <w:color w:val="auto"/>
        </w:rPr>
        <w:t>possible to reform the illegal or invalid provisions then the illegality or invalidity shall not affect the remaining parts of this Plan, and this Plan shall be construed and enforced as if the illegal or invalid provision had not been included.</w:t>
      </w:r>
    </w:p>
    <w:p>
      <w:pPr>
        <w:spacing w:after="0" w:line="49" w:lineRule="exact"/>
        <w:rPr>
          <w:sz w:val="20"/>
          <w:szCs w:val="20"/>
          <w:color w:val="auto"/>
        </w:rPr>
      </w:pPr>
    </w:p>
    <w:p>
      <w:pPr>
        <w:jc w:val="both"/>
        <w:ind w:firstLine="514"/>
        <w:spacing w:after="0" w:line="309" w:lineRule="auto"/>
        <w:tabs>
          <w:tab w:leader="none" w:pos="851" w:val="left"/>
        </w:tabs>
        <w:numPr>
          <w:ilvl w:val="0"/>
          <w:numId w:val="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Re-Pricing of Options or SARs</w:t>
      </w:r>
      <w:r>
        <w:rPr>
          <w:rFonts w:ascii="Times New Roman" w:cs="Times New Roman" w:eastAsia="Times New Roman" w:hAnsi="Times New Roman"/>
          <w:sz w:val="14"/>
          <w:szCs w:val="14"/>
          <w:color w:val="auto"/>
        </w:rPr>
        <w:t>. Notwithstanding anything to the contrary, without the approval of Company stockholders and except as provided in Section 11(a), outstanding Options or SARs may not be re-priced, replaced or regranted (i) through cancellation, whether in exchange for cash or another type of Award, (ii) by lowering the Exercise Price of a previously granted Option or SAR or (iii) by replacing a previously granted Option or SAR with a new Option or SAR with a lower Exercise Price.</w:t>
      </w:r>
    </w:p>
    <w:p>
      <w:pPr>
        <w:spacing w:after="0" w:line="46" w:lineRule="exact"/>
        <w:rPr>
          <w:rFonts w:ascii="Times New Roman" w:cs="Times New Roman" w:eastAsia="Times New Roman" w:hAnsi="Times New Roman"/>
          <w:sz w:val="14"/>
          <w:szCs w:val="14"/>
          <w:color w:val="auto"/>
        </w:rPr>
      </w:pPr>
    </w:p>
    <w:p>
      <w:pPr>
        <w:ind w:firstLine="514"/>
        <w:spacing w:after="0" w:line="334" w:lineRule="auto"/>
        <w:tabs>
          <w:tab w:leader="none" w:pos="847" w:val="left"/>
        </w:tabs>
        <w:numPr>
          <w:ilvl w:val="0"/>
          <w:numId w:val="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Successor Provision</w:t>
      </w:r>
      <w:r>
        <w:rPr>
          <w:rFonts w:ascii="Times New Roman" w:cs="Times New Roman" w:eastAsia="Times New Roman" w:hAnsi="Times New Roman"/>
          <w:sz w:val="14"/>
          <w:szCs w:val="14"/>
          <w:color w:val="auto"/>
        </w:rPr>
        <w:t>. Any reference to a statute, rule or regulation, or to a section of a statute, rule or regulation, is a reference to that statute, rule, regulation, or section as amended from time to time, both before and after the Adoption Date and including any successor provisions.</w:t>
      </w:r>
    </w:p>
    <w:p>
      <w:pPr>
        <w:spacing w:after="0" w:line="29" w:lineRule="exact"/>
        <w:rPr>
          <w:rFonts w:ascii="Times New Roman" w:cs="Times New Roman" w:eastAsia="Times New Roman" w:hAnsi="Times New Roman"/>
          <w:sz w:val="14"/>
          <w:szCs w:val="14"/>
          <w:color w:val="auto"/>
        </w:rPr>
      </w:pPr>
    </w:p>
    <w:p>
      <w:pPr>
        <w:ind w:left="840" w:hanging="326"/>
        <w:spacing w:after="0"/>
        <w:tabs>
          <w:tab w:leader="none" w:pos="840" w:val="left"/>
        </w:tabs>
        <w:numPr>
          <w:ilvl w:val="0"/>
          <w:numId w:val="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Governing Law</w:t>
      </w:r>
      <w:r>
        <w:rPr>
          <w:rFonts w:ascii="Times New Roman" w:cs="Times New Roman" w:eastAsia="Times New Roman" w:hAnsi="Times New Roman"/>
          <w:sz w:val="14"/>
          <w:szCs w:val="14"/>
          <w:color w:val="auto"/>
        </w:rPr>
        <w:t>. This Plan and all Awards shall be construed in accordance with and governed by the laws of the State of Utah but without regard to its conflict of law provisions. The</w:t>
      </w:r>
    </w:p>
    <w:p>
      <w:pPr>
        <w:spacing w:after="0" w:line="40" w:lineRule="exact"/>
        <w:rPr>
          <w:rFonts w:ascii="Times New Roman" w:cs="Times New Roman" w:eastAsia="Times New Roman" w:hAnsi="Times New Roman"/>
          <w:sz w:val="14"/>
          <w:szCs w:val="14"/>
          <w:color w:val="auto"/>
        </w:rPr>
      </w:pPr>
    </w:p>
    <w:p>
      <w:pPr>
        <w:jc w:val="both"/>
        <w:spacing w:after="0" w:line="309"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Committee may provide that any dispute as to any Award shall be presented and determined in such forum as the Committee may specify, including through binding arbitration. Unless otherwise provided in the Award Agreement, recipients of an Award under the Plan are deemed to submit to the exclusive jurisdiction and venue of the federal or state courts of Utah to resolve any and all issues that may arise out of or relate to the Plan or any related Award Agreement.</w:t>
      </w:r>
    </w:p>
    <w:p>
      <w:pPr>
        <w:spacing w:after="0" w:line="46" w:lineRule="exact"/>
        <w:rPr>
          <w:rFonts w:ascii="Times New Roman" w:cs="Times New Roman" w:eastAsia="Times New Roman" w:hAnsi="Times New Roman"/>
          <w:sz w:val="14"/>
          <w:szCs w:val="14"/>
          <w:color w:val="auto"/>
        </w:rPr>
      </w:pPr>
    </w:p>
    <w:p>
      <w:pPr>
        <w:jc w:val="both"/>
        <w:ind w:firstLine="514"/>
        <w:spacing w:after="0" w:line="317" w:lineRule="auto"/>
        <w:tabs>
          <w:tab w:leader="none" w:pos="816" w:val="left"/>
        </w:tabs>
        <w:numPr>
          <w:ilvl w:val="0"/>
          <w:numId w:val="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Minimum Vesting Requirement.</w:t>
      </w:r>
      <w:r>
        <w:rPr>
          <w:rFonts w:ascii="Times New Roman" w:cs="Times New Roman" w:eastAsia="Times New Roman" w:hAnsi="Times New Roman"/>
          <w:sz w:val="14"/>
          <w:szCs w:val="14"/>
          <w:color w:val="auto"/>
        </w:rPr>
        <w:t xml:space="preserve"> No Award granted on or after July 1, 2018 shall vest, become exercisable or be settled on a date that is earlier than the first anniversary of the grant date of the Award; provided however that this minimum vesting and exercisability requirement shall not apply (i) to up to 5% of the aggregate number of shares reserved for issuance hereunder, (ii) if Section 12 applies, or (iii) with respect to an Award held by a Participant whose Service terminates as a result of his or her death or disability.</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SECTION 5. SHARES SUBJECT TO PLAN AND SHARE LIMITS</w:t>
      </w:r>
    </w:p>
    <w:p>
      <w:pPr>
        <w:spacing w:after="0" w:line="149" w:lineRule="exact"/>
        <w:rPr>
          <w:sz w:val="20"/>
          <w:szCs w:val="20"/>
          <w:color w:val="auto"/>
        </w:rPr>
      </w:pPr>
    </w:p>
    <w:p>
      <w:pPr>
        <w:ind w:left="880" w:hanging="366"/>
        <w:spacing w:after="0"/>
        <w:tabs>
          <w:tab w:leader="none" w:pos="880" w:val="left"/>
        </w:tabs>
        <w:numPr>
          <w:ilvl w:val="0"/>
          <w:numId w:val="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Basic Limitations</w:t>
      </w:r>
      <w:r>
        <w:rPr>
          <w:rFonts w:ascii="Times New Roman" w:cs="Times New Roman" w:eastAsia="Times New Roman" w:hAnsi="Times New Roman"/>
          <w:sz w:val="14"/>
          <w:szCs w:val="14"/>
          <w:color w:val="auto"/>
        </w:rPr>
        <w:t>. The Common Stock issuable under the Plan shall be authorized but unissued Shares or treasury Shares. Subject to adjustment as provided in Section 11, the</w:t>
      </w:r>
    </w:p>
    <w:p>
      <w:pPr>
        <w:spacing w:after="0" w:line="40" w:lineRule="exact"/>
        <w:rPr>
          <w:rFonts w:ascii="Times New Roman" w:cs="Times New Roman" w:eastAsia="Times New Roman" w:hAnsi="Times New Roman"/>
          <w:sz w:val="14"/>
          <w:szCs w:val="14"/>
          <w:color w:val="auto"/>
        </w:rPr>
      </w:pPr>
    </w:p>
    <w:p>
      <w:pPr>
        <w:jc w:val="both"/>
        <w:spacing w:after="0" w:line="292"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maximum aggregate number of Shares that may be issued under the Plan shall not exceed the sum of (i) 4,630,000 Shares, (ii) the number of Shares reserved under the 2010 Plan that are not issued or subject to outstanding awards under the 2010 Plan on the Stockholder Approval Date, (iii) any Shares subject to outstanding options or other awards under the 2010 Plan on the Stockholder Approval</w:t>
      </w:r>
    </w:p>
    <w:p>
      <w:pPr>
        <w:jc w:val="both"/>
        <w:spacing w:after="0" w:line="309"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Date that subsequently expire or lapse unexercised and Shares issued pursuant to awards granted under the 2010 Plan that are outstanding on the Stockholder Approval Date and that are subsequently forfeited to or repurchased by the Company, and (iv) the additional Shares described in Section 5(b); provided, however, that no more than 475,000 Shares, in the aggregate, shall be added to the Plan pursuant to clauses (ii) and (iii). No more than 5,105,000 Shares plus the additional Shares described in Section 5(b) may be issued under the Plan upon the exercise of ISOs.</w:t>
      </w:r>
    </w:p>
    <w:p>
      <w:pPr>
        <w:spacing w:after="0" w:line="78" w:lineRule="exact"/>
        <w:rPr>
          <w:rFonts w:ascii="Times New Roman" w:cs="Times New Roman" w:eastAsia="Times New Roman" w:hAnsi="Times New Roman"/>
          <w:sz w:val="14"/>
          <w:szCs w:val="14"/>
          <w:color w:val="auto"/>
        </w:rPr>
      </w:pPr>
    </w:p>
    <w:p>
      <w:pPr>
        <w:ind w:left="820" w:hanging="306"/>
        <w:spacing w:after="0"/>
        <w:tabs>
          <w:tab w:leader="none" w:pos="820" w:val="left"/>
        </w:tabs>
        <w:numPr>
          <w:ilvl w:val="0"/>
          <w:numId w:val="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Share Re-Use</w:t>
      </w:r>
      <w:r>
        <w:rPr>
          <w:rFonts w:ascii="Times New Roman" w:cs="Times New Roman" w:eastAsia="Times New Roman" w:hAnsi="Times New Roman"/>
          <w:sz w:val="14"/>
          <w:szCs w:val="14"/>
          <w:color w:val="auto"/>
        </w:rPr>
        <w:t>. If Equity Awards are forfeited or are terminated for any reason other than being exercised, then the Shares underlying such Equity Awards shall again become available</w:t>
      </w:r>
    </w:p>
    <w:p>
      <w:pPr>
        <w:spacing w:after="0" w:line="40" w:lineRule="exact"/>
        <w:rPr>
          <w:rFonts w:ascii="Times New Roman" w:cs="Times New Roman" w:eastAsia="Times New Roman" w:hAnsi="Times New Roman"/>
          <w:sz w:val="14"/>
          <w:szCs w:val="14"/>
          <w:color w:val="auto"/>
        </w:rPr>
      </w:pPr>
    </w:p>
    <w:p>
      <w:pPr>
        <w:jc w:val="both"/>
        <w:ind w:right="160"/>
        <w:spacing w:after="0" w:line="292"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Equity Awards under the Plan. If SARs are exercised or Stock Units are settled in Shares, then only the number of Shares (if any) actually issued in settlement of such SARs or Stock Units shall reduce the number of Shares available under the Share limits stated in Section 5(a) and the balance shall again become available for Equity Awards under the Plan. If a Participant pays the Exercise</w:t>
      </w:r>
    </w:p>
    <w:p>
      <w:pPr>
        <w:ind w:right="380"/>
        <w:spacing w:after="0" w:line="292"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Price by Net Exercise or by surrendering previously owned Shares (or by stock attestation) and/or, as permitted by the Committee, pays any withholding tax obligation with respect to an Equity Award by electing to have Shares withheld or surrendering previously owned Shares (or by stock attestation), the surrendered Shares and the Shares withheld to pay taxes shall be available for</w:t>
      </w:r>
    </w:p>
    <w:p>
      <w:pPr>
        <w:jc w:val="both"/>
        <w:ind w:right="160"/>
        <w:spacing w:after="0" w:line="292"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issuance under the Plan and shall not count toward the Share limits set forth in Section 5(a). Any Shares that are delivered and any Equity Awards that are granted by, or become obligations of, the Company, as a result of the assumption by the Company of, or in substitution for, outstanding awards previously granted by another entity (as provided in Sections 6(e), 8(f), 9(e) or 10(e)) shall not</w:t>
      </w:r>
    </w:p>
    <w:p>
      <w:pPr>
        <w:ind w:right="20"/>
        <w:spacing w:after="0" w:line="309"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be counted against the Share limits specified in Sections 5(a) and 5(d). Notwithstanding the foregoing, following the September 2022 Amendment, the following Shares shall not become or again be available for grants of Awards under the Plan: (a) Shares delivered (either by actual delivery or stock attestation) to the Company by a Participant or withheld by the Company to satisfy the applicable exercise price of an Option or Prior Equity Compensation Plan Award that is an option and/or satisfy any</w:t>
      </w: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w:t>
      </w:r>
    </w:p>
    <w:p>
      <w:pPr>
        <w:sectPr>
          <w:pgSz w:w="11900" w:h="16838" w:orient="portrait"/>
          <w:cols w:equalWidth="0" w:num="1">
            <w:col w:w="11280"/>
          </w:cols>
          <w:pgMar w:left="300" w:top="740" w:right="319" w:bottom="1440" w:gutter="0" w:footer="0" w:header="0"/>
        </w:sectPr>
      </w:pPr>
    </w:p>
    <w:bookmarkStart w:id="96" w:name="page97"/>
    <w:bookmarkEnd w:id="96"/>
    <w:p>
      <w:pPr>
        <w:ind w:right="60"/>
        <w:spacing w:after="0" w:line="306" w:lineRule="auto"/>
        <w:rPr>
          <w:sz w:val="20"/>
          <w:szCs w:val="20"/>
          <w:color w:val="auto"/>
        </w:rPr>
      </w:pPr>
      <w:r>
        <w:rPr>
          <w:rFonts w:ascii="Times New Roman" w:cs="Times New Roman" w:eastAsia="Times New Roman" w:hAnsi="Times New Roman"/>
          <w:sz w:val="14"/>
          <w:szCs w:val="14"/>
          <w:color w:val="auto"/>
        </w:rPr>
        <w:t>applicable tax withholding obligation with respect to an Option or Stock Appreciation Right or Prior Equity Compensation Plan Award that is an option or stock appreciation right (including Shares retained by the Company from the Option or Stock Appreciation Right or Prior Equity Compensation Plan Award that is an option or a stock appreciation right being exercised and/or creating the tax obligation), (b) Shares subject to a Stock Appreciation Right that are not issued in connection with the settlement or exercise, as applicable, of the Stock Appreciation Right, and (c) Shares purchased on the open market with the cash proceeds from the exercise of Options.</w:t>
      </w:r>
    </w:p>
    <w:p>
      <w:pPr>
        <w:spacing w:after="0" w:line="81" w:lineRule="exact"/>
        <w:rPr>
          <w:sz w:val="20"/>
          <w:szCs w:val="20"/>
          <w:color w:val="auto"/>
        </w:rPr>
      </w:pPr>
    </w:p>
    <w:p>
      <w:pPr>
        <w:ind w:left="820" w:hanging="306"/>
        <w:spacing w:after="0"/>
        <w:tabs>
          <w:tab w:leader="none" w:pos="820" w:val="left"/>
        </w:tabs>
        <w:numPr>
          <w:ilvl w:val="0"/>
          <w:numId w:val="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Dividend Equivalents</w:t>
      </w:r>
      <w:r>
        <w:rPr>
          <w:rFonts w:ascii="Times New Roman" w:cs="Times New Roman" w:eastAsia="Times New Roman" w:hAnsi="Times New Roman"/>
          <w:sz w:val="14"/>
          <w:szCs w:val="14"/>
          <w:color w:val="auto"/>
        </w:rPr>
        <w:t>. Any dividend equivalents distributed under the Plan shall not be applied against the number of Shares available for Equity Awards.</w:t>
      </w:r>
    </w:p>
    <w:p>
      <w:pPr>
        <w:spacing w:after="0" w:line="125" w:lineRule="exact"/>
        <w:rPr>
          <w:rFonts w:ascii="Times New Roman" w:cs="Times New Roman" w:eastAsia="Times New Roman" w:hAnsi="Times New Roman"/>
          <w:sz w:val="14"/>
          <w:szCs w:val="14"/>
          <w:color w:val="auto"/>
        </w:rPr>
      </w:pPr>
    </w:p>
    <w:p>
      <w:pPr>
        <w:jc w:val="both"/>
        <w:ind w:firstLine="514"/>
        <w:spacing w:after="0" w:line="309" w:lineRule="auto"/>
        <w:tabs>
          <w:tab w:leader="none" w:pos="837" w:val="left"/>
        </w:tabs>
        <w:numPr>
          <w:ilvl w:val="0"/>
          <w:numId w:val="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Code Section 162(m) Limits</w:t>
      </w:r>
      <w:r>
        <w:rPr>
          <w:rFonts w:ascii="Times New Roman" w:cs="Times New Roman" w:eastAsia="Times New Roman" w:hAnsi="Times New Roman"/>
          <w:sz w:val="14"/>
          <w:szCs w:val="14"/>
          <w:color w:val="auto"/>
        </w:rPr>
        <w:t>. For so long as: (x) the Company is a “publicly held corporation” within the meaning of Code Section 162(m) and (y) the deduction limitations of Code Section 162(m) are applicable to Awards granted to the Company’s Covered Employees under this Plan, then the limits specified below in this Section 5(d) shall be applicable to Awards issued under the Plan.</w:t>
      </w:r>
    </w:p>
    <w:p>
      <w:pPr>
        <w:spacing w:after="0" w:line="46" w:lineRule="exact"/>
        <w:rPr>
          <w:rFonts w:ascii="Times New Roman" w:cs="Times New Roman" w:eastAsia="Times New Roman" w:hAnsi="Times New Roman"/>
          <w:sz w:val="14"/>
          <w:szCs w:val="14"/>
          <w:color w:val="auto"/>
        </w:rPr>
      </w:pPr>
    </w:p>
    <w:p>
      <w:pPr>
        <w:ind w:left="1300" w:hanging="277"/>
        <w:spacing w:after="0"/>
        <w:tabs>
          <w:tab w:leader="none" w:pos="1300" w:val="left"/>
        </w:tabs>
        <w:numPr>
          <w:ilvl w:val="1"/>
          <w:numId w:val="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Limits on Options</w:t>
      </w:r>
      <w:r>
        <w:rPr>
          <w:rFonts w:ascii="Times New Roman" w:cs="Times New Roman" w:eastAsia="Times New Roman" w:hAnsi="Times New Roman"/>
          <w:sz w:val="14"/>
          <w:szCs w:val="14"/>
          <w:color w:val="auto"/>
        </w:rPr>
        <w:t>. No Selected Employee shall receive Options to purchase Shares during any Fiscal Year that in the aggregate cover in excess of 300,000 Shares.</w:t>
      </w:r>
    </w:p>
    <w:p>
      <w:pPr>
        <w:spacing w:after="0" w:line="125" w:lineRule="exact"/>
        <w:rPr>
          <w:rFonts w:ascii="Times New Roman" w:cs="Times New Roman" w:eastAsia="Times New Roman" w:hAnsi="Times New Roman"/>
          <w:sz w:val="14"/>
          <w:szCs w:val="14"/>
          <w:color w:val="auto"/>
        </w:rPr>
      </w:pPr>
    </w:p>
    <w:p>
      <w:pPr>
        <w:ind w:left="1340" w:hanging="317"/>
        <w:spacing w:after="0"/>
        <w:tabs>
          <w:tab w:leader="none" w:pos="1340" w:val="left"/>
        </w:tabs>
        <w:numPr>
          <w:ilvl w:val="1"/>
          <w:numId w:val="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Limits on SARs</w:t>
      </w:r>
      <w:r>
        <w:rPr>
          <w:rFonts w:ascii="Times New Roman" w:cs="Times New Roman" w:eastAsia="Times New Roman" w:hAnsi="Times New Roman"/>
          <w:sz w:val="14"/>
          <w:szCs w:val="14"/>
          <w:color w:val="auto"/>
        </w:rPr>
        <w:t>. No Selected Employee shall receive Awards of SARs during any Fiscal Year that in the aggregate cover in excess of 300,000 Shares.</w:t>
      </w:r>
    </w:p>
    <w:p>
      <w:pPr>
        <w:spacing w:after="0" w:line="114" w:lineRule="exact"/>
        <w:rPr>
          <w:rFonts w:ascii="Times New Roman" w:cs="Times New Roman" w:eastAsia="Times New Roman" w:hAnsi="Times New Roman"/>
          <w:sz w:val="14"/>
          <w:szCs w:val="14"/>
          <w:color w:val="auto"/>
        </w:rPr>
      </w:pPr>
    </w:p>
    <w:p>
      <w:pPr>
        <w:ind w:left="1480" w:hanging="457"/>
        <w:spacing w:after="0"/>
        <w:tabs>
          <w:tab w:leader="none" w:pos="1480" w:val="left"/>
        </w:tabs>
        <w:numPr>
          <w:ilvl w:val="1"/>
          <w:numId w:val="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Limits on Restricted Stock Grants</w:t>
      </w:r>
      <w:r>
        <w:rPr>
          <w:rFonts w:ascii="Times New Roman" w:cs="Times New Roman" w:eastAsia="Times New Roman" w:hAnsi="Times New Roman"/>
          <w:sz w:val="14"/>
          <w:szCs w:val="14"/>
          <w:color w:val="auto"/>
        </w:rPr>
        <w:t>. No Selected Employee shall receive Restricted Stock Grants during any Fiscal Year that in the aggregate cover in excess of 300,000</w:t>
      </w:r>
    </w:p>
    <w:p>
      <w:pPr>
        <w:spacing w:after="0" w:line="40" w:lineRule="exact"/>
        <w:rPr>
          <w:rFonts w:ascii="Times New Roman" w:cs="Times New Roman" w:eastAsia="Times New Roman" w:hAnsi="Times New Roman"/>
          <w:sz w:val="14"/>
          <w:szCs w:val="14"/>
          <w:color w:val="auto"/>
        </w:rPr>
      </w:pPr>
    </w:p>
    <w:p>
      <w:pPr>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Shares.</w:t>
      </w:r>
    </w:p>
    <w:p>
      <w:pPr>
        <w:spacing w:after="0" w:line="114" w:lineRule="exact"/>
        <w:rPr>
          <w:rFonts w:ascii="Times New Roman" w:cs="Times New Roman" w:eastAsia="Times New Roman" w:hAnsi="Times New Roman"/>
          <w:sz w:val="14"/>
          <w:szCs w:val="14"/>
          <w:color w:val="auto"/>
        </w:rPr>
      </w:pPr>
    </w:p>
    <w:p>
      <w:pPr>
        <w:ind w:left="1360" w:hanging="337"/>
        <w:spacing w:after="0"/>
        <w:tabs>
          <w:tab w:leader="none" w:pos="1360" w:val="left"/>
        </w:tabs>
        <w:numPr>
          <w:ilvl w:val="1"/>
          <w:numId w:val="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Limits on Stock Units</w:t>
      </w:r>
      <w:r>
        <w:rPr>
          <w:rFonts w:ascii="Times New Roman" w:cs="Times New Roman" w:eastAsia="Times New Roman" w:hAnsi="Times New Roman"/>
          <w:sz w:val="14"/>
          <w:szCs w:val="14"/>
          <w:color w:val="auto"/>
        </w:rPr>
        <w:t>. No Selected Employee shall receive Stock Units during any Fiscal Year that in the aggregate cover in excess of 300,000 Shares.</w:t>
      </w:r>
    </w:p>
    <w:p>
      <w:pPr>
        <w:spacing w:after="0" w:line="125" w:lineRule="exact"/>
        <w:rPr>
          <w:rFonts w:ascii="Times New Roman" w:cs="Times New Roman" w:eastAsia="Times New Roman" w:hAnsi="Times New Roman"/>
          <w:sz w:val="14"/>
          <w:szCs w:val="14"/>
          <w:color w:val="auto"/>
        </w:rPr>
      </w:pPr>
    </w:p>
    <w:p>
      <w:pPr>
        <w:ind w:firstLine="1023"/>
        <w:spacing w:after="0" w:line="319" w:lineRule="auto"/>
        <w:tabs>
          <w:tab w:leader="none" w:pos="1325" w:val="left"/>
        </w:tabs>
        <w:numPr>
          <w:ilvl w:val="1"/>
          <w:numId w:val="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Limit on Total Amount of All Equity Awards</w:t>
      </w:r>
      <w:r>
        <w:rPr>
          <w:rFonts w:ascii="Times New Roman" w:cs="Times New Roman" w:eastAsia="Times New Roman" w:hAnsi="Times New Roman"/>
          <w:sz w:val="14"/>
          <w:szCs w:val="14"/>
          <w:color w:val="auto"/>
        </w:rPr>
        <w:t>. Notwithstanding anything to the contrary contained herein, no Selected Employee shall receive Equity Awards during any Fiscal Year in excess of the aggregate amount of 600,000 Shares, whether such Equity Awards are in the form of Options, SARs, Restricted Stock Grants and/or Stock Units.</w:t>
      </w:r>
    </w:p>
    <w:p>
      <w:pPr>
        <w:spacing w:after="0" w:line="49" w:lineRule="exact"/>
        <w:rPr>
          <w:rFonts w:ascii="Times New Roman" w:cs="Times New Roman" w:eastAsia="Times New Roman" w:hAnsi="Times New Roman"/>
          <w:sz w:val="14"/>
          <w:szCs w:val="14"/>
          <w:color w:val="auto"/>
        </w:rPr>
      </w:pPr>
    </w:p>
    <w:p>
      <w:pPr>
        <w:jc w:val="both"/>
        <w:ind w:firstLine="1023"/>
        <w:spacing w:after="0" w:line="309" w:lineRule="auto"/>
        <w:tabs>
          <w:tab w:leader="none" w:pos="1396" w:val="left"/>
        </w:tabs>
        <w:numPr>
          <w:ilvl w:val="1"/>
          <w:numId w:val="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Increased Limits for First Year of Employment</w:t>
      </w:r>
      <w:r>
        <w:rPr>
          <w:rFonts w:ascii="Times New Roman" w:cs="Times New Roman" w:eastAsia="Times New Roman" w:hAnsi="Times New Roman"/>
          <w:sz w:val="14"/>
          <w:szCs w:val="14"/>
          <w:color w:val="auto"/>
        </w:rPr>
        <w:t>. The numerical limits expressed in the foregoing subparts (i) through (iv) shall in each case be increased to 600,000 Shares with respect to Equity Awards granted to a Selected Employee during the Fiscal Year of the Selected Employee’s commencement of employment with the Company or during the first Fiscal Year that the Selected Employee becomes a Covered Employee.</w:t>
      </w:r>
    </w:p>
    <w:p>
      <w:pPr>
        <w:spacing w:after="0" w:line="57" w:lineRule="exact"/>
        <w:rPr>
          <w:rFonts w:ascii="Times New Roman" w:cs="Times New Roman" w:eastAsia="Times New Roman" w:hAnsi="Times New Roman"/>
          <w:sz w:val="14"/>
          <w:szCs w:val="14"/>
          <w:color w:val="auto"/>
        </w:rPr>
      </w:pPr>
    </w:p>
    <w:p>
      <w:pPr>
        <w:ind w:left="1400" w:hanging="377"/>
        <w:spacing w:after="0"/>
        <w:tabs>
          <w:tab w:leader="none" w:pos="1400" w:val="left"/>
        </w:tabs>
        <w:numPr>
          <w:ilvl w:val="1"/>
          <w:numId w:val="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Dollar Limit for Cash Awards</w:t>
      </w:r>
      <w:r>
        <w:rPr>
          <w:rFonts w:ascii="Times New Roman" w:cs="Times New Roman" w:eastAsia="Times New Roman" w:hAnsi="Times New Roman"/>
          <w:sz w:val="14"/>
          <w:szCs w:val="14"/>
          <w:color w:val="auto"/>
        </w:rPr>
        <w:t>. The maximum aggregate value of Cash Awards that may be received by any one Selected Employee with respect to any individual Fiscal Year</w:t>
      </w:r>
    </w:p>
    <w:p>
      <w:pPr>
        <w:spacing w:after="0" w:line="29" w:lineRule="exact"/>
        <w:rPr>
          <w:rFonts w:ascii="Times New Roman" w:cs="Times New Roman" w:eastAsia="Times New Roman" w:hAnsi="Times New Roman"/>
          <w:sz w:val="14"/>
          <w:szCs w:val="14"/>
          <w:color w:val="auto"/>
        </w:rPr>
      </w:pPr>
    </w:p>
    <w:p>
      <w:pPr>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is $5,000,000.</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SECTION 6. TERMS AND CONDITIONS OF OPTIONS</w:t>
      </w:r>
    </w:p>
    <w:p>
      <w:pPr>
        <w:spacing w:after="0" w:line="117" w:lineRule="exact"/>
        <w:rPr>
          <w:sz w:val="20"/>
          <w:szCs w:val="20"/>
          <w:color w:val="auto"/>
        </w:rPr>
      </w:pPr>
    </w:p>
    <w:p>
      <w:pPr>
        <w:ind w:left="860" w:hanging="346"/>
        <w:spacing w:after="0"/>
        <w:tabs>
          <w:tab w:leader="none" w:pos="860" w:val="left"/>
        </w:tabs>
        <w:numPr>
          <w:ilvl w:val="0"/>
          <w:numId w:val="6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Stock Option Agreement</w:t>
      </w:r>
      <w:r>
        <w:rPr>
          <w:rFonts w:ascii="Times New Roman" w:cs="Times New Roman" w:eastAsia="Times New Roman" w:hAnsi="Times New Roman"/>
          <w:sz w:val="14"/>
          <w:szCs w:val="14"/>
          <w:color w:val="auto"/>
        </w:rPr>
        <w:t>. Each Award of an Option under the Plan shall be evidenced by a Stock Option Agreement between the Optionee and the Company. Such Option shall be</w:t>
      </w:r>
    </w:p>
    <w:p>
      <w:pPr>
        <w:spacing w:after="0" w:line="40" w:lineRule="exact"/>
        <w:rPr>
          <w:rFonts w:ascii="Times New Roman" w:cs="Times New Roman" w:eastAsia="Times New Roman" w:hAnsi="Times New Roman"/>
          <w:sz w:val="14"/>
          <w:szCs w:val="14"/>
          <w:color w:val="auto"/>
        </w:rPr>
      </w:pPr>
    </w:p>
    <w:p>
      <w:pPr>
        <w:jc w:val="both"/>
        <w:spacing w:after="0" w:line="309"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subject to all applicable terms and conditions of the Plan and may be subject to any other terms and conditions that are not inconsistent with the Plan (including without limitation any Performance Goals). The provisions of the various Stock Option Agreements entered into under the Plan need not be identical. The Stock Option Agreement shall also specify whether the Option is an ISO and if not specified then the Option shall be an NSO.</w:t>
      </w:r>
    </w:p>
    <w:p>
      <w:pPr>
        <w:spacing w:after="0" w:line="46" w:lineRule="exact"/>
        <w:rPr>
          <w:rFonts w:ascii="Times New Roman" w:cs="Times New Roman" w:eastAsia="Times New Roman" w:hAnsi="Times New Roman"/>
          <w:sz w:val="14"/>
          <w:szCs w:val="14"/>
          <w:color w:val="auto"/>
        </w:rPr>
      </w:pPr>
    </w:p>
    <w:p>
      <w:pPr>
        <w:ind w:left="860" w:hanging="346"/>
        <w:spacing w:after="0"/>
        <w:tabs>
          <w:tab w:leader="none" w:pos="860" w:val="left"/>
        </w:tabs>
        <w:numPr>
          <w:ilvl w:val="0"/>
          <w:numId w:val="6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Number of Shares</w:t>
      </w:r>
      <w:r>
        <w:rPr>
          <w:rFonts w:ascii="Times New Roman" w:cs="Times New Roman" w:eastAsia="Times New Roman" w:hAnsi="Times New Roman"/>
          <w:sz w:val="14"/>
          <w:szCs w:val="14"/>
          <w:color w:val="auto"/>
        </w:rPr>
        <w:t>. Each Stock Option Agreement shall specify the number of Shares that are subject to the Option and is subject to adjustment of such number in accordance with</w:t>
      </w:r>
    </w:p>
    <w:p>
      <w:pPr>
        <w:spacing w:after="0" w:line="40" w:lineRule="exact"/>
        <w:rPr>
          <w:rFonts w:ascii="Times New Roman" w:cs="Times New Roman" w:eastAsia="Times New Roman" w:hAnsi="Times New Roman"/>
          <w:sz w:val="14"/>
          <w:szCs w:val="14"/>
          <w:color w:val="auto"/>
        </w:rPr>
      </w:pPr>
    </w:p>
    <w:p>
      <w:pPr>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Section 11.</w:t>
      </w:r>
    </w:p>
    <w:p>
      <w:pPr>
        <w:spacing w:after="0" w:line="114" w:lineRule="exact"/>
        <w:rPr>
          <w:rFonts w:ascii="Times New Roman" w:cs="Times New Roman" w:eastAsia="Times New Roman" w:hAnsi="Times New Roman"/>
          <w:sz w:val="14"/>
          <w:szCs w:val="14"/>
          <w:color w:val="auto"/>
        </w:rPr>
      </w:pPr>
    </w:p>
    <w:p>
      <w:pPr>
        <w:ind w:left="840" w:hanging="326"/>
        <w:spacing w:after="0"/>
        <w:tabs>
          <w:tab w:leader="none" w:pos="840" w:val="left"/>
        </w:tabs>
        <w:numPr>
          <w:ilvl w:val="0"/>
          <w:numId w:val="6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Exercise Price</w:t>
      </w:r>
      <w:r>
        <w:rPr>
          <w:rFonts w:ascii="Times New Roman" w:cs="Times New Roman" w:eastAsia="Times New Roman" w:hAnsi="Times New Roman"/>
          <w:sz w:val="14"/>
          <w:szCs w:val="14"/>
          <w:color w:val="auto"/>
        </w:rPr>
        <w:t>. An Option’s Exercise Price shall be established by the Committee and set forth in a Stock Option Agreement. Except with respect to outstanding stock options being</w:t>
      </w:r>
    </w:p>
    <w:p>
      <w:pPr>
        <w:spacing w:after="0" w:line="40" w:lineRule="exact"/>
        <w:rPr>
          <w:rFonts w:ascii="Times New Roman" w:cs="Times New Roman" w:eastAsia="Times New Roman" w:hAnsi="Times New Roman"/>
          <w:sz w:val="14"/>
          <w:szCs w:val="14"/>
          <w:color w:val="auto"/>
        </w:rPr>
      </w:pPr>
    </w:p>
    <w:p>
      <w:pPr>
        <w:spacing w:after="0" w:line="319"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assumed or Options being granted in exchange for cancellation of outstanding options granted by another issuer as provided under Section 6(e), the Exercise Price of an Option shall not be less than 100% of the Fair Market Value (110% for ISO Awards to 10-Percent Stockholders) on the date of Award.</w:t>
      </w:r>
    </w:p>
    <w:p>
      <w:pPr>
        <w:spacing w:after="0" w:line="49" w:lineRule="exact"/>
        <w:rPr>
          <w:rFonts w:ascii="Times New Roman" w:cs="Times New Roman" w:eastAsia="Times New Roman" w:hAnsi="Times New Roman"/>
          <w:sz w:val="14"/>
          <w:szCs w:val="14"/>
          <w:color w:val="auto"/>
        </w:rPr>
      </w:pPr>
    </w:p>
    <w:p>
      <w:pPr>
        <w:ind w:firstLine="514"/>
        <w:spacing w:after="0" w:line="319" w:lineRule="auto"/>
        <w:tabs>
          <w:tab w:leader="none" w:pos="869" w:val="left"/>
        </w:tabs>
        <w:numPr>
          <w:ilvl w:val="0"/>
          <w:numId w:val="6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Exercisability and Term</w:t>
      </w:r>
      <w:r>
        <w:rPr>
          <w:rFonts w:ascii="Times New Roman" w:cs="Times New Roman" w:eastAsia="Times New Roman" w:hAnsi="Times New Roman"/>
          <w:sz w:val="14"/>
          <w:szCs w:val="14"/>
          <w:color w:val="auto"/>
        </w:rPr>
        <w:t>. Each Stock Option Agreement shall specify the date when all or any installment of the Option is to become vested and/or exercisable. The Stock Option Agreement shall also specify the term of the Option; provided that the term of an Option shall in no event exceed ten years from the date of Award (and may be for a shorter period</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w:t>
      </w:r>
    </w:p>
    <w:p>
      <w:pPr>
        <w:sectPr>
          <w:pgSz w:w="11900" w:h="16838" w:orient="portrait"/>
          <w:cols w:equalWidth="0" w:num="1">
            <w:col w:w="11280"/>
          </w:cols>
          <w:pgMar w:left="300" w:top="846" w:right="319" w:bottom="1440" w:gutter="0" w:footer="0" w:header="0"/>
        </w:sectPr>
      </w:pPr>
    </w:p>
    <w:bookmarkStart w:id="97" w:name="page98"/>
    <w:bookmarkEnd w:id="97"/>
    <w:p>
      <w:pPr>
        <w:jc w:val="both"/>
        <w:spacing w:after="0" w:line="301" w:lineRule="auto"/>
        <w:rPr>
          <w:sz w:val="20"/>
          <w:szCs w:val="20"/>
          <w:color w:val="auto"/>
        </w:rPr>
      </w:pPr>
      <w:r>
        <w:rPr>
          <w:rFonts w:ascii="Times New Roman" w:cs="Times New Roman" w:eastAsia="Times New Roman" w:hAnsi="Times New Roman"/>
          <w:sz w:val="14"/>
          <w:szCs w:val="14"/>
          <w:color w:val="auto"/>
        </w:rPr>
        <w:t>of time than ten years). No Option can be exercised after the expiration date specified in the applicable Stock Option Agreement. A Stock Option Agreement may provide for accelerated vesting in the event of the Participant’s death, or Disability or other events. Notwithstanding the previous sentence, an ISO that is granted to a 10-Percent Stockholder shall have a maximum term of five years. Notwithstanding any other provision of the Plan, no Option can be exercised after the expiration date provided in the applicable Stock Option Agreement. In no event shall the Company be required to issue fractional Shares upon the exercise of an Option and the Committee may specify a minimum number of Shares that must be purchased in any one Option exercise.</w:t>
      </w:r>
    </w:p>
    <w:p>
      <w:pPr>
        <w:spacing w:after="0" w:line="62" w:lineRule="exact"/>
        <w:rPr>
          <w:sz w:val="20"/>
          <w:szCs w:val="20"/>
          <w:color w:val="auto"/>
        </w:rPr>
      </w:pPr>
    </w:p>
    <w:p>
      <w:pPr>
        <w:jc w:val="both"/>
        <w:ind w:firstLine="514"/>
        <w:spacing w:after="0" w:line="292" w:lineRule="auto"/>
        <w:tabs>
          <w:tab w:leader="none" w:pos="861" w:val="left"/>
        </w:tabs>
        <w:numPr>
          <w:ilvl w:val="0"/>
          <w:numId w:val="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Modifications or Assumption of Options</w:t>
      </w:r>
      <w:r>
        <w:rPr>
          <w:rFonts w:ascii="Times New Roman" w:cs="Times New Roman" w:eastAsia="Times New Roman" w:hAnsi="Times New Roman"/>
          <w:sz w:val="14"/>
          <w:szCs w:val="14"/>
          <w:color w:val="auto"/>
        </w:rPr>
        <w:t>. Within the limitations of the Plan, the Committee may modify, extend or assume outstanding Options or may accept the cancellation of outstanding stock options (whether granted by the Company or by another issuer) in return for the grant of new Options for the same or a different number of Shares and at the same or a different</w:t>
      </w:r>
    </w:p>
    <w:p>
      <w:pPr>
        <w:spacing w:after="0" w:line="319"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Exercise Price. For avoidance of doubt, in accordance with Section 4(n), the Committee may not Re-Price outstanding Options without approval from the Company's stockholders, except as provided in Section 11(a). No modification of an Option shall, without the consent of the Optionee, impair his or her rights or increase his or her obligations under such Option.</w:t>
      </w:r>
    </w:p>
    <w:p>
      <w:pPr>
        <w:spacing w:after="0" w:line="49" w:lineRule="exact"/>
        <w:rPr>
          <w:rFonts w:ascii="Times New Roman" w:cs="Times New Roman" w:eastAsia="Times New Roman" w:hAnsi="Times New Roman"/>
          <w:sz w:val="14"/>
          <w:szCs w:val="14"/>
          <w:color w:val="auto"/>
        </w:rPr>
      </w:pPr>
    </w:p>
    <w:p>
      <w:pPr>
        <w:jc w:val="both"/>
        <w:ind w:firstLine="514"/>
        <w:spacing w:after="0" w:line="292" w:lineRule="auto"/>
        <w:tabs>
          <w:tab w:leader="none" w:pos="803" w:val="left"/>
        </w:tabs>
        <w:numPr>
          <w:ilvl w:val="0"/>
          <w:numId w:val="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Assignment or Transfer of Options</w:t>
      </w:r>
      <w:r>
        <w:rPr>
          <w:rFonts w:ascii="Times New Roman" w:cs="Times New Roman" w:eastAsia="Times New Roman" w:hAnsi="Times New Roman"/>
          <w:sz w:val="14"/>
          <w:szCs w:val="14"/>
          <w:color w:val="auto"/>
        </w:rPr>
        <w:t>. Except as otherwise provided in the applicable Stock Option Agreement and then only to the extent permitted by applicable law, no Option shall be transferable by the Optionee other than by will or by the laws of descent and distribution. Except as otherwise provided in the applicable Stock Option Agreement, an Option may be exercised during</w:t>
      </w:r>
    </w:p>
    <w:p>
      <w:pPr>
        <w:spacing w:after="0" w:line="319"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lifetime of the Optionee only by Optionee or by the guardian or legal representative of the Optionee. No Option or interest therein may be assigned, pledged or hypothecated by the Optionee during his or her lifetime, whether by operation of law or otherwise, or be made subject to execution, attachment or similar process.</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SECTION 7. PAYMENT FOR OPTION SHARES</w:t>
      </w:r>
    </w:p>
    <w:p>
      <w:pPr>
        <w:spacing w:after="0" w:line="127" w:lineRule="exact"/>
        <w:rPr>
          <w:sz w:val="20"/>
          <w:szCs w:val="20"/>
          <w:color w:val="auto"/>
        </w:rPr>
      </w:pPr>
    </w:p>
    <w:p>
      <w:pPr>
        <w:ind w:firstLine="514"/>
        <w:spacing w:after="0" w:line="319" w:lineRule="auto"/>
        <w:tabs>
          <w:tab w:leader="none" w:pos="850" w:val="left"/>
        </w:tabs>
        <w:numPr>
          <w:ilvl w:val="0"/>
          <w:numId w:val="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General Rule</w:t>
      </w:r>
      <w:r>
        <w:rPr>
          <w:rFonts w:ascii="Times New Roman" w:cs="Times New Roman" w:eastAsia="Times New Roman" w:hAnsi="Times New Roman"/>
          <w:sz w:val="14"/>
          <w:szCs w:val="14"/>
          <w:color w:val="auto"/>
        </w:rPr>
        <w:t>. The entire Exercise Price of Shares issued upon exercise of Options shall be payable in cash at the time when such Shares are purchased by the Optionee, except as follows and if so provided for in an applicable Stock Option Agreement:</w:t>
      </w:r>
    </w:p>
    <w:p>
      <w:pPr>
        <w:spacing w:after="0" w:line="49" w:lineRule="exact"/>
        <w:rPr>
          <w:rFonts w:ascii="Times New Roman" w:cs="Times New Roman" w:eastAsia="Times New Roman" w:hAnsi="Times New Roman"/>
          <w:sz w:val="14"/>
          <w:szCs w:val="14"/>
          <w:color w:val="auto"/>
        </w:rPr>
      </w:pPr>
    </w:p>
    <w:p>
      <w:pPr>
        <w:ind w:firstLine="1023"/>
        <w:spacing w:after="0" w:line="319" w:lineRule="auto"/>
        <w:tabs>
          <w:tab w:leader="none" w:pos="1339" w:val="left"/>
        </w:tabs>
        <w:numPr>
          <w:ilvl w:val="1"/>
          <w:numId w:val="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the case of an ISO granted under the Plan, payment shall be made only pursuant to the express provisions of the applicable Stock Option Agreement. The Stock Option Agreement may specify that payment may be made in any form(s) described in this Section 7.</w:t>
      </w:r>
    </w:p>
    <w:p>
      <w:pPr>
        <w:spacing w:after="0" w:line="49" w:lineRule="exact"/>
        <w:rPr>
          <w:rFonts w:ascii="Times New Roman" w:cs="Times New Roman" w:eastAsia="Times New Roman" w:hAnsi="Times New Roman"/>
          <w:sz w:val="14"/>
          <w:szCs w:val="14"/>
          <w:color w:val="auto"/>
        </w:rPr>
      </w:pPr>
    </w:p>
    <w:p>
      <w:pPr>
        <w:ind w:left="1340" w:hanging="317"/>
        <w:spacing w:after="0"/>
        <w:tabs>
          <w:tab w:leader="none" w:pos="1340" w:val="left"/>
        </w:tabs>
        <w:numPr>
          <w:ilvl w:val="1"/>
          <w:numId w:val="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the case of an NSO granted under the Plan, the Committee may, in its discretion at any time, accept payment in any form(s) described in this Section 7.</w:t>
      </w:r>
    </w:p>
    <w:p>
      <w:pPr>
        <w:spacing w:after="0" w:line="114" w:lineRule="exact"/>
        <w:rPr>
          <w:rFonts w:ascii="Times New Roman" w:cs="Times New Roman" w:eastAsia="Times New Roman" w:hAnsi="Times New Roman"/>
          <w:sz w:val="14"/>
          <w:szCs w:val="14"/>
          <w:color w:val="auto"/>
        </w:rPr>
      </w:pPr>
    </w:p>
    <w:p>
      <w:pPr>
        <w:ind w:left="840" w:hanging="326"/>
        <w:spacing w:after="0"/>
        <w:tabs>
          <w:tab w:leader="none" w:pos="840" w:val="left"/>
        </w:tabs>
        <w:numPr>
          <w:ilvl w:val="0"/>
          <w:numId w:val="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Surrender of Stock</w:t>
      </w:r>
      <w:r>
        <w:rPr>
          <w:rFonts w:ascii="Times New Roman" w:cs="Times New Roman" w:eastAsia="Times New Roman" w:hAnsi="Times New Roman"/>
          <w:sz w:val="14"/>
          <w:szCs w:val="14"/>
          <w:color w:val="auto"/>
        </w:rPr>
        <w:t>. To the extent that the Committee makes this Section 7(b) applicable to an Option in a Stock Option Agreement, payment for all or a part of the Exercise Price may</w:t>
      </w:r>
    </w:p>
    <w:p>
      <w:pPr>
        <w:spacing w:after="0" w:line="40" w:lineRule="exact"/>
        <w:rPr>
          <w:rFonts w:ascii="Times New Roman" w:cs="Times New Roman" w:eastAsia="Times New Roman" w:hAnsi="Times New Roman"/>
          <w:sz w:val="14"/>
          <w:szCs w:val="14"/>
          <w:color w:val="auto"/>
        </w:rPr>
      </w:pPr>
    </w:p>
    <w:p>
      <w:pPr>
        <w:spacing w:after="0" w:line="319"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be made with Shares which have already been owned by the Optionee for such duration as shall be specified by the Committee. Such Shares shall be valued at their Fair Market Value on the date when the new Shares are purchased under the Plan.</w:t>
      </w:r>
    </w:p>
    <w:p>
      <w:pPr>
        <w:spacing w:after="0" w:line="49" w:lineRule="exact"/>
        <w:rPr>
          <w:rFonts w:ascii="Times New Roman" w:cs="Times New Roman" w:eastAsia="Times New Roman" w:hAnsi="Times New Roman"/>
          <w:sz w:val="14"/>
          <w:szCs w:val="14"/>
          <w:color w:val="auto"/>
        </w:rPr>
      </w:pPr>
    </w:p>
    <w:p>
      <w:pPr>
        <w:ind w:firstLine="514"/>
        <w:spacing w:after="0" w:line="319" w:lineRule="auto"/>
        <w:tabs>
          <w:tab w:leader="none" w:pos="808" w:val="left"/>
        </w:tabs>
        <w:numPr>
          <w:ilvl w:val="0"/>
          <w:numId w:val="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Cashless Exercise</w:t>
      </w:r>
      <w:r>
        <w:rPr>
          <w:rFonts w:ascii="Times New Roman" w:cs="Times New Roman" w:eastAsia="Times New Roman" w:hAnsi="Times New Roman"/>
          <w:sz w:val="14"/>
          <w:szCs w:val="14"/>
          <w:color w:val="auto"/>
        </w:rPr>
        <w:t>. To the extent that the Committee makes this Section 7(c) applicable to an Option in a Stock Option Agreement, payment for all or a part of the Exercise Price may be made through Cashless Exercise.</w:t>
      </w:r>
    </w:p>
    <w:p>
      <w:pPr>
        <w:spacing w:after="0" w:line="49" w:lineRule="exact"/>
        <w:rPr>
          <w:rFonts w:ascii="Times New Roman" w:cs="Times New Roman" w:eastAsia="Times New Roman" w:hAnsi="Times New Roman"/>
          <w:sz w:val="14"/>
          <w:szCs w:val="14"/>
          <w:color w:val="auto"/>
        </w:rPr>
      </w:pPr>
    </w:p>
    <w:p>
      <w:pPr>
        <w:ind w:firstLine="514"/>
        <w:spacing w:after="0" w:line="319" w:lineRule="auto"/>
        <w:tabs>
          <w:tab w:leader="none" w:pos="883" w:val="left"/>
        </w:tabs>
        <w:numPr>
          <w:ilvl w:val="0"/>
          <w:numId w:val="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Net Exercise</w:t>
      </w:r>
      <w:r>
        <w:rPr>
          <w:rFonts w:ascii="Times New Roman" w:cs="Times New Roman" w:eastAsia="Times New Roman" w:hAnsi="Times New Roman"/>
          <w:sz w:val="14"/>
          <w:szCs w:val="14"/>
          <w:color w:val="auto"/>
        </w:rPr>
        <w:t>. To the extent that the Committee makes this Section 7(d) applicable to an Option in a Stock Option Agreement, payment for all or a part of the Exercise Price may be made through Net Exercise.</w:t>
      </w:r>
    </w:p>
    <w:p>
      <w:pPr>
        <w:spacing w:after="0" w:line="49" w:lineRule="exact"/>
        <w:rPr>
          <w:rFonts w:ascii="Times New Roman" w:cs="Times New Roman" w:eastAsia="Times New Roman" w:hAnsi="Times New Roman"/>
          <w:sz w:val="14"/>
          <w:szCs w:val="14"/>
          <w:color w:val="auto"/>
        </w:rPr>
      </w:pPr>
    </w:p>
    <w:p>
      <w:pPr>
        <w:ind w:firstLine="514"/>
        <w:spacing w:after="0" w:line="319" w:lineRule="auto"/>
        <w:tabs>
          <w:tab w:leader="none" w:pos="818" w:val="left"/>
        </w:tabs>
        <w:numPr>
          <w:ilvl w:val="0"/>
          <w:numId w:val="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Other Forms of Payment</w:t>
      </w:r>
      <w:r>
        <w:rPr>
          <w:rFonts w:ascii="Times New Roman" w:cs="Times New Roman" w:eastAsia="Times New Roman" w:hAnsi="Times New Roman"/>
          <w:sz w:val="14"/>
          <w:szCs w:val="14"/>
          <w:color w:val="auto"/>
        </w:rPr>
        <w:t>. To the extent that the Committee makes this Section 7(e) applicable to an Option in a Stock Option Agreement, payment may be made in any other form that is consistent with applicable laws, regulations and rules and approved by the Committee.</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SECTION 8. TERMS AND CONDITIONS OF STOCK APPRECIATION RIGHTS</w:t>
      </w:r>
    </w:p>
    <w:p>
      <w:pPr>
        <w:spacing w:after="0" w:line="127" w:lineRule="exact"/>
        <w:rPr>
          <w:sz w:val="20"/>
          <w:szCs w:val="20"/>
          <w:color w:val="auto"/>
        </w:rPr>
      </w:pPr>
    </w:p>
    <w:p>
      <w:pPr>
        <w:jc w:val="both"/>
        <w:ind w:firstLine="514"/>
        <w:spacing w:after="0" w:line="292" w:lineRule="auto"/>
        <w:tabs>
          <w:tab w:leader="none" w:pos="818" w:val="left"/>
        </w:tabs>
        <w:numPr>
          <w:ilvl w:val="0"/>
          <w:numId w:val="6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SAR Agreement</w:t>
      </w:r>
      <w:r>
        <w:rPr>
          <w:rFonts w:ascii="Times New Roman" w:cs="Times New Roman" w:eastAsia="Times New Roman" w:hAnsi="Times New Roman"/>
          <w:sz w:val="14"/>
          <w:szCs w:val="14"/>
          <w:color w:val="auto"/>
        </w:rPr>
        <w:t>. Each Award of a SAR under the Plan shall be evidenced by a SAR Agreement between the Participant and the Company. Such SAR shall be subject to all applicable terms of the Plan and may be subject to any other terms that are not inconsistent with the Plan (including without limitation any Performance Goals). A SAR Agreement may provide for a maximum</w:t>
      </w:r>
    </w:p>
    <w:p>
      <w:pPr>
        <w:spacing w:after="0" w:line="319"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limit on the amount of any payout notwithstanding the Fair Market Value on the date of exercise of the SAR. The provisions of the various SAR Agreements entered into under the Plan need not be identical.</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w:t>
      </w:r>
    </w:p>
    <w:p>
      <w:pPr>
        <w:sectPr>
          <w:pgSz w:w="11900" w:h="16838" w:orient="portrait"/>
          <w:cols w:equalWidth="0" w:num="1">
            <w:col w:w="11280"/>
          </w:cols>
          <w:pgMar w:left="300" w:top="740" w:right="319" w:bottom="1440" w:gutter="0" w:footer="0" w:header="0"/>
        </w:sectPr>
      </w:pPr>
    </w:p>
    <w:bookmarkStart w:id="98" w:name="page99"/>
    <w:bookmarkEnd w:id="98"/>
    <w:p>
      <w:pPr>
        <w:ind w:left="820" w:hanging="306"/>
        <w:spacing w:after="0"/>
        <w:tabs>
          <w:tab w:leader="none" w:pos="820" w:val="left"/>
        </w:tabs>
        <w:numPr>
          <w:ilvl w:val="0"/>
          <w:numId w:val="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Number of Shares</w:t>
      </w:r>
      <w:r>
        <w:rPr>
          <w:rFonts w:ascii="Times New Roman" w:cs="Times New Roman" w:eastAsia="Times New Roman" w:hAnsi="Times New Roman"/>
          <w:sz w:val="14"/>
          <w:szCs w:val="14"/>
          <w:color w:val="auto"/>
        </w:rPr>
        <w:t>. Each SAR Agreement shall specify the number of Shares to which the SAR pertains and is subject to adjustment of such number in accordance with Section 11.</w:t>
      </w:r>
    </w:p>
    <w:p>
      <w:pPr>
        <w:spacing w:after="0" w:line="114" w:lineRule="exact"/>
        <w:rPr>
          <w:rFonts w:ascii="Times New Roman" w:cs="Times New Roman" w:eastAsia="Times New Roman" w:hAnsi="Times New Roman"/>
          <w:sz w:val="14"/>
          <w:szCs w:val="14"/>
          <w:color w:val="auto"/>
        </w:rPr>
      </w:pPr>
    </w:p>
    <w:p>
      <w:pPr>
        <w:ind w:left="840" w:hanging="326"/>
        <w:spacing w:after="0"/>
        <w:tabs>
          <w:tab w:leader="none" w:pos="840" w:val="left"/>
        </w:tabs>
        <w:numPr>
          <w:ilvl w:val="0"/>
          <w:numId w:val="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Exercise Price</w:t>
      </w:r>
      <w:r>
        <w:rPr>
          <w:rFonts w:ascii="Times New Roman" w:cs="Times New Roman" w:eastAsia="Times New Roman" w:hAnsi="Times New Roman"/>
          <w:sz w:val="14"/>
          <w:szCs w:val="14"/>
          <w:color w:val="auto"/>
        </w:rPr>
        <w:t>. Each SAR Agreement shall specify the Exercise Price. Except with respect to outstanding stock appreciation rights being assumed or SARs being granted in exchange</w:t>
      </w:r>
    </w:p>
    <w:p>
      <w:pPr>
        <w:spacing w:after="0" w:line="40" w:lineRule="exact"/>
        <w:rPr>
          <w:rFonts w:ascii="Times New Roman" w:cs="Times New Roman" w:eastAsia="Times New Roman" w:hAnsi="Times New Roman"/>
          <w:sz w:val="14"/>
          <w:szCs w:val="14"/>
          <w:color w:val="auto"/>
        </w:rPr>
      </w:pPr>
    </w:p>
    <w:p>
      <w:pPr>
        <w:spacing w:after="0" w:line="319"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cancellation of outstanding stock appreciation rights granted by another issuer as provided under Section 8(f), the Exercise Price of a SAR shall not be less than 100% of the Fair Market Value on the date of Award.</w:t>
      </w:r>
    </w:p>
    <w:p>
      <w:pPr>
        <w:spacing w:after="0" w:line="49" w:lineRule="exact"/>
        <w:rPr>
          <w:rFonts w:ascii="Times New Roman" w:cs="Times New Roman" w:eastAsia="Times New Roman" w:hAnsi="Times New Roman"/>
          <w:sz w:val="14"/>
          <w:szCs w:val="14"/>
          <w:color w:val="auto"/>
        </w:rPr>
      </w:pPr>
    </w:p>
    <w:p>
      <w:pPr>
        <w:jc w:val="both"/>
        <w:ind w:firstLine="514"/>
        <w:spacing w:after="0" w:line="292" w:lineRule="auto"/>
        <w:tabs>
          <w:tab w:leader="none" w:pos="826" w:val="left"/>
        </w:tabs>
        <w:numPr>
          <w:ilvl w:val="0"/>
          <w:numId w:val="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Exercisability and Term</w:t>
      </w:r>
      <w:r>
        <w:rPr>
          <w:rFonts w:ascii="Times New Roman" w:cs="Times New Roman" w:eastAsia="Times New Roman" w:hAnsi="Times New Roman"/>
          <w:sz w:val="14"/>
          <w:szCs w:val="14"/>
          <w:color w:val="auto"/>
        </w:rPr>
        <w:t>. Each SAR Agreement shall specify the date when all or any installment of the SAR is to become exercisable. The SAR Agreement shall also specify the term of the SAR which shall not exceed ten years from the date of Award. No SAR can be exercised after the expiration date specified in the applicable SAR Agreement. A SAR Agreement may provide</w:t>
      </w:r>
    </w:p>
    <w:p>
      <w:pPr>
        <w:jc w:val="both"/>
        <w:spacing w:after="0" w:line="309"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accelerated exercisability in the event of the Participant’s death, or Disability or other events and may provide for expiration prior to the end of its term in the event of the termination of the Participant’s Service. A SAR may be included in an ISO only at the time of Award but may be included in an NSO at the time of Award or at any subsequent time, but not later than six months before the expiration of such NSO. A SAR granted under the Plan may provide that it will be exercisable only in the event of a Change in Control.</w:t>
      </w:r>
    </w:p>
    <w:p>
      <w:pPr>
        <w:spacing w:after="0" w:line="46" w:lineRule="exact"/>
        <w:rPr>
          <w:rFonts w:ascii="Times New Roman" w:cs="Times New Roman" w:eastAsia="Times New Roman" w:hAnsi="Times New Roman"/>
          <w:sz w:val="14"/>
          <w:szCs w:val="14"/>
          <w:color w:val="auto"/>
        </w:rPr>
      </w:pPr>
    </w:p>
    <w:p>
      <w:pPr>
        <w:ind w:left="840" w:hanging="326"/>
        <w:spacing w:after="0"/>
        <w:tabs>
          <w:tab w:leader="none" w:pos="840" w:val="left"/>
        </w:tabs>
        <w:numPr>
          <w:ilvl w:val="0"/>
          <w:numId w:val="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Exercise of SARs</w:t>
      </w:r>
      <w:r>
        <w:rPr>
          <w:rFonts w:ascii="Times New Roman" w:cs="Times New Roman" w:eastAsia="Times New Roman" w:hAnsi="Times New Roman"/>
          <w:sz w:val="14"/>
          <w:szCs w:val="14"/>
          <w:color w:val="auto"/>
        </w:rPr>
        <w:t>. If, on the date when a SAR expires, the Exercise Price under such SAR is less than the Fair Market Value on such date but any portion of such SAR has not been</w:t>
      </w:r>
    </w:p>
    <w:p>
      <w:pPr>
        <w:spacing w:after="0" w:line="40" w:lineRule="exact"/>
        <w:rPr>
          <w:rFonts w:ascii="Times New Roman" w:cs="Times New Roman" w:eastAsia="Times New Roman" w:hAnsi="Times New Roman"/>
          <w:sz w:val="14"/>
          <w:szCs w:val="14"/>
          <w:color w:val="auto"/>
        </w:rPr>
      </w:pPr>
    </w:p>
    <w:p>
      <w:pPr>
        <w:jc w:val="both"/>
        <w:spacing w:after="0" w:line="306"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exercised or surrendered, then such SAR may automatically be deemed to be exercised as of such date with respect to such portion to the extent so provided in the applicable SAR agreement. Upon exercise of a SAR, the Participant (or any person having the right to exercise the SAR after the Participant’s death) shall receive from the Company (i) Shares, (ii) cash or (iii) any combination of Shares and cash, as the Committee shall determine. The amount of cash and/or the Fair Market Value of Shares received upon exercise of SARs shall, in the aggregate, be equal to the amount by which the Fair Market Value (on the date of surrender) of the Shares subject to the SARs exceeds the Exercise Price of the Shares.</w:t>
      </w:r>
    </w:p>
    <w:p>
      <w:pPr>
        <w:spacing w:after="0" w:line="48" w:lineRule="exact"/>
        <w:rPr>
          <w:rFonts w:ascii="Times New Roman" w:cs="Times New Roman" w:eastAsia="Times New Roman" w:hAnsi="Times New Roman"/>
          <w:sz w:val="14"/>
          <w:szCs w:val="14"/>
          <w:color w:val="auto"/>
        </w:rPr>
      </w:pPr>
    </w:p>
    <w:p>
      <w:pPr>
        <w:ind w:left="800" w:hanging="286"/>
        <w:spacing w:after="0"/>
        <w:tabs>
          <w:tab w:leader="none" w:pos="800" w:val="left"/>
        </w:tabs>
        <w:numPr>
          <w:ilvl w:val="0"/>
          <w:numId w:val="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Modification or Assumption of SARs</w:t>
      </w:r>
      <w:r>
        <w:rPr>
          <w:rFonts w:ascii="Times New Roman" w:cs="Times New Roman" w:eastAsia="Times New Roman" w:hAnsi="Times New Roman"/>
          <w:sz w:val="14"/>
          <w:szCs w:val="14"/>
          <w:color w:val="auto"/>
        </w:rPr>
        <w:t>. Within the limitations of the Plan, the Committee may modify, extend or assume outstanding SARs or may accept the cancellation of outstanding</w:t>
      </w:r>
    </w:p>
    <w:p>
      <w:pPr>
        <w:spacing w:after="0" w:line="40" w:lineRule="exact"/>
        <w:rPr>
          <w:rFonts w:ascii="Times New Roman" w:cs="Times New Roman" w:eastAsia="Times New Roman" w:hAnsi="Times New Roman"/>
          <w:sz w:val="14"/>
          <w:szCs w:val="14"/>
          <w:color w:val="auto"/>
        </w:rPr>
      </w:pPr>
    </w:p>
    <w:p>
      <w:pPr>
        <w:jc w:val="both"/>
        <w:spacing w:after="0" w:line="309"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SARs (including stock appreciation rights granted by another issuer) in return for the grant of new SARs for the same or a different number of Shares and at the same or a different Exercise Price. For avoidance of doubt, in accordance with Section 4(n), the Committee may not Re-Price outstanding SARs without approval from the Company's stockholders, except as provided in Section 11(a). No modification of a SAR shall, without the consent of the Participant, impair his or her rights or increase his or her obligations under such SAR.</w:t>
      </w:r>
    </w:p>
    <w:p>
      <w:pPr>
        <w:spacing w:after="0" w:line="46" w:lineRule="exact"/>
        <w:rPr>
          <w:rFonts w:ascii="Times New Roman" w:cs="Times New Roman" w:eastAsia="Times New Roman" w:hAnsi="Times New Roman"/>
          <w:sz w:val="14"/>
          <w:szCs w:val="14"/>
          <w:color w:val="auto"/>
        </w:rPr>
      </w:pPr>
    </w:p>
    <w:p>
      <w:pPr>
        <w:ind w:left="840" w:hanging="326"/>
        <w:spacing w:after="0"/>
        <w:tabs>
          <w:tab w:leader="none" w:pos="840" w:val="left"/>
        </w:tabs>
        <w:numPr>
          <w:ilvl w:val="0"/>
          <w:numId w:val="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Assignment or Transfer of SARs</w:t>
      </w:r>
      <w:r>
        <w:rPr>
          <w:rFonts w:ascii="Times New Roman" w:cs="Times New Roman" w:eastAsia="Times New Roman" w:hAnsi="Times New Roman"/>
          <w:sz w:val="14"/>
          <w:szCs w:val="14"/>
          <w:color w:val="auto"/>
        </w:rPr>
        <w:t>. Except as otherwise provided in the applicable SAR Agreement and then only to the extent permitted by applicable law, no SAR shall be transferable</w:t>
      </w:r>
    </w:p>
    <w:p>
      <w:pPr>
        <w:spacing w:after="0" w:line="40" w:lineRule="exact"/>
        <w:rPr>
          <w:rFonts w:ascii="Times New Roman" w:cs="Times New Roman" w:eastAsia="Times New Roman" w:hAnsi="Times New Roman"/>
          <w:sz w:val="14"/>
          <w:szCs w:val="14"/>
          <w:color w:val="auto"/>
        </w:rPr>
      </w:pPr>
    </w:p>
    <w:p>
      <w:pPr>
        <w:jc w:val="both"/>
        <w:spacing w:after="0" w:line="309"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by the Participant other than by will or by the laws of descent and distribution. Except as otherwise provided in the applicable SAR Agreement, a SAR may be exercised during the lifetime of the Participant only by the Participant or by the guardian or legal representative of the Participant. No SAR or interest therein may be assigned, pledged or hypothecated by the Participant during his or her lifetime, whether by operation of law or otherwise, or be made subject to execution, attachment or similar process.</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SECTION 9. TERMS AND CONDITIONS FOR RESTRICTED STOCK GRANTS</w:t>
      </w:r>
    </w:p>
    <w:p>
      <w:pPr>
        <w:spacing w:after="0" w:line="127" w:lineRule="exact"/>
        <w:rPr>
          <w:sz w:val="20"/>
          <w:szCs w:val="20"/>
          <w:color w:val="auto"/>
        </w:rPr>
      </w:pPr>
    </w:p>
    <w:p>
      <w:pPr>
        <w:jc w:val="both"/>
        <w:ind w:firstLine="514"/>
        <w:spacing w:after="0" w:line="309" w:lineRule="auto"/>
        <w:tabs>
          <w:tab w:leader="none" w:pos="850" w:val="left"/>
        </w:tabs>
        <w:numPr>
          <w:ilvl w:val="0"/>
          <w:numId w:val="6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Restricted Stock Grant Agreement</w:t>
      </w:r>
      <w:r>
        <w:rPr>
          <w:rFonts w:ascii="Times New Roman" w:cs="Times New Roman" w:eastAsia="Times New Roman" w:hAnsi="Times New Roman"/>
          <w:sz w:val="14"/>
          <w:szCs w:val="14"/>
          <w:color w:val="auto"/>
        </w:rPr>
        <w:t>. Each Restricted Stock Grant awarded under the Plan shall be evidenced by a Restricted Stock Grant Agreement between the Participant and the Company. Each Restricted Stock Grant shall be subject to all applicable terms and conditions of the Plan and may be subject to any other terms and conditions that are not inconsistent with the Plan (including without limitation any Performance Goals). The provisions of the Restricted Stock Grant Agreements entered into under the Plan need not be identical.</w:t>
      </w:r>
    </w:p>
    <w:p>
      <w:pPr>
        <w:spacing w:after="0" w:line="46" w:lineRule="exact"/>
        <w:rPr>
          <w:rFonts w:ascii="Times New Roman" w:cs="Times New Roman" w:eastAsia="Times New Roman" w:hAnsi="Times New Roman"/>
          <w:sz w:val="14"/>
          <w:szCs w:val="14"/>
          <w:color w:val="auto"/>
        </w:rPr>
      </w:pPr>
    </w:p>
    <w:p>
      <w:pPr>
        <w:ind w:firstLine="514"/>
        <w:spacing w:after="0" w:line="334" w:lineRule="auto"/>
        <w:tabs>
          <w:tab w:leader="none" w:pos="816" w:val="left"/>
        </w:tabs>
        <w:numPr>
          <w:ilvl w:val="0"/>
          <w:numId w:val="6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Number of Shares and Payment</w:t>
      </w:r>
      <w:r>
        <w:rPr>
          <w:rFonts w:ascii="Times New Roman" w:cs="Times New Roman" w:eastAsia="Times New Roman" w:hAnsi="Times New Roman"/>
          <w:sz w:val="14"/>
          <w:szCs w:val="14"/>
          <w:color w:val="auto"/>
        </w:rPr>
        <w:t>. Each Restricted Stock Grant Agreement shall specify the number of Shares to which the Restricted Stock Grant pertains and is subject to adjustment of such number in accordance with Section 11. Restricted Stock Grants may be issued with or without cash consideration under the Plan.</w:t>
      </w:r>
    </w:p>
    <w:p>
      <w:pPr>
        <w:spacing w:after="0" w:line="39" w:lineRule="exact"/>
        <w:rPr>
          <w:rFonts w:ascii="Times New Roman" w:cs="Times New Roman" w:eastAsia="Times New Roman" w:hAnsi="Times New Roman"/>
          <w:sz w:val="14"/>
          <w:szCs w:val="14"/>
          <w:color w:val="auto"/>
        </w:rPr>
      </w:pPr>
    </w:p>
    <w:p>
      <w:pPr>
        <w:ind w:firstLine="514"/>
        <w:spacing w:after="0" w:line="319" w:lineRule="auto"/>
        <w:tabs>
          <w:tab w:leader="none" w:pos="818" w:val="left"/>
        </w:tabs>
        <w:numPr>
          <w:ilvl w:val="0"/>
          <w:numId w:val="6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Vesting Conditions</w:t>
      </w:r>
      <w:r>
        <w:rPr>
          <w:rFonts w:ascii="Times New Roman" w:cs="Times New Roman" w:eastAsia="Times New Roman" w:hAnsi="Times New Roman"/>
          <w:sz w:val="14"/>
          <w:szCs w:val="14"/>
          <w:color w:val="auto"/>
        </w:rPr>
        <w:t>. Each Restricted Stock Grant may or may not be subject to vesting. Vesting shall occur, in full or in installments, upon satisfaction of the conditions specified in the Restricted Stock Grant Agreement. A Restricted Stock Grant Agreement may provide for accelerated vesting in the event of the Participant’s death, or Disability or other events.</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13</w:t>
      </w:r>
    </w:p>
    <w:p>
      <w:pPr>
        <w:sectPr>
          <w:pgSz w:w="11900" w:h="16838" w:orient="portrait"/>
          <w:cols w:equalWidth="0" w:num="1">
            <w:col w:w="11280"/>
          </w:cols>
          <w:pgMar w:left="300" w:top="740" w:right="319" w:bottom="1440" w:gutter="0" w:footer="0" w:header="0"/>
        </w:sectPr>
      </w:pPr>
    </w:p>
    <w:bookmarkStart w:id="99" w:name="page100"/>
    <w:bookmarkEnd w:id="99"/>
    <w:p>
      <w:pPr>
        <w:jc w:val="both"/>
        <w:ind w:firstLine="514"/>
        <w:spacing w:after="0" w:line="292" w:lineRule="auto"/>
        <w:tabs>
          <w:tab w:leader="none" w:pos="816" w:val="left"/>
        </w:tabs>
        <w:numPr>
          <w:ilvl w:val="0"/>
          <w:numId w:val="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Voting and Dividend Rights</w:t>
      </w:r>
      <w:r>
        <w:rPr>
          <w:rFonts w:ascii="Times New Roman" w:cs="Times New Roman" w:eastAsia="Times New Roman" w:hAnsi="Times New Roman"/>
          <w:sz w:val="14"/>
          <w:szCs w:val="14"/>
          <w:color w:val="auto"/>
        </w:rPr>
        <w:t>. The holder of a Restricted Stock Grant (irrespective of whether the Shares subject to the Restricted Stock Grant are vested or unvested) awarded under the Plan shall have the same voting, dividend and other rights as the Company's other stockholders; provided however that any dividends attributed to Shares that are unvested (whether such dividends</w:t>
      </w:r>
    </w:p>
    <w:p>
      <w:pPr>
        <w:jc w:val="both"/>
        <w:spacing w:after="0" w:line="309"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are in the form of cash or Shares) shall be subject to the same vesting conditions and restrictions as the Restricted Stock Grant with respect to which the dividends relate; and provided further that this sentence is subject to the final sentence of Section 4(f). Such additional Shares issued as dividends that are subject to the Restricted Stock Grant shall not reduce the number of Shares available for issuance under Section 5.</w:t>
      </w:r>
    </w:p>
    <w:p>
      <w:pPr>
        <w:spacing w:after="0" w:line="46" w:lineRule="exact"/>
        <w:rPr>
          <w:rFonts w:ascii="Times New Roman" w:cs="Times New Roman" w:eastAsia="Times New Roman" w:hAnsi="Times New Roman"/>
          <w:sz w:val="14"/>
          <w:szCs w:val="14"/>
          <w:color w:val="auto"/>
        </w:rPr>
      </w:pPr>
    </w:p>
    <w:p>
      <w:pPr>
        <w:ind w:left="820" w:hanging="306"/>
        <w:spacing w:after="0"/>
        <w:tabs>
          <w:tab w:leader="none" w:pos="820" w:val="left"/>
        </w:tabs>
        <w:numPr>
          <w:ilvl w:val="0"/>
          <w:numId w:val="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Modification or Assumption of Restricted Stock Grants</w:t>
      </w:r>
      <w:r>
        <w:rPr>
          <w:rFonts w:ascii="Times New Roman" w:cs="Times New Roman" w:eastAsia="Times New Roman" w:hAnsi="Times New Roman"/>
          <w:sz w:val="14"/>
          <w:szCs w:val="14"/>
          <w:color w:val="auto"/>
        </w:rPr>
        <w:t>. Within the limitations of the Plan, the Committee may modify or assume outstanding Restricted Stock Grants or may accept the</w:t>
      </w:r>
    </w:p>
    <w:p>
      <w:pPr>
        <w:spacing w:after="0" w:line="40" w:lineRule="exact"/>
        <w:rPr>
          <w:rFonts w:ascii="Times New Roman" w:cs="Times New Roman" w:eastAsia="Times New Roman" w:hAnsi="Times New Roman"/>
          <w:sz w:val="14"/>
          <w:szCs w:val="14"/>
          <w:color w:val="auto"/>
        </w:rPr>
      </w:pPr>
    </w:p>
    <w:p>
      <w:pPr>
        <w:spacing w:after="0" w:line="319"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cancellation of outstanding Restricted Stock Grants (including stock granted by another issuer) in return for the grant of new Restricted Stock Grants for the same or a different number of Shares. No modification of a Restricted Stock Grant shall, without the consent of the Participant, impair his or her rights or increase his or her obligations under such Restricted Stock Grant.</w:t>
      </w:r>
    </w:p>
    <w:p>
      <w:pPr>
        <w:spacing w:after="0" w:line="49" w:lineRule="exact"/>
        <w:rPr>
          <w:rFonts w:ascii="Times New Roman" w:cs="Times New Roman" w:eastAsia="Times New Roman" w:hAnsi="Times New Roman"/>
          <w:sz w:val="14"/>
          <w:szCs w:val="14"/>
          <w:color w:val="auto"/>
        </w:rPr>
      </w:pPr>
    </w:p>
    <w:p>
      <w:pPr>
        <w:jc w:val="both"/>
        <w:ind w:firstLine="514"/>
        <w:spacing w:after="0" w:line="292" w:lineRule="auto"/>
        <w:tabs>
          <w:tab w:leader="none" w:pos="824" w:val="left"/>
        </w:tabs>
        <w:numPr>
          <w:ilvl w:val="0"/>
          <w:numId w:val="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Assignment or Transfer of Restricted Stock Grants</w:t>
      </w:r>
      <w:r>
        <w:rPr>
          <w:rFonts w:ascii="Times New Roman" w:cs="Times New Roman" w:eastAsia="Times New Roman" w:hAnsi="Times New Roman"/>
          <w:sz w:val="14"/>
          <w:szCs w:val="14"/>
          <w:color w:val="auto"/>
        </w:rPr>
        <w:t>. Except as provided in Section 14, or in a Restricted Stock Grant Agreement, or as required by applicable law, a Restricted Stock Grant awarded under the Plan shall not be anticipated, assigned, attached, garnished, optioned, transferred or made subject to any creditor's process, whether voluntarily, involuntarily or by operation</w:t>
      </w:r>
    </w:p>
    <w:p>
      <w:pPr>
        <w:spacing w:after="0" w:line="319"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of law. Any act in violation of this Section 9(f) shall be void. However, this Section 9(f) shall not preclude a Participant from designating a beneficiary pursuant to Section 4(d) nor shall it preclude a transfer of Restricted Stock Grant Awards by will or pursuant to Section 4(d).</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SECTION 10. TERMS AND CONDITIONS OF STOCK UNITS</w:t>
      </w:r>
    </w:p>
    <w:p>
      <w:pPr>
        <w:spacing w:after="0" w:line="127" w:lineRule="exact"/>
        <w:rPr>
          <w:sz w:val="20"/>
          <w:szCs w:val="20"/>
          <w:color w:val="auto"/>
        </w:rPr>
      </w:pPr>
    </w:p>
    <w:p>
      <w:pPr>
        <w:jc w:val="both"/>
        <w:ind w:firstLine="514"/>
        <w:spacing w:after="0" w:line="309" w:lineRule="auto"/>
        <w:tabs>
          <w:tab w:leader="none" w:pos="818" w:val="left"/>
        </w:tabs>
        <w:numPr>
          <w:ilvl w:val="0"/>
          <w:numId w:val="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Stock Unit Agreement</w:t>
      </w:r>
      <w:r>
        <w:rPr>
          <w:rFonts w:ascii="Times New Roman" w:cs="Times New Roman" w:eastAsia="Times New Roman" w:hAnsi="Times New Roman"/>
          <w:sz w:val="14"/>
          <w:szCs w:val="14"/>
          <w:color w:val="auto"/>
        </w:rPr>
        <w:t>. Each Award of Stock Units under the Plan shall be evidenced by a Stock Unit Agreement between the Participant and the Company. Such Stock Units shall be subject to all applicable terms of the Plan and may be subject to any other terms that are not inconsistent with the Plan (including without limitation any Performance Goals). The provisions of the various Stock Unit Agreements entered into under the Plan need not be identical.</w:t>
      </w:r>
    </w:p>
    <w:p>
      <w:pPr>
        <w:spacing w:after="0" w:line="46" w:lineRule="exact"/>
        <w:rPr>
          <w:rFonts w:ascii="Times New Roman" w:cs="Times New Roman" w:eastAsia="Times New Roman" w:hAnsi="Times New Roman"/>
          <w:sz w:val="14"/>
          <w:szCs w:val="14"/>
          <w:color w:val="auto"/>
        </w:rPr>
      </w:pPr>
    </w:p>
    <w:p>
      <w:pPr>
        <w:ind w:firstLine="514"/>
        <w:spacing w:after="0" w:line="334" w:lineRule="auto"/>
        <w:tabs>
          <w:tab w:leader="none" w:pos="826" w:val="left"/>
        </w:tabs>
        <w:numPr>
          <w:ilvl w:val="0"/>
          <w:numId w:val="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Number of Shares and Payment</w:t>
      </w:r>
      <w:r>
        <w:rPr>
          <w:rFonts w:ascii="Times New Roman" w:cs="Times New Roman" w:eastAsia="Times New Roman" w:hAnsi="Times New Roman"/>
          <w:sz w:val="14"/>
          <w:szCs w:val="14"/>
          <w:color w:val="auto"/>
        </w:rPr>
        <w:t>. Each Stock Unit Agreement shall specify the number of Shares to which the Stock Unit Grant pertains and is subject to adjustment of such number in accordance with Section 11. To the extent that an Award is granted in the form of Stock Units, no cash consideration shall be required of the Award recipients.</w:t>
      </w:r>
    </w:p>
    <w:p>
      <w:pPr>
        <w:spacing w:after="0" w:line="29" w:lineRule="exact"/>
        <w:rPr>
          <w:rFonts w:ascii="Times New Roman" w:cs="Times New Roman" w:eastAsia="Times New Roman" w:hAnsi="Times New Roman"/>
          <w:sz w:val="14"/>
          <w:szCs w:val="14"/>
          <w:color w:val="auto"/>
        </w:rPr>
      </w:pPr>
    </w:p>
    <w:p>
      <w:pPr>
        <w:ind w:firstLine="514"/>
        <w:spacing w:after="0" w:line="334" w:lineRule="auto"/>
        <w:tabs>
          <w:tab w:leader="none" w:pos="818" w:val="left"/>
        </w:tabs>
        <w:numPr>
          <w:ilvl w:val="0"/>
          <w:numId w:val="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Vesting Conditions</w:t>
      </w:r>
      <w:r>
        <w:rPr>
          <w:rFonts w:ascii="Times New Roman" w:cs="Times New Roman" w:eastAsia="Times New Roman" w:hAnsi="Times New Roman"/>
          <w:sz w:val="14"/>
          <w:szCs w:val="14"/>
          <w:color w:val="auto"/>
        </w:rPr>
        <w:t>. Each Award of Stock Units may or may not be subject to vesting. Vesting shall occur, in full or in installments, upon satisfaction of the conditions specified in the Stock Unit Agreement. A Stock Unit Agreement may provide for accelerated vesting in the event of the Participant’s death, or Disability or other events.</w:t>
      </w:r>
    </w:p>
    <w:p>
      <w:pPr>
        <w:spacing w:after="0" w:line="29" w:lineRule="exact"/>
        <w:rPr>
          <w:rFonts w:ascii="Times New Roman" w:cs="Times New Roman" w:eastAsia="Times New Roman" w:hAnsi="Times New Roman"/>
          <w:sz w:val="14"/>
          <w:szCs w:val="14"/>
          <w:color w:val="auto"/>
        </w:rPr>
      </w:pPr>
    </w:p>
    <w:p>
      <w:pPr>
        <w:ind w:left="840" w:hanging="326"/>
        <w:spacing w:after="0"/>
        <w:tabs>
          <w:tab w:leader="none" w:pos="840" w:val="left"/>
        </w:tabs>
        <w:numPr>
          <w:ilvl w:val="0"/>
          <w:numId w:val="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Voting and Dividend Rights</w:t>
      </w:r>
      <w:r>
        <w:rPr>
          <w:rFonts w:ascii="Times New Roman" w:cs="Times New Roman" w:eastAsia="Times New Roman" w:hAnsi="Times New Roman"/>
          <w:sz w:val="14"/>
          <w:szCs w:val="14"/>
          <w:color w:val="auto"/>
        </w:rPr>
        <w:t>. The holders of Stock Units shall have no voting rights. Prior to settlement or forfeiture, any Stock Unit awarded under the Plan may, at the Committee’s</w:t>
      </w:r>
    </w:p>
    <w:p>
      <w:pPr>
        <w:spacing w:after="0" w:line="40" w:lineRule="exact"/>
        <w:rPr>
          <w:rFonts w:ascii="Times New Roman" w:cs="Times New Roman" w:eastAsia="Times New Roman" w:hAnsi="Times New Roman"/>
          <w:sz w:val="14"/>
          <w:szCs w:val="14"/>
          <w:color w:val="auto"/>
        </w:rPr>
      </w:pPr>
    </w:p>
    <w:p>
      <w:pPr>
        <w:jc w:val="both"/>
        <w:spacing w:after="0" w:line="292"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discretion, carry with it a right to dividend equivalents. Such right entitles the holder to be credited with an amount equal to all cash or Common Stock dividends paid on one Share while the Stock Unit is outstanding. Dividend equivalents may be converted into additional Stock Units. Settlement of dividend equivalents may be made in the form of cash, in the form of Shares, or in a</w:t>
      </w:r>
    </w:p>
    <w:p>
      <w:pPr>
        <w:spacing w:after="0" w:line="319"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combination of both. Prior to vesting of the Stock Units, any dividend equivalents accrued on such unvested Stock Units shall be subject to the same vesting conditions and restrictions as the Stock Units to which they attach, provided that this sentence is subject to the final sentence of Section 4(f).</w:t>
      </w:r>
    </w:p>
    <w:p>
      <w:pPr>
        <w:spacing w:after="0" w:line="49" w:lineRule="exact"/>
        <w:rPr>
          <w:rFonts w:ascii="Times New Roman" w:cs="Times New Roman" w:eastAsia="Times New Roman" w:hAnsi="Times New Roman"/>
          <w:sz w:val="14"/>
          <w:szCs w:val="14"/>
          <w:color w:val="auto"/>
        </w:rPr>
      </w:pPr>
    </w:p>
    <w:p>
      <w:pPr>
        <w:jc w:val="both"/>
        <w:ind w:firstLine="514"/>
        <w:spacing w:after="0" w:line="309" w:lineRule="auto"/>
        <w:tabs>
          <w:tab w:leader="none" w:pos="871" w:val="left"/>
        </w:tabs>
        <w:numPr>
          <w:ilvl w:val="0"/>
          <w:numId w:val="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Modification or Assumption of Stock Units</w:t>
      </w:r>
      <w:r>
        <w:rPr>
          <w:rFonts w:ascii="Times New Roman" w:cs="Times New Roman" w:eastAsia="Times New Roman" w:hAnsi="Times New Roman"/>
          <w:sz w:val="14"/>
          <w:szCs w:val="14"/>
          <w:color w:val="auto"/>
        </w:rPr>
        <w:t>. Within the limitations of the Plan, the Committee may modify or assume outstanding Stock Units or may accept the cancellation of outstanding Stock Units (including stock units granted by another issuer) in return for the grant of new Stock Units for the same or a different number of Shares. No modification of a Stock Unit shall, without the consent of the Participant, impair his or her rights or increase his or her obligations under such Stock Unit.</w:t>
      </w:r>
    </w:p>
    <w:p>
      <w:pPr>
        <w:spacing w:after="0" w:line="57" w:lineRule="exact"/>
        <w:rPr>
          <w:rFonts w:ascii="Times New Roman" w:cs="Times New Roman" w:eastAsia="Times New Roman" w:hAnsi="Times New Roman"/>
          <w:sz w:val="14"/>
          <w:szCs w:val="14"/>
          <w:color w:val="auto"/>
        </w:rPr>
      </w:pPr>
    </w:p>
    <w:p>
      <w:pPr>
        <w:jc w:val="both"/>
        <w:ind w:firstLine="514"/>
        <w:spacing w:after="0" w:line="309" w:lineRule="auto"/>
        <w:tabs>
          <w:tab w:leader="none" w:pos="792" w:val="left"/>
        </w:tabs>
        <w:numPr>
          <w:ilvl w:val="0"/>
          <w:numId w:val="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Assignment or Transfer of Stock Units</w:t>
      </w:r>
      <w:r>
        <w:rPr>
          <w:rFonts w:ascii="Times New Roman" w:cs="Times New Roman" w:eastAsia="Times New Roman" w:hAnsi="Times New Roman"/>
          <w:sz w:val="14"/>
          <w:szCs w:val="14"/>
          <w:color w:val="auto"/>
        </w:rPr>
        <w:t>. Except as provided in Section 14, or in a Stock Unit Agreement, or as required by applicable law, Stock Units shall not be anticipated, assigned, attached, garnished, optioned, transferred or made subject to any creditor’s process, whether voluntarily, involuntarily or by operation of law. Any act in violation of this Section 10(f) shall be void. However, this Section 10(f) shall not preclude a Participant from designating a beneficiary pursuant to Section 4(d) nor shall it preclude a transfer of Stock Units pursuant to Section 4(d).</w:t>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14</w:t>
      </w:r>
    </w:p>
    <w:p>
      <w:pPr>
        <w:sectPr>
          <w:pgSz w:w="11900" w:h="16838" w:orient="portrait"/>
          <w:cols w:equalWidth="0" w:num="1">
            <w:col w:w="11280"/>
          </w:cols>
          <w:pgMar w:left="300" w:top="740" w:right="319" w:bottom="1440" w:gutter="0" w:footer="0" w:header="0"/>
        </w:sectPr>
      </w:pPr>
    </w:p>
    <w:bookmarkStart w:id="100" w:name="page101"/>
    <w:bookmarkEnd w:id="100"/>
    <w:p>
      <w:pPr>
        <w:jc w:val="both"/>
        <w:ind w:firstLine="514"/>
        <w:spacing w:after="0" w:line="292" w:lineRule="auto"/>
        <w:tabs>
          <w:tab w:leader="none" w:pos="837" w:val="left"/>
        </w:tabs>
        <w:numPr>
          <w:ilvl w:val="0"/>
          <w:numId w:val="6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Form and Time of Settlement of Stock Units</w:t>
      </w:r>
      <w:r>
        <w:rPr>
          <w:rFonts w:ascii="Times New Roman" w:cs="Times New Roman" w:eastAsia="Times New Roman" w:hAnsi="Times New Roman"/>
          <w:sz w:val="14"/>
          <w:szCs w:val="14"/>
          <w:color w:val="auto"/>
        </w:rPr>
        <w:t>. Settlement of vested Stock Units may be made in the form of (a) cash, (b) Shares or (c) any combination of both, as determined by the Committee. The actual number of Stock Units eligible for settlement may be larger or smaller than the number included in the original Award. Methods of converting Stock Units into cash may</w:t>
      </w:r>
    </w:p>
    <w:p>
      <w:pPr>
        <w:jc w:val="both"/>
        <w:spacing w:after="0" w:line="292"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 (without limitation) a method based on the average Fair Market Value of Shares over a series of trading days. Except as otherwise provided in a Stock Unit Agreement or a timely completed deferral election, vested Stock Units shall be settled within thirty days after vesting. The distribution may occur or commence when all vesting conditions applicable to the Stock Units have been</w:t>
      </w:r>
    </w:p>
    <w:p>
      <w:pPr>
        <w:spacing w:after="0" w:line="319"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satisfied or have lapsed, or it may be deferred, in accordance with applicable law, to a later specified date. The amount of a deferred distribution may be increased by an interest factor or by dividend equivalents. Until an Award of Stock Units is settled, the number of such Stock Units shall be subject to adjustment pursuant to Section 11.</w:t>
      </w:r>
    </w:p>
    <w:p>
      <w:pPr>
        <w:spacing w:after="0" w:line="49" w:lineRule="exact"/>
        <w:rPr>
          <w:rFonts w:ascii="Times New Roman" w:cs="Times New Roman" w:eastAsia="Times New Roman" w:hAnsi="Times New Roman"/>
          <w:sz w:val="14"/>
          <w:szCs w:val="14"/>
          <w:color w:val="auto"/>
        </w:rPr>
      </w:pPr>
    </w:p>
    <w:p>
      <w:pPr>
        <w:ind w:firstLine="514"/>
        <w:spacing w:after="0" w:line="319" w:lineRule="auto"/>
        <w:tabs>
          <w:tab w:leader="none" w:pos="816" w:val="left"/>
        </w:tabs>
        <w:numPr>
          <w:ilvl w:val="0"/>
          <w:numId w:val="6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Creditors' Rights</w:t>
      </w:r>
      <w:r>
        <w:rPr>
          <w:rFonts w:ascii="Times New Roman" w:cs="Times New Roman" w:eastAsia="Times New Roman" w:hAnsi="Times New Roman"/>
          <w:sz w:val="14"/>
          <w:szCs w:val="14"/>
          <w:color w:val="auto"/>
        </w:rPr>
        <w:t>. A holder of Stock Units shall have no rights other than those of a general creditor of the Company. Stock Units represent an unfunded and unsecured obligation of the Company, subject to the terms and conditions of the applicable Stock Unit Agreement.</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SECTION 11. ADJUSTMENTS</w:t>
      </w:r>
    </w:p>
    <w:p>
      <w:pPr>
        <w:spacing w:after="0" w:line="117" w:lineRule="exact"/>
        <w:rPr>
          <w:sz w:val="20"/>
          <w:szCs w:val="20"/>
          <w:color w:val="auto"/>
        </w:rPr>
      </w:pPr>
    </w:p>
    <w:p>
      <w:pPr>
        <w:ind w:left="820" w:hanging="306"/>
        <w:spacing w:after="0"/>
        <w:tabs>
          <w:tab w:leader="none" w:pos="820" w:val="left"/>
        </w:tabs>
        <w:numPr>
          <w:ilvl w:val="0"/>
          <w:numId w:val="7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Adjustments</w:t>
      </w:r>
      <w:r>
        <w:rPr>
          <w:rFonts w:ascii="Times New Roman" w:cs="Times New Roman" w:eastAsia="Times New Roman" w:hAnsi="Times New Roman"/>
          <w:sz w:val="14"/>
          <w:szCs w:val="14"/>
          <w:color w:val="auto"/>
        </w:rPr>
        <w:t>. In the event of a subdivision of the outstanding Shares, a declaration of a dividend payable in Shares, a declaration of a dividend payable in a form other than Shares in an</w:t>
      </w:r>
    </w:p>
    <w:p>
      <w:pPr>
        <w:spacing w:after="0" w:line="40" w:lineRule="exact"/>
        <w:rPr>
          <w:rFonts w:ascii="Times New Roman" w:cs="Times New Roman" w:eastAsia="Times New Roman" w:hAnsi="Times New Roman"/>
          <w:sz w:val="14"/>
          <w:szCs w:val="14"/>
          <w:color w:val="auto"/>
        </w:rPr>
      </w:pPr>
    </w:p>
    <w:p>
      <w:pPr>
        <w:jc w:val="both"/>
        <w:spacing w:after="0" w:line="309"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 that has a material effect on the price of Shares, a combination or consolidation of the outstanding Shares (by reclassification or otherwise) into a lesser number of Shares, a stock split, a reverse stock split, a reclassification or other distribution of the Shares without the receipt of consideration by the Company, of or on the Common Stock, a recapitalization, a combination, a spin-off or a similar occurrence, the Committee shall make equitable and proportionate adjustments to:</w:t>
      </w:r>
    </w:p>
    <w:p>
      <w:pPr>
        <w:spacing w:after="0" w:line="57" w:lineRule="exact"/>
        <w:rPr>
          <w:rFonts w:ascii="Times New Roman" w:cs="Times New Roman" w:eastAsia="Times New Roman" w:hAnsi="Times New Roman"/>
          <w:sz w:val="14"/>
          <w:szCs w:val="14"/>
          <w:color w:val="auto"/>
        </w:rPr>
      </w:pPr>
    </w:p>
    <w:p>
      <w:pPr>
        <w:ind w:left="1300" w:hanging="277"/>
        <w:spacing w:after="0"/>
        <w:tabs>
          <w:tab w:leader="none" w:pos="1300" w:val="left"/>
        </w:tabs>
        <w:numPr>
          <w:ilvl w:val="1"/>
          <w:numId w:val="7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number and kind of securities available for Equity Awards (and which can be issued as ISOs) under Section 5;</w:t>
      </w:r>
    </w:p>
    <w:p>
      <w:pPr>
        <w:spacing w:after="0" w:line="114" w:lineRule="exact"/>
        <w:rPr>
          <w:rFonts w:ascii="Times New Roman" w:cs="Times New Roman" w:eastAsia="Times New Roman" w:hAnsi="Times New Roman"/>
          <w:sz w:val="14"/>
          <w:szCs w:val="14"/>
          <w:color w:val="auto"/>
        </w:rPr>
      </w:pPr>
    </w:p>
    <w:p>
      <w:pPr>
        <w:ind w:left="1340" w:hanging="317"/>
        <w:spacing w:after="0"/>
        <w:tabs>
          <w:tab w:leader="none" w:pos="1340" w:val="left"/>
        </w:tabs>
        <w:numPr>
          <w:ilvl w:val="1"/>
          <w:numId w:val="7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Share limits on Equity Awards issued under the Plan that are intended to qualify as performance-based compensation under Code Section 162(m) under Section 5(d);</w:t>
      </w:r>
    </w:p>
    <w:p>
      <w:pPr>
        <w:spacing w:after="0" w:line="125" w:lineRule="exact"/>
        <w:rPr>
          <w:rFonts w:ascii="Times New Roman" w:cs="Times New Roman" w:eastAsia="Times New Roman" w:hAnsi="Times New Roman"/>
          <w:sz w:val="14"/>
          <w:szCs w:val="14"/>
          <w:color w:val="auto"/>
        </w:rPr>
      </w:pPr>
    </w:p>
    <w:p>
      <w:pPr>
        <w:ind w:left="1380" w:hanging="357"/>
        <w:spacing w:after="0"/>
        <w:tabs>
          <w:tab w:leader="none" w:pos="1380" w:val="left"/>
        </w:tabs>
        <w:numPr>
          <w:ilvl w:val="1"/>
          <w:numId w:val="7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number and kind of securities covered by each outstanding Equity Award;</w:t>
      </w:r>
    </w:p>
    <w:p>
      <w:pPr>
        <w:spacing w:after="0" w:line="114" w:lineRule="exact"/>
        <w:rPr>
          <w:rFonts w:ascii="Times New Roman" w:cs="Times New Roman" w:eastAsia="Times New Roman" w:hAnsi="Times New Roman"/>
          <w:sz w:val="14"/>
          <w:szCs w:val="14"/>
          <w:color w:val="auto"/>
        </w:rPr>
      </w:pPr>
    </w:p>
    <w:p>
      <w:pPr>
        <w:ind w:left="1360" w:hanging="337"/>
        <w:spacing w:after="0"/>
        <w:tabs>
          <w:tab w:leader="none" w:pos="1360" w:val="left"/>
        </w:tabs>
        <w:numPr>
          <w:ilvl w:val="1"/>
          <w:numId w:val="7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Exercise Price under each outstanding SAR and Option, and the repurchase price, if any, applicable to the unvested portion of Restricted Stock Grants; and</w:t>
      </w:r>
    </w:p>
    <w:p>
      <w:pPr>
        <w:spacing w:after="0" w:line="125" w:lineRule="exact"/>
        <w:rPr>
          <w:rFonts w:ascii="Times New Roman" w:cs="Times New Roman" w:eastAsia="Times New Roman" w:hAnsi="Times New Roman"/>
          <w:sz w:val="14"/>
          <w:szCs w:val="14"/>
          <w:color w:val="auto"/>
        </w:rPr>
      </w:pPr>
    </w:p>
    <w:p>
      <w:pPr>
        <w:ind w:left="1320" w:hanging="297"/>
        <w:spacing w:after="0"/>
        <w:tabs>
          <w:tab w:leader="none" w:pos="1320" w:val="left"/>
        </w:tabs>
        <w:numPr>
          <w:ilvl w:val="1"/>
          <w:numId w:val="7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number and kind of outstanding securities issued under the Plan.</w:t>
      </w:r>
    </w:p>
    <w:p>
      <w:pPr>
        <w:spacing w:after="0" w:line="114" w:lineRule="exact"/>
        <w:rPr>
          <w:rFonts w:ascii="Times New Roman" w:cs="Times New Roman" w:eastAsia="Times New Roman" w:hAnsi="Times New Roman"/>
          <w:sz w:val="14"/>
          <w:szCs w:val="14"/>
          <w:color w:val="auto"/>
        </w:rPr>
      </w:pPr>
    </w:p>
    <w:p>
      <w:pPr>
        <w:ind w:left="840" w:hanging="326"/>
        <w:spacing w:after="0"/>
        <w:tabs>
          <w:tab w:leader="none" w:pos="840" w:val="left"/>
        </w:tabs>
        <w:numPr>
          <w:ilvl w:val="0"/>
          <w:numId w:val="7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Participant Rights</w:t>
      </w:r>
      <w:r>
        <w:rPr>
          <w:rFonts w:ascii="Times New Roman" w:cs="Times New Roman" w:eastAsia="Times New Roman" w:hAnsi="Times New Roman"/>
          <w:sz w:val="14"/>
          <w:szCs w:val="14"/>
          <w:color w:val="auto"/>
        </w:rPr>
        <w:t>. Except as provided in this Section 11, a Participant shall have no rights by reason of any issue by the Company of stock of any class or securities convertible into</w:t>
      </w:r>
    </w:p>
    <w:p>
      <w:pPr>
        <w:spacing w:after="0" w:line="40" w:lineRule="exact"/>
        <w:rPr>
          <w:rFonts w:ascii="Times New Roman" w:cs="Times New Roman" w:eastAsia="Times New Roman" w:hAnsi="Times New Roman"/>
          <w:sz w:val="14"/>
          <w:szCs w:val="14"/>
          <w:color w:val="auto"/>
        </w:rPr>
      </w:pPr>
    </w:p>
    <w:p>
      <w:pPr>
        <w:jc w:val="both"/>
        <w:spacing w:after="0" w:line="292"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stock of any class, any subdivision or consolidation of shares of stock of any class, the payment of any stock dividend or any other increase or decrease in the number of shares of stock of any class. If by reason of an adjustment pursuant to this Section 11, a Participant’s Equity Award covers additional or different shares of stock or securities, then such additional or different shares and the Equity</w:t>
      </w:r>
    </w:p>
    <w:p>
      <w:pPr>
        <w:spacing w:after="0" w:line="279"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Award in respect thereof shall be subject to all of the terms, conditions and restrictions which were applicable to the Equity Award and the Shares subject to the Equity Award prior to such adjustment.</w:t>
      </w:r>
    </w:p>
    <w:p>
      <w:pPr>
        <w:spacing w:after="0" w:line="290" w:lineRule="exact"/>
        <w:rPr>
          <w:rFonts w:ascii="Times New Roman" w:cs="Times New Roman" w:eastAsia="Times New Roman" w:hAnsi="Times New Roman"/>
          <w:sz w:val="14"/>
          <w:szCs w:val="14"/>
          <w:color w:val="auto"/>
        </w:rPr>
      </w:pPr>
    </w:p>
    <w:p>
      <w:pPr>
        <w:ind w:firstLine="514"/>
        <w:spacing w:after="0" w:line="319" w:lineRule="auto"/>
        <w:tabs>
          <w:tab w:leader="none" w:pos="829" w:val="left"/>
        </w:tabs>
        <w:numPr>
          <w:ilvl w:val="0"/>
          <w:numId w:val="7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Fractional Shares</w:t>
      </w:r>
      <w:r>
        <w:rPr>
          <w:rFonts w:ascii="Times New Roman" w:cs="Times New Roman" w:eastAsia="Times New Roman" w:hAnsi="Times New Roman"/>
          <w:sz w:val="14"/>
          <w:szCs w:val="14"/>
          <w:color w:val="auto"/>
        </w:rPr>
        <w:t>. Any adjustment of Shares pursuant to this Section 11 shall be rounded down to the nearest whole number of Shares. Under no circumstances shall the Company be required to authorize or issue fractional shares. To the extent permitted by applicable law, no consideration shall be provided as a result of any fractional shares not being issued or authorized.</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SECTION 12. EFFECT OF A CHANGE IN CONTROL</w:t>
      </w:r>
    </w:p>
    <w:p>
      <w:pPr>
        <w:spacing w:after="0" w:line="117" w:lineRule="exact"/>
        <w:rPr>
          <w:sz w:val="20"/>
          <w:szCs w:val="20"/>
          <w:color w:val="auto"/>
        </w:rPr>
      </w:pPr>
    </w:p>
    <w:p>
      <w:pPr>
        <w:jc w:val="both"/>
        <w:ind w:firstLine="514"/>
        <w:spacing w:after="0" w:line="300" w:lineRule="auto"/>
        <w:tabs>
          <w:tab w:leader="none" w:pos="914" w:val="left"/>
        </w:tabs>
        <w:numPr>
          <w:ilvl w:val="0"/>
          <w:numId w:val="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Merger or Reorganization</w:t>
      </w:r>
      <w:r>
        <w:rPr>
          <w:rFonts w:ascii="Times New Roman" w:cs="Times New Roman" w:eastAsia="Times New Roman" w:hAnsi="Times New Roman"/>
          <w:sz w:val="14"/>
          <w:szCs w:val="14"/>
          <w:color w:val="auto"/>
        </w:rPr>
        <w:t>. In the event that the Company is a party to a merger or other reorganization, outstanding Awards shall be subject to the agreement of merger or reorganization. Such agreement may provide, without limitation, that subject to the consummation of the merger or other reorganization, for the assumption (or substitution) of outstanding Awards by</w:t>
      </w:r>
    </w:p>
    <w:p>
      <w:pPr>
        <w:spacing w:after="0" w:line="319"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surviving corporation or its parent, for their continuation by the Company (if the Company is a surviving corporation), for their cancellation with or without consideration, in all cases without the consent of the Participant.</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15</w:t>
      </w:r>
    </w:p>
    <w:p>
      <w:pPr>
        <w:sectPr>
          <w:pgSz w:w="11900" w:h="16838" w:orient="portrait"/>
          <w:cols w:equalWidth="0" w:num="1">
            <w:col w:w="11280"/>
          </w:cols>
          <w:pgMar w:left="300" w:top="740" w:right="319" w:bottom="1440" w:gutter="0" w:footer="0" w:header="0"/>
        </w:sectPr>
      </w:pPr>
    </w:p>
    <w:bookmarkStart w:id="101" w:name="page102"/>
    <w:bookmarkEnd w:id="101"/>
    <w:p>
      <w:pPr>
        <w:ind w:left="840" w:hanging="326"/>
        <w:spacing w:after="0"/>
        <w:tabs>
          <w:tab w:leader="none" w:pos="840" w:val="left"/>
        </w:tabs>
        <w:numPr>
          <w:ilvl w:val="0"/>
          <w:numId w:val="7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Acceleration</w:t>
      </w:r>
      <w:r>
        <w:rPr>
          <w:rFonts w:ascii="Times New Roman" w:cs="Times New Roman" w:eastAsia="Times New Roman" w:hAnsi="Times New Roman"/>
          <w:sz w:val="14"/>
          <w:szCs w:val="14"/>
          <w:color w:val="auto"/>
        </w:rPr>
        <w:t>. Except as otherwise provided in the applicable Award Agreement (and in such case the applicable Award Agreement shall govern), in the event that a Change in Control</w:t>
      </w:r>
    </w:p>
    <w:p>
      <w:pPr>
        <w:spacing w:after="0" w:line="40" w:lineRule="exact"/>
        <w:rPr>
          <w:rFonts w:ascii="Times New Roman" w:cs="Times New Roman" w:eastAsia="Times New Roman" w:hAnsi="Times New Roman"/>
          <w:sz w:val="14"/>
          <w:szCs w:val="14"/>
          <w:color w:val="auto"/>
        </w:rPr>
      </w:pPr>
    </w:p>
    <w:p>
      <w:pPr>
        <w:jc w:val="both"/>
        <w:spacing w:after="0" w:line="292"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occurs and there is no assumption, substitution or continuation of Awards pursuant to Section 12(a), (1) with respect to outstanding Awards subject to service-based vesting conditions, 100% of the unvested portion of such Awards shall accelerate and vest immediately upon the Change in Control, and (2) with respect to outstanding Awards subject to performance-based vesting conditions, such</w:t>
      </w:r>
    </w:p>
    <w:p>
      <w:pPr>
        <w:jc w:val="both"/>
        <w:spacing w:after="0" w:line="292"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Awards shall accelerate and vest upon the Change in Control with respect to the portion of the Award determined based on the greater of (A) target level applicable to the Award or (B) the actual level of achievement measured as of either the end of the applicable Performance Period (if the Performance Period ends prior to the Change in Control but actual performance has not yet been</w:t>
      </w:r>
    </w:p>
    <w:p>
      <w:pPr>
        <w:jc w:val="both"/>
        <w:spacing w:after="0" w:line="309"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determined) or the effective date of the Change in Control (if the Change in Control occurs prior to the end of the Performance Period), as applicable. For avoidance of doubt, “substitution” includes, without limitation, an Award being replaced by a cash award that provides an equivalent intrinsic value (wherein for Equity Awards intrinsic value equals the difference between the market value of a Share and any per Share exercise price).</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SECTION 13. LIMITATIONS ON RIGHTS</w:t>
      </w:r>
    </w:p>
    <w:p>
      <w:pPr>
        <w:spacing w:after="0" w:line="127" w:lineRule="exact"/>
        <w:rPr>
          <w:sz w:val="20"/>
          <w:szCs w:val="20"/>
          <w:color w:val="auto"/>
        </w:rPr>
      </w:pPr>
    </w:p>
    <w:p>
      <w:pPr>
        <w:jc w:val="both"/>
        <w:ind w:firstLine="514"/>
        <w:spacing w:after="0" w:line="309" w:lineRule="auto"/>
        <w:tabs>
          <w:tab w:leader="none" w:pos="829" w:val="left"/>
        </w:tabs>
        <w:numPr>
          <w:ilvl w:val="0"/>
          <w:numId w:val="7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Retention Rights</w:t>
      </w:r>
      <w:r>
        <w:rPr>
          <w:rFonts w:ascii="Times New Roman" w:cs="Times New Roman" w:eastAsia="Times New Roman" w:hAnsi="Times New Roman"/>
          <w:sz w:val="14"/>
          <w:szCs w:val="14"/>
          <w:color w:val="auto"/>
        </w:rPr>
        <w:t>. Neither the Plan nor any Award granted under the Plan shall be deemed to give any individual a right to remain in Service as an Employee, Consultant, Director or Non-Employee Director or to receive any other Awards under the Plan. The Company and its Parents and Subsidiaries and Affiliates reserve the right to terminate the Service of any person at any time, and for any reason, subject to applicable laws, the Company’s Articles of Incorporation and Bylaws and a written employment agreement (if any).</w:t>
      </w:r>
    </w:p>
    <w:p>
      <w:pPr>
        <w:spacing w:after="0" w:line="46" w:lineRule="exact"/>
        <w:rPr>
          <w:rFonts w:ascii="Times New Roman" w:cs="Times New Roman" w:eastAsia="Times New Roman" w:hAnsi="Times New Roman"/>
          <w:sz w:val="14"/>
          <w:szCs w:val="14"/>
          <w:color w:val="auto"/>
        </w:rPr>
      </w:pPr>
    </w:p>
    <w:p>
      <w:pPr>
        <w:ind w:left="860" w:hanging="346"/>
        <w:spacing w:after="0"/>
        <w:tabs>
          <w:tab w:leader="none" w:pos="860" w:val="left"/>
        </w:tabs>
        <w:numPr>
          <w:ilvl w:val="0"/>
          <w:numId w:val="7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Regulatory Requirements</w:t>
      </w:r>
      <w:r>
        <w:rPr>
          <w:rFonts w:ascii="Times New Roman" w:cs="Times New Roman" w:eastAsia="Times New Roman" w:hAnsi="Times New Roman"/>
          <w:sz w:val="14"/>
          <w:szCs w:val="14"/>
          <w:color w:val="auto"/>
        </w:rPr>
        <w:t>. Any other provision of the Plan notwithstanding, the obligation of the Company to issue Shares or other securities under the Plan shall be subject to all</w:t>
      </w:r>
    </w:p>
    <w:p>
      <w:pPr>
        <w:spacing w:after="0" w:line="40" w:lineRule="exact"/>
        <w:rPr>
          <w:rFonts w:ascii="Times New Roman" w:cs="Times New Roman" w:eastAsia="Times New Roman" w:hAnsi="Times New Roman"/>
          <w:sz w:val="14"/>
          <w:szCs w:val="14"/>
          <w:color w:val="auto"/>
        </w:rPr>
      </w:pPr>
    </w:p>
    <w:p>
      <w:pPr>
        <w:jc w:val="both"/>
        <w:spacing w:after="0" w:line="309"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applicable laws, rules and regulations and such approval by any regulatory body as may be required. The Company reserves the right to restrict, in whole or in part, the delivery of Shares or other securities pursuant to any Equity Award prior to the satisfaction of all legal requirements relating to the issuance of such Shares or other securities, to their registration, qualification or listing or to an exemption from registration, qualification or listing.</w:t>
      </w:r>
    </w:p>
    <w:p>
      <w:pPr>
        <w:spacing w:after="0" w:line="46" w:lineRule="exact"/>
        <w:rPr>
          <w:rFonts w:ascii="Times New Roman" w:cs="Times New Roman" w:eastAsia="Times New Roman" w:hAnsi="Times New Roman"/>
          <w:sz w:val="14"/>
          <w:szCs w:val="14"/>
          <w:color w:val="auto"/>
        </w:rPr>
      </w:pPr>
    </w:p>
    <w:p>
      <w:pPr>
        <w:ind w:firstLine="514"/>
        <w:spacing w:after="0" w:line="334" w:lineRule="auto"/>
        <w:tabs>
          <w:tab w:leader="none" w:pos="861" w:val="left"/>
        </w:tabs>
        <w:numPr>
          <w:ilvl w:val="0"/>
          <w:numId w:val="7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Dissolution</w:t>
      </w:r>
      <w:r>
        <w:rPr>
          <w:rFonts w:ascii="Times New Roman" w:cs="Times New Roman" w:eastAsia="Times New Roman" w:hAnsi="Times New Roman"/>
          <w:sz w:val="14"/>
          <w:szCs w:val="14"/>
          <w:color w:val="auto"/>
        </w:rPr>
        <w:t>. To the extent not previously exercised or settled, Options, SARs, unvested Stock Units and unvested Restricted Stock Grants shall terminate immediately prior to the dissolution or liquidation of the Company and shall be forfeited to the Company.</w:t>
      </w:r>
    </w:p>
    <w:p>
      <w:pPr>
        <w:spacing w:after="0" w:line="39" w:lineRule="exact"/>
        <w:rPr>
          <w:rFonts w:ascii="Times New Roman" w:cs="Times New Roman" w:eastAsia="Times New Roman" w:hAnsi="Times New Roman"/>
          <w:sz w:val="14"/>
          <w:szCs w:val="14"/>
          <w:color w:val="auto"/>
        </w:rPr>
      </w:pPr>
    </w:p>
    <w:p>
      <w:pPr>
        <w:jc w:val="both"/>
        <w:ind w:firstLine="514"/>
        <w:spacing w:after="0" w:line="309" w:lineRule="auto"/>
        <w:tabs>
          <w:tab w:leader="none" w:pos="826" w:val="left"/>
        </w:tabs>
        <w:numPr>
          <w:ilvl w:val="0"/>
          <w:numId w:val="7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Clawback Policy</w:t>
      </w:r>
      <w:r>
        <w:rPr>
          <w:rFonts w:ascii="Times New Roman" w:cs="Times New Roman" w:eastAsia="Times New Roman" w:hAnsi="Times New Roman"/>
          <w:sz w:val="14"/>
          <w:szCs w:val="14"/>
          <w:color w:val="auto"/>
        </w:rPr>
        <w:t>. The Company may (i) cause the cancellation of any Award, (ii) require reimbursement of any Award by a Participant and (iii) effect any other right of recoupment of equity or other compensation provided under this Plan or otherwise in accordance with Company policies and/or applicable law (each, a “</w:t>
      </w:r>
      <w:r>
        <w:rPr>
          <w:rFonts w:ascii="Times New Roman" w:cs="Times New Roman" w:eastAsia="Times New Roman" w:hAnsi="Times New Roman"/>
          <w:sz w:val="14"/>
          <w:szCs w:val="14"/>
          <w:u w:val="single" w:color="auto"/>
          <w:color w:val="auto"/>
        </w:rPr>
        <w:t>Clawback Policy</w:t>
      </w:r>
      <w:r>
        <w:rPr>
          <w:rFonts w:ascii="Times New Roman" w:cs="Times New Roman" w:eastAsia="Times New Roman" w:hAnsi="Times New Roman"/>
          <w:sz w:val="14"/>
          <w:szCs w:val="14"/>
          <w:color w:val="auto"/>
        </w:rPr>
        <w:t>”). In addition, a Participant may be required to repay to the Company certain previously paid compensation, whether provided under this Plan or an Award Agreement or otherwise, in accordance with the Clawback Policy.</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SECTION 14. TAXES.</w:t>
      </w:r>
    </w:p>
    <w:p>
      <w:pPr>
        <w:spacing w:after="0" w:line="127" w:lineRule="exact"/>
        <w:rPr>
          <w:sz w:val="20"/>
          <w:szCs w:val="20"/>
          <w:color w:val="auto"/>
        </w:rPr>
      </w:pPr>
    </w:p>
    <w:p>
      <w:pPr>
        <w:ind w:firstLine="514"/>
        <w:spacing w:after="0" w:line="319" w:lineRule="auto"/>
        <w:tabs>
          <w:tab w:leader="none" w:pos="818" w:val="left"/>
        </w:tabs>
        <w:numPr>
          <w:ilvl w:val="0"/>
          <w:numId w:val="7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General</w:t>
      </w:r>
      <w:r>
        <w:rPr>
          <w:rFonts w:ascii="Times New Roman" w:cs="Times New Roman" w:eastAsia="Times New Roman" w:hAnsi="Times New Roman"/>
          <w:sz w:val="14"/>
          <w:szCs w:val="14"/>
          <w:color w:val="auto"/>
        </w:rPr>
        <w:t>. A Participant shall make arrangements satisfactory to the Company for the satisfaction of any withholding tax obligations that arise in connection with his or her Award. The Company shall not be required to issue any Shares or make any cash payment under the Plan until such obligations are satisfied.</w:t>
      </w:r>
    </w:p>
    <w:p>
      <w:pPr>
        <w:spacing w:after="0" w:line="49" w:lineRule="exact"/>
        <w:rPr>
          <w:rFonts w:ascii="Times New Roman" w:cs="Times New Roman" w:eastAsia="Times New Roman" w:hAnsi="Times New Roman"/>
          <w:sz w:val="14"/>
          <w:szCs w:val="14"/>
          <w:color w:val="auto"/>
        </w:rPr>
      </w:pPr>
    </w:p>
    <w:p>
      <w:pPr>
        <w:jc w:val="both"/>
        <w:ind w:firstLine="514"/>
        <w:spacing w:after="0" w:line="309" w:lineRule="auto"/>
        <w:tabs>
          <w:tab w:leader="none" w:pos="816" w:val="left"/>
        </w:tabs>
        <w:numPr>
          <w:ilvl w:val="0"/>
          <w:numId w:val="7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Share Withholding</w:t>
      </w:r>
      <w:r>
        <w:rPr>
          <w:rFonts w:ascii="Times New Roman" w:cs="Times New Roman" w:eastAsia="Times New Roman" w:hAnsi="Times New Roman"/>
          <w:sz w:val="14"/>
          <w:szCs w:val="14"/>
          <w:color w:val="auto"/>
        </w:rPr>
        <w:t>. The Committee in its discretion may permit or require a Participant to satisfy all or part of his or her withholding or income tax obligations by having the Company withhold all or a portion of any Shares that otherwise would be issued to him or her or by surrendering all or a portion of any Shares that he or she previously acquired (or by stock attestation). Such Shares shall be valued based on the value of the actual trade or, if there is none, the Fair Market Value as of the previous day.</w:t>
      </w:r>
    </w:p>
    <w:p>
      <w:pPr>
        <w:spacing w:after="0" w:line="47" w:lineRule="exact"/>
        <w:rPr>
          <w:sz w:val="20"/>
          <w:szCs w:val="20"/>
          <w:color w:val="auto"/>
        </w:rPr>
      </w:pPr>
    </w:p>
    <w:p>
      <w:pPr>
        <w:jc w:val="both"/>
        <w:ind w:firstLine="509"/>
        <w:spacing w:after="0" w:line="309" w:lineRule="auto"/>
        <w:rPr>
          <w:sz w:val="20"/>
          <w:szCs w:val="20"/>
          <w:color w:val="auto"/>
        </w:rPr>
      </w:pPr>
      <w:r>
        <w:rPr>
          <w:rFonts w:ascii="Times New Roman" w:cs="Times New Roman" w:eastAsia="Times New Roman" w:hAnsi="Times New Roman"/>
          <w:sz w:val="14"/>
          <w:szCs w:val="14"/>
          <w:color w:val="auto"/>
        </w:rPr>
        <w:t>Any payment of taxes by assigning Shares to the Company may be subject to restrictions, including, but not limited to, any restrictions required by rules of the SEC. The Committee may also, in its discretion, permit or require a Participant to satisfy withholding or income tax obligations (up to the maximum amount permitted by applicable law) related to an Equity Award through a sale of Shares underlying the Equity Award or, in the case of Options, through Net Exercise or Cashless Exercise.</w:t>
      </w: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16</w:t>
      </w:r>
    </w:p>
    <w:p>
      <w:pPr>
        <w:sectPr>
          <w:pgSz w:w="11900" w:h="16838" w:orient="portrait"/>
          <w:cols w:equalWidth="0" w:num="1">
            <w:col w:w="11280"/>
          </w:cols>
          <w:pgMar w:left="300" w:top="846" w:right="31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4"/>
          <w:szCs w:val="14"/>
          <w:b w:val="1"/>
          <w:bCs w:val="1"/>
          <w:color w:val="auto"/>
        </w:rPr>
        <w:t>SECTION 15. DURATION AND AMENDMENTS</w:t>
      </w:r>
    </w:p>
    <w:p>
      <w:pPr>
        <w:spacing w:after="0" w:line="149" w:lineRule="exact"/>
        <w:rPr>
          <w:sz w:val="20"/>
          <w:szCs w:val="20"/>
          <w:color w:val="auto"/>
        </w:rPr>
      </w:pPr>
    </w:p>
    <w:p>
      <w:pPr>
        <w:jc w:val="both"/>
        <w:ind w:firstLine="514"/>
        <w:spacing w:after="0" w:line="292" w:lineRule="auto"/>
        <w:tabs>
          <w:tab w:leader="none" w:pos="808" w:val="left"/>
        </w:tabs>
        <w:numPr>
          <w:ilvl w:val="0"/>
          <w:numId w:val="7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Term of the Plan</w:t>
      </w:r>
      <w:r>
        <w:rPr>
          <w:rFonts w:ascii="Times New Roman" w:cs="Times New Roman" w:eastAsia="Times New Roman" w:hAnsi="Times New Roman"/>
          <w:sz w:val="14"/>
          <w:szCs w:val="14"/>
          <w:color w:val="auto"/>
        </w:rPr>
        <w:t>. The Plan was originally effective on the Adoption Date and was amended on November 16, 2017, January 19, 2018, September 20, 2018, August 27, 2020, September 19, 2022 and September 21, 2023. In any event, the Plan shall terminate no later than on the day before the tenth anniversary of the Adoption Date. The Plan may be terminated by the Board on any</w:t>
      </w:r>
    </w:p>
    <w:p>
      <w:pPr>
        <w:spacing w:after="0" w:line="319"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earlier date pursuant to Section 15(b). This Plan will not in any way affect outstanding awards that were issued under the Prior Equity Compensation Plans or other Company equity compensation plans.</w:t>
      </w:r>
    </w:p>
    <w:p>
      <w:pPr>
        <w:spacing w:after="0" w:line="81" w:lineRule="exact"/>
        <w:rPr>
          <w:rFonts w:ascii="Times New Roman" w:cs="Times New Roman" w:eastAsia="Times New Roman" w:hAnsi="Times New Roman"/>
          <w:sz w:val="14"/>
          <w:szCs w:val="14"/>
          <w:color w:val="auto"/>
        </w:rPr>
      </w:pPr>
    </w:p>
    <w:p>
      <w:pPr>
        <w:jc w:val="both"/>
        <w:ind w:firstLine="514"/>
        <w:spacing w:after="0" w:line="292" w:lineRule="auto"/>
        <w:tabs>
          <w:tab w:leader="none" w:pos="879" w:val="left"/>
        </w:tabs>
        <w:numPr>
          <w:ilvl w:val="0"/>
          <w:numId w:val="7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Right to Amend or Terminate the Plan</w:t>
      </w:r>
      <w:r>
        <w:rPr>
          <w:rFonts w:ascii="Times New Roman" w:cs="Times New Roman" w:eastAsia="Times New Roman" w:hAnsi="Times New Roman"/>
          <w:sz w:val="14"/>
          <w:szCs w:val="14"/>
          <w:color w:val="auto"/>
        </w:rPr>
        <w:t>. The Board may amend or terminate the Plan at any time and for any reason. No Awards shall be granted under the Plan after the Plan’s termination. An amendment of the Plan shall be subject to the approval of the Company’s stockholders only to the extent required by applicable laws, regulations or rules. In addition, no such</w:t>
      </w:r>
    </w:p>
    <w:p>
      <w:pPr>
        <w:jc w:val="both"/>
        <w:spacing w:after="0" w:line="292"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amendment or termination shall be made which would impair the rights of any Participant, without such Participant’s written consent, under any then-outstanding Award, provided that no such Participant consent shall be required with respect to any amendment or alteration if the Committee determines in its sole discretion that such amendment or alteration either (i) is required or advisable</w:t>
      </w:r>
    </w:p>
    <w:p>
      <w:pPr>
        <w:jc w:val="both"/>
        <w:spacing w:after="0" w:line="309"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order for the Company, the Plan or the Award to satisfy or conform to any law or regulation or to meet the requirements of any accounting standard, or (ii) is not reasonably likely to significantly diminish the benefits provided under such Award, or that any such diminishment has been adequately compensated. In the event of any conflict in terms between the Plan and any Award Agreement, the terms of the Plan shall prevail and govern.</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SECTION 16. EXECUTION</w:t>
      </w:r>
    </w:p>
    <w:p>
      <w:pPr>
        <w:spacing w:after="0" w:line="12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To record the adoption of this Plan by the Board, the Company has caused its duly authorized Officer to execute this Plan on behalf of the Company.</w:t>
      </w:r>
    </w:p>
    <w:p>
      <w:pPr>
        <w:spacing w:after="0" w:line="198"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14"/>
          <w:szCs w:val="14"/>
          <w:b w:val="1"/>
          <w:bCs w:val="1"/>
          <w:color w:val="auto"/>
        </w:rPr>
        <w:t>LIFEVANTAGE CORPORATION</w:t>
      </w:r>
    </w:p>
    <w:p>
      <w:pPr>
        <w:spacing w:after="0" w:line="127"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14"/>
          <w:szCs w:val="14"/>
          <w:color w:val="auto"/>
        </w:rPr>
        <w:t>/s/ Steven R. Fife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2401570</wp:posOffset>
            </wp:positionH>
            <wp:positionV relativeFrom="paragraph">
              <wp:posOffset>41910</wp:posOffset>
            </wp:positionV>
            <wp:extent cx="2081530" cy="698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46">
                      <a:extLst>
                        <a:ext uri="{28A0092B-C50C-407E-A947-70E740481C1C}"/>
                      </a:extLst>
                    </a:blip>
                    <a:srcRect/>
                    <a:stretch>
                      <a:fillRect/>
                    </a:stretch>
                  </pic:blipFill>
                  <pic:spPr bwMode="auto">
                    <a:xfrm>
                      <a:off x="0" y="0"/>
                      <a:ext cx="2081530" cy="6985"/>
                    </a:xfrm>
                    <a:prstGeom prst="rect">
                      <a:avLst/>
                    </a:prstGeom>
                    <a:noFill/>
                  </pic:spPr>
                </pic:pic>
              </a:graphicData>
            </a:graphic>
          </wp:anchor>
        </w:drawing>
      </w:r>
    </w:p>
    <w:p>
      <w:pPr>
        <w:spacing w:after="0" w:line="95"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14"/>
          <w:szCs w:val="14"/>
          <w:color w:val="auto"/>
        </w:rPr>
        <w:t>By: Steven R. Fife</w:t>
      </w:r>
    </w:p>
    <w:p>
      <w:pPr>
        <w:spacing w:after="0" w:line="136"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14"/>
          <w:szCs w:val="14"/>
          <w:color w:val="auto"/>
        </w:rPr>
        <w:t>Title: President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17</w:t>
      </w:r>
    </w:p>
    <w:p>
      <w:pPr>
        <w:sectPr>
          <w:pgSz w:w="11900" w:h="16838" w:orient="portrait"/>
          <w:cols w:equalWidth="0" w:num="1">
            <w:col w:w="11280"/>
          </w:cols>
          <w:pgMar w:left="300" w:top="738" w:right="319" w:bottom="1440" w:gutter="0" w:footer="0" w:header="0"/>
        </w:sectPr>
      </w:pPr>
    </w:p>
    <w:bookmarkStart w:id="103" w:name="page104"/>
    <w:bookmarkEnd w:id="10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304165</wp:posOffset>
            </wp:positionV>
            <wp:extent cx="7105650" cy="933386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4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4" w:name="page105"/>
    <w:bookmarkEnd w:id="10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4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5" w:name="page106"/>
    <w:bookmarkEnd w:id="10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4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6" w:name="page107"/>
    <w:bookmarkEnd w:id="10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50">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7" w:name="page108"/>
    <w:bookmarkEnd w:id="10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51">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8" w:name="page109"/>
    <w:bookmarkEnd w:id="10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52">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9" w:name="page110"/>
    <w:bookmarkEnd w:id="10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53">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0" w:name="page111"/>
    <w:bookmarkEnd w:id="11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5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1" w:name="page112"/>
    <w:bookmarkEnd w:id="11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5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2" w:name="page113"/>
    <w:bookmarkEnd w:id="11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56">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3" w:name="page114"/>
    <w:bookmarkEnd w:id="11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57">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4" w:name="page115"/>
    <w:bookmarkEnd w:id="11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58">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5" w:name="page116"/>
    <w:bookmarkEnd w:id="115"/>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116" w:name="page117"/>
    <w:bookmarkEnd w:id="116"/>
    <w:p>
      <w:pPr>
        <w:jc w:val="right"/>
        <w:spacing w:after="0"/>
        <w:rPr>
          <w:sz w:val="20"/>
          <w:szCs w:val="20"/>
          <w:color w:val="auto"/>
        </w:rPr>
      </w:pPr>
      <w:r>
        <w:rPr>
          <w:rFonts w:ascii="Times New Roman" w:cs="Times New Roman" w:eastAsia="Times New Roman" w:hAnsi="Times New Roman"/>
          <w:sz w:val="14"/>
          <w:szCs w:val="14"/>
          <w:b w:val="1"/>
          <w:bCs w:val="1"/>
          <w:color w:val="auto"/>
        </w:rPr>
        <w:t>Exhibit 21.1</w:t>
      </w: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SUBSIDIARIES OF LIFEVANTAGE CORPORATION</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Set forth below is a list of all subsidiaries of LifeVantage Corporation, a Delaware corporation, and the state or country of incorporation of each as of June 30, 2024.</w:t>
      </w:r>
    </w:p>
    <w:p>
      <w:pPr>
        <w:spacing w:after="0" w:line="32"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60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Name</w:t>
            </w:r>
          </w:p>
        </w:tc>
        <w:tc>
          <w:tcPr>
            <w:tcW w:w="1880" w:type="dxa"/>
            <w:vAlign w:val="bottom"/>
          </w:tcPr>
          <w:p>
            <w:pPr>
              <w:spacing w:after="0"/>
              <w:rPr>
                <w:sz w:val="20"/>
                <w:szCs w:val="20"/>
                <w:color w:val="auto"/>
              </w:rPr>
            </w:pPr>
            <w:r>
              <w:rPr>
                <w:rFonts w:ascii="Times New Roman" w:cs="Times New Roman" w:eastAsia="Times New Roman" w:hAnsi="Times New Roman"/>
                <w:sz w:val="14"/>
                <w:szCs w:val="14"/>
                <w:color w:val="auto"/>
                <w:w w:val="99"/>
              </w:rPr>
              <w:t>State or Country of Incorporation</w:t>
            </w:r>
          </w:p>
        </w:tc>
      </w:tr>
      <w:tr>
        <w:trPr>
          <w:trHeight w:val="20"/>
        </w:trPr>
        <w:tc>
          <w:tcPr>
            <w:tcW w:w="340" w:type="dxa"/>
            <w:vAlign w:val="bottom"/>
            <w:shd w:val="clear" w:color="auto" w:fill="000000"/>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c>
          <w:tcPr>
            <w:tcW w:w="1880" w:type="dxa"/>
            <w:vAlign w:val="bottom"/>
            <w:shd w:val="clear" w:color="auto" w:fill="000000"/>
          </w:tcPr>
          <w:p>
            <w:pPr>
              <w:spacing w:after="0" w:line="20" w:lineRule="exact"/>
              <w:rPr>
                <w:sz w:val="1"/>
                <w:szCs w:val="1"/>
                <w:color w:val="auto"/>
              </w:rPr>
            </w:pPr>
          </w:p>
        </w:tc>
      </w:tr>
      <w:tr>
        <w:trPr>
          <w:trHeight w:val="188"/>
        </w:trPr>
        <w:tc>
          <w:tcPr>
            <w:tcW w:w="60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Dinng Creative, Inc.</w:t>
            </w:r>
          </w:p>
        </w:tc>
        <w:tc>
          <w:tcPr>
            <w:tcW w:w="1880" w:type="dxa"/>
            <w:vAlign w:val="bottom"/>
          </w:tcPr>
          <w:p>
            <w:pPr>
              <w:spacing w:after="0"/>
              <w:rPr>
                <w:sz w:val="20"/>
                <w:szCs w:val="20"/>
                <w:color w:val="auto"/>
              </w:rPr>
            </w:pPr>
            <w:r>
              <w:rPr>
                <w:rFonts w:ascii="Times New Roman" w:cs="Times New Roman" w:eastAsia="Times New Roman" w:hAnsi="Times New Roman"/>
                <w:sz w:val="14"/>
                <w:szCs w:val="14"/>
                <w:color w:val="auto"/>
              </w:rPr>
              <w:t>Utah</w:t>
            </w:r>
          </w:p>
        </w:tc>
      </w:tr>
      <w:tr>
        <w:trPr>
          <w:trHeight w:val="180"/>
        </w:trPr>
        <w:tc>
          <w:tcPr>
            <w:tcW w:w="60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Importadora LifeVantage S. de R.L. de C.V.</w:t>
            </w:r>
          </w:p>
        </w:tc>
        <w:tc>
          <w:tcPr>
            <w:tcW w:w="1880" w:type="dxa"/>
            <w:vAlign w:val="bottom"/>
          </w:tcPr>
          <w:p>
            <w:pPr>
              <w:spacing w:after="0"/>
              <w:rPr>
                <w:sz w:val="20"/>
                <w:szCs w:val="20"/>
                <w:color w:val="auto"/>
              </w:rPr>
            </w:pPr>
            <w:r>
              <w:rPr>
                <w:rFonts w:ascii="Times New Roman" w:cs="Times New Roman" w:eastAsia="Times New Roman" w:hAnsi="Times New Roman"/>
                <w:sz w:val="14"/>
                <w:szCs w:val="14"/>
                <w:color w:val="auto"/>
              </w:rPr>
              <w:t>Mexico</w:t>
            </w:r>
          </w:p>
        </w:tc>
      </w:tr>
      <w:tr>
        <w:trPr>
          <w:trHeight w:val="180"/>
        </w:trPr>
        <w:tc>
          <w:tcPr>
            <w:tcW w:w="60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LFVN Malaysia SDN. BHD.</w:t>
            </w:r>
          </w:p>
        </w:tc>
        <w:tc>
          <w:tcPr>
            <w:tcW w:w="1880" w:type="dxa"/>
            <w:vAlign w:val="bottom"/>
          </w:tcPr>
          <w:p>
            <w:pPr>
              <w:spacing w:after="0"/>
              <w:rPr>
                <w:sz w:val="20"/>
                <w:szCs w:val="20"/>
                <w:color w:val="auto"/>
              </w:rPr>
            </w:pPr>
            <w:r>
              <w:rPr>
                <w:rFonts w:ascii="Times New Roman" w:cs="Times New Roman" w:eastAsia="Times New Roman" w:hAnsi="Times New Roman"/>
                <w:sz w:val="14"/>
                <w:szCs w:val="14"/>
                <w:color w:val="auto"/>
              </w:rPr>
              <w:t>Malaysia</w:t>
            </w:r>
          </w:p>
        </w:tc>
      </w:tr>
      <w:tr>
        <w:trPr>
          <w:trHeight w:val="180"/>
        </w:trPr>
        <w:tc>
          <w:tcPr>
            <w:tcW w:w="60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LifeLine Nutraceuticals Corporation</w:t>
            </w:r>
          </w:p>
        </w:tc>
        <w:tc>
          <w:tcPr>
            <w:tcW w:w="1880" w:type="dxa"/>
            <w:vAlign w:val="bottom"/>
          </w:tcPr>
          <w:p>
            <w:pPr>
              <w:spacing w:after="0"/>
              <w:rPr>
                <w:sz w:val="20"/>
                <w:szCs w:val="20"/>
                <w:color w:val="auto"/>
              </w:rPr>
            </w:pPr>
            <w:r>
              <w:rPr>
                <w:rFonts w:ascii="Times New Roman" w:cs="Times New Roman" w:eastAsia="Times New Roman" w:hAnsi="Times New Roman"/>
                <w:sz w:val="14"/>
                <w:szCs w:val="14"/>
                <w:color w:val="auto"/>
              </w:rPr>
              <w:t>Colorado</w:t>
            </w:r>
          </w:p>
        </w:tc>
      </w:tr>
      <w:tr>
        <w:trPr>
          <w:trHeight w:val="180"/>
        </w:trPr>
        <w:tc>
          <w:tcPr>
            <w:tcW w:w="60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LifeVantage Asia Pte. Ltd.</w:t>
            </w:r>
          </w:p>
        </w:tc>
        <w:tc>
          <w:tcPr>
            <w:tcW w:w="1880" w:type="dxa"/>
            <w:vAlign w:val="bottom"/>
          </w:tcPr>
          <w:p>
            <w:pPr>
              <w:spacing w:after="0"/>
              <w:rPr>
                <w:sz w:val="20"/>
                <w:szCs w:val="20"/>
                <w:color w:val="auto"/>
              </w:rPr>
            </w:pPr>
            <w:r>
              <w:rPr>
                <w:rFonts w:ascii="Times New Roman" w:cs="Times New Roman" w:eastAsia="Times New Roman" w:hAnsi="Times New Roman"/>
                <w:sz w:val="14"/>
                <w:szCs w:val="14"/>
                <w:color w:val="auto"/>
              </w:rPr>
              <w:t>Singapore</w:t>
            </w:r>
          </w:p>
        </w:tc>
      </w:tr>
      <w:tr>
        <w:trPr>
          <w:trHeight w:val="180"/>
        </w:trPr>
        <w:tc>
          <w:tcPr>
            <w:tcW w:w="60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LifeVantage Australia Pty. Ltd.</w:t>
            </w:r>
          </w:p>
        </w:tc>
        <w:tc>
          <w:tcPr>
            <w:tcW w:w="1880" w:type="dxa"/>
            <w:vAlign w:val="bottom"/>
          </w:tcPr>
          <w:p>
            <w:pPr>
              <w:spacing w:after="0"/>
              <w:rPr>
                <w:sz w:val="20"/>
                <w:szCs w:val="20"/>
                <w:color w:val="auto"/>
              </w:rPr>
            </w:pPr>
            <w:r>
              <w:rPr>
                <w:rFonts w:ascii="Times New Roman" w:cs="Times New Roman" w:eastAsia="Times New Roman" w:hAnsi="Times New Roman"/>
                <w:sz w:val="14"/>
                <w:szCs w:val="14"/>
                <w:color w:val="auto"/>
              </w:rPr>
              <w:t>Australia</w:t>
            </w:r>
          </w:p>
        </w:tc>
      </w:tr>
      <w:tr>
        <w:trPr>
          <w:trHeight w:val="180"/>
        </w:trPr>
        <w:tc>
          <w:tcPr>
            <w:tcW w:w="60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LifeVantage Canada Ltd.</w:t>
            </w:r>
          </w:p>
        </w:tc>
        <w:tc>
          <w:tcPr>
            <w:tcW w:w="1880" w:type="dxa"/>
            <w:vAlign w:val="bottom"/>
          </w:tcPr>
          <w:p>
            <w:pPr>
              <w:spacing w:after="0"/>
              <w:rPr>
                <w:sz w:val="20"/>
                <w:szCs w:val="20"/>
                <w:color w:val="auto"/>
              </w:rPr>
            </w:pPr>
            <w:r>
              <w:rPr>
                <w:rFonts w:ascii="Times New Roman" w:cs="Times New Roman" w:eastAsia="Times New Roman" w:hAnsi="Times New Roman"/>
                <w:sz w:val="14"/>
                <w:szCs w:val="14"/>
                <w:color w:val="auto"/>
              </w:rPr>
              <w:t>Canada</w:t>
            </w:r>
          </w:p>
        </w:tc>
      </w:tr>
      <w:tr>
        <w:trPr>
          <w:trHeight w:val="180"/>
        </w:trPr>
        <w:tc>
          <w:tcPr>
            <w:tcW w:w="60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LifeVantage de Mexico S. de R.L. de C.V.</w:t>
            </w:r>
          </w:p>
        </w:tc>
        <w:tc>
          <w:tcPr>
            <w:tcW w:w="1880" w:type="dxa"/>
            <w:vAlign w:val="bottom"/>
          </w:tcPr>
          <w:p>
            <w:pPr>
              <w:spacing w:after="0"/>
              <w:rPr>
                <w:sz w:val="20"/>
                <w:szCs w:val="20"/>
                <w:color w:val="auto"/>
              </w:rPr>
            </w:pPr>
            <w:r>
              <w:rPr>
                <w:rFonts w:ascii="Times New Roman" w:cs="Times New Roman" w:eastAsia="Times New Roman" w:hAnsi="Times New Roman"/>
                <w:sz w:val="14"/>
                <w:szCs w:val="14"/>
                <w:color w:val="auto"/>
              </w:rPr>
              <w:t>Mexico</w:t>
            </w:r>
          </w:p>
        </w:tc>
      </w:tr>
      <w:tr>
        <w:trPr>
          <w:trHeight w:val="180"/>
        </w:trPr>
        <w:tc>
          <w:tcPr>
            <w:tcW w:w="60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LifeVantage Hong Kong Limited</w:t>
            </w:r>
          </w:p>
        </w:tc>
        <w:tc>
          <w:tcPr>
            <w:tcW w:w="1880" w:type="dxa"/>
            <w:vAlign w:val="bottom"/>
          </w:tcPr>
          <w:p>
            <w:pPr>
              <w:spacing w:after="0"/>
              <w:rPr>
                <w:sz w:val="20"/>
                <w:szCs w:val="20"/>
                <w:color w:val="auto"/>
              </w:rPr>
            </w:pPr>
            <w:r>
              <w:rPr>
                <w:rFonts w:ascii="Times New Roman" w:cs="Times New Roman" w:eastAsia="Times New Roman" w:hAnsi="Times New Roman"/>
                <w:sz w:val="14"/>
                <w:szCs w:val="14"/>
                <w:color w:val="auto"/>
              </w:rPr>
              <w:t>Hong Kong</w:t>
            </w:r>
          </w:p>
        </w:tc>
      </w:tr>
      <w:tr>
        <w:trPr>
          <w:trHeight w:val="180"/>
        </w:trPr>
        <w:tc>
          <w:tcPr>
            <w:tcW w:w="60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LifeVantage Japan Kabushiki Kaisha (KK)</w:t>
            </w:r>
          </w:p>
        </w:tc>
        <w:tc>
          <w:tcPr>
            <w:tcW w:w="1880" w:type="dxa"/>
            <w:vAlign w:val="bottom"/>
          </w:tcPr>
          <w:p>
            <w:pPr>
              <w:spacing w:after="0"/>
              <w:rPr>
                <w:sz w:val="20"/>
                <w:szCs w:val="20"/>
                <w:color w:val="auto"/>
              </w:rPr>
            </w:pPr>
            <w:r>
              <w:rPr>
                <w:rFonts w:ascii="Times New Roman" w:cs="Times New Roman" w:eastAsia="Times New Roman" w:hAnsi="Times New Roman"/>
                <w:sz w:val="14"/>
                <w:szCs w:val="14"/>
                <w:color w:val="auto"/>
              </w:rPr>
              <w:t>Japan</w:t>
            </w:r>
          </w:p>
        </w:tc>
      </w:tr>
      <w:tr>
        <w:trPr>
          <w:trHeight w:val="180"/>
        </w:trPr>
        <w:tc>
          <w:tcPr>
            <w:tcW w:w="60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LifeVantage Netherlands B.V.</w:t>
            </w:r>
          </w:p>
        </w:tc>
        <w:tc>
          <w:tcPr>
            <w:tcW w:w="1880" w:type="dxa"/>
            <w:vAlign w:val="bottom"/>
          </w:tcPr>
          <w:p>
            <w:pPr>
              <w:spacing w:after="0"/>
              <w:rPr>
                <w:sz w:val="20"/>
                <w:szCs w:val="20"/>
                <w:color w:val="auto"/>
              </w:rPr>
            </w:pPr>
            <w:r>
              <w:rPr>
                <w:rFonts w:ascii="Times New Roman" w:cs="Times New Roman" w:eastAsia="Times New Roman" w:hAnsi="Times New Roman"/>
                <w:sz w:val="14"/>
                <w:szCs w:val="14"/>
                <w:color w:val="auto"/>
              </w:rPr>
              <w:t>Netherlands</w:t>
            </w:r>
          </w:p>
        </w:tc>
      </w:tr>
      <w:tr>
        <w:trPr>
          <w:trHeight w:val="180"/>
        </w:trPr>
        <w:tc>
          <w:tcPr>
            <w:tcW w:w="60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LifeVantage New Zealand Limited</w:t>
            </w:r>
          </w:p>
        </w:tc>
        <w:tc>
          <w:tcPr>
            <w:tcW w:w="1880" w:type="dxa"/>
            <w:vAlign w:val="bottom"/>
          </w:tcPr>
          <w:p>
            <w:pPr>
              <w:spacing w:after="0"/>
              <w:rPr>
                <w:sz w:val="20"/>
                <w:szCs w:val="20"/>
                <w:color w:val="auto"/>
              </w:rPr>
            </w:pPr>
            <w:r>
              <w:rPr>
                <w:rFonts w:ascii="Times New Roman" w:cs="Times New Roman" w:eastAsia="Times New Roman" w:hAnsi="Times New Roman"/>
                <w:sz w:val="14"/>
                <w:szCs w:val="14"/>
                <w:color w:val="auto"/>
              </w:rPr>
              <w:t>New Zealand</w:t>
            </w:r>
          </w:p>
        </w:tc>
      </w:tr>
      <w:tr>
        <w:trPr>
          <w:trHeight w:val="180"/>
        </w:trPr>
        <w:tc>
          <w:tcPr>
            <w:tcW w:w="60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LifeVantage Singapore Pte. Ltd.</w:t>
            </w:r>
          </w:p>
        </w:tc>
        <w:tc>
          <w:tcPr>
            <w:tcW w:w="1880" w:type="dxa"/>
            <w:vAlign w:val="bottom"/>
          </w:tcPr>
          <w:p>
            <w:pPr>
              <w:spacing w:after="0"/>
              <w:rPr>
                <w:sz w:val="20"/>
                <w:szCs w:val="20"/>
                <w:color w:val="auto"/>
              </w:rPr>
            </w:pPr>
            <w:r>
              <w:rPr>
                <w:rFonts w:ascii="Times New Roman" w:cs="Times New Roman" w:eastAsia="Times New Roman" w:hAnsi="Times New Roman"/>
                <w:sz w:val="14"/>
                <w:szCs w:val="14"/>
                <w:color w:val="auto"/>
              </w:rPr>
              <w:t>Singapore</w:t>
            </w:r>
          </w:p>
        </w:tc>
      </w:tr>
      <w:tr>
        <w:trPr>
          <w:trHeight w:val="180"/>
        </w:trPr>
        <w:tc>
          <w:tcPr>
            <w:tcW w:w="60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LifeVantage Taiwan Pte. Ltd.</w:t>
            </w:r>
          </w:p>
        </w:tc>
        <w:tc>
          <w:tcPr>
            <w:tcW w:w="1880" w:type="dxa"/>
            <w:vAlign w:val="bottom"/>
          </w:tcPr>
          <w:p>
            <w:pPr>
              <w:spacing w:after="0"/>
              <w:rPr>
                <w:sz w:val="20"/>
                <w:szCs w:val="20"/>
                <w:color w:val="auto"/>
              </w:rPr>
            </w:pPr>
            <w:r>
              <w:rPr>
                <w:rFonts w:ascii="Times New Roman" w:cs="Times New Roman" w:eastAsia="Times New Roman" w:hAnsi="Times New Roman"/>
                <w:sz w:val="14"/>
                <w:szCs w:val="14"/>
                <w:color w:val="auto"/>
              </w:rPr>
              <w:t>Taiwan</w:t>
            </w:r>
          </w:p>
        </w:tc>
      </w:tr>
      <w:tr>
        <w:trPr>
          <w:trHeight w:val="180"/>
        </w:trPr>
        <w:tc>
          <w:tcPr>
            <w:tcW w:w="60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LifeVantage Thailand Company Limited</w:t>
            </w:r>
          </w:p>
        </w:tc>
        <w:tc>
          <w:tcPr>
            <w:tcW w:w="1880" w:type="dxa"/>
            <w:vAlign w:val="bottom"/>
          </w:tcPr>
          <w:p>
            <w:pPr>
              <w:spacing w:after="0"/>
              <w:rPr>
                <w:sz w:val="20"/>
                <w:szCs w:val="20"/>
                <w:color w:val="auto"/>
              </w:rPr>
            </w:pPr>
            <w:r>
              <w:rPr>
                <w:rFonts w:ascii="Times New Roman" w:cs="Times New Roman" w:eastAsia="Times New Roman" w:hAnsi="Times New Roman"/>
                <w:sz w:val="14"/>
                <w:szCs w:val="14"/>
                <w:color w:val="auto"/>
              </w:rPr>
              <w:t>Thailand</w:t>
            </w:r>
          </w:p>
        </w:tc>
      </w:tr>
      <w:tr>
        <w:trPr>
          <w:trHeight w:val="180"/>
        </w:trPr>
        <w:tc>
          <w:tcPr>
            <w:tcW w:w="60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LifeVantage UK Limited</w:t>
            </w:r>
          </w:p>
        </w:tc>
        <w:tc>
          <w:tcPr>
            <w:tcW w:w="1880" w:type="dxa"/>
            <w:vAlign w:val="bottom"/>
          </w:tcPr>
          <w:p>
            <w:pPr>
              <w:spacing w:after="0"/>
              <w:rPr>
                <w:sz w:val="20"/>
                <w:szCs w:val="20"/>
                <w:color w:val="auto"/>
              </w:rPr>
            </w:pPr>
            <w:r>
              <w:rPr>
                <w:rFonts w:ascii="Times New Roman" w:cs="Times New Roman" w:eastAsia="Times New Roman" w:hAnsi="Times New Roman"/>
                <w:sz w:val="14"/>
                <w:szCs w:val="14"/>
                <w:color w:val="auto"/>
              </w:rPr>
              <w:t>United Kingdom</w:t>
            </w:r>
          </w:p>
        </w:tc>
      </w:tr>
      <w:tr>
        <w:trPr>
          <w:trHeight w:val="180"/>
        </w:trPr>
        <w:tc>
          <w:tcPr>
            <w:tcW w:w="60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Protandum Philippines Corporation</w:t>
            </w:r>
          </w:p>
        </w:tc>
        <w:tc>
          <w:tcPr>
            <w:tcW w:w="1880" w:type="dxa"/>
            <w:vAlign w:val="bottom"/>
          </w:tcPr>
          <w:p>
            <w:pPr>
              <w:spacing w:after="0"/>
              <w:rPr>
                <w:sz w:val="20"/>
                <w:szCs w:val="20"/>
                <w:color w:val="auto"/>
              </w:rPr>
            </w:pPr>
            <w:r>
              <w:rPr>
                <w:rFonts w:ascii="Times New Roman" w:cs="Times New Roman" w:eastAsia="Times New Roman" w:hAnsi="Times New Roman"/>
                <w:sz w:val="14"/>
                <w:szCs w:val="14"/>
                <w:color w:val="auto"/>
              </w:rPr>
              <w:t>Philippines</w:t>
            </w:r>
          </w:p>
        </w:tc>
      </w:tr>
      <w:tr>
        <w:trPr>
          <w:trHeight w:val="184"/>
        </w:trPr>
        <w:tc>
          <w:tcPr>
            <w:tcW w:w="60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Puyoujian (Guangzhou) Technology Co., Ltd.</w:t>
            </w:r>
          </w:p>
        </w:tc>
        <w:tc>
          <w:tcPr>
            <w:tcW w:w="1880" w:type="dxa"/>
            <w:vAlign w:val="bottom"/>
          </w:tcPr>
          <w:p>
            <w:pPr>
              <w:spacing w:after="0"/>
              <w:rPr>
                <w:sz w:val="20"/>
                <w:szCs w:val="20"/>
                <w:color w:val="auto"/>
              </w:rPr>
            </w:pPr>
            <w:r>
              <w:rPr>
                <w:rFonts w:ascii="Times New Roman" w:cs="Times New Roman" w:eastAsia="Times New Roman" w:hAnsi="Times New Roman"/>
                <w:sz w:val="14"/>
                <w:szCs w:val="14"/>
                <w:color w:val="auto"/>
              </w:rPr>
              <w:t>China</w:t>
            </w:r>
          </w:p>
        </w:tc>
      </w:tr>
    </w:tbl>
    <w:p>
      <w:pPr>
        <w:sectPr>
          <w:pgSz w:w="11900" w:h="16838" w:orient="portrait"/>
          <w:cols w:equalWidth="0" w:num="1">
            <w:col w:w="11280"/>
          </w:cols>
          <w:pgMar w:left="300" w:top="738" w:right="319" w:bottom="1440" w:gutter="0" w:footer="0" w:header="0"/>
        </w:sectPr>
      </w:pPr>
    </w:p>
    <w:bookmarkStart w:id="117" w:name="page118"/>
    <w:bookmarkEnd w:id="117"/>
    <w:p>
      <w:pPr>
        <w:jc w:val="right"/>
        <w:spacing w:after="0"/>
        <w:rPr>
          <w:sz w:val="20"/>
          <w:szCs w:val="20"/>
          <w:color w:val="auto"/>
        </w:rPr>
      </w:pPr>
      <w:r>
        <w:rPr>
          <w:rFonts w:ascii="Times New Roman" w:cs="Times New Roman" w:eastAsia="Times New Roman" w:hAnsi="Times New Roman"/>
          <w:sz w:val="14"/>
          <w:szCs w:val="14"/>
          <w:b w:val="1"/>
          <w:bCs w:val="1"/>
          <w:color w:val="auto"/>
        </w:rPr>
        <w:t>Exhibit 23.1</w:t>
      </w: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CONSENT OF INDEPENDENT REGISTERED PUBLIC ACCOUNTING FIRM</w:t>
      </w:r>
    </w:p>
    <w:p>
      <w:pPr>
        <w:spacing w:after="0" w:line="212" w:lineRule="exact"/>
        <w:rPr>
          <w:sz w:val="20"/>
          <w:szCs w:val="20"/>
          <w:color w:val="auto"/>
        </w:rPr>
      </w:pPr>
    </w:p>
    <w:p>
      <w:pPr>
        <w:ind w:right="40"/>
        <w:spacing w:after="0" w:line="293" w:lineRule="auto"/>
        <w:rPr>
          <w:sz w:val="20"/>
          <w:szCs w:val="20"/>
          <w:color w:val="auto"/>
        </w:rPr>
      </w:pPr>
      <w:r>
        <w:rPr>
          <w:rFonts w:ascii="Times New Roman" w:cs="Times New Roman" w:eastAsia="Times New Roman" w:hAnsi="Times New Roman"/>
          <w:sz w:val="14"/>
          <w:szCs w:val="14"/>
          <w:color w:val="auto"/>
        </w:rPr>
        <w:t>We consent to the incorporation by reference in Registration Statement Nos. 333-252013, 333-228627, 333-216957, 333-200363, 333-183461, 333-175104, 333-158704, and 333-144247 on Form S-8, and the Registration Statement No. 333-271061 on Form S-3 of our report dated August 28, 2024, relating to the financial statements of LifeVantage Corporation appearing in this Annual Report on Form 10-K for the year ended June 30, 2024.</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 Deloitte &amp; Touche, LLP</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Salt Lake City, Utah</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August 28, 2024</w:t>
      </w:r>
    </w:p>
    <w:p>
      <w:pPr>
        <w:sectPr>
          <w:pgSz w:w="11900" w:h="16838" w:orient="portrait"/>
          <w:cols w:equalWidth="0" w:num="1">
            <w:col w:w="11280"/>
          </w:cols>
          <w:pgMar w:left="300" w:top="738" w:right="319" w:bottom="1440" w:gutter="0" w:footer="0" w:header="0"/>
        </w:sectPr>
      </w:pPr>
    </w:p>
    <w:bookmarkStart w:id="118" w:name="page119"/>
    <w:bookmarkEnd w:id="118"/>
    <w:p>
      <w:pPr>
        <w:jc w:val="right"/>
        <w:spacing w:after="0"/>
        <w:rPr>
          <w:sz w:val="20"/>
          <w:szCs w:val="20"/>
          <w:color w:val="auto"/>
        </w:rPr>
      </w:pPr>
      <w:r>
        <w:rPr>
          <w:rFonts w:ascii="Times New Roman" w:cs="Times New Roman" w:eastAsia="Times New Roman" w:hAnsi="Times New Roman"/>
          <w:sz w:val="14"/>
          <w:szCs w:val="14"/>
          <w:b w:val="1"/>
          <w:bCs w:val="1"/>
          <w:color w:val="auto"/>
        </w:rPr>
        <w:t>EXHIBIT 31.1</w:t>
      </w:r>
    </w:p>
    <w:p>
      <w:pPr>
        <w:spacing w:after="0" w:line="136" w:lineRule="exact"/>
        <w:rPr>
          <w:sz w:val="20"/>
          <w:szCs w:val="20"/>
          <w:color w:val="auto"/>
        </w:rPr>
      </w:pPr>
    </w:p>
    <w:p>
      <w:pPr>
        <w:jc w:val="center"/>
        <w:ind w:left="320" w:right="2800"/>
        <w:spacing w:after="0" w:line="271" w:lineRule="auto"/>
        <w:rPr>
          <w:sz w:val="20"/>
          <w:szCs w:val="20"/>
          <w:color w:val="auto"/>
        </w:rPr>
      </w:pPr>
      <w:r>
        <w:rPr>
          <w:rFonts w:ascii="Times New Roman" w:cs="Times New Roman" w:eastAsia="Times New Roman" w:hAnsi="Times New Roman"/>
          <w:sz w:val="14"/>
          <w:szCs w:val="14"/>
          <w:b w:val="1"/>
          <w:bCs w:val="1"/>
          <w:color w:val="auto"/>
        </w:rPr>
        <w:t>CERTIFICATION OF PRINCIPAL EXECUTIVE OFFICER PURSUANT TO SECURITIES EXCHANGE ACT RULES 13a-14(a) AND 15(d)-14(a) AS ADOPTED PURSUANT TO SECTION 302 OF THE SARBANES-OXLEY ACT OF 2002</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 Steven R. Fife, certify that:</w:t>
      </w:r>
    </w:p>
    <w:p>
      <w:pPr>
        <w:spacing w:after="0" w:line="200" w:lineRule="exact"/>
        <w:rPr>
          <w:sz w:val="20"/>
          <w:szCs w:val="20"/>
          <w:color w:val="auto"/>
        </w:rPr>
      </w:pPr>
    </w:p>
    <w:p>
      <w:pPr>
        <w:ind w:left="320" w:hanging="315"/>
        <w:spacing w:after="0"/>
        <w:tabs>
          <w:tab w:leader="none" w:pos="320" w:val="left"/>
        </w:tabs>
        <w:numPr>
          <w:ilvl w:val="0"/>
          <w:numId w:val="7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have reviewed this Annual Report on Form 10-K of LifeVantage Corporation;</w:t>
      </w:r>
    </w:p>
    <w:p>
      <w:pPr>
        <w:spacing w:after="0" w:line="210" w:lineRule="exact"/>
        <w:rPr>
          <w:rFonts w:ascii="Times New Roman" w:cs="Times New Roman" w:eastAsia="Times New Roman" w:hAnsi="Times New Roman"/>
          <w:sz w:val="14"/>
          <w:szCs w:val="14"/>
          <w:color w:val="auto"/>
        </w:rPr>
      </w:pPr>
    </w:p>
    <w:p>
      <w:pPr>
        <w:ind w:left="320" w:right="80" w:hanging="315"/>
        <w:spacing w:after="0" w:line="287" w:lineRule="auto"/>
        <w:tabs>
          <w:tab w:leader="none" w:pos="320" w:val="left"/>
        </w:tabs>
        <w:numPr>
          <w:ilvl w:val="0"/>
          <w:numId w:val="7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6" w:lineRule="exact"/>
        <w:rPr>
          <w:rFonts w:ascii="Times New Roman" w:cs="Times New Roman" w:eastAsia="Times New Roman" w:hAnsi="Times New Roman"/>
          <w:sz w:val="14"/>
          <w:szCs w:val="14"/>
          <w:color w:val="auto"/>
        </w:rPr>
      </w:pPr>
    </w:p>
    <w:p>
      <w:pPr>
        <w:ind w:left="320" w:right="140" w:hanging="315"/>
        <w:spacing w:after="0" w:line="287" w:lineRule="auto"/>
        <w:tabs>
          <w:tab w:leader="none" w:pos="320" w:val="left"/>
        </w:tabs>
        <w:numPr>
          <w:ilvl w:val="0"/>
          <w:numId w:val="7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5" w:lineRule="exact"/>
        <w:rPr>
          <w:rFonts w:ascii="Times New Roman" w:cs="Times New Roman" w:eastAsia="Times New Roman" w:hAnsi="Times New Roman"/>
          <w:sz w:val="14"/>
          <w:szCs w:val="14"/>
          <w:color w:val="auto"/>
        </w:rPr>
      </w:pPr>
    </w:p>
    <w:p>
      <w:pPr>
        <w:ind w:left="320" w:right="80" w:hanging="315"/>
        <w:spacing w:after="0" w:line="287" w:lineRule="auto"/>
        <w:tabs>
          <w:tab w:leader="none" w:pos="320" w:val="left"/>
        </w:tabs>
        <w:numPr>
          <w:ilvl w:val="0"/>
          <w:numId w:val="7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56" w:lineRule="exact"/>
        <w:rPr>
          <w:rFonts w:ascii="Times New Roman" w:cs="Times New Roman" w:eastAsia="Times New Roman" w:hAnsi="Times New Roman"/>
          <w:sz w:val="14"/>
          <w:szCs w:val="14"/>
          <w:color w:val="auto"/>
        </w:rPr>
      </w:pPr>
    </w:p>
    <w:p>
      <w:pPr>
        <w:ind w:left="520" w:right="80" w:hanging="197"/>
        <w:spacing w:after="0" w:line="287" w:lineRule="auto"/>
        <w:tabs>
          <w:tab w:leader="none" w:pos="512" w:val="left"/>
        </w:tabs>
        <w:numPr>
          <w:ilvl w:val="2"/>
          <w:numId w:val="7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6" w:lineRule="exact"/>
        <w:rPr>
          <w:rFonts w:ascii="Times New Roman" w:cs="Times New Roman" w:eastAsia="Times New Roman" w:hAnsi="Times New Roman"/>
          <w:sz w:val="14"/>
          <w:szCs w:val="14"/>
          <w:color w:val="auto"/>
        </w:rPr>
      </w:pPr>
    </w:p>
    <w:p>
      <w:pPr>
        <w:ind w:left="520" w:right="500" w:hanging="197"/>
        <w:spacing w:after="0" w:line="287" w:lineRule="auto"/>
        <w:tabs>
          <w:tab w:leader="none" w:pos="520" w:val="left"/>
        </w:tabs>
        <w:numPr>
          <w:ilvl w:val="2"/>
          <w:numId w:val="7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5" w:lineRule="exact"/>
        <w:rPr>
          <w:rFonts w:ascii="Times New Roman" w:cs="Times New Roman" w:eastAsia="Times New Roman" w:hAnsi="Times New Roman"/>
          <w:sz w:val="14"/>
          <w:szCs w:val="14"/>
          <w:color w:val="auto"/>
        </w:rPr>
      </w:pPr>
    </w:p>
    <w:p>
      <w:pPr>
        <w:ind w:left="520" w:right="680" w:hanging="260"/>
        <w:spacing w:after="0" w:line="287" w:lineRule="auto"/>
        <w:tabs>
          <w:tab w:leader="none" w:pos="512" w:val="left"/>
        </w:tabs>
        <w:numPr>
          <w:ilvl w:val="1"/>
          <w:numId w:val="7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6" w:lineRule="exact"/>
        <w:rPr>
          <w:rFonts w:ascii="Times New Roman" w:cs="Times New Roman" w:eastAsia="Times New Roman" w:hAnsi="Times New Roman"/>
          <w:sz w:val="14"/>
          <w:szCs w:val="14"/>
          <w:color w:val="auto"/>
        </w:rPr>
      </w:pPr>
    </w:p>
    <w:p>
      <w:pPr>
        <w:ind w:left="520" w:right="320" w:hanging="260"/>
        <w:spacing w:after="0" w:line="287" w:lineRule="auto"/>
        <w:tabs>
          <w:tab w:leader="none" w:pos="520" w:val="left"/>
        </w:tabs>
        <w:numPr>
          <w:ilvl w:val="1"/>
          <w:numId w:val="7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56" w:lineRule="exact"/>
        <w:rPr>
          <w:rFonts w:ascii="Times New Roman" w:cs="Times New Roman" w:eastAsia="Times New Roman" w:hAnsi="Times New Roman"/>
          <w:sz w:val="14"/>
          <w:szCs w:val="14"/>
          <w:color w:val="auto"/>
        </w:rPr>
      </w:pPr>
    </w:p>
    <w:p>
      <w:pPr>
        <w:ind w:left="320" w:right="580" w:hanging="315"/>
        <w:spacing w:after="0" w:line="287" w:lineRule="auto"/>
        <w:tabs>
          <w:tab w:leader="none" w:pos="320" w:val="left"/>
        </w:tabs>
        <w:numPr>
          <w:ilvl w:val="0"/>
          <w:numId w:val="7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5" w:lineRule="exact"/>
        <w:rPr>
          <w:rFonts w:ascii="Times New Roman" w:cs="Times New Roman" w:eastAsia="Times New Roman" w:hAnsi="Times New Roman"/>
          <w:sz w:val="14"/>
          <w:szCs w:val="14"/>
          <w:color w:val="auto"/>
        </w:rPr>
      </w:pPr>
    </w:p>
    <w:p>
      <w:pPr>
        <w:ind w:left="520" w:right="360" w:hanging="197"/>
        <w:spacing w:after="0" w:line="287" w:lineRule="auto"/>
        <w:tabs>
          <w:tab w:leader="none" w:pos="512" w:val="left"/>
        </w:tabs>
        <w:numPr>
          <w:ilvl w:val="2"/>
          <w:numId w:val="7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6" w:lineRule="exact"/>
        <w:rPr>
          <w:rFonts w:ascii="Times New Roman" w:cs="Times New Roman" w:eastAsia="Times New Roman" w:hAnsi="Times New Roman"/>
          <w:sz w:val="14"/>
          <w:szCs w:val="14"/>
          <w:color w:val="auto"/>
        </w:rPr>
      </w:pPr>
    </w:p>
    <w:p>
      <w:pPr>
        <w:ind w:left="520" w:hanging="197"/>
        <w:spacing w:after="0"/>
        <w:tabs>
          <w:tab w:leader="none" w:pos="520" w:val="left"/>
        </w:tabs>
        <w:numPr>
          <w:ilvl w:val="2"/>
          <w:numId w:val="7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fraud, whether or not material, that involves management or other employees who have a significant role in the registrant’s internal control over financial reporting.</w:t>
      </w:r>
    </w:p>
    <w:p>
      <w:pPr>
        <w:spacing w:after="0" w:line="115"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6580" w:type="dxa"/>
            <w:vAlign w:val="bottom"/>
          </w:tcPr>
          <w:p>
            <w:pPr>
              <w:spacing w:after="0"/>
              <w:rPr>
                <w:sz w:val="20"/>
                <w:szCs w:val="20"/>
                <w:color w:val="auto"/>
              </w:rPr>
            </w:pPr>
            <w:r>
              <w:rPr>
                <w:rFonts w:ascii="Times New Roman" w:cs="Times New Roman" w:eastAsia="Times New Roman" w:hAnsi="Times New Roman"/>
                <w:sz w:val="14"/>
                <w:szCs w:val="14"/>
                <w:color w:val="auto"/>
              </w:rPr>
              <w:t>August 28, 2024</w:t>
            </w:r>
          </w:p>
        </w:tc>
        <w:tc>
          <w:tcPr>
            <w:tcW w:w="4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/s/ Steven R. Fife</w:t>
            </w:r>
          </w:p>
        </w:tc>
      </w:tr>
      <w:tr>
        <w:trPr>
          <w:trHeight w:val="167"/>
        </w:trPr>
        <w:tc>
          <w:tcPr>
            <w:tcW w:w="6580" w:type="dxa"/>
            <w:vAlign w:val="bottom"/>
          </w:tcPr>
          <w:p>
            <w:pPr>
              <w:spacing w:after="0"/>
              <w:rPr>
                <w:sz w:val="14"/>
                <w:szCs w:val="14"/>
                <w:color w:val="auto"/>
              </w:rPr>
            </w:pPr>
          </w:p>
        </w:tc>
        <w:tc>
          <w:tcPr>
            <w:tcW w:w="4200" w:type="dxa"/>
            <w:vAlign w:val="bottom"/>
          </w:tcPr>
          <w:p>
            <w:pPr>
              <w:spacing w:after="0"/>
              <w:rPr>
                <w:sz w:val="20"/>
                <w:szCs w:val="20"/>
                <w:color w:val="auto"/>
              </w:rPr>
            </w:pPr>
            <w:r>
              <w:rPr>
                <w:rFonts w:ascii="Times New Roman" w:cs="Times New Roman" w:eastAsia="Times New Roman" w:hAnsi="Times New Roman"/>
                <w:sz w:val="14"/>
                <w:szCs w:val="14"/>
                <w:color w:val="auto"/>
              </w:rPr>
              <w:t>Steven R. Fife</w:t>
            </w:r>
          </w:p>
        </w:tc>
      </w:tr>
      <w:tr>
        <w:trPr>
          <w:trHeight w:val="142"/>
        </w:trPr>
        <w:tc>
          <w:tcPr>
            <w:tcW w:w="6580" w:type="dxa"/>
            <w:vAlign w:val="bottom"/>
          </w:tcPr>
          <w:p>
            <w:pPr>
              <w:spacing w:after="0"/>
              <w:rPr>
                <w:sz w:val="12"/>
                <w:szCs w:val="12"/>
                <w:color w:val="auto"/>
              </w:rPr>
            </w:pPr>
          </w:p>
        </w:tc>
        <w:tc>
          <w:tcPr>
            <w:tcW w:w="420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President &amp; Chief Executive Officer</w:t>
            </w:r>
          </w:p>
        </w:tc>
      </w:tr>
      <w:tr>
        <w:trPr>
          <w:trHeight w:val="184"/>
        </w:trPr>
        <w:tc>
          <w:tcPr>
            <w:tcW w:w="6580" w:type="dxa"/>
            <w:vAlign w:val="bottom"/>
          </w:tcPr>
          <w:p>
            <w:pPr>
              <w:spacing w:after="0"/>
              <w:rPr>
                <w:sz w:val="16"/>
                <w:szCs w:val="16"/>
                <w:color w:val="auto"/>
              </w:rPr>
            </w:pPr>
          </w:p>
        </w:tc>
        <w:tc>
          <w:tcPr>
            <w:tcW w:w="4200" w:type="dxa"/>
            <w:vAlign w:val="bottom"/>
          </w:tcPr>
          <w:p>
            <w:pPr>
              <w:spacing w:after="0"/>
              <w:rPr>
                <w:sz w:val="20"/>
                <w:szCs w:val="20"/>
                <w:color w:val="auto"/>
              </w:rPr>
            </w:pPr>
            <w:r>
              <w:rPr>
                <w:rFonts w:ascii="Times New Roman" w:cs="Times New Roman" w:eastAsia="Times New Roman" w:hAnsi="Times New Roman"/>
                <w:sz w:val="14"/>
                <w:szCs w:val="14"/>
                <w:color w:val="auto"/>
              </w:rPr>
              <w:t>(Principal Executive Officer)</w:t>
            </w:r>
          </w:p>
        </w:tc>
      </w:tr>
    </w:tbl>
    <w:p>
      <w:pPr>
        <w:sectPr>
          <w:pgSz w:w="11900" w:h="16838" w:orient="portrait"/>
          <w:cols w:equalWidth="0" w:num="1">
            <w:col w:w="11280"/>
          </w:cols>
          <w:pgMar w:left="300" w:top="727" w:right="319" w:bottom="1440" w:gutter="0" w:footer="0" w:header="0"/>
        </w:sectPr>
      </w:pPr>
    </w:p>
    <w:bookmarkStart w:id="119" w:name="page120"/>
    <w:bookmarkEnd w:id="119"/>
    <w:p>
      <w:pPr>
        <w:jc w:val="right"/>
        <w:spacing w:after="0"/>
        <w:rPr>
          <w:sz w:val="20"/>
          <w:szCs w:val="20"/>
          <w:color w:val="auto"/>
        </w:rPr>
      </w:pPr>
      <w:r>
        <w:rPr>
          <w:rFonts w:ascii="Times New Roman" w:cs="Times New Roman" w:eastAsia="Times New Roman" w:hAnsi="Times New Roman"/>
          <w:sz w:val="14"/>
          <w:szCs w:val="14"/>
          <w:b w:val="1"/>
          <w:bCs w:val="1"/>
          <w:color w:val="auto"/>
        </w:rPr>
        <w:t>EXHIBIT 31.2</w:t>
      </w:r>
    </w:p>
    <w:p>
      <w:pPr>
        <w:spacing w:after="0" w:line="136" w:lineRule="exact"/>
        <w:rPr>
          <w:sz w:val="20"/>
          <w:szCs w:val="20"/>
          <w:color w:val="auto"/>
        </w:rPr>
      </w:pPr>
    </w:p>
    <w:p>
      <w:pPr>
        <w:jc w:val="center"/>
        <w:ind w:left="320" w:right="2800"/>
        <w:spacing w:after="0" w:line="271" w:lineRule="auto"/>
        <w:rPr>
          <w:sz w:val="20"/>
          <w:szCs w:val="20"/>
          <w:color w:val="auto"/>
        </w:rPr>
      </w:pPr>
      <w:r>
        <w:rPr>
          <w:rFonts w:ascii="Times New Roman" w:cs="Times New Roman" w:eastAsia="Times New Roman" w:hAnsi="Times New Roman"/>
          <w:sz w:val="14"/>
          <w:szCs w:val="14"/>
          <w:b w:val="1"/>
          <w:bCs w:val="1"/>
          <w:color w:val="auto"/>
        </w:rPr>
        <w:t>CERTIFICATION OF PRINCIPAL FINANCIAL OFFICER PURSUANT TO SECURITIES EXCHANGE ACT RULES 13a-14(a) AND 15(d)-14(a) AS ADOPTED PURSUANT TO SECTION 302 OF THE SARBANES-OXLEY ACT OF 2002</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 Carl A. Aure, certify that:</w:t>
      </w:r>
    </w:p>
    <w:p>
      <w:pPr>
        <w:spacing w:after="0" w:line="136" w:lineRule="exact"/>
        <w:rPr>
          <w:sz w:val="20"/>
          <w:szCs w:val="20"/>
          <w:color w:val="auto"/>
        </w:rPr>
      </w:pPr>
    </w:p>
    <w:p>
      <w:pPr>
        <w:ind w:left="320" w:hanging="315"/>
        <w:spacing w:after="0"/>
        <w:tabs>
          <w:tab w:leader="none" w:pos="320" w:val="left"/>
        </w:tabs>
        <w:numPr>
          <w:ilvl w:val="0"/>
          <w:numId w:val="7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have reviewed this Annual Report on Form 10-K of LifeVantage Corporation;</w:t>
      </w:r>
    </w:p>
    <w:p>
      <w:pPr>
        <w:spacing w:after="0" w:line="136" w:lineRule="exact"/>
        <w:rPr>
          <w:rFonts w:ascii="Times New Roman" w:cs="Times New Roman" w:eastAsia="Times New Roman" w:hAnsi="Times New Roman"/>
          <w:sz w:val="14"/>
          <w:szCs w:val="14"/>
          <w:color w:val="auto"/>
        </w:rPr>
      </w:pPr>
    </w:p>
    <w:p>
      <w:pPr>
        <w:ind w:left="320" w:right="80" w:hanging="315"/>
        <w:spacing w:after="0" w:line="287" w:lineRule="auto"/>
        <w:tabs>
          <w:tab w:leader="none" w:pos="320" w:val="left"/>
        </w:tabs>
        <w:numPr>
          <w:ilvl w:val="0"/>
          <w:numId w:val="7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1" w:lineRule="exact"/>
        <w:rPr>
          <w:rFonts w:ascii="Times New Roman" w:cs="Times New Roman" w:eastAsia="Times New Roman" w:hAnsi="Times New Roman"/>
          <w:sz w:val="14"/>
          <w:szCs w:val="14"/>
          <w:color w:val="auto"/>
        </w:rPr>
      </w:pPr>
    </w:p>
    <w:p>
      <w:pPr>
        <w:ind w:left="320" w:right="140" w:hanging="315"/>
        <w:spacing w:after="0" w:line="287" w:lineRule="auto"/>
        <w:tabs>
          <w:tab w:leader="none" w:pos="320" w:val="left"/>
        </w:tabs>
        <w:numPr>
          <w:ilvl w:val="0"/>
          <w:numId w:val="7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1" w:lineRule="exact"/>
        <w:rPr>
          <w:rFonts w:ascii="Times New Roman" w:cs="Times New Roman" w:eastAsia="Times New Roman" w:hAnsi="Times New Roman"/>
          <w:sz w:val="14"/>
          <w:szCs w:val="14"/>
          <w:color w:val="auto"/>
        </w:rPr>
      </w:pPr>
    </w:p>
    <w:p>
      <w:pPr>
        <w:ind w:left="320" w:right="80" w:hanging="315"/>
        <w:spacing w:after="0" w:line="287" w:lineRule="auto"/>
        <w:tabs>
          <w:tab w:leader="none" w:pos="320" w:val="left"/>
        </w:tabs>
        <w:numPr>
          <w:ilvl w:val="0"/>
          <w:numId w:val="7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1" w:lineRule="exact"/>
        <w:rPr>
          <w:rFonts w:ascii="Times New Roman" w:cs="Times New Roman" w:eastAsia="Times New Roman" w:hAnsi="Times New Roman"/>
          <w:sz w:val="14"/>
          <w:szCs w:val="14"/>
          <w:color w:val="auto"/>
        </w:rPr>
      </w:pPr>
    </w:p>
    <w:p>
      <w:pPr>
        <w:ind w:left="580" w:right="20" w:hanging="257"/>
        <w:spacing w:after="0" w:line="287" w:lineRule="auto"/>
        <w:tabs>
          <w:tab w:leader="none" w:pos="572" w:val="left"/>
        </w:tabs>
        <w:numPr>
          <w:ilvl w:val="1"/>
          <w:numId w:val="7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1" w:lineRule="exact"/>
        <w:rPr>
          <w:rFonts w:ascii="Times New Roman" w:cs="Times New Roman" w:eastAsia="Times New Roman" w:hAnsi="Times New Roman"/>
          <w:sz w:val="14"/>
          <w:szCs w:val="14"/>
          <w:color w:val="auto"/>
        </w:rPr>
      </w:pPr>
    </w:p>
    <w:p>
      <w:pPr>
        <w:ind w:left="580" w:right="420" w:hanging="257"/>
        <w:spacing w:after="0" w:line="287" w:lineRule="auto"/>
        <w:tabs>
          <w:tab w:leader="none" w:pos="580" w:val="left"/>
        </w:tabs>
        <w:numPr>
          <w:ilvl w:val="1"/>
          <w:numId w:val="7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1" w:lineRule="exact"/>
        <w:rPr>
          <w:rFonts w:ascii="Times New Roman" w:cs="Times New Roman" w:eastAsia="Times New Roman" w:hAnsi="Times New Roman"/>
          <w:sz w:val="14"/>
          <w:szCs w:val="14"/>
          <w:color w:val="auto"/>
        </w:rPr>
      </w:pPr>
    </w:p>
    <w:p>
      <w:pPr>
        <w:ind w:left="580" w:right="620" w:hanging="257"/>
        <w:spacing w:after="0" w:line="287" w:lineRule="auto"/>
        <w:tabs>
          <w:tab w:leader="none" w:pos="572" w:val="left"/>
        </w:tabs>
        <w:numPr>
          <w:ilvl w:val="1"/>
          <w:numId w:val="7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1" w:lineRule="exact"/>
        <w:rPr>
          <w:rFonts w:ascii="Times New Roman" w:cs="Times New Roman" w:eastAsia="Times New Roman" w:hAnsi="Times New Roman"/>
          <w:sz w:val="14"/>
          <w:szCs w:val="14"/>
          <w:color w:val="auto"/>
        </w:rPr>
      </w:pPr>
    </w:p>
    <w:p>
      <w:pPr>
        <w:ind w:left="580" w:right="260" w:hanging="257"/>
        <w:spacing w:after="0" w:line="287" w:lineRule="auto"/>
        <w:tabs>
          <w:tab w:leader="none" w:pos="580" w:val="left"/>
        </w:tabs>
        <w:numPr>
          <w:ilvl w:val="1"/>
          <w:numId w:val="7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1" w:lineRule="exact"/>
        <w:rPr>
          <w:rFonts w:ascii="Times New Roman" w:cs="Times New Roman" w:eastAsia="Times New Roman" w:hAnsi="Times New Roman"/>
          <w:sz w:val="14"/>
          <w:szCs w:val="14"/>
          <w:color w:val="auto"/>
        </w:rPr>
      </w:pPr>
    </w:p>
    <w:p>
      <w:pPr>
        <w:ind w:left="320" w:right="580" w:hanging="315"/>
        <w:spacing w:after="0" w:line="287" w:lineRule="auto"/>
        <w:tabs>
          <w:tab w:leader="none" w:pos="320" w:val="left"/>
        </w:tabs>
        <w:numPr>
          <w:ilvl w:val="0"/>
          <w:numId w:val="7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81" w:lineRule="exact"/>
        <w:rPr>
          <w:rFonts w:ascii="Times New Roman" w:cs="Times New Roman" w:eastAsia="Times New Roman" w:hAnsi="Times New Roman"/>
          <w:sz w:val="14"/>
          <w:szCs w:val="14"/>
          <w:color w:val="auto"/>
        </w:rPr>
      </w:pPr>
    </w:p>
    <w:p>
      <w:pPr>
        <w:ind w:left="840" w:right="40" w:hanging="326"/>
        <w:spacing w:after="0" w:line="287" w:lineRule="auto"/>
        <w:tabs>
          <w:tab w:leader="none" w:pos="832" w:val="left"/>
        </w:tabs>
        <w:numPr>
          <w:ilvl w:val="2"/>
          <w:numId w:val="7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1" w:lineRule="exact"/>
        <w:rPr>
          <w:rFonts w:ascii="Times New Roman" w:cs="Times New Roman" w:eastAsia="Times New Roman" w:hAnsi="Times New Roman"/>
          <w:sz w:val="14"/>
          <w:szCs w:val="14"/>
          <w:color w:val="auto"/>
        </w:rPr>
      </w:pPr>
    </w:p>
    <w:p>
      <w:pPr>
        <w:ind w:left="840" w:hanging="326"/>
        <w:spacing w:after="0"/>
        <w:tabs>
          <w:tab w:leader="none" w:pos="840" w:val="left"/>
        </w:tabs>
        <w:numPr>
          <w:ilvl w:val="2"/>
          <w:numId w:val="7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fraud, whether or not material, that involves management or other employees who have a significant role in the registrant’s internal control over financial reporting.</w:t>
      </w:r>
    </w:p>
    <w:p>
      <w:pPr>
        <w:spacing w:after="0" w:line="263" w:lineRule="exact"/>
        <w:rPr>
          <w:sz w:val="20"/>
          <w:szCs w:val="20"/>
          <w:color w:val="auto"/>
        </w:rPr>
      </w:pPr>
    </w:p>
    <w:p>
      <w:pPr>
        <w:ind w:left="20"/>
        <w:spacing w:after="0"/>
        <w:tabs>
          <w:tab w:leader="none" w:pos="6580" w:val="left"/>
        </w:tabs>
        <w:rPr>
          <w:sz w:val="20"/>
          <w:szCs w:val="20"/>
          <w:color w:val="auto"/>
        </w:rPr>
      </w:pPr>
      <w:r>
        <w:rPr>
          <w:rFonts w:ascii="Times New Roman" w:cs="Times New Roman" w:eastAsia="Times New Roman" w:hAnsi="Times New Roman"/>
          <w:sz w:val="14"/>
          <w:szCs w:val="14"/>
          <w:color w:val="auto"/>
        </w:rPr>
        <w:t>August 28, 2024</w:t>
      </w:r>
      <w:r>
        <w:rPr>
          <w:sz w:val="20"/>
          <w:szCs w:val="20"/>
          <w:color w:val="auto"/>
        </w:rPr>
        <w:tab/>
      </w:r>
      <w:r>
        <w:rPr>
          <w:rFonts w:ascii="Times New Roman" w:cs="Times New Roman" w:eastAsia="Times New Roman" w:hAnsi="Times New Roman"/>
          <w:sz w:val="14"/>
          <w:szCs w:val="14"/>
          <w:color w:val="auto"/>
        </w:rPr>
        <w:t>/s/ Carl A. Aure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4187190</wp:posOffset>
            </wp:positionH>
            <wp:positionV relativeFrom="paragraph">
              <wp:posOffset>14605</wp:posOffset>
            </wp:positionV>
            <wp:extent cx="2209800" cy="698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59">
                      <a:extLst>
                        <a:ext uri="{28A0092B-C50C-407E-A947-70E740481C1C}"/>
                      </a:extLst>
                    </a:blip>
                    <a:srcRect/>
                    <a:stretch>
                      <a:fillRect/>
                    </a:stretch>
                  </pic:blipFill>
                  <pic:spPr bwMode="auto">
                    <a:xfrm>
                      <a:off x="0" y="0"/>
                      <a:ext cx="2209800" cy="6985"/>
                    </a:xfrm>
                    <a:prstGeom prst="rect">
                      <a:avLst/>
                    </a:prstGeom>
                    <a:noFill/>
                  </pic:spPr>
                </pic:pic>
              </a:graphicData>
            </a:graphic>
          </wp:anchor>
        </w:drawing>
      </w:r>
    </w:p>
    <w:p>
      <w:pPr>
        <w:spacing w:after="0" w:line="3"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4"/>
          <w:szCs w:val="14"/>
          <w:color w:val="auto"/>
        </w:rPr>
        <w:t>Carl A. Aure</w:t>
      </w:r>
    </w:p>
    <w:p>
      <w:pPr>
        <w:ind w:left="6600"/>
        <w:spacing w:after="0" w:line="221" w:lineRule="auto"/>
        <w:rPr>
          <w:sz w:val="20"/>
          <w:szCs w:val="20"/>
          <w:color w:val="auto"/>
        </w:rPr>
      </w:pPr>
      <w:r>
        <w:rPr>
          <w:rFonts w:ascii="Times New Roman" w:cs="Times New Roman" w:eastAsia="Times New Roman" w:hAnsi="Times New Roman"/>
          <w:sz w:val="14"/>
          <w:szCs w:val="14"/>
          <w:color w:val="auto"/>
        </w:rPr>
        <w:t>Chief Financial Officer</w:t>
      </w:r>
    </w:p>
    <w:p>
      <w:pPr>
        <w:ind w:left="6600"/>
        <w:spacing w:after="0" w:line="206" w:lineRule="auto"/>
        <w:rPr>
          <w:sz w:val="20"/>
          <w:szCs w:val="20"/>
          <w:color w:val="auto"/>
        </w:rPr>
      </w:pPr>
      <w:r>
        <w:rPr>
          <w:rFonts w:ascii="Times New Roman" w:cs="Times New Roman" w:eastAsia="Times New Roman" w:hAnsi="Times New Roman"/>
          <w:sz w:val="14"/>
          <w:szCs w:val="14"/>
          <w:color w:val="auto"/>
        </w:rPr>
        <w:t>(Principal Financial Officer and Principal Accounting</w:t>
      </w:r>
    </w:p>
    <w:p>
      <w:pPr>
        <w:ind w:left="6600"/>
        <w:spacing w:after="0"/>
        <w:rPr>
          <w:sz w:val="20"/>
          <w:szCs w:val="20"/>
          <w:color w:val="auto"/>
        </w:rPr>
      </w:pPr>
      <w:r>
        <w:rPr>
          <w:rFonts w:ascii="Times New Roman" w:cs="Times New Roman" w:eastAsia="Times New Roman" w:hAnsi="Times New Roman"/>
          <w:sz w:val="14"/>
          <w:szCs w:val="14"/>
          <w:color w:val="auto"/>
        </w:rPr>
        <w:t>Officer)</w:t>
      </w:r>
    </w:p>
    <w:p>
      <w:pPr>
        <w:sectPr>
          <w:pgSz w:w="11900" w:h="16838" w:orient="portrait"/>
          <w:cols w:equalWidth="0" w:num="1">
            <w:col w:w="11280"/>
          </w:cols>
          <w:pgMar w:left="300" w:top="727" w:right="319" w:bottom="1440" w:gutter="0" w:footer="0" w:header="0"/>
        </w:sectPr>
      </w:pPr>
    </w:p>
    <w:bookmarkStart w:id="120" w:name="page121"/>
    <w:bookmarkEnd w:id="120"/>
    <w:p>
      <w:pPr>
        <w:jc w:val="right"/>
        <w:spacing w:after="0"/>
        <w:rPr>
          <w:sz w:val="20"/>
          <w:szCs w:val="20"/>
          <w:color w:val="auto"/>
        </w:rPr>
      </w:pPr>
      <w:r>
        <w:rPr>
          <w:rFonts w:ascii="Times New Roman" w:cs="Times New Roman" w:eastAsia="Times New Roman" w:hAnsi="Times New Roman"/>
          <w:sz w:val="14"/>
          <w:szCs w:val="14"/>
          <w:b w:val="1"/>
          <w:bCs w:val="1"/>
          <w:color w:val="auto"/>
        </w:rPr>
        <w:t>EXHIBIT 32.1</w:t>
      </w:r>
    </w:p>
    <w:p>
      <w:pPr>
        <w:spacing w:after="0" w:line="136"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4"/>
          <w:szCs w:val="14"/>
          <w:b w:val="1"/>
          <w:bCs w:val="1"/>
          <w:color w:val="auto"/>
        </w:rPr>
        <w:t>CERTIFICATION PURSUANT TO 18 U.S.C. SECTION 1350, AS ADOPTED</w:t>
      </w:r>
    </w:p>
    <w:p>
      <w:pPr>
        <w:spacing w:after="0" w:line="25"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4"/>
          <w:szCs w:val="14"/>
          <w:b w:val="1"/>
          <w:bCs w:val="1"/>
          <w:color w:val="auto"/>
        </w:rPr>
        <w:t>PURSUANT TO SECTION 906 OF THE SARBANES-OXLEY ACT OF 2002</w:t>
      </w:r>
    </w:p>
    <w:p>
      <w:pPr>
        <w:spacing w:after="0" w:line="122" w:lineRule="exact"/>
        <w:rPr>
          <w:sz w:val="20"/>
          <w:szCs w:val="20"/>
          <w:color w:val="auto"/>
        </w:rPr>
      </w:pPr>
    </w:p>
    <w:p>
      <w:pPr>
        <w:ind w:right="640" w:firstLine="350"/>
        <w:spacing w:after="0" w:line="270" w:lineRule="auto"/>
        <w:rPr>
          <w:sz w:val="20"/>
          <w:szCs w:val="20"/>
          <w:color w:val="auto"/>
        </w:rPr>
      </w:pPr>
      <w:r>
        <w:rPr>
          <w:rFonts w:ascii="Times New Roman" w:cs="Times New Roman" w:eastAsia="Times New Roman" w:hAnsi="Times New Roman"/>
          <w:sz w:val="14"/>
          <w:szCs w:val="14"/>
          <w:color w:val="auto"/>
        </w:rPr>
        <w:t>In connection with the filing of this annual report on Form 10-K of LifeVantage Corporation (the “Company”) for the period ended June 30, 2024, with the Securities and Exchange Commission on the date hereof (the “Report”), I, Steven R. Fife, President and Chief Executive Officer of the Company, certify, pursuant to 18 U.S.C. Section 1350, as adopted pursuant to Section 906 of the Sarbanes-Oxley Act of 2002, that:</w:t>
      </w:r>
    </w:p>
    <w:p>
      <w:pPr>
        <w:spacing w:after="0" w:line="93" w:lineRule="exact"/>
        <w:rPr>
          <w:sz w:val="20"/>
          <w:szCs w:val="20"/>
          <w:color w:val="auto"/>
        </w:rPr>
      </w:pPr>
    </w:p>
    <w:p>
      <w:pPr>
        <w:ind w:left="520" w:hanging="260"/>
        <w:spacing w:after="0"/>
        <w:tabs>
          <w:tab w:leader="none" w:pos="520" w:val="left"/>
        </w:tabs>
        <w:numPr>
          <w:ilvl w:val="0"/>
          <w:numId w:val="7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Report fully complies with the requirements of Section 13(a) or 15(d) of the Securities Exchange Act of 1934; and</w:t>
      </w:r>
    </w:p>
    <w:p>
      <w:pPr>
        <w:spacing w:after="0" w:line="136"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7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information contained in the Report fairly presents, in all material respects, the financial condition and results of operations of the Company.</w:t>
      </w:r>
    </w:p>
    <w:p>
      <w:pPr>
        <w:spacing w:after="0" w:line="115" w:lineRule="exact"/>
        <w:rPr>
          <w:sz w:val="20"/>
          <w:szCs w:val="20"/>
          <w:color w:val="auto"/>
        </w:rPr>
      </w:pPr>
    </w:p>
    <w:p>
      <w:pPr>
        <w:ind w:left="20"/>
        <w:spacing w:after="0"/>
        <w:tabs>
          <w:tab w:leader="none" w:pos="6660" w:val="left"/>
        </w:tabs>
        <w:rPr>
          <w:sz w:val="20"/>
          <w:szCs w:val="20"/>
          <w:color w:val="auto"/>
        </w:rPr>
      </w:pPr>
      <w:r>
        <w:rPr>
          <w:rFonts w:ascii="Times New Roman" w:cs="Times New Roman" w:eastAsia="Times New Roman" w:hAnsi="Times New Roman"/>
          <w:sz w:val="14"/>
          <w:szCs w:val="14"/>
          <w:color w:val="auto"/>
        </w:rPr>
        <w:t>August 28, 2024</w:t>
      </w:r>
      <w:r>
        <w:rPr>
          <w:sz w:val="20"/>
          <w:szCs w:val="20"/>
          <w:color w:val="auto"/>
        </w:rPr>
        <w:tab/>
      </w:r>
      <w:r>
        <w:rPr>
          <w:rFonts w:ascii="Times New Roman" w:cs="Times New Roman" w:eastAsia="Times New Roman" w:hAnsi="Times New Roman"/>
          <w:sz w:val="14"/>
          <w:szCs w:val="14"/>
          <w:color w:val="auto"/>
        </w:rPr>
        <w:t>/s/ Steven R. Fife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4227195</wp:posOffset>
            </wp:positionH>
            <wp:positionV relativeFrom="paragraph">
              <wp:posOffset>14605</wp:posOffset>
            </wp:positionV>
            <wp:extent cx="2263775" cy="698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60">
                      <a:extLst>
                        <a:ext uri="{28A0092B-C50C-407E-A947-70E740481C1C}"/>
                      </a:extLst>
                    </a:blip>
                    <a:srcRect/>
                    <a:stretch>
                      <a:fillRect/>
                    </a:stretch>
                  </pic:blipFill>
                  <pic:spPr bwMode="auto">
                    <a:xfrm>
                      <a:off x="0" y="0"/>
                      <a:ext cx="2263775" cy="6985"/>
                    </a:xfrm>
                    <a:prstGeom prst="rect">
                      <a:avLst/>
                    </a:prstGeom>
                    <a:noFill/>
                  </pic:spPr>
                </pic:pic>
              </a:graphicData>
            </a:graphic>
          </wp:anchor>
        </w:drawing>
      </w:r>
    </w:p>
    <w:p>
      <w:pPr>
        <w:spacing w:after="0" w:line="3" w:lineRule="exact"/>
        <w:rPr>
          <w:sz w:val="20"/>
          <w:szCs w:val="20"/>
          <w:color w:val="auto"/>
        </w:rPr>
      </w:pPr>
    </w:p>
    <w:p>
      <w:pPr>
        <w:ind w:left="6680"/>
        <w:spacing w:after="0"/>
        <w:rPr>
          <w:sz w:val="20"/>
          <w:szCs w:val="20"/>
          <w:color w:val="auto"/>
        </w:rPr>
      </w:pPr>
      <w:r>
        <w:rPr>
          <w:rFonts w:ascii="Times New Roman" w:cs="Times New Roman" w:eastAsia="Times New Roman" w:hAnsi="Times New Roman"/>
          <w:sz w:val="14"/>
          <w:szCs w:val="14"/>
          <w:color w:val="auto"/>
        </w:rPr>
        <w:t>Steven R. Fife</w:t>
      </w:r>
    </w:p>
    <w:p>
      <w:pPr>
        <w:ind w:left="6680"/>
        <w:spacing w:after="0" w:line="205" w:lineRule="auto"/>
        <w:rPr>
          <w:sz w:val="20"/>
          <w:szCs w:val="20"/>
          <w:color w:val="auto"/>
        </w:rPr>
      </w:pPr>
      <w:r>
        <w:rPr>
          <w:rFonts w:ascii="Times New Roman" w:cs="Times New Roman" w:eastAsia="Times New Roman" w:hAnsi="Times New Roman"/>
          <w:sz w:val="14"/>
          <w:szCs w:val="14"/>
          <w:color w:val="auto"/>
        </w:rPr>
        <w:t>President &amp; Chief Executive Officer</w:t>
      </w:r>
    </w:p>
    <w:p>
      <w:pPr>
        <w:ind w:left="6680"/>
        <w:spacing w:after="0"/>
        <w:rPr>
          <w:sz w:val="20"/>
          <w:szCs w:val="20"/>
          <w:color w:val="auto"/>
        </w:rPr>
      </w:pPr>
      <w:r>
        <w:rPr>
          <w:rFonts w:ascii="Times New Roman" w:cs="Times New Roman" w:eastAsia="Times New Roman" w:hAnsi="Times New Roman"/>
          <w:sz w:val="14"/>
          <w:szCs w:val="14"/>
          <w:color w:val="auto"/>
        </w:rPr>
        <w:t>(Principal Executive Officer)</w:t>
      </w:r>
    </w:p>
    <w:p>
      <w:pPr>
        <w:sectPr>
          <w:pgSz w:w="11900" w:h="16838" w:orient="portrait"/>
          <w:cols w:equalWidth="0" w:num="1">
            <w:col w:w="11280"/>
          </w:cols>
          <w:pgMar w:left="300" w:top="727" w:right="319" w:bottom="1440" w:gutter="0" w:footer="0" w:header="0"/>
        </w:sectPr>
      </w:pPr>
    </w:p>
    <w:bookmarkStart w:id="121" w:name="page122"/>
    <w:bookmarkEnd w:id="121"/>
    <w:p>
      <w:pPr>
        <w:jc w:val="right"/>
        <w:spacing w:after="0"/>
        <w:rPr>
          <w:sz w:val="20"/>
          <w:szCs w:val="20"/>
          <w:color w:val="auto"/>
        </w:rPr>
      </w:pPr>
      <w:r>
        <w:rPr>
          <w:rFonts w:ascii="Times New Roman" w:cs="Times New Roman" w:eastAsia="Times New Roman" w:hAnsi="Times New Roman"/>
          <w:sz w:val="14"/>
          <w:szCs w:val="14"/>
          <w:b w:val="1"/>
          <w:bCs w:val="1"/>
          <w:color w:val="auto"/>
        </w:rPr>
        <w:t>EXHIBIT 32.2</w:t>
      </w:r>
    </w:p>
    <w:p>
      <w:pPr>
        <w:spacing w:after="0" w:line="136"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4"/>
          <w:szCs w:val="14"/>
          <w:b w:val="1"/>
          <w:bCs w:val="1"/>
          <w:color w:val="auto"/>
        </w:rPr>
        <w:t>CERTIFICATION PURSUANT TO 18 U.S.C. SECTION 1350, AS ADOPTED</w:t>
      </w:r>
    </w:p>
    <w:p>
      <w:pPr>
        <w:spacing w:after="0" w:line="25"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4"/>
          <w:szCs w:val="14"/>
          <w:b w:val="1"/>
          <w:bCs w:val="1"/>
          <w:color w:val="auto"/>
        </w:rPr>
        <w:t>PURSUANT TO SECTION 906 OF THE SARBANES-OXLEY ACT OF 2002</w:t>
      </w:r>
    </w:p>
    <w:p>
      <w:pPr>
        <w:spacing w:after="0" w:line="122" w:lineRule="exact"/>
        <w:rPr>
          <w:sz w:val="20"/>
          <w:szCs w:val="20"/>
          <w:color w:val="auto"/>
        </w:rPr>
      </w:pPr>
    </w:p>
    <w:p>
      <w:pPr>
        <w:ind w:right="500" w:firstLine="350"/>
        <w:spacing w:after="0" w:line="270" w:lineRule="auto"/>
        <w:rPr>
          <w:sz w:val="20"/>
          <w:szCs w:val="20"/>
          <w:color w:val="auto"/>
        </w:rPr>
      </w:pPr>
      <w:r>
        <w:rPr>
          <w:rFonts w:ascii="Times New Roman" w:cs="Times New Roman" w:eastAsia="Times New Roman" w:hAnsi="Times New Roman"/>
          <w:sz w:val="14"/>
          <w:szCs w:val="14"/>
          <w:color w:val="auto"/>
        </w:rPr>
        <w:t>In connection with the filing of this annual report on Form 10-K of LifeVantage Corporation (the “Company”) for the period ended June 30, 2024, with the Securities and Exchange Commission on the date hereof (the “Report”), I, Carl A. Aure, Chief Financial Officer of the Company, certify, pursuant to 18 U.S.C. Section 1350, as adopted pursuant to Section 906 of the Sarbanes-Oxley Act of 2002, that:</w:t>
      </w:r>
    </w:p>
    <w:p>
      <w:pPr>
        <w:spacing w:after="0" w:line="93" w:lineRule="exact"/>
        <w:rPr>
          <w:sz w:val="20"/>
          <w:szCs w:val="20"/>
          <w:color w:val="auto"/>
        </w:rPr>
      </w:pPr>
    </w:p>
    <w:p>
      <w:pPr>
        <w:ind w:left="520" w:hanging="260"/>
        <w:spacing w:after="0"/>
        <w:tabs>
          <w:tab w:leader="none" w:pos="520" w:val="left"/>
        </w:tabs>
        <w:numPr>
          <w:ilvl w:val="0"/>
          <w:numId w:val="7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Report fully complies with the requirements of Section 13(a) or 15(d) of the Securities Exchange Act of 1934; and</w:t>
      </w:r>
    </w:p>
    <w:p>
      <w:pPr>
        <w:spacing w:after="0" w:line="136"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7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information contained in the Report fairly presents, in all material respects, the financial condition and results of operations of the Company.</w:t>
      </w:r>
    </w:p>
    <w:p>
      <w:pPr>
        <w:spacing w:after="0" w:line="115" w:lineRule="exact"/>
        <w:rPr>
          <w:sz w:val="20"/>
          <w:szCs w:val="20"/>
          <w:color w:val="auto"/>
        </w:rPr>
      </w:pPr>
    </w:p>
    <w:p>
      <w:pPr>
        <w:ind w:left="20"/>
        <w:spacing w:after="0"/>
        <w:tabs>
          <w:tab w:leader="none" w:pos="6640" w:val="left"/>
        </w:tabs>
        <w:rPr>
          <w:sz w:val="20"/>
          <w:szCs w:val="20"/>
          <w:color w:val="auto"/>
        </w:rPr>
      </w:pPr>
      <w:r>
        <w:rPr>
          <w:rFonts w:ascii="Times New Roman" w:cs="Times New Roman" w:eastAsia="Times New Roman" w:hAnsi="Times New Roman"/>
          <w:sz w:val="14"/>
          <w:szCs w:val="14"/>
          <w:color w:val="auto"/>
        </w:rPr>
        <w:t>August 28, 2024</w:t>
      </w:r>
      <w:r>
        <w:rPr>
          <w:sz w:val="20"/>
          <w:szCs w:val="20"/>
          <w:color w:val="auto"/>
        </w:rPr>
        <w:tab/>
      </w:r>
      <w:r>
        <w:rPr>
          <w:rFonts w:ascii="Times New Roman" w:cs="Times New Roman" w:eastAsia="Times New Roman" w:hAnsi="Times New Roman"/>
          <w:sz w:val="14"/>
          <w:szCs w:val="14"/>
          <w:color w:val="auto"/>
        </w:rPr>
        <w:t>/s/ Carl A. Aure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4220845</wp:posOffset>
            </wp:positionH>
            <wp:positionV relativeFrom="paragraph">
              <wp:posOffset>14605</wp:posOffset>
            </wp:positionV>
            <wp:extent cx="1980565" cy="698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61">
                      <a:extLst>
                        <a:ext uri="{28A0092B-C50C-407E-A947-70E740481C1C}"/>
                      </a:extLst>
                    </a:blip>
                    <a:srcRect/>
                    <a:stretch>
                      <a:fillRect/>
                    </a:stretch>
                  </pic:blipFill>
                  <pic:spPr bwMode="auto">
                    <a:xfrm>
                      <a:off x="0" y="0"/>
                      <a:ext cx="1980565" cy="6985"/>
                    </a:xfrm>
                    <a:prstGeom prst="rect">
                      <a:avLst/>
                    </a:prstGeom>
                    <a:noFill/>
                  </pic:spPr>
                </pic:pic>
              </a:graphicData>
            </a:graphic>
          </wp:anchor>
        </w:drawing>
      </w:r>
    </w:p>
    <w:p>
      <w:pPr>
        <w:spacing w:after="0" w:line="130" w:lineRule="exact"/>
        <w:rPr>
          <w:sz w:val="20"/>
          <w:szCs w:val="20"/>
          <w:color w:val="auto"/>
        </w:rPr>
      </w:pPr>
    </w:p>
    <w:p>
      <w:pPr>
        <w:ind w:left="6660"/>
        <w:spacing w:after="0"/>
        <w:rPr>
          <w:sz w:val="20"/>
          <w:szCs w:val="20"/>
          <w:color w:val="auto"/>
        </w:rPr>
      </w:pPr>
      <w:r>
        <w:rPr>
          <w:rFonts w:ascii="Times New Roman" w:cs="Times New Roman" w:eastAsia="Times New Roman" w:hAnsi="Times New Roman"/>
          <w:sz w:val="14"/>
          <w:szCs w:val="14"/>
          <w:color w:val="auto"/>
        </w:rPr>
        <w:t>Carl A. Aure</w:t>
      </w:r>
    </w:p>
    <w:p>
      <w:pPr>
        <w:ind w:left="6660"/>
        <w:spacing w:after="0" w:line="205" w:lineRule="auto"/>
        <w:rPr>
          <w:sz w:val="20"/>
          <w:szCs w:val="20"/>
          <w:color w:val="auto"/>
        </w:rPr>
      </w:pPr>
      <w:r>
        <w:rPr>
          <w:rFonts w:ascii="Times New Roman" w:cs="Times New Roman" w:eastAsia="Times New Roman" w:hAnsi="Times New Roman"/>
          <w:sz w:val="14"/>
          <w:szCs w:val="14"/>
          <w:color w:val="auto"/>
        </w:rPr>
        <w:t>Chief Financial Officer</w:t>
      </w:r>
    </w:p>
    <w:p>
      <w:pPr>
        <w:ind w:left="6660"/>
        <w:spacing w:after="0" w:line="222" w:lineRule="auto"/>
        <w:rPr>
          <w:sz w:val="20"/>
          <w:szCs w:val="20"/>
          <w:color w:val="auto"/>
        </w:rPr>
      </w:pPr>
      <w:r>
        <w:rPr>
          <w:rFonts w:ascii="Times New Roman" w:cs="Times New Roman" w:eastAsia="Times New Roman" w:hAnsi="Times New Roman"/>
          <w:sz w:val="14"/>
          <w:szCs w:val="14"/>
          <w:color w:val="auto"/>
        </w:rPr>
        <w:t>(Principal Financial Officer and Principal Accounting</w:t>
      </w:r>
    </w:p>
    <w:p>
      <w:pPr>
        <w:ind w:left="6660"/>
        <w:spacing w:after="0"/>
        <w:rPr>
          <w:sz w:val="20"/>
          <w:szCs w:val="20"/>
          <w:color w:val="auto"/>
        </w:rPr>
      </w:pPr>
      <w:r>
        <w:rPr>
          <w:rFonts w:ascii="Times New Roman" w:cs="Times New Roman" w:eastAsia="Times New Roman" w:hAnsi="Times New Roman"/>
          <w:sz w:val="14"/>
          <w:szCs w:val="14"/>
          <w:color w:val="auto"/>
        </w:rPr>
        <w:t>Officer)</w:t>
      </w:r>
    </w:p>
    <w:p>
      <w:pPr>
        <w:sectPr>
          <w:pgSz w:w="11900" w:h="16838" w:orient="portrait"/>
          <w:cols w:equalWidth="0" w:num="1">
            <w:col w:w="11280"/>
          </w:cols>
          <w:pgMar w:left="300" w:top="727" w:right="319" w:bottom="1440" w:gutter="0" w:footer="0" w:header="0"/>
        </w:sectPr>
      </w:pPr>
    </w:p>
    <w:bookmarkStart w:id="122" w:name="page123"/>
    <w:bookmarkEnd w:id="122"/>
    <w:p>
      <w:pPr>
        <w:spacing w:after="0" w:line="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LIFEVANTAGE CORPORATION POLICY FOR THE</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RECOVERY OF ERRONEOUSLY AWARDED COMPENSATION</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Amended and Restated on November 6, 2023</w:t>
      </w:r>
    </w:p>
    <w:p>
      <w:pPr>
        <w:spacing w:after="0" w:line="364" w:lineRule="exact"/>
        <w:rPr>
          <w:sz w:val="20"/>
          <w:szCs w:val="20"/>
          <w:color w:val="auto"/>
        </w:rPr>
      </w:pPr>
    </w:p>
    <w:p>
      <w:pPr>
        <w:jc w:val="both"/>
        <w:ind w:firstLine="6"/>
        <w:spacing w:after="0" w:line="265" w:lineRule="auto"/>
        <w:tabs>
          <w:tab w:leader="none" w:pos="152" w:val="left"/>
        </w:tabs>
        <w:numPr>
          <w:ilvl w:val="0"/>
          <w:numId w:val="8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Purpose</w:t>
      </w:r>
      <w:r>
        <w:rPr>
          <w:rFonts w:ascii="Times New Roman" w:cs="Times New Roman" w:eastAsia="Times New Roman" w:hAnsi="Times New Roman"/>
          <w:sz w:val="14"/>
          <w:szCs w:val="14"/>
          <w:color w:val="auto"/>
        </w:rPr>
        <w:t>. The purpose of this Policy is to describe the circumstances in which Executive Officers will be required to repay or return Erroneously Awarded Compensation to members of the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 xml:space="preserve">Company Group. This Policy is designed to comply with, and shall be interpreted to be consistent with, Section 10D of the Securities Exchange Act of 1934, as amended, Rule 10D-1 promulgated thereunder and the Listing Standards. Each Executive Officer shall be required to sign and return to the Company the Acknowledgment Form attached hereto as </w:t>
      </w:r>
      <w:r>
        <w:rPr>
          <w:rFonts w:ascii="Times New Roman" w:cs="Times New Roman" w:eastAsia="Times New Roman" w:hAnsi="Times New Roman"/>
          <w:sz w:val="14"/>
          <w:szCs w:val="14"/>
          <w:u w:val="single" w:color="auto"/>
          <w:color w:val="auto"/>
        </w:rPr>
        <w:t>Exhibit A</w:t>
      </w:r>
      <w:r>
        <w:rPr>
          <w:rFonts w:ascii="Times New Roman" w:cs="Times New Roman" w:eastAsia="Times New Roman" w:hAnsi="Times New Roman"/>
          <w:sz w:val="14"/>
          <w:szCs w:val="14"/>
          <w:color w:val="auto"/>
        </w:rPr>
        <w:t xml:space="preserve"> pursuant to which such Executive Officer will agree to be bound by the terms of and comply with this Policy.</w:t>
      </w:r>
    </w:p>
    <w:p>
      <w:pPr>
        <w:spacing w:after="0" w:line="137" w:lineRule="exact"/>
        <w:rPr>
          <w:rFonts w:ascii="Times New Roman" w:cs="Times New Roman" w:eastAsia="Times New Roman" w:hAnsi="Times New Roman"/>
          <w:sz w:val="14"/>
          <w:szCs w:val="14"/>
          <w:color w:val="auto"/>
        </w:rPr>
      </w:pPr>
    </w:p>
    <w:p>
      <w:pPr>
        <w:jc w:val="both"/>
        <w:ind w:firstLine="6"/>
        <w:spacing w:after="0" w:line="271" w:lineRule="auto"/>
        <w:tabs>
          <w:tab w:leader="none" w:pos="290" w:val="left"/>
        </w:tabs>
        <w:numPr>
          <w:ilvl w:val="0"/>
          <w:numId w:val="8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Administration</w:t>
      </w:r>
      <w:r>
        <w:rPr>
          <w:rFonts w:ascii="Times New Roman" w:cs="Times New Roman" w:eastAsia="Times New Roman" w:hAnsi="Times New Roman"/>
          <w:sz w:val="14"/>
          <w:szCs w:val="14"/>
          <w:color w:val="auto"/>
        </w:rPr>
        <w:t>. This Policy shall be administered by the Committee. The Committee is authorized to interpret and construe this Policy and to make all determinations, and take all actions,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necessary, appropriate or advisable for the administration of this Policy. Any determinations and interpretations made by the Committee shall be final and binding on all affected individuals, and need not be uniform with respect to each individual covered by the Policy.</w:t>
      </w:r>
    </w:p>
    <w:p>
      <w:pPr>
        <w:spacing w:after="0" w:line="123" w:lineRule="exact"/>
        <w:rPr>
          <w:rFonts w:ascii="Times New Roman" w:cs="Times New Roman" w:eastAsia="Times New Roman" w:hAnsi="Times New Roman"/>
          <w:sz w:val="14"/>
          <w:szCs w:val="14"/>
          <w:color w:val="auto"/>
        </w:rPr>
      </w:pPr>
    </w:p>
    <w:p>
      <w:pPr>
        <w:ind w:left="140" w:hanging="134"/>
        <w:spacing w:after="0"/>
        <w:tabs>
          <w:tab w:leader="none" w:pos="140" w:val="left"/>
        </w:tabs>
        <w:numPr>
          <w:ilvl w:val="0"/>
          <w:numId w:val="8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Definitions</w:t>
      </w:r>
      <w:r>
        <w:rPr>
          <w:rFonts w:ascii="Times New Roman" w:cs="Times New Roman" w:eastAsia="Times New Roman" w:hAnsi="Times New Roman"/>
          <w:sz w:val="14"/>
          <w:szCs w:val="14"/>
          <w:color w:val="auto"/>
        </w:rPr>
        <w:t>. As used in this Policy, the following capitalized terms shall have the meanings set forth below.</w:t>
      </w:r>
    </w:p>
    <w:p>
      <w:pPr>
        <w:spacing w:after="0" w:line="178" w:lineRule="exact"/>
        <w:rPr>
          <w:rFonts w:ascii="Times New Roman" w:cs="Times New Roman" w:eastAsia="Times New Roman" w:hAnsi="Times New Roman"/>
          <w:sz w:val="14"/>
          <w:szCs w:val="14"/>
          <w:color w:val="auto"/>
        </w:rPr>
      </w:pPr>
    </w:p>
    <w:p>
      <w:pPr>
        <w:jc w:val="both"/>
        <w:ind w:firstLine="515"/>
        <w:spacing w:after="0" w:line="258" w:lineRule="auto"/>
        <w:tabs>
          <w:tab w:leader="none" w:pos="851" w:val="left"/>
        </w:tabs>
        <w:numPr>
          <w:ilvl w:val="1"/>
          <w:numId w:val="8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Accounting Restatement</w:t>
      </w:r>
      <w:r>
        <w:rPr>
          <w:rFonts w:ascii="Times New Roman" w:cs="Times New Roman" w:eastAsia="Times New Roman" w:hAnsi="Times New Roman"/>
          <w:sz w:val="14"/>
          <w:szCs w:val="14"/>
          <w:color w:val="auto"/>
        </w:rPr>
        <w:t>” shall mean an accounting restatement of the Company’s financial statements due to the Company’s material noncompliance with any financial reporting requirement under U.S. securities laws, including any required accounting restatement (i) that corrects an error in previously issued financial statements that is material to the previously issued financial statements (a “Big R” restatement), or (ii) that corrects an error that is not material to previously issued financial statements, but would result in a material misstatement if the error were corrected in the current period or left uncorrected in the current period (a “little r” restatement). An Accounting Restatement does not include situations in which financial statement changes did not result from material noncompliance with financial reporting requirements, such as, but not limited to, retrospective: (i) application of a change in accounting principles; (ii) revision to reportable segment information due to a change in the structure of the Company’s internal organization; (iii) reclassification due to a discontinued operation; (iv) application of a change in reporting entity, such as from a reorganization of entities under common control; (v) adjustment to provisional amounts in connection with a prior business combination; and (vi) revision for stock splits, reverse stock splits, stock dividends or other changes in capital structure.</w:t>
      </w:r>
    </w:p>
    <w:p>
      <w:pPr>
        <w:spacing w:after="0" w:line="143" w:lineRule="exact"/>
        <w:rPr>
          <w:rFonts w:ascii="Times New Roman" w:cs="Times New Roman" w:eastAsia="Times New Roman" w:hAnsi="Times New Roman"/>
          <w:sz w:val="14"/>
          <w:szCs w:val="14"/>
          <w:color w:val="auto"/>
        </w:rPr>
      </w:pPr>
    </w:p>
    <w:p>
      <w:pPr>
        <w:ind w:left="720" w:hanging="205"/>
        <w:spacing w:after="0"/>
        <w:tabs>
          <w:tab w:leader="none" w:pos="720" w:val="left"/>
        </w:tabs>
        <w:numPr>
          <w:ilvl w:val="1"/>
          <w:numId w:val="8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Board</w:t>
      </w:r>
      <w:r>
        <w:rPr>
          <w:rFonts w:ascii="Times New Roman" w:cs="Times New Roman" w:eastAsia="Times New Roman" w:hAnsi="Times New Roman"/>
          <w:sz w:val="14"/>
          <w:szCs w:val="14"/>
          <w:color w:val="auto"/>
        </w:rPr>
        <w:t>” shall mean the Board of Directors of the Company.</w:t>
      </w:r>
    </w:p>
    <w:p>
      <w:pPr>
        <w:spacing w:after="0" w:line="178" w:lineRule="exact"/>
        <w:rPr>
          <w:rFonts w:ascii="Times New Roman" w:cs="Times New Roman" w:eastAsia="Times New Roman" w:hAnsi="Times New Roman"/>
          <w:sz w:val="14"/>
          <w:szCs w:val="14"/>
          <w:color w:val="auto"/>
        </w:rPr>
      </w:pPr>
    </w:p>
    <w:p>
      <w:pPr>
        <w:jc w:val="both"/>
        <w:ind w:firstLine="515"/>
        <w:spacing w:after="0" w:line="267" w:lineRule="auto"/>
        <w:tabs>
          <w:tab w:leader="none" w:pos="808" w:val="left"/>
        </w:tabs>
        <w:numPr>
          <w:ilvl w:val="1"/>
          <w:numId w:val="8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Clawback Eligible Incentive Compensation</w:t>
      </w:r>
      <w:r>
        <w:rPr>
          <w:rFonts w:ascii="Times New Roman" w:cs="Times New Roman" w:eastAsia="Times New Roman" w:hAnsi="Times New Roman"/>
          <w:sz w:val="14"/>
          <w:szCs w:val="14"/>
          <w:color w:val="auto"/>
        </w:rPr>
        <w:t>” shall mean, in connection with an Accounting Restatement and with respect to each individual who served as an Executive Officer at any time during the applicable performance period for any Incentive-Based Compensation (whether or not such Executive Officer is serving at the time the Erroneously Awarded Compensation is required to be repaid to the Company Group), all Incentive-Based Compensation Received by such Executive Officer (i) on or after the Effective Date (even if such Incentive-Based Compensation was approved, awarded, granted or paid prior to the effective date of the Listing Standards), (ii) after beginning service as an Executive Officer, (iii) while the Company has a class of securities listed on a national securities exchange or a national securities association, and (iv) during the applicable Clawback Period.</w:t>
      </w:r>
      <w:r>
        <w:rPr>
          <w:rFonts w:ascii="Times New Roman" w:cs="Times New Roman" w:eastAsia="Times New Roman" w:hAnsi="Times New Roman"/>
          <w:sz w:val="18"/>
          <w:szCs w:val="18"/>
          <w:color w:val="auto"/>
          <w:vertAlign w:val="superscript"/>
        </w:rPr>
        <w:t>1</w:t>
      </w:r>
    </w:p>
    <w:p>
      <w:pPr>
        <w:spacing w:after="0" w:line="71" w:lineRule="exact"/>
        <w:rPr>
          <w:rFonts w:ascii="Times New Roman" w:cs="Times New Roman" w:eastAsia="Times New Roman" w:hAnsi="Times New Roman"/>
          <w:sz w:val="14"/>
          <w:szCs w:val="14"/>
          <w:color w:val="auto"/>
        </w:rPr>
      </w:pPr>
    </w:p>
    <w:p>
      <w:pPr>
        <w:ind w:firstLine="514"/>
        <w:spacing w:after="0" w:line="290" w:lineRule="auto"/>
        <w:tabs>
          <w:tab w:leader="none" w:pos="720" w:val="left"/>
        </w:tabs>
        <w:numPr>
          <w:ilvl w:val="1"/>
          <w:numId w:val="8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Clawback Period</w:t>
      </w:r>
      <w:r>
        <w:rPr>
          <w:rFonts w:ascii="Times New Roman" w:cs="Times New Roman" w:eastAsia="Times New Roman" w:hAnsi="Times New Roman"/>
          <w:sz w:val="14"/>
          <w:szCs w:val="14"/>
          <w:color w:val="auto"/>
        </w:rPr>
        <w:t>” shall mean, with respect to any Accounting Restatement, the three completed fiscal years of the Company immediately preceding the Restatement Date and any transition period (that results from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1347470" cy="698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62">
                      <a:extLst>
                        <a:ext uri="{28A0092B-C50C-407E-A947-70E740481C1C}"/>
                      </a:extLst>
                    </a:blip>
                    <a:srcRect/>
                    <a:stretch>
                      <a:fillRect/>
                    </a:stretch>
                  </pic:blipFill>
                  <pic:spPr bwMode="auto">
                    <a:xfrm>
                      <a:off x="0" y="0"/>
                      <a:ext cx="1347470" cy="6985"/>
                    </a:xfrm>
                    <a:prstGeom prst="rect">
                      <a:avLst/>
                    </a:prstGeom>
                    <a:noFill/>
                  </pic:spPr>
                </pic:pic>
              </a:graphicData>
            </a:graphic>
          </wp:anchor>
        </w:drawing>
      </w:r>
    </w:p>
    <w:p>
      <w:pPr>
        <w:spacing w:after="0" w:line="159" w:lineRule="exact"/>
        <w:rPr>
          <w:sz w:val="20"/>
          <w:szCs w:val="20"/>
          <w:color w:val="auto"/>
        </w:rPr>
      </w:pPr>
    </w:p>
    <w:p>
      <w:pPr>
        <w:ind w:right="240" w:firstLine="5"/>
        <w:spacing w:after="0" w:line="244" w:lineRule="auto"/>
        <w:tabs>
          <w:tab w:leader="none" w:pos="73" w:val="left"/>
        </w:tabs>
        <w:numPr>
          <w:ilvl w:val="0"/>
          <w:numId w:val="81"/>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u w:val="single" w:color="auto"/>
          <w:color w:val="auto"/>
        </w:rPr>
        <w:t>Explanatory Note</w:t>
      </w:r>
      <w:r>
        <w:rPr>
          <w:rFonts w:ascii="Times New Roman" w:cs="Times New Roman" w:eastAsia="Times New Roman" w:hAnsi="Times New Roman"/>
          <w:sz w:val="12"/>
          <w:szCs w:val="12"/>
          <w:color w:val="auto"/>
        </w:rPr>
        <w:t>: Recovery of compensation is not required (1) with respect to any compensation Received while an individual was serving in a non-executive capacity prior to becoming an Executive Officer or (2) from any individual who is an Executive Officer on the Restatement Date but who was not an Executive Officer at any time during the performance period for which the Incentive-Based Compensation is Received.</w:t>
      </w:r>
    </w:p>
    <w:p>
      <w:pPr>
        <w:sectPr>
          <w:pgSz w:w="11900" w:h="16838" w:orient="portrait"/>
          <w:cols w:equalWidth="0" w:num="1">
            <w:col w:w="11280"/>
          </w:cols>
          <w:pgMar w:left="300" w:top="1440" w:right="319" w:bottom="1440" w:gutter="0" w:footer="0" w:header="0"/>
        </w:sectPr>
      </w:pPr>
    </w:p>
    <w:bookmarkStart w:id="123" w:name="page124"/>
    <w:bookmarkEnd w:id="123"/>
    <w:p>
      <w:pPr>
        <w:spacing w:after="0"/>
        <w:rPr>
          <w:sz w:val="20"/>
          <w:szCs w:val="20"/>
          <w:color w:val="auto"/>
        </w:rPr>
      </w:pPr>
      <w:r>
        <w:rPr>
          <w:rFonts w:ascii="Times New Roman" w:cs="Times New Roman" w:eastAsia="Times New Roman" w:hAnsi="Times New Roman"/>
          <w:sz w:val="14"/>
          <w:szCs w:val="14"/>
          <w:color w:val="auto"/>
        </w:rPr>
        <w:t>change in the Company’s fiscal year) of less than nine months within or immediately following those three completed fiscal years.</w:t>
      </w:r>
    </w:p>
    <w:p>
      <w:pPr>
        <w:spacing w:after="0" w:line="166" w:lineRule="exact"/>
        <w:rPr>
          <w:sz w:val="20"/>
          <w:szCs w:val="20"/>
          <w:color w:val="auto"/>
        </w:rPr>
      </w:pPr>
    </w:p>
    <w:p>
      <w:pPr>
        <w:ind w:left="700" w:hanging="185"/>
        <w:spacing w:after="0"/>
        <w:tabs>
          <w:tab w:leader="none" w:pos="700" w:val="left"/>
        </w:tabs>
        <w:numPr>
          <w:ilvl w:val="0"/>
          <w:numId w:val="8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Committee</w:t>
      </w:r>
      <w:r>
        <w:rPr>
          <w:rFonts w:ascii="Times New Roman" w:cs="Times New Roman" w:eastAsia="Times New Roman" w:hAnsi="Times New Roman"/>
          <w:sz w:val="14"/>
          <w:szCs w:val="14"/>
          <w:color w:val="auto"/>
        </w:rPr>
        <w:t>” shall mean the Compensation Committee of the Board.</w:t>
      </w:r>
    </w:p>
    <w:p>
      <w:pPr>
        <w:spacing w:after="0" w:line="199" w:lineRule="exact"/>
        <w:rPr>
          <w:rFonts w:ascii="Times New Roman" w:cs="Times New Roman" w:eastAsia="Times New Roman" w:hAnsi="Times New Roman"/>
          <w:sz w:val="14"/>
          <w:szCs w:val="14"/>
          <w:color w:val="auto"/>
        </w:rPr>
      </w:pPr>
    </w:p>
    <w:p>
      <w:pPr>
        <w:ind w:left="700" w:hanging="186"/>
        <w:spacing w:after="0"/>
        <w:tabs>
          <w:tab w:leader="none" w:pos="700" w:val="left"/>
        </w:tabs>
        <w:numPr>
          <w:ilvl w:val="0"/>
          <w:numId w:val="8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Company</w:t>
      </w:r>
      <w:r>
        <w:rPr>
          <w:rFonts w:ascii="Times New Roman" w:cs="Times New Roman" w:eastAsia="Times New Roman" w:hAnsi="Times New Roman"/>
          <w:sz w:val="14"/>
          <w:szCs w:val="14"/>
          <w:color w:val="auto"/>
        </w:rPr>
        <w:t>” shall mean LifeVantage Corporation, a Delaware corporation.</w:t>
      </w:r>
    </w:p>
    <w:p>
      <w:pPr>
        <w:spacing w:after="0" w:line="178" w:lineRule="exact"/>
        <w:rPr>
          <w:rFonts w:ascii="Times New Roman" w:cs="Times New Roman" w:eastAsia="Times New Roman" w:hAnsi="Times New Roman"/>
          <w:sz w:val="14"/>
          <w:szCs w:val="14"/>
          <w:color w:val="auto"/>
        </w:rPr>
      </w:pPr>
    </w:p>
    <w:p>
      <w:pPr>
        <w:ind w:left="820" w:hanging="306"/>
        <w:spacing w:after="0"/>
        <w:tabs>
          <w:tab w:leader="none" w:pos="820" w:val="left"/>
        </w:tabs>
        <w:numPr>
          <w:ilvl w:val="0"/>
          <w:numId w:val="8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Company Group</w:t>
      </w:r>
      <w:r>
        <w:rPr>
          <w:rFonts w:ascii="Times New Roman" w:cs="Times New Roman" w:eastAsia="Times New Roman" w:hAnsi="Times New Roman"/>
          <w:sz w:val="14"/>
          <w:szCs w:val="14"/>
          <w:color w:val="auto"/>
        </w:rPr>
        <w:t>” shall mean the Company, together with each of its direct and indirect subsidiaries.</w:t>
      </w:r>
    </w:p>
    <w:p>
      <w:pPr>
        <w:spacing w:after="0" w:line="178" w:lineRule="exact"/>
        <w:rPr>
          <w:rFonts w:ascii="Times New Roman" w:cs="Times New Roman" w:eastAsia="Times New Roman" w:hAnsi="Times New Roman"/>
          <w:sz w:val="14"/>
          <w:szCs w:val="14"/>
          <w:color w:val="auto"/>
        </w:rPr>
      </w:pPr>
    </w:p>
    <w:p>
      <w:pPr>
        <w:ind w:left="720" w:hanging="206"/>
        <w:spacing w:after="0"/>
        <w:tabs>
          <w:tab w:leader="none" w:pos="720" w:val="left"/>
        </w:tabs>
        <w:numPr>
          <w:ilvl w:val="0"/>
          <w:numId w:val="8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Effective Date</w:t>
      </w:r>
      <w:r>
        <w:rPr>
          <w:rFonts w:ascii="Times New Roman" w:cs="Times New Roman" w:eastAsia="Times New Roman" w:hAnsi="Times New Roman"/>
          <w:sz w:val="14"/>
          <w:szCs w:val="14"/>
          <w:color w:val="auto"/>
        </w:rPr>
        <w:t>” shall mean the effective date of this Policy, which date is December 1, 2023.</w:t>
      </w:r>
    </w:p>
    <w:p>
      <w:pPr>
        <w:spacing w:after="0" w:line="178" w:lineRule="exact"/>
        <w:rPr>
          <w:rFonts w:ascii="Times New Roman" w:cs="Times New Roman" w:eastAsia="Times New Roman" w:hAnsi="Times New Roman"/>
          <w:sz w:val="14"/>
          <w:szCs w:val="14"/>
          <w:color w:val="auto"/>
        </w:rPr>
      </w:pPr>
    </w:p>
    <w:p>
      <w:pPr>
        <w:jc w:val="both"/>
        <w:ind w:firstLine="514"/>
        <w:spacing w:after="0" w:line="260" w:lineRule="auto"/>
        <w:tabs>
          <w:tab w:leader="none" w:pos="805" w:val="left"/>
        </w:tabs>
        <w:numPr>
          <w:ilvl w:val="0"/>
          <w:numId w:val="8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Erroneously Awarded Compensation</w:t>
      </w:r>
      <w:r>
        <w:rPr>
          <w:rFonts w:ascii="Times New Roman" w:cs="Times New Roman" w:eastAsia="Times New Roman" w:hAnsi="Times New Roman"/>
          <w:sz w:val="14"/>
          <w:szCs w:val="14"/>
          <w:color w:val="auto"/>
        </w:rPr>
        <w:t>” shall mean, with respect to each Executive Officer in connection with an Accounting Restatement, the amount of Clawback Eligible Incentive Compensation that exceeds the amount of Incentive-Based Compensation that otherwise would have been Received had it been determined based on the restated amounts as reflected in the Accounting Restatement, computed without regard to any taxes paid. For Incentive-Based Compensation based on (or derived from) stock price or total shareholder return, where the amount of Erroneously Awarded Compensation is not subject to mathematical recalculation directly from the information in the applicable Accounting Restatement, the amount shall be determined by the Committee based on a reasonable estimate of the effect of the Accounting Restatement on the stock price or total shareholder return upon which the Incentive-Based Compensation was Received (in which case, the Company shall maintain documentation of such determination of that reasonable estimate and provide such documentation to Nasdaq).</w:t>
      </w:r>
    </w:p>
    <w:p>
      <w:pPr>
        <w:spacing w:after="0" w:line="141" w:lineRule="exact"/>
        <w:rPr>
          <w:rFonts w:ascii="Times New Roman" w:cs="Times New Roman" w:eastAsia="Times New Roman" w:hAnsi="Times New Roman"/>
          <w:sz w:val="14"/>
          <w:szCs w:val="14"/>
          <w:color w:val="auto"/>
        </w:rPr>
      </w:pPr>
    </w:p>
    <w:p>
      <w:pPr>
        <w:jc w:val="both"/>
        <w:ind w:firstLine="515"/>
        <w:spacing w:after="0" w:line="262" w:lineRule="auto"/>
        <w:tabs>
          <w:tab w:leader="none" w:pos="679" w:val="left"/>
        </w:tabs>
        <w:numPr>
          <w:ilvl w:val="0"/>
          <w:numId w:val="8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Executive Officer</w:t>
      </w:r>
      <w:r>
        <w:rPr>
          <w:rFonts w:ascii="Times New Roman" w:cs="Times New Roman" w:eastAsia="Times New Roman" w:hAnsi="Times New Roman"/>
          <w:sz w:val="14"/>
          <w:szCs w:val="14"/>
          <w:color w:val="auto"/>
        </w:rPr>
        <w:t>” shall mean each individual who is or was designated as an “officer” of the Company in accordance with 17 C.F.R. 240.16a-1(f). Identification of an executive officer for purposes of this Policy would include, at a minimum, executive officers identified pursuant to 17 C.F.R. 229.401(b). As of the Effective Date (and subject to later amendments to the above-referenced rules), Executive Officer covers the Company’s president, principal financial officer, principal accounting officer (or if there is no such accounting officer, the controller), any vice-president of the Company in charge of a principal business unit, division or function (such as sales, administration or finance), any other officer who performs a significant policy-making function, or any other person (including any executive officer of the Company’s affiliates including a parent or subsidiary of the Company) who performs similar policy-making functions for the Company.</w:t>
      </w:r>
    </w:p>
    <w:p>
      <w:pPr>
        <w:spacing w:after="0" w:line="139" w:lineRule="exact"/>
        <w:rPr>
          <w:rFonts w:ascii="Times New Roman" w:cs="Times New Roman" w:eastAsia="Times New Roman" w:hAnsi="Times New Roman"/>
          <w:sz w:val="14"/>
          <w:szCs w:val="14"/>
          <w:color w:val="auto"/>
        </w:rPr>
      </w:pPr>
    </w:p>
    <w:p>
      <w:pPr>
        <w:jc w:val="both"/>
        <w:ind w:firstLine="515"/>
        <w:spacing w:after="0" w:line="265" w:lineRule="auto"/>
        <w:tabs>
          <w:tab w:leader="none" w:pos="731" w:val="left"/>
        </w:tabs>
        <w:numPr>
          <w:ilvl w:val="0"/>
          <w:numId w:val="8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Financial Reporting Measures</w:t>
      </w:r>
      <w:r>
        <w:rPr>
          <w:rFonts w:ascii="Times New Roman" w:cs="Times New Roman" w:eastAsia="Times New Roman" w:hAnsi="Times New Roman"/>
          <w:sz w:val="14"/>
          <w:szCs w:val="14"/>
          <w:color w:val="auto"/>
        </w:rPr>
        <w:t>” shall mean measures that are determined and presented in accordance with the accounting principles used in preparing the Company’s financial statements (including “non-GAAP financial measures,” such as those appearing in earnings releases), and any measures that are derived wholly or in part from such measures. For the avoidance of doubt, a Financial Reporting Measure need not be presented within the Company’s financial statements or included in a filing with the SEC. Stock price and total shareholder return shall for purposes of this Policy also be considered Financial Reporting Measures.</w:t>
      </w:r>
    </w:p>
    <w:p>
      <w:pPr>
        <w:spacing w:after="0" w:line="137" w:lineRule="exact"/>
        <w:rPr>
          <w:rFonts w:ascii="Times New Roman" w:cs="Times New Roman" w:eastAsia="Times New Roman" w:hAnsi="Times New Roman"/>
          <w:sz w:val="14"/>
          <w:szCs w:val="14"/>
          <w:color w:val="auto"/>
        </w:rPr>
      </w:pPr>
    </w:p>
    <w:p>
      <w:pPr>
        <w:jc w:val="both"/>
        <w:ind w:firstLine="515"/>
        <w:spacing w:after="0" w:line="271" w:lineRule="auto"/>
        <w:tabs>
          <w:tab w:leader="none" w:pos="679" w:val="left"/>
        </w:tabs>
        <w:numPr>
          <w:ilvl w:val="0"/>
          <w:numId w:val="8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Incentive-Based Compensation</w:t>
      </w:r>
      <w:r>
        <w:rPr>
          <w:rFonts w:ascii="Times New Roman" w:cs="Times New Roman" w:eastAsia="Times New Roman" w:hAnsi="Times New Roman"/>
          <w:sz w:val="14"/>
          <w:szCs w:val="14"/>
          <w:color w:val="auto"/>
        </w:rPr>
        <w:t>” shall mean any compensation that is granted, earned or vested based wholly or in part upon the attainment of a Financial Reporting Measure. For the sake of clarity, examples of compensation that is not Incentive-Based Compensation include, but are not limited to: (i) base salaries; (ii) discretionary cash bonuses; (iii) awards (either of cash or equity) that are based solely upon subjective, strategic or</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w:t>
      </w:r>
    </w:p>
    <w:p>
      <w:pPr>
        <w:sectPr>
          <w:pgSz w:w="11900" w:h="16838" w:orient="portrait"/>
          <w:cols w:equalWidth="0" w:num="1">
            <w:col w:w="11280"/>
          </w:cols>
          <w:pgMar w:left="300" w:top="1313" w:right="319" w:bottom="1440" w:gutter="0" w:footer="0" w:header="0"/>
        </w:sectPr>
      </w:pPr>
    </w:p>
    <w:bookmarkStart w:id="124" w:name="page125"/>
    <w:bookmarkEnd w:id="124"/>
    <w:p>
      <w:pPr>
        <w:spacing w:after="0"/>
        <w:rPr>
          <w:sz w:val="20"/>
          <w:szCs w:val="20"/>
          <w:color w:val="auto"/>
        </w:rPr>
      </w:pPr>
      <w:r>
        <w:rPr>
          <w:rFonts w:ascii="Times New Roman" w:cs="Times New Roman" w:eastAsia="Times New Roman" w:hAnsi="Times New Roman"/>
          <w:sz w:val="14"/>
          <w:szCs w:val="14"/>
          <w:color w:val="auto"/>
        </w:rPr>
        <w:t>operational metrics or measures; and (iv) equity awards that vest solely upon continued service or the passage of time.</w:t>
      </w:r>
      <w:r>
        <w:rPr>
          <w:rFonts w:ascii="Times New Roman" w:cs="Times New Roman" w:eastAsia="Times New Roman" w:hAnsi="Times New Roman"/>
          <w:sz w:val="18"/>
          <w:szCs w:val="18"/>
          <w:color w:val="auto"/>
          <w:vertAlign w:val="superscript"/>
        </w:rPr>
        <w:t>2</w:t>
      </w:r>
    </w:p>
    <w:p>
      <w:pPr>
        <w:spacing w:after="0" w:line="133" w:lineRule="exact"/>
        <w:rPr>
          <w:sz w:val="20"/>
          <w:szCs w:val="20"/>
          <w:color w:val="auto"/>
        </w:rPr>
      </w:pPr>
    </w:p>
    <w:p>
      <w:pPr>
        <w:ind w:left="900" w:hanging="385"/>
        <w:spacing w:after="0"/>
        <w:tabs>
          <w:tab w:leader="none" w:pos="900" w:val="left"/>
        </w:tabs>
        <w:numPr>
          <w:ilvl w:val="1"/>
          <w:numId w:val="8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Listing Standards</w:t>
      </w:r>
      <w:r>
        <w:rPr>
          <w:rFonts w:ascii="Times New Roman" w:cs="Times New Roman" w:eastAsia="Times New Roman" w:hAnsi="Times New Roman"/>
          <w:sz w:val="14"/>
          <w:szCs w:val="14"/>
          <w:color w:val="auto"/>
        </w:rPr>
        <w:t>” shall mean Nasdaq Listing Rule 5608.</w:t>
      </w:r>
    </w:p>
    <w:p>
      <w:pPr>
        <w:spacing w:after="0" w:line="178" w:lineRule="exact"/>
        <w:rPr>
          <w:rFonts w:ascii="Times New Roman" w:cs="Times New Roman" w:eastAsia="Times New Roman" w:hAnsi="Times New Roman"/>
          <w:sz w:val="14"/>
          <w:szCs w:val="14"/>
          <w:color w:val="auto"/>
        </w:rPr>
      </w:pPr>
    </w:p>
    <w:p>
      <w:pPr>
        <w:ind w:left="720" w:hanging="206"/>
        <w:spacing w:after="0"/>
        <w:tabs>
          <w:tab w:leader="none" w:pos="720" w:val="left"/>
        </w:tabs>
        <w:numPr>
          <w:ilvl w:val="1"/>
          <w:numId w:val="8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Nasdaq</w:t>
      </w:r>
      <w:r>
        <w:rPr>
          <w:rFonts w:ascii="Times New Roman" w:cs="Times New Roman" w:eastAsia="Times New Roman" w:hAnsi="Times New Roman"/>
          <w:sz w:val="14"/>
          <w:szCs w:val="14"/>
          <w:color w:val="auto"/>
        </w:rPr>
        <w:t>” shall mean The Nasdaq Stock Market.</w:t>
      </w:r>
    </w:p>
    <w:p>
      <w:pPr>
        <w:spacing w:after="0" w:line="178" w:lineRule="exact"/>
        <w:rPr>
          <w:rFonts w:ascii="Times New Roman" w:cs="Times New Roman" w:eastAsia="Times New Roman" w:hAnsi="Times New Roman"/>
          <w:sz w:val="14"/>
          <w:szCs w:val="14"/>
          <w:color w:val="auto"/>
        </w:rPr>
      </w:pPr>
    </w:p>
    <w:p>
      <w:pPr>
        <w:ind w:left="720" w:hanging="205"/>
        <w:spacing w:after="0"/>
        <w:tabs>
          <w:tab w:leader="none" w:pos="720" w:val="left"/>
        </w:tabs>
        <w:numPr>
          <w:ilvl w:val="1"/>
          <w:numId w:val="8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Policy</w:t>
      </w:r>
      <w:r>
        <w:rPr>
          <w:rFonts w:ascii="Times New Roman" w:cs="Times New Roman" w:eastAsia="Times New Roman" w:hAnsi="Times New Roman"/>
          <w:sz w:val="14"/>
          <w:szCs w:val="14"/>
          <w:color w:val="auto"/>
        </w:rPr>
        <w:t>” shall mean this Policy for the Recovery of Erroneously Awarded Compensation, as the same may be amended, restated, supplemented or otherwise modified from time to time.</w:t>
      </w:r>
    </w:p>
    <w:p>
      <w:pPr>
        <w:spacing w:after="0" w:line="178" w:lineRule="exact"/>
        <w:rPr>
          <w:rFonts w:ascii="Times New Roman" w:cs="Times New Roman" w:eastAsia="Times New Roman" w:hAnsi="Times New Roman"/>
          <w:sz w:val="14"/>
          <w:szCs w:val="14"/>
          <w:color w:val="auto"/>
        </w:rPr>
      </w:pPr>
    </w:p>
    <w:p>
      <w:pPr>
        <w:jc w:val="both"/>
        <w:ind w:firstLine="515"/>
        <w:spacing w:after="0" w:line="271" w:lineRule="auto"/>
        <w:tabs>
          <w:tab w:leader="none" w:pos="721" w:val="left"/>
        </w:tabs>
        <w:numPr>
          <w:ilvl w:val="1"/>
          <w:numId w:val="8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Received</w:t>
      </w:r>
      <w:r>
        <w:rPr>
          <w:rFonts w:ascii="Times New Roman" w:cs="Times New Roman" w:eastAsia="Times New Roman" w:hAnsi="Times New Roman"/>
          <w:sz w:val="14"/>
          <w:szCs w:val="14"/>
          <w:color w:val="auto"/>
        </w:rPr>
        <w:t>” shall, with respect to any Incentive-Based Compensation, mean actual or deemed receipt, and Incentive-Based Compensation shall be deemed received in the Company’s fiscal period during which the Financial Reporting Measure specified in the Incentive-Based Compensation award is attained, even if grant or payment of the Incentive-Based Compensation occurs after the end of that period.</w:t>
      </w:r>
    </w:p>
    <w:p>
      <w:pPr>
        <w:spacing w:after="0" w:line="123" w:lineRule="exact"/>
        <w:rPr>
          <w:rFonts w:ascii="Times New Roman" w:cs="Times New Roman" w:eastAsia="Times New Roman" w:hAnsi="Times New Roman"/>
          <w:sz w:val="14"/>
          <w:szCs w:val="14"/>
          <w:color w:val="auto"/>
        </w:rPr>
      </w:pPr>
    </w:p>
    <w:p>
      <w:pPr>
        <w:jc w:val="both"/>
        <w:ind w:firstLine="514"/>
        <w:spacing w:after="0" w:line="271" w:lineRule="auto"/>
        <w:tabs>
          <w:tab w:leader="none" w:pos="710" w:val="left"/>
        </w:tabs>
        <w:numPr>
          <w:ilvl w:val="1"/>
          <w:numId w:val="8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Restatement Date</w:t>
      </w:r>
      <w:r>
        <w:rPr>
          <w:rFonts w:ascii="Times New Roman" w:cs="Times New Roman" w:eastAsia="Times New Roman" w:hAnsi="Times New Roman"/>
          <w:sz w:val="14"/>
          <w:szCs w:val="14"/>
          <w:color w:val="auto"/>
        </w:rPr>
        <w:t>” shall mean the earlier to occur of (i) the date the Board, a committee of the Board or the officers of the Company authorized to take such action if Board action is not required, concludes, or reasonably should have concluded, that the Company is required to prepare an Accounting Restatement, or (ii) the date a court, regulator or other legally authorized body directs the Company to prepare an Accounting Restatement, in each case regardless of if or when the restated financial statements are filed.</w:t>
      </w:r>
    </w:p>
    <w:p>
      <w:pPr>
        <w:spacing w:after="0" w:line="133" w:lineRule="exact"/>
        <w:rPr>
          <w:rFonts w:ascii="Times New Roman" w:cs="Times New Roman" w:eastAsia="Times New Roman" w:hAnsi="Times New Roman"/>
          <w:sz w:val="14"/>
          <w:szCs w:val="14"/>
          <w:color w:val="auto"/>
        </w:rPr>
      </w:pPr>
    </w:p>
    <w:p>
      <w:pPr>
        <w:ind w:left="700" w:hanging="185"/>
        <w:spacing w:after="0"/>
        <w:tabs>
          <w:tab w:leader="none" w:pos="700" w:val="left"/>
        </w:tabs>
        <w:numPr>
          <w:ilvl w:val="1"/>
          <w:numId w:val="8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SEC</w:t>
      </w:r>
      <w:r>
        <w:rPr>
          <w:rFonts w:ascii="Times New Roman" w:cs="Times New Roman" w:eastAsia="Times New Roman" w:hAnsi="Times New Roman"/>
          <w:sz w:val="14"/>
          <w:szCs w:val="14"/>
          <w:color w:val="auto"/>
        </w:rPr>
        <w:t>” shall mean the U.S. Securities and Exchange Commission.</w:t>
      </w:r>
    </w:p>
    <w:p>
      <w:pPr>
        <w:spacing w:after="0" w:line="178" w:lineRule="exact"/>
        <w:rPr>
          <w:rFonts w:ascii="Times New Roman" w:cs="Times New Roman" w:eastAsia="Times New Roman" w:hAnsi="Times New Roman"/>
          <w:sz w:val="14"/>
          <w:szCs w:val="14"/>
          <w:color w:val="auto"/>
        </w:rPr>
      </w:pPr>
    </w:p>
    <w:p>
      <w:pPr>
        <w:ind w:left="140" w:hanging="135"/>
        <w:spacing w:after="0"/>
        <w:tabs>
          <w:tab w:leader="none" w:pos="140" w:val="left"/>
        </w:tabs>
        <w:numPr>
          <w:ilvl w:val="0"/>
          <w:numId w:val="8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Required Recovery of Erroneously Awarded Compensation</w:t>
      </w:r>
      <w:r>
        <w:rPr>
          <w:rFonts w:ascii="Times New Roman" w:cs="Times New Roman" w:eastAsia="Times New Roman" w:hAnsi="Times New Roman"/>
          <w:sz w:val="14"/>
          <w:szCs w:val="14"/>
          <w:color w:val="auto"/>
        </w:rPr>
        <w:t>.</w:t>
      </w:r>
    </w:p>
    <w:p>
      <w:pPr>
        <w:spacing w:after="0" w:line="180" w:lineRule="exact"/>
        <w:rPr>
          <w:rFonts w:ascii="Times New Roman" w:cs="Times New Roman" w:eastAsia="Times New Roman" w:hAnsi="Times New Roman"/>
          <w:sz w:val="14"/>
          <w:szCs w:val="14"/>
          <w:color w:val="auto"/>
        </w:rPr>
      </w:pPr>
    </w:p>
    <w:p>
      <w:pPr>
        <w:jc w:val="both"/>
        <w:ind w:firstLine="515"/>
        <w:spacing w:after="0" w:line="264" w:lineRule="auto"/>
        <w:tabs>
          <w:tab w:leader="none" w:pos="709" w:val="left"/>
        </w:tabs>
        <w:numPr>
          <w:ilvl w:val="1"/>
          <w:numId w:val="8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the event the Company is required to prepare an Accounting Restatement, the Committee shall determine the amount of any Erroneously Awarded Compensation for each Executive Officer in connection with such Accounting Restatement, shall thereafter provide each Executive Officer with a written notice containing the amount of Erroneously Awarded Compensation and a demand for repayment or return, as applicable, and shall take all other actions necessary and appropriate to recover such Erroneously Awarded Compensation from the applicable Executive Officers reasonably promptly.</w:t>
      </w:r>
    </w:p>
    <w:p>
      <w:pPr>
        <w:spacing w:after="0" w:line="140" w:lineRule="exact"/>
        <w:rPr>
          <w:rFonts w:ascii="Times New Roman" w:cs="Times New Roman" w:eastAsia="Times New Roman" w:hAnsi="Times New Roman"/>
          <w:sz w:val="14"/>
          <w:szCs w:val="14"/>
          <w:color w:val="auto"/>
        </w:rPr>
      </w:pPr>
    </w:p>
    <w:p>
      <w:pPr>
        <w:jc w:val="both"/>
        <w:ind w:firstLine="515"/>
        <w:spacing w:after="0" w:line="259" w:lineRule="auto"/>
        <w:tabs>
          <w:tab w:leader="none" w:pos="718" w:val="left"/>
        </w:tabs>
        <w:numPr>
          <w:ilvl w:val="1"/>
          <w:numId w:val="8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Committee shall determine, in its sole discretion, the timing and method for recovering Erroneously Awarded Compensation reasonably promptly based on all applicable facts and circumstances and taking into account the time value of money and the cost to shareholders of delaying recovery. Such methods may include, without limitation, (i) seeking reimbursement of all or part of any cash or equity-based award, (ii) cancelling prior cash or equity-based awards, whether vested or unvested or paid or unpaid, (iii) cancelling or offsetting against any planned future cash or equity-based awards, (iv) forfeiture of deferred compensation, subject to compliance with Section 409A of the Internal Revenue Code and the regulations promulgated thereunder, and (v) any other method authorized by applicable law or contract. Subject to compliance with any applicable law, the Committee may effect recovery under this Policy (i) from any amount otherwise payable to the Executive Officer, including amounts payable to such individual under any otherwise applicable Company plan or program, including base salary, bonuses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88265</wp:posOffset>
            </wp:positionV>
            <wp:extent cx="1347470" cy="698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63">
                      <a:extLst>
                        <a:ext uri="{28A0092B-C50C-407E-A947-70E740481C1C}"/>
                      </a:extLst>
                    </a:blip>
                    <a:srcRect/>
                    <a:stretch>
                      <a:fillRect/>
                    </a:stretch>
                  </pic:blipFill>
                  <pic:spPr bwMode="auto">
                    <a:xfrm>
                      <a:off x="0" y="0"/>
                      <a:ext cx="1347470" cy="6985"/>
                    </a:xfrm>
                    <a:prstGeom prst="rect">
                      <a:avLst/>
                    </a:prstGeom>
                    <a:noFill/>
                  </pic:spPr>
                </pic:pic>
              </a:graphicData>
            </a:graphic>
          </wp:anchor>
        </w:drawing>
      </w:r>
    </w:p>
    <w:p>
      <w:pPr>
        <w:spacing w:after="0" w:line="194" w:lineRule="exact"/>
        <w:rPr>
          <w:sz w:val="20"/>
          <w:szCs w:val="20"/>
          <w:color w:val="auto"/>
        </w:rPr>
      </w:pPr>
    </w:p>
    <w:p>
      <w:pPr>
        <w:ind w:right="80" w:firstLine="5"/>
        <w:spacing w:after="0" w:line="236" w:lineRule="auto"/>
        <w:tabs>
          <w:tab w:leader="none" w:pos="73" w:val="left"/>
        </w:tabs>
        <w:numPr>
          <w:ilvl w:val="0"/>
          <w:numId w:val="85"/>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u w:val="single" w:color="auto"/>
          <w:color w:val="auto"/>
        </w:rPr>
        <w:t>Explanatory Note</w:t>
      </w:r>
      <w:r>
        <w:rPr>
          <w:rFonts w:ascii="Times New Roman" w:cs="Times New Roman" w:eastAsia="Times New Roman" w:hAnsi="Times New Roman"/>
          <w:sz w:val="13"/>
          <w:szCs w:val="13"/>
          <w:color w:val="auto"/>
        </w:rPr>
        <w:t>: The Dodd-Frank statutory language specifies that Incentive-Based Compensation to which recovery must apply under a compliant clawback policy “includ[es] stock options awarded as compensation.” Importantly, stock options (and similar equity awards, such as restricted stock, RSUs and SARs) would be treated as Incentive-Based Compensation only if the granting, vesting or earning of the award is based, in whole or in part, on satisfying a Financial Reporting Measure (FRM) performance goal. Therefore, equity awards that are granted irrespective of attaining any FRM performance goal and vest solely on the basis of continued service or the passage of time would not be considered Incentive-Based Compensation. The strike price of an option, on its own, would not make an option Incentive-Based Compensation subject to the clawback policy (even though the option is only in-the-money when the Company’s stock price is above the strike price). In addition, any incentive awards that are granted, earned or vested solely on the basis of whether nonfinancial (e.g., strategic, operational or subjective) measures have been achieved would not be subject to the clawback policy.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w:t>
      </w:r>
    </w:p>
    <w:p>
      <w:pPr>
        <w:sectPr>
          <w:pgSz w:w="11900" w:h="16838" w:orient="portrait"/>
          <w:cols w:equalWidth="0" w:num="1">
            <w:col w:w="11280"/>
          </w:cols>
          <w:pgMar w:left="300" w:top="1310" w:right="319" w:bottom="1440" w:gutter="0" w:footer="0" w:header="0"/>
        </w:sectPr>
      </w:pPr>
    </w:p>
    <w:bookmarkStart w:id="125" w:name="page126"/>
    <w:bookmarkEnd w:id="125"/>
    <w:p>
      <w:pPr>
        <w:jc w:val="both"/>
        <w:spacing w:after="0" w:line="270" w:lineRule="auto"/>
        <w:rPr>
          <w:sz w:val="20"/>
          <w:szCs w:val="20"/>
          <w:color w:val="auto"/>
        </w:rPr>
      </w:pPr>
      <w:r>
        <w:rPr>
          <w:rFonts w:ascii="Times New Roman" w:cs="Times New Roman" w:eastAsia="Times New Roman" w:hAnsi="Times New Roman"/>
          <w:sz w:val="14"/>
          <w:szCs w:val="14"/>
          <w:color w:val="auto"/>
        </w:rPr>
        <w:t>or commissions, and compensation previously deferred by the Executive Officer, and (ii) from any amount of compensation approved, awarded, granted, payable or paid to the Executive Officer prior to, on or after the effective date of the Listing Standards. For the avoidance of doubt, except as set forth in Section 4(d) below, in no event may the Company Group accept an amount that is less than the amount of Erroneously Awarded Compensation in satisfaction of an Executive Officer’s obligations hereunder.</w:t>
      </w:r>
    </w:p>
    <w:p>
      <w:pPr>
        <w:spacing w:after="0" w:line="136" w:lineRule="exact"/>
        <w:rPr>
          <w:sz w:val="20"/>
          <w:szCs w:val="20"/>
          <w:color w:val="auto"/>
        </w:rPr>
      </w:pPr>
    </w:p>
    <w:p>
      <w:pPr>
        <w:jc w:val="both"/>
        <w:ind w:firstLine="515"/>
        <w:spacing w:after="0" w:line="241" w:lineRule="auto"/>
        <w:tabs>
          <w:tab w:leader="none" w:pos="715" w:val="left"/>
        </w:tabs>
        <w:numPr>
          <w:ilvl w:val="1"/>
          <w:numId w:val="8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the extent that an Executive Officer fails to repay all Erroneously Awarded Compensation to the Company Group when due, the Company shall, or shall cause one or more other members of the Company Group to, take all actions reasonable and appropriate to recover such Erroneously Awarded Compensation from the applicable Executive Officer.</w:t>
      </w:r>
      <w:r>
        <w:rPr>
          <w:rFonts w:ascii="Times New Roman" w:cs="Times New Roman" w:eastAsia="Times New Roman" w:hAnsi="Times New Roman"/>
          <w:sz w:val="18"/>
          <w:szCs w:val="18"/>
          <w:color w:val="auto"/>
          <w:vertAlign w:val="superscript"/>
        </w:rPr>
        <w:t>3</w:t>
      </w:r>
      <w:r>
        <w:rPr>
          <w:rFonts w:ascii="Times New Roman" w:cs="Times New Roman" w:eastAsia="Times New Roman" w:hAnsi="Times New Roman"/>
          <w:sz w:val="14"/>
          <w:szCs w:val="14"/>
          <w:color w:val="auto"/>
        </w:rPr>
        <w:t xml:space="preserve"> The applicable Executive Officer shall be required to reimburse the Company Group for any and all expenses reasonably incurred (including legal fees) by the Company Group in recovering such Erroneously Awarded Compensation in accordance with the immediately preceding sentence.</w:t>
      </w:r>
    </w:p>
    <w:p>
      <w:pPr>
        <w:spacing w:after="0" w:line="155" w:lineRule="exact"/>
        <w:rPr>
          <w:rFonts w:ascii="Times New Roman" w:cs="Times New Roman" w:eastAsia="Times New Roman" w:hAnsi="Times New Roman"/>
          <w:sz w:val="14"/>
          <w:szCs w:val="14"/>
          <w:color w:val="auto"/>
        </w:rPr>
      </w:pPr>
    </w:p>
    <w:p>
      <w:pPr>
        <w:ind w:firstLine="515"/>
        <w:spacing w:after="0" w:line="287" w:lineRule="auto"/>
        <w:tabs>
          <w:tab w:leader="none" w:pos="735" w:val="left"/>
        </w:tabs>
        <w:numPr>
          <w:ilvl w:val="1"/>
          <w:numId w:val="8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Notwithstanding anything herein to the contrary, the Company shall not be required to recover Erroneously Awarded Compensation from any Executive Officer if the following conditions are met and the Committee determines that recovery would be impracticable:</w:t>
      </w:r>
    </w:p>
    <w:p>
      <w:pPr>
        <w:spacing w:after="0" w:line="145" w:lineRule="exact"/>
        <w:rPr>
          <w:rFonts w:ascii="Times New Roman" w:cs="Times New Roman" w:eastAsia="Times New Roman" w:hAnsi="Times New Roman"/>
          <w:sz w:val="14"/>
          <w:szCs w:val="14"/>
          <w:color w:val="auto"/>
        </w:rPr>
      </w:pPr>
    </w:p>
    <w:p>
      <w:pPr>
        <w:ind w:left="520" w:firstLine="503"/>
        <w:spacing w:after="0" w:line="287" w:lineRule="auto"/>
        <w:tabs>
          <w:tab w:leader="none" w:pos="1203" w:val="left"/>
        </w:tabs>
        <w:numPr>
          <w:ilvl w:val="2"/>
          <w:numId w:val="8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direct expenses paid to a third party to assist in enforcing the Policy against an Executive Officer would exceed the amount to be recovered, after the Company has made a reasonable attempt to recover the applicable Erroneously Awarded Compensation, documented such attempt(s) and provided such documentation to Nasdaq;</w:t>
      </w:r>
    </w:p>
    <w:p>
      <w:pPr>
        <w:spacing w:after="0" w:line="124" w:lineRule="exact"/>
        <w:rPr>
          <w:rFonts w:ascii="Times New Roman" w:cs="Times New Roman" w:eastAsia="Times New Roman" w:hAnsi="Times New Roman"/>
          <w:sz w:val="14"/>
          <w:szCs w:val="14"/>
          <w:color w:val="auto"/>
        </w:rPr>
      </w:pPr>
    </w:p>
    <w:p>
      <w:pPr>
        <w:ind w:left="520" w:right="460" w:firstLine="503"/>
        <w:spacing w:after="0" w:line="287" w:lineRule="auto"/>
        <w:tabs>
          <w:tab w:leader="none" w:pos="1237" w:val="left"/>
        </w:tabs>
        <w:numPr>
          <w:ilvl w:val="2"/>
          <w:numId w:val="8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Recovery would violate home country law of the Company where that law was adopted prior to November 28, 2022, after the Company has obtained an opinion of home country counsel, acceptable to Nasdaq, that recovery would result in such a violation and a copy of the opinion is provided to Nasdaq; or</w:t>
      </w:r>
    </w:p>
    <w:p>
      <w:pPr>
        <w:spacing w:after="0" w:line="124" w:lineRule="exact"/>
        <w:rPr>
          <w:rFonts w:ascii="Times New Roman" w:cs="Times New Roman" w:eastAsia="Times New Roman" w:hAnsi="Times New Roman"/>
          <w:sz w:val="14"/>
          <w:szCs w:val="14"/>
          <w:color w:val="auto"/>
        </w:rPr>
      </w:pPr>
    </w:p>
    <w:p>
      <w:pPr>
        <w:ind w:left="520" w:firstLine="503"/>
        <w:spacing w:after="0" w:line="287" w:lineRule="auto"/>
        <w:tabs>
          <w:tab w:leader="none" w:pos="1288" w:val="left"/>
        </w:tabs>
        <w:numPr>
          <w:ilvl w:val="2"/>
          <w:numId w:val="8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Recovery would likely cause an otherwise tax-qualified retirement plan, under which benefits are broadly available to employees of the Company Group, to fail to meet the requirements of 26 U.S.C. 401(a)(13) or 26 U.S.C. 411(a) and regulations thereunder.</w:t>
      </w:r>
    </w:p>
    <w:p>
      <w:pPr>
        <w:spacing w:after="0" w:line="122" w:lineRule="exact"/>
        <w:rPr>
          <w:rFonts w:ascii="Times New Roman" w:cs="Times New Roman" w:eastAsia="Times New Roman" w:hAnsi="Times New Roman"/>
          <w:sz w:val="14"/>
          <w:szCs w:val="14"/>
          <w:color w:val="auto"/>
        </w:rPr>
      </w:pPr>
    </w:p>
    <w:p>
      <w:pPr>
        <w:ind w:firstLine="5"/>
        <w:spacing w:after="0" w:line="290" w:lineRule="auto"/>
        <w:tabs>
          <w:tab w:leader="none" w:pos="283" w:val="left"/>
        </w:tabs>
        <w:numPr>
          <w:ilvl w:val="0"/>
          <w:numId w:val="8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Reporting and Disclosure</w:t>
      </w:r>
      <w:r>
        <w:rPr>
          <w:rFonts w:ascii="Times New Roman" w:cs="Times New Roman" w:eastAsia="Times New Roman" w:hAnsi="Times New Roman"/>
          <w:sz w:val="14"/>
          <w:szCs w:val="14"/>
          <w:color w:val="auto"/>
        </w:rPr>
        <w:t>. The Company shall file all disclosures with respect to this Policy in accordance with the requirements of the federal securities laws, including the disclosure required</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by the applicable SEC filings. The Company shall also file a copy of this Policy and any amendments thereto as an exhibit to its annual report on Form 10-K.</w:t>
      </w:r>
    </w:p>
    <w:p>
      <w:pPr>
        <w:spacing w:after="0" w:line="109" w:lineRule="exact"/>
        <w:rPr>
          <w:rFonts w:ascii="Times New Roman" w:cs="Times New Roman" w:eastAsia="Times New Roman" w:hAnsi="Times New Roman"/>
          <w:sz w:val="14"/>
          <w:szCs w:val="14"/>
          <w:color w:val="auto"/>
        </w:rPr>
      </w:pPr>
    </w:p>
    <w:p>
      <w:pPr>
        <w:jc w:val="both"/>
        <w:ind w:firstLine="5"/>
        <w:spacing w:after="0" w:line="262" w:lineRule="auto"/>
        <w:tabs>
          <w:tab w:leader="none" w:pos="163" w:val="left"/>
        </w:tabs>
        <w:numPr>
          <w:ilvl w:val="0"/>
          <w:numId w:val="8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No Indemnification of Executive Officers</w:t>
      </w:r>
      <w:r>
        <w:rPr>
          <w:rFonts w:ascii="Times New Roman" w:cs="Times New Roman" w:eastAsia="Times New Roman" w:hAnsi="Times New Roman"/>
          <w:sz w:val="14"/>
          <w:szCs w:val="14"/>
          <w:color w:val="auto"/>
        </w:rPr>
        <w:t>. Notwithstanding the terms of any indemnification or insurance policy or any contractual arrangement with any Executive Officer that may be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interpreted to the contrary, no member of the Company Group shall be permitted to indemnify any Executive Officer against, or pay or reimburse the premiums for an insurance policy to cover, (i) the loss of any Erroneously Awarded Compensation that is repaid, returned or recovered pursuant to the terms of this Policy, or (ii) any claims relating to the Company Group’s enforcement of its rights under this Policy. Further, no member of the Company Group shall enter into any agreement that exempts any Incentive-Based Compensation from the application of this Policy or that waives the Company Group’s right to recovery of any Erroneously Awarded Compensation, and this Policy shall supersede any such agreement (whether entered into before, on or after the Effective Date).</w:t>
      </w:r>
    </w:p>
    <w:p>
      <w:pPr>
        <w:spacing w:after="0" w:line="139" w:lineRule="exact"/>
        <w:rPr>
          <w:rFonts w:ascii="Times New Roman" w:cs="Times New Roman" w:eastAsia="Times New Roman" w:hAnsi="Times New Roman"/>
          <w:sz w:val="14"/>
          <w:szCs w:val="14"/>
          <w:color w:val="auto"/>
        </w:rPr>
      </w:pPr>
    </w:p>
    <w:p>
      <w:pPr>
        <w:ind w:firstLine="5"/>
        <w:spacing w:after="0" w:line="290" w:lineRule="auto"/>
        <w:tabs>
          <w:tab w:leader="none" w:pos="258" w:val="left"/>
        </w:tabs>
        <w:numPr>
          <w:ilvl w:val="0"/>
          <w:numId w:val="8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Committee Indemnification</w:t>
      </w:r>
      <w:r>
        <w:rPr>
          <w:rFonts w:ascii="Times New Roman" w:cs="Times New Roman" w:eastAsia="Times New Roman" w:hAnsi="Times New Roman"/>
          <w:sz w:val="14"/>
          <w:szCs w:val="14"/>
          <w:color w:val="auto"/>
        </w:rPr>
        <w:t>. Any members of the Committee, and any other members of the Board who assist in the administration of this Policy, shall not be personally liable for any action,</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determination or interpretation made with respect to this Policy and shall be fully indemnified by the Company to the fullest extent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1347470" cy="698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64">
                      <a:extLst>
                        <a:ext uri="{28A0092B-C50C-407E-A947-70E740481C1C}"/>
                      </a:extLst>
                    </a:blip>
                    <a:srcRect/>
                    <a:stretch>
                      <a:fillRect/>
                    </a:stretch>
                  </pic:blipFill>
                  <pic:spPr bwMode="auto">
                    <a:xfrm>
                      <a:off x="0" y="0"/>
                      <a:ext cx="1347470" cy="6985"/>
                    </a:xfrm>
                    <a:prstGeom prst="rect">
                      <a:avLst/>
                    </a:prstGeom>
                    <a:noFill/>
                  </pic:spPr>
                </pic:pic>
              </a:graphicData>
            </a:graphic>
          </wp:anchor>
        </w:drawing>
      </w:r>
    </w:p>
    <w:p>
      <w:pPr>
        <w:spacing w:after="0" w:line="170" w:lineRule="exact"/>
        <w:rPr>
          <w:sz w:val="20"/>
          <w:szCs w:val="20"/>
          <w:color w:val="auto"/>
        </w:rPr>
      </w:pPr>
    </w:p>
    <w:p>
      <w:pPr>
        <w:ind w:right="20" w:firstLine="5"/>
        <w:spacing w:after="0" w:line="224" w:lineRule="auto"/>
        <w:tabs>
          <w:tab w:leader="none" w:pos="73" w:val="left"/>
        </w:tabs>
        <w:numPr>
          <w:ilvl w:val="0"/>
          <w:numId w:val="88"/>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u w:val="single" w:color="auto"/>
          <w:color w:val="auto"/>
        </w:rPr>
        <w:t>Explanatory Note</w:t>
      </w:r>
      <w:r>
        <w:rPr>
          <w:rFonts w:ascii="Times New Roman" w:cs="Times New Roman" w:eastAsia="Times New Roman" w:hAnsi="Times New Roman"/>
          <w:sz w:val="13"/>
          <w:szCs w:val="13"/>
          <w:color w:val="auto"/>
        </w:rPr>
        <w:t>: Unpaid amounts will be subject to public disclosure in the Company’s proxy statement, including (i) the aggregate dollar amount of Erroneously Awarded Compensation that remains outstanding at the end of the last completed fiscal year and (ii) for each current and former Named Executive Officer, the dollar amount of outstanding Erroneously Awarded Compensation still owed that had been outstanding for 180 days or longer since the date the Company determined the amount the officer owed.</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w:t>
      </w:r>
    </w:p>
    <w:p>
      <w:pPr>
        <w:sectPr>
          <w:pgSz w:w="11900" w:h="16838" w:orient="portrait"/>
          <w:cols w:equalWidth="0" w:num="1">
            <w:col w:w="11280"/>
          </w:cols>
          <w:pgMar w:left="300" w:top="1313" w:right="319" w:bottom="1440" w:gutter="0" w:footer="0" w:header="0"/>
        </w:sectPr>
      </w:pPr>
    </w:p>
    <w:bookmarkStart w:id="126" w:name="page127"/>
    <w:bookmarkEnd w:id="126"/>
    <w:p>
      <w:pPr>
        <w:spacing w:after="0" w:line="287" w:lineRule="auto"/>
        <w:rPr>
          <w:sz w:val="20"/>
          <w:szCs w:val="20"/>
          <w:color w:val="auto"/>
        </w:rPr>
      </w:pPr>
      <w:r>
        <w:rPr>
          <w:rFonts w:ascii="Times New Roman" w:cs="Times New Roman" w:eastAsia="Times New Roman" w:hAnsi="Times New Roman"/>
          <w:sz w:val="14"/>
          <w:szCs w:val="14"/>
          <w:color w:val="auto"/>
        </w:rPr>
        <w:t>under applicable law and Company policy with respect to any such action, determination or interpretation. The foregoing sentence shall not limit any other rights to indemnification of the members of the Board under applicable law or Company policy.</w:t>
      </w:r>
    </w:p>
    <w:p>
      <w:pPr>
        <w:spacing w:after="0" w:line="122" w:lineRule="exact"/>
        <w:rPr>
          <w:sz w:val="20"/>
          <w:szCs w:val="20"/>
          <w:color w:val="auto"/>
        </w:rPr>
      </w:pPr>
    </w:p>
    <w:p>
      <w:pPr>
        <w:ind w:left="140" w:hanging="135"/>
        <w:spacing w:after="0"/>
        <w:tabs>
          <w:tab w:leader="none" w:pos="140" w:val="left"/>
        </w:tabs>
        <w:numPr>
          <w:ilvl w:val="0"/>
          <w:numId w:val="8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Effective Date</w:t>
      </w:r>
      <w:r>
        <w:rPr>
          <w:rFonts w:ascii="Times New Roman" w:cs="Times New Roman" w:eastAsia="Times New Roman" w:hAnsi="Times New Roman"/>
          <w:sz w:val="14"/>
          <w:szCs w:val="14"/>
          <w:color w:val="auto"/>
        </w:rPr>
        <w:t>. This Policy shall be effective as of the Effective Date.</w:t>
      </w:r>
    </w:p>
    <w:p>
      <w:pPr>
        <w:spacing w:after="0" w:line="178" w:lineRule="exact"/>
        <w:rPr>
          <w:rFonts w:ascii="Times New Roman" w:cs="Times New Roman" w:eastAsia="Times New Roman" w:hAnsi="Times New Roman"/>
          <w:sz w:val="14"/>
          <w:szCs w:val="14"/>
          <w:color w:val="auto"/>
        </w:rPr>
      </w:pPr>
    </w:p>
    <w:p>
      <w:pPr>
        <w:jc w:val="both"/>
        <w:ind w:firstLine="5"/>
        <w:spacing w:after="0" w:line="260" w:lineRule="auto"/>
        <w:tabs>
          <w:tab w:leader="none" w:pos="141" w:val="left"/>
        </w:tabs>
        <w:numPr>
          <w:ilvl w:val="0"/>
          <w:numId w:val="8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Amendment</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 xml:space="preserve"> Termination</w:t>
      </w:r>
      <w:r>
        <w:rPr>
          <w:rFonts w:ascii="Times New Roman" w:cs="Times New Roman" w:eastAsia="Times New Roman" w:hAnsi="Times New Roman"/>
          <w:sz w:val="14"/>
          <w:szCs w:val="14"/>
          <w:color w:val="auto"/>
        </w:rPr>
        <w:t>. The Committee may amend, modify, supplement, rescind or replace all or any portion of this Policy at any time and from time to time in its discretion and shall amend</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this Policy as it deems necessary, including as and when it determines that it is legally required by any federal securities laws, SEC rule or the rules of any national securities exchange or national securities association on which the Company’s securities are listed. The Committee may terminate this Policy at any time. Notwithstanding anything in this Section 9 to the contrary, no amendment or termination of this Policy shall be effective if such amendment or termination would (after taking into account any actions taken by the Company contemporaneously with such amendment or termination) cause the Company to violate any federal securities laws, SEC rule or the rules of any national securities exchange or national securities association on which the Company’s securities are listed.</w:t>
      </w:r>
    </w:p>
    <w:p>
      <w:pPr>
        <w:spacing w:after="0" w:line="141" w:lineRule="exact"/>
        <w:rPr>
          <w:rFonts w:ascii="Times New Roman" w:cs="Times New Roman" w:eastAsia="Times New Roman" w:hAnsi="Times New Roman"/>
          <w:sz w:val="14"/>
          <w:szCs w:val="14"/>
          <w:color w:val="auto"/>
        </w:rPr>
      </w:pPr>
    </w:p>
    <w:p>
      <w:pPr>
        <w:ind w:left="220" w:hanging="215"/>
        <w:spacing w:after="0"/>
        <w:tabs>
          <w:tab w:leader="none" w:pos="220" w:val="left"/>
        </w:tabs>
        <w:numPr>
          <w:ilvl w:val="0"/>
          <w:numId w:val="8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Other Recoupment Rights; Company Claims</w:t>
      </w:r>
      <w:r>
        <w:rPr>
          <w:rFonts w:ascii="Times New Roman" w:cs="Times New Roman" w:eastAsia="Times New Roman" w:hAnsi="Times New Roman"/>
          <w:sz w:val="14"/>
          <w:szCs w:val="14"/>
          <w:color w:val="auto"/>
        </w:rPr>
        <w:t>.</w:t>
      </w:r>
    </w:p>
    <w:p>
      <w:pPr>
        <w:spacing w:after="0" w:line="180" w:lineRule="exact"/>
        <w:rPr>
          <w:rFonts w:ascii="Times New Roman" w:cs="Times New Roman" w:eastAsia="Times New Roman" w:hAnsi="Times New Roman"/>
          <w:sz w:val="14"/>
          <w:szCs w:val="14"/>
          <w:color w:val="auto"/>
        </w:rPr>
      </w:pPr>
    </w:p>
    <w:p>
      <w:pPr>
        <w:jc w:val="both"/>
        <w:ind w:firstLine="514"/>
        <w:spacing w:after="0" w:line="266" w:lineRule="auto"/>
        <w:tabs>
          <w:tab w:leader="none" w:pos="834" w:val="left"/>
        </w:tabs>
        <w:numPr>
          <w:ilvl w:val="2"/>
          <w:numId w:val="8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Committee intends that this Policy will be applied to the fullest extent of the law and with respect to all Incentive-Based Compensation granted to an Executive Officer, whether pursuant to a pre-existing contract or arrangement, or one that is entered into after the Effective Date. Any right of recoupment under this Policy is in addition to, and not in lieu of, any other remedies or rights of recoupment that may be available to the Company Group under applicable law, regulation or rule or pursuant to the terms of any similar policy in any employment agreement, equity award agreement or similar agreement and any other legal remedies available to the Company Group.</w:t>
      </w:r>
      <w:r>
        <w:rPr>
          <w:rFonts w:ascii="Times New Roman" w:cs="Times New Roman" w:eastAsia="Times New Roman" w:hAnsi="Times New Roman"/>
          <w:sz w:val="18"/>
          <w:szCs w:val="18"/>
          <w:color w:val="auto"/>
          <w:vertAlign w:val="superscript"/>
        </w:rPr>
        <w:t>4</w:t>
      </w:r>
    </w:p>
    <w:p>
      <w:pPr>
        <w:spacing w:after="0" w:line="73" w:lineRule="exact"/>
        <w:rPr>
          <w:rFonts w:ascii="Times New Roman" w:cs="Times New Roman" w:eastAsia="Times New Roman" w:hAnsi="Times New Roman"/>
          <w:sz w:val="14"/>
          <w:szCs w:val="14"/>
          <w:color w:val="auto"/>
        </w:rPr>
      </w:pPr>
    </w:p>
    <w:p>
      <w:pPr>
        <w:ind w:firstLine="166"/>
        <w:spacing w:after="0" w:line="287" w:lineRule="auto"/>
        <w:tabs>
          <w:tab w:leader="none" w:pos="488" w:val="left"/>
        </w:tabs>
        <w:numPr>
          <w:ilvl w:val="1"/>
          <w:numId w:val="8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Nothing contained in this Policy, and no recoupment or recovery as contemplated by this Policy, shall limit any claims, damages or other legal remedies the Company or any of its affiliates may have against an Executive Officer arising out of or resulting from any actions or omissions by the Executive Officer.</w:t>
      </w:r>
    </w:p>
    <w:p>
      <w:pPr>
        <w:spacing w:after="0" w:line="122" w:lineRule="exact"/>
        <w:rPr>
          <w:rFonts w:ascii="Times New Roman" w:cs="Times New Roman" w:eastAsia="Times New Roman" w:hAnsi="Times New Roman"/>
          <w:sz w:val="14"/>
          <w:szCs w:val="14"/>
          <w:color w:val="auto"/>
        </w:rPr>
      </w:pPr>
    </w:p>
    <w:p>
      <w:pPr>
        <w:ind w:left="220" w:hanging="215"/>
        <w:spacing w:after="0"/>
        <w:tabs>
          <w:tab w:leader="none" w:pos="220" w:val="left"/>
        </w:tabs>
        <w:numPr>
          <w:ilvl w:val="0"/>
          <w:numId w:val="8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Successors</w:t>
      </w:r>
      <w:r>
        <w:rPr>
          <w:rFonts w:ascii="Times New Roman" w:cs="Times New Roman" w:eastAsia="Times New Roman" w:hAnsi="Times New Roman"/>
          <w:sz w:val="14"/>
          <w:szCs w:val="14"/>
          <w:color w:val="auto"/>
        </w:rPr>
        <w:t>. This Policy shall be binding and enforceable against all Executive Officers and their beneficiaries, heirs, executors, administrators or other legal representatives.</w:t>
      </w:r>
    </w:p>
    <w:p>
      <w:pPr>
        <w:spacing w:after="0" w:line="180" w:lineRule="exact"/>
        <w:rPr>
          <w:rFonts w:ascii="Times New Roman" w:cs="Times New Roman" w:eastAsia="Times New Roman" w:hAnsi="Times New Roman"/>
          <w:sz w:val="14"/>
          <w:szCs w:val="14"/>
          <w:color w:val="auto"/>
        </w:rPr>
      </w:pPr>
    </w:p>
    <w:p>
      <w:pPr>
        <w:ind w:left="276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230505</wp:posOffset>
            </wp:positionV>
            <wp:extent cx="1347470" cy="698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65">
                      <a:extLst>
                        <a:ext uri="{28A0092B-C50C-407E-A947-70E740481C1C}"/>
                      </a:extLst>
                    </a:blip>
                    <a:srcRect/>
                    <a:stretch>
                      <a:fillRect/>
                    </a:stretch>
                  </pic:blipFill>
                  <pic:spPr bwMode="auto">
                    <a:xfrm>
                      <a:off x="0" y="0"/>
                      <a:ext cx="1347470" cy="6985"/>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ind w:right="120" w:firstLine="5"/>
        <w:spacing w:after="0" w:line="224" w:lineRule="auto"/>
        <w:tabs>
          <w:tab w:leader="none" w:pos="73" w:val="left"/>
        </w:tabs>
        <w:numPr>
          <w:ilvl w:val="0"/>
          <w:numId w:val="90"/>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u w:val="single" w:color="auto"/>
          <w:color w:val="auto"/>
        </w:rPr>
        <w:t>Explanatory Note</w:t>
      </w:r>
      <w:r>
        <w:rPr>
          <w:rFonts w:ascii="Times New Roman" w:cs="Times New Roman" w:eastAsia="Times New Roman" w:hAnsi="Times New Roman"/>
          <w:sz w:val="13"/>
          <w:szCs w:val="13"/>
          <w:color w:val="auto"/>
        </w:rPr>
        <w:t>: In circumstances in which both the Dodd-Frank and SOX Section 304 clawback provisions could provide for recovery of the same Incentive-Based Compensation, if an Executive Officer reimburses the Company pursuant to SOX, the amount recoverable under the Company’s Dodd-Frank clawback policy should be deducted by the amount of the reimbursement. The SEC notes that recovery under the Company’s Dodd-Frank clawback policy would not preclude recovery under SOX to the extent any applicable amounts have not been reimbursed to the Company.</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w:t>
      </w:r>
    </w:p>
    <w:p>
      <w:pPr>
        <w:sectPr>
          <w:pgSz w:w="11900" w:h="16838" w:orient="portrait"/>
          <w:cols w:equalWidth="0" w:num="1">
            <w:col w:w="11280"/>
          </w:cols>
          <w:pgMar w:left="300" w:top="1313" w:right="319" w:bottom="1440" w:gutter="0" w:footer="0" w:header="0"/>
        </w:sectPr>
      </w:pPr>
    </w:p>
    <w:bookmarkStart w:id="127" w:name="page128"/>
    <w:bookmarkEnd w:id="127"/>
    <w:p>
      <w:pPr>
        <w:ind w:left="2960"/>
        <w:spacing w:after="0"/>
        <w:rPr>
          <w:sz w:val="20"/>
          <w:szCs w:val="20"/>
          <w:color w:val="auto"/>
        </w:rPr>
      </w:pPr>
      <w:r>
        <w:rPr>
          <w:rFonts w:ascii="Times New Roman" w:cs="Times New Roman" w:eastAsia="Times New Roman" w:hAnsi="Times New Roman"/>
          <w:sz w:val="14"/>
          <w:szCs w:val="14"/>
          <w:b w:val="1"/>
          <w:bCs w:val="1"/>
          <w:color w:val="auto"/>
        </w:rPr>
        <w:t>Exhibit A</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LIFEVANTAGE CORPORATION POLICY FOR THE</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RECOVERY OF ERRONEOUSLY AWARDED COMPENSATION</w:t>
      </w:r>
    </w:p>
    <w:p>
      <w:pPr>
        <w:spacing w:after="0" w:line="162" w:lineRule="exact"/>
        <w:rPr>
          <w:sz w:val="20"/>
          <w:szCs w:val="20"/>
          <w:color w:val="auto"/>
        </w:rPr>
      </w:pPr>
    </w:p>
    <w:p>
      <w:pPr>
        <w:ind w:left="2080"/>
        <w:spacing w:after="0"/>
        <w:rPr>
          <w:sz w:val="20"/>
          <w:szCs w:val="20"/>
          <w:color w:val="auto"/>
        </w:rPr>
      </w:pPr>
      <w:r>
        <w:rPr>
          <w:rFonts w:ascii="Times New Roman" w:cs="Times New Roman" w:eastAsia="Times New Roman" w:hAnsi="Times New Roman"/>
          <w:sz w:val="14"/>
          <w:szCs w:val="14"/>
          <w:b w:val="1"/>
          <w:bCs w:val="1"/>
          <w:color w:val="auto"/>
        </w:rPr>
        <w:t>ACKNOWLEDGMENT FORM</w:t>
      </w:r>
    </w:p>
    <w:p>
      <w:pPr>
        <w:spacing w:after="0" w:line="18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By signing below, the undersigned acknowledges and confirms that the undersigned has received and reviewed a copy of the LifeVantage Corporation Policy for the Recovery of Erroneously Awarded Compensation (as may be amended, restated, supplemented or otherwise modified from time to time, the “</w:t>
      </w:r>
      <w:r>
        <w:rPr>
          <w:rFonts w:ascii="Times New Roman" w:cs="Times New Roman" w:eastAsia="Times New Roman" w:hAnsi="Times New Roman"/>
          <w:sz w:val="14"/>
          <w:szCs w:val="14"/>
          <w:b w:val="1"/>
          <w:bCs w:val="1"/>
          <w:i w:val="1"/>
          <w:iCs w:val="1"/>
          <w:color w:val="auto"/>
        </w:rPr>
        <w:t>Policy</w:t>
      </w:r>
      <w:r>
        <w:rPr>
          <w:rFonts w:ascii="Times New Roman" w:cs="Times New Roman" w:eastAsia="Times New Roman" w:hAnsi="Times New Roman"/>
          <w:sz w:val="14"/>
          <w:szCs w:val="14"/>
          <w:color w:val="auto"/>
        </w:rPr>
        <w:t>”). Capitalized terms used but not otherwise defined in this Acknowledgment Form (this “</w:t>
      </w:r>
      <w:r>
        <w:rPr>
          <w:rFonts w:ascii="Times New Roman" w:cs="Times New Roman" w:eastAsia="Times New Roman" w:hAnsi="Times New Roman"/>
          <w:sz w:val="14"/>
          <w:szCs w:val="14"/>
          <w:b w:val="1"/>
          <w:bCs w:val="1"/>
          <w:i w:val="1"/>
          <w:iCs w:val="1"/>
          <w:color w:val="auto"/>
        </w:rPr>
        <w:t>Acknowledgment Form</w:t>
      </w:r>
      <w:r>
        <w:rPr>
          <w:rFonts w:ascii="Times New Roman" w:cs="Times New Roman" w:eastAsia="Times New Roman" w:hAnsi="Times New Roman"/>
          <w:sz w:val="14"/>
          <w:szCs w:val="14"/>
          <w:color w:val="auto"/>
        </w:rPr>
        <w:t>”) shall have the meanings ascribed to such terms in the Policy.</w:t>
      </w:r>
    </w:p>
    <w:p>
      <w:pPr>
        <w:spacing w:after="0" w:line="13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By signing this Acknowledgment Form, the undersigned acknowledges and agrees that the undersigned is and will continue to be subject to the Policy and that the Policy will apply both during and after the undersigned’s employment with the Company Group. Further, by signing below, the undersigned agrees to abide by the terms of the Policy, including, without limitation, by promptly returning any Erroneously Awarded Compensation (as defined in the Policy) to the Company Group to the extent required by, and in a manner permitted by, the Policy. In the event of any inconsistency between the Policy and the terms of any employment agreement to which the undersigned is a party, or the terms of any compensation plan, program or agreement under which any compensation has been granted, awarded, earned or paid, the terms of the Policy shall govern.</w:t>
      </w:r>
    </w:p>
    <w:p>
      <w:pPr>
        <w:spacing w:after="0" w:line="398" w:lineRule="exact"/>
        <w:rPr>
          <w:sz w:val="20"/>
          <w:szCs w:val="20"/>
          <w:color w:val="auto"/>
        </w:rPr>
      </w:pPr>
    </w:p>
    <w:p>
      <w:pPr>
        <w:ind w:left="3060"/>
        <w:spacing w:after="0"/>
        <w:rPr>
          <w:sz w:val="20"/>
          <w:szCs w:val="20"/>
          <w:color w:val="auto"/>
        </w:rPr>
      </w:pPr>
      <w:r>
        <w:rPr>
          <w:rFonts w:ascii="Times New Roman" w:cs="Times New Roman" w:eastAsia="Times New Roman" w:hAnsi="Times New Roman"/>
          <w:sz w:val="14"/>
          <w:szCs w:val="14"/>
          <w:color w:val="auto"/>
        </w:rPr>
        <w:t>________________________________ Signature</w:t>
      </w:r>
    </w:p>
    <w:p>
      <w:pPr>
        <w:spacing w:after="0" w:line="200" w:lineRule="exact"/>
        <w:rPr>
          <w:sz w:val="20"/>
          <w:szCs w:val="20"/>
          <w:color w:val="auto"/>
        </w:rPr>
      </w:pPr>
    </w:p>
    <w:p>
      <w:pPr>
        <w:ind w:left="3060"/>
        <w:spacing w:after="0"/>
        <w:rPr>
          <w:sz w:val="20"/>
          <w:szCs w:val="20"/>
          <w:color w:val="auto"/>
        </w:rPr>
      </w:pPr>
      <w:r>
        <w:rPr>
          <w:rFonts w:ascii="Times New Roman" w:cs="Times New Roman" w:eastAsia="Times New Roman" w:hAnsi="Times New Roman"/>
          <w:sz w:val="14"/>
          <w:szCs w:val="14"/>
          <w:color w:val="auto"/>
        </w:rPr>
        <w:t>________________________________</w:t>
      </w:r>
    </w:p>
    <w:p>
      <w:pPr>
        <w:spacing w:after="0" w:line="23" w:lineRule="exact"/>
        <w:rPr>
          <w:sz w:val="20"/>
          <w:szCs w:val="20"/>
          <w:color w:val="auto"/>
        </w:rPr>
      </w:pPr>
    </w:p>
    <w:p>
      <w:pPr>
        <w:ind w:left="3060"/>
        <w:spacing w:after="0"/>
        <w:rPr>
          <w:sz w:val="20"/>
          <w:szCs w:val="20"/>
          <w:color w:val="auto"/>
        </w:rPr>
      </w:pPr>
      <w:r>
        <w:rPr>
          <w:rFonts w:ascii="Times New Roman" w:cs="Times New Roman" w:eastAsia="Times New Roman" w:hAnsi="Times New Roman"/>
          <w:sz w:val="14"/>
          <w:szCs w:val="14"/>
          <w:color w:val="auto"/>
        </w:rPr>
        <w:t>Print Name</w:t>
      </w:r>
    </w:p>
    <w:p>
      <w:pPr>
        <w:spacing w:after="0" w:line="185" w:lineRule="exact"/>
        <w:rPr>
          <w:sz w:val="20"/>
          <w:szCs w:val="20"/>
          <w:color w:val="auto"/>
        </w:rPr>
      </w:pPr>
    </w:p>
    <w:p>
      <w:pPr>
        <w:ind w:left="3060"/>
        <w:spacing w:after="0"/>
        <w:rPr>
          <w:sz w:val="20"/>
          <w:szCs w:val="20"/>
          <w:color w:val="auto"/>
        </w:rPr>
      </w:pPr>
      <w:r>
        <w:rPr>
          <w:rFonts w:ascii="Times New Roman" w:cs="Times New Roman" w:eastAsia="Times New Roman" w:hAnsi="Times New Roman"/>
          <w:sz w:val="14"/>
          <w:szCs w:val="14"/>
          <w:color w:val="auto"/>
        </w:rPr>
        <w:t>________________________________</w:t>
      </w:r>
    </w:p>
    <w:p>
      <w:pPr>
        <w:spacing w:after="0" w:line="23" w:lineRule="exact"/>
        <w:rPr>
          <w:sz w:val="20"/>
          <w:szCs w:val="20"/>
          <w:color w:val="auto"/>
        </w:rPr>
      </w:pPr>
    </w:p>
    <w:p>
      <w:pPr>
        <w:ind w:left="3060"/>
        <w:spacing w:after="0"/>
        <w:rPr>
          <w:sz w:val="20"/>
          <w:szCs w:val="20"/>
          <w:color w:val="auto"/>
        </w:rPr>
      </w:pPr>
      <w:r>
        <w:rPr>
          <w:rFonts w:ascii="Times New Roman" w:cs="Times New Roman" w:eastAsia="Times New Roman" w:hAnsi="Times New Roman"/>
          <w:sz w:val="14"/>
          <w:szCs w:val="14"/>
          <w:color w:val="auto"/>
        </w:rPr>
        <w:t>Title</w:t>
      </w:r>
    </w:p>
    <w:p>
      <w:pPr>
        <w:spacing w:after="0" w:line="185" w:lineRule="exact"/>
        <w:rPr>
          <w:sz w:val="20"/>
          <w:szCs w:val="20"/>
          <w:color w:val="auto"/>
        </w:rPr>
      </w:pPr>
    </w:p>
    <w:p>
      <w:pPr>
        <w:ind w:left="3060"/>
        <w:spacing w:after="0"/>
        <w:rPr>
          <w:sz w:val="20"/>
          <w:szCs w:val="20"/>
          <w:color w:val="auto"/>
        </w:rPr>
      </w:pPr>
      <w:r>
        <w:rPr>
          <w:rFonts w:ascii="Times New Roman" w:cs="Times New Roman" w:eastAsia="Times New Roman" w:hAnsi="Times New Roman"/>
          <w:sz w:val="14"/>
          <w:szCs w:val="14"/>
          <w:color w:val="auto"/>
        </w:rPr>
        <w:t>________________________________</w:t>
      </w:r>
    </w:p>
    <w:p>
      <w:pPr>
        <w:spacing w:after="0" w:line="23" w:lineRule="exact"/>
        <w:rPr>
          <w:sz w:val="20"/>
          <w:szCs w:val="20"/>
          <w:color w:val="auto"/>
        </w:rPr>
      </w:pPr>
    </w:p>
    <w:p>
      <w:pPr>
        <w:ind w:left="3060"/>
        <w:spacing w:after="0"/>
        <w:rPr>
          <w:sz w:val="20"/>
          <w:szCs w:val="20"/>
          <w:color w:val="auto"/>
        </w:rPr>
      </w:pPr>
      <w:r>
        <w:rPr>
          <w:rFonts w:ascii="Times New Roman" w:cs="Times New Roman" w:eastAsia="Times New Roman" w:hAnsi="Times New Roman"/>
          <w:sz w:val="14"/>
          <w:szCs w:val="14"/>
          <w:color w:val="auto"/>
        </w:rPr>
        <w:t>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w:t>
      </w:r>
    </w:p>
    <w:sectPr>
      <w:pgSz w:w="11900" w:h="16838" w:orient="portrait"/>
      <w:cols w:equalWidth="0" w:num="1">
        <w:col w:w="11280"/>
      </w:cols>
      <w:pgMar w:left="300" w:top="1141"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A6D8D3C"/>
    <w:multiLevelType w:val="hybridMultilevel"/>
    <w:lvl w:ilvl="0">
      <w:lvlJc w:val="left"/>
      <w:lvlText w:val="☒"/>
      <w:numFmt w:val="bullet"/>
      <w:start w:val="1"/>
    </w:lvl>
  </w:abstractNum>
  <w:abstractNum w:abstractNumId="1">
    <w:nsid w:val="4B588F54"/>
    <w:multiLevelType w:val="hybridMultilevel"/>
    <w:lvl w:ilvl="0">
      <w:lvlJc w:val="left"/>
      <w:lvlText w:val="☐"/>
      <w:numFmt w:val="bullet"/>
      <w:start w:val="1"/>
    </w:lvl>
  </w:abstractNum>
  <w:abstractNum w:abstractNumId="2">
    <w:nsid w:val="542289EC"/>
    <w:multiLevelType w:val="hybridMultilevel"/>
    <w:lvl w:ilvl="0">
      <w:lvlJc w:val="left"/>
      <w:lvlText w:val="•"/>
      <w:numFmt w:val="bullet"/>
      <w:start w:val="1"/>
    </w:lvl>
  </w:abstractNum>
  <w:abstractNum w:abstractNumId="3">
    <w:nsid w:val="6DE91B18"/>
    <w:multiLevelType w:val="hybridMultilevel"/>
    <w:lvl w:ilvl="0">
      <w:lvlJc w:val="left"/>
      <w:lvlText w:val="•"/>
      <w:numFmt w:val="bullet"/>
      <w:start w:val="1"/>
    </w:lvl>
  </w:abstractNum>
  <w:abstractNum w:abstractNumId="4">
    <w:nsid w:val="38437FDB"/>
    <w:multiLevelType w:val="hybridMultilevel"/>
    <w:lvl w:ilvl="0">
      <w:lvlJc w:val="left"/>
      <w:lvlText w:val="•"/>
      <w:numFmt w:val="bullet"/>
      <w:start w:val="1"/>
    </w:lvl>
  </w:abstractNum>
  <w:abstractNum w:abstractNumId="5">
    <w:nsid w:val="7644A45C"/>
    <w:multiLevelType w:val="hybridMultilevel"/>
    <w:lvl w:ilvl="0">
      <w:lvlJc w:val="left"/>
      <w:lvlText w:val="•"/>
      <w:numFmt w:val="bullet"/>
      <w:start w:val="1"/>
    </w:lvl>
  </w:abstractNum>
  <w:abstractNum w:abstractNumId="6">
    <w:nsid w:val="32FFF902"/>
    <w:multiLevelType w:val="hybridMultilevel"/>
    <w:lvl w:ilvl="0">
      <w:lvlJc w:val="left"/>
      <w:lvlText w:val="•"/>
      <w:numFmt w:val="bullet"/>
      <w:start w:val="1"/>
    </w:lvl>
  </w:abstractNum>
  <w:abstractNum w:abstractNumId="7">
    <w:nsid w:val="684A481A"/>
    <w:multiLevelType w:val="hybridMultilevel"/>
    <w:lvl w:ilvl="0">
      <w:lvlJc w:val="left"/>
      <w:lvlText w:val="•"/>
      <w:numFmt w:val="bullet"/>
      <w:start w:val="1"/>
    </w:lvl>
  </w:abstractNum>
  <w:abstractNum w:abstractNumId="8">
    <w:nsid w:val="579478FE"/>
    <w:multiLevelType w:val="hybridMultilevel"/>
    <w:lvl w:ilvl="0">
      <w:lvlJc w:val="left"/>
      <w:lvlText w:val="•"/>
      <w:numFmt w:val="bullet"/>
      <w:start w:val="1"/>
    </w:lvl>
  </w:abstractNum>
  <w:abstractNum w:abstractNumId="9">
    <w:nsid w:val="749ABB43"/>
    <w:multiLevelType w:val="hybridMultilevel"/>
    <w:lvl w:ilvl="0">
      <w:lvlJc w:val="left"/>
      <w:lvlText w:val="•"/>
      <w:numFmt w:val="bullet"/>
      <w:start w:val="1"/>
    </w:lvl>
  </w:abstractNum>
  <w:abstractNum w:abstractNumId="10">
    <w:nsid w:val="3DC240FB"/>
    <w:multiLevelType w:val="hybridMultilevel"/>
    <w:lvl w:ilvl="0">
      <w:lvlJc w:val="left"/>
      <w:lvlText w:val="•"/>
      <w:numFmt w:val="bullet"/>
      <w:start w:val="1"/>
    </w:lvl>
  </w:abstractNum>
  <w:abstractNum w:abstractNumId="11">
    <w:nsid w:val="1BA026FA"/>
    <w:multiLevelType w:val="hybridMultilevel"/>
    <w:lvl w:ilvl="0">
      <w:lvlJc w:val="left"/>
      <w:lvlText w:val="•"/>
      <w:numFmt w:val="bullet"/>
      <w:start w:val="1"/>
    </w:lvl>
  </w:abstractNum>
  <w:abstractNum w:abstractNumId="12">
    <w:nsid w:val="79A1DEAA"/>
    <w:multiLevelType w:val="hybridMultilevel"/>
    <w:lvl w:ilvl="0">
      <w:lvlJc w:val="left"/>
      <w:lvlText w:val="•"/>
      <w:numFmt w:val="bullet"/>
      <w:start w:val="1"/>
    </w:lvl>
  </w:abstractNum>
  <w:abstractNum w:abstractNumId="13">
    <w:nsid w:val="75C6C33A"/>
    <w:multiLevelType w:val="hybridMultilevel"/>
    <w:lvl w:ilvl="0">
      <w:lvlJc w:val="left"/>
      <w:lvlText w:val="•"/>
      <w:numFmt w:val="bullet"/>
      <w:start w:val="1"/>
    </w:lvl>
  </w:abstractNum>
  <w:abstractNum w:abstractNumId="14">
    <w:nsid w:val="12E685FB"/>
    <w:multiLevelType w:val="hybridMultilevel"/>
    <w:lvl w:ilvl="0">
      <w:lvlJc w:val="left"/>
      <w:lvlText w:val="•"/>
      <w:numFmt w:val="bullet"/>
      <w:start w:val="1"/>
    </w:lvl>
  </w:abstractNum>
  <w:abstractNum w:abstractNumId="15">
    <w:nsid w:val="70C6A529"/>
    <w:multiLevelType w:val="hybridMultilevel"/>
    <w:lvl w:ilvl="0">
      <w:lvlJc w:val="left"/>
      <w:lvlText w:val="•"/>
      <w:numFmt w:val="bullet"/>
      <w:start w:val="1"/>
    </w:lvl>
  </w:abstractNum>
  <w:abstractNum w:abstractNumId="16">
    <w:nsid w:val="520EEDD1"/>
    <w:multiLevelType w:val="hybridMultilevel"/>
    <w:lvl w:ilvl="0">
      <w:lvlJc w:val="left"/>
      <w:lvlText w:val="•"/>
      <w:numFmt w:val="bullet"/>
      <w:start w:val="1"/>
    </w:lvl>
  </w:abstractNum>
  <w:abstractNum w:abstractNumId="17">
    <w:nsid w:val="374A3FE6"/>
    <w:multiLevelType w:val="hybridMultilevel"/>
    <w:lvl w:ilvl="0">
      <w:lvlJc w:val="left"/>
      <w:lvlText w:val="•"/>
      <w:numFmt w:val="bullet"/>
      <w:start w:val="1"/>
    </w:lvl>
  </w:abstractNum>
  <w:abstractNum w:abstractNumId="18">
    <w:nsid w:val="4F4EF005"/>
    <w:multiLevelType w:val="hybridMultilevel"/>
    <w:lvl w:ilvl="0">
      <w:lvlJc w:val="left"/>
      <w:lvlText w:val="•"/>
      <w:numFmt w:val="bullet"/>
      <w:start w:val="1"/>
    </w:lvl>
  </w:abstractNum>
  <w:abstractNum w:abstractNumId="19">
    <w:nsid w:val="23F9C13C"/>
    <w:multiLevelType w:val="hybridMultilevel"/>
    <w:lvl w:ilvl="0">
      <w:lvlJc w:val="left"/>
      <w:lvlText w:val="•"/>
      <w:numFmt w:val="bullet"/>
      <w:start w:val="1"/>
    </w:lvl>
  </w:abstractNum>
  <w:abstractNum w:abstractNumId="20">
    <w:nsid w:val="649BB77C"/>
    <w:multiLevelType w:val="hybridMultilevel"/>
    <w:lvl w:ilvl="0">
      <w:lvlJc w:val="left"/>
      <w:lvlText w:val="•"/>
      <w:numFmt w:val="bullet"/>
      <w:start w:val="1"/>
    </w:lvl>
  </w:abstractNum>
  <w:abstractNum w:abstractNumId="21">
    <w:nsid w:val="275AC794"/>
    <w:multiLevelType w:val="hybridMultilevel"/>
    <w:lvl w:ilvl="0">
      <w:lvlJc w:val="left"/>
      <w:lvlText w:val="•"/>
      <w:numFmt w:val="bullet"/>
      <w:start w:val="1"/>
    </w:lvl>
  </w:abstractNum>
  <w:abstractNum w:abstractNumId="22">
    <w:nsid w:val="39386575"/>
    <w:multiLevelType w:val="hybridMultilevel"/>
    <w:lvl w:ilvl="0">
      <w:lvlJc w:val="left"/>
      <w:lvlText w:val="•"/>
      <w:numFmt w:val="bullet"/>
      <w:start w:val="1"/>
    </w:lvl>
  </w:abstractNum>
  <w:abstractNum w:abstractNumId="23">
    <w:nsid w:val="1CF10FD8"/>
    <w:multiLevelType w:val="hybridMultilevel"/>
    <w:lvl w:ilvl="0">
      <w:lvlJc w:val="left"/>
      <w:lvlText w:val="•"/>
      <w:numFmt w:val="bullet"/>
      <w:start w:val="1"/>
    </w:lvl>
  </w:abstractNum>
  <w:abstractNum w:abstractNumId="24">
    <w:nsid w:val="180115BE"/>
    <w:multiLevelType w:val="hybridMultilevel"/>
    <w:lvl w:ilvl="0">
      <w:lvlJc w:val="left"/>
      <w:lvlText w:val="•"/>
      <w:numFmt w:val="bullet"/>
      <w:start w:val="1"/>
    </w:lvl>
  </w:abstractNum>
  <w:abstractNum w:abstractNumId="25">
    <w:nsid w:val="235BA861"/>
    <w:multiLevelType w:val="hybridMultilevel"/>
    <w:lvl w:ilvl="0">
      <w:lvlJc w:val="left"/>
      <w:lvlText w:val="•"/>
      <w:numFmt w:val="bullet"/>
      <w:start w:val="1"/>
    </w:lvl>
  </w:abstractNum>
  <w:abstractNum w:abstractNumId="26">
    <w:nsid w:val="47398C89"/>
    <w:multiLevelType w:val="hybridMultilevel"/>
    <w:lvl w:ilvl="0">
      <w:lvlJc w:val="left"/>
      <w:lvlText w:val="(%1)"/>
      <w:numFmt w:val="decimal"/>
      <w:start w:val="1"/>
    </w:lvl>
  </w:abstractNum>
  <w:abstractNum w:abstractNumId="27">
    <w:nsid w:val="354FE9F9"/>
    <w:multiLevelType w:val="hybridMultilevel"/>
    <w:lvl w:ilvl="0">
      <w:lvlJc w:val="left"/>
      <w:lvlText w:val="•"/>
      <w:numFmt w:val="bullet"/>
      <w:start w:val="1"/>
    </w:lvl>
  </w:abstractNum>
  <w:abstractNum w:abstractNumId="28">
    <w:nsid w:val="15B5AF5C"/>
    <w:multiLevelType w:val="hybridMultilevel"/>
    <w:lvl w:ilvl="0">
      <w:lvlJc w:val="left"/>
      <w:lvlText w:val="%1"/>
      <w:numFmt w:val="decimal"/>
      <w:start w:val="101"/>
    </w:lvl>
  </w:abstractNum>
  <w:abstractNum w:abstractNumId="29">
    <w:nsid w:val="741226BB"/>
    <w:multiLevelType w:val="hybridMultilevel"/>
    <w:lvl w:ilvl="0">
      <w:lvlJc w:val="left"/>
      <w:lvlText w:val="#"/>
      <w:numFmt w:val="bullet"/>
      <w:start w:val="1"/>
    </w:lvl>
  </w:abstractNum>
  <w:abstractNum w:abstractNumId="30">
    <w:nsid w:val="D34B6A8"/>
    <w:multiLevelType w:val="hybridMultilevel"/>
    <w:lvl w:ilvl="0">
      <w:lvlJc w:val="left"/>
      <w:lvlText w:val="*"/>
      <w:numFmt w:val="bullet"/>
      <w:start w:val="1"/>
    </w:lvl>
  </w:abstractNum>
  <w:abstractNum w:abstractNumId="31">
    <w:nsid w:val="10233C99"/>
    <w:multiLevelType w:val="hybridMultilevel"/>
    <w:lvl w:ilvl="0">
      <w:lvlJc w:val="left"/>
      <w:lvlText w:val="•"/>
      <w:numFmt w:val="bullet"/>
      <w:start w:val="1"/>
    </w:lvl>
  </w:abstractNum>
  <w:abstractNum w:abstractNumId="32">
    <w:nsid w:val="3F6AB60F"/>
    <w:multiLevelType w:val="hybridMultilevel"/>
    <w:lvl w:ilvl="0">
      <w:lvlJc w:val="left"/>
      <w:lvlText w:val="•"/>
      <w:numFmt w:val="bullet"/>
      <w:start w:val="1"/>
    </w:lvl>
  </w:abstractNum>
  <w:abstractNum w:abstractNumId="33">
    <w:nsid w:val="61574095"/>
    <w:multiLevelType w:val="hybridMultilevel"/>
    <w:lvl w:ilvl="0">
      <w:lvlJc w:val="left"/>
      <w:lvlText w:val="(%1)"/>
      <w:numFmt w:val="decimal"/>
      <w:start w:val="1"/>
    </w:lvl>
  </w:abstractNum>
  <w:abstractNum w:abstractNumId="34">
    <w:nsid w:val="7E0C57B1"/>
    <w:multiLevelType w:val="hybridMultilevel"/>
    <w:lvl w:ilvl="0">
      <w:lvlJc w:val="left"/>
      <w:lvlText w:val="(%1)"/>
      <w:numFmt w:val="lowerLetter"/>
      <w:start w:val="1"/>
    </w:lvl>
  </w:abstractNum>
  <w:abstractNum w:abstractNumId="35">
    <w:nsid w:val="77AE35EB"/>
    <w:multiLevelType w:val="hybridMultilevel"/>
    <w:lvl w:ilvl="0">
      <w:lvlJc w:val="left"/>
      <w:lvlText w:val="%1"/>
      <w:numFmt w:val="lowerLetter"/>
      <w:start w:val="1"/>
    </w:lvl>
    <w:lvl w:ilvl="1">
      <w:lvlJc w:val="left"/>
      <w:lvlText w:val="(%2)"/>
      <w:numFmt w:val="lowerLetter"/>
      <w:start w:val="3"/>
    </w:lvl>
  </w:abstractNum>
  <w:abstractNum w:abstractNumId="36">
    <w:nsid w:val="579BE4F1"/>
    <w:multiLevelType w:val="hybridMultilevel"/>
    <w:lvl w:ilvl="0">
      <w:lvlJc w:val="left"/>
      <w:lvlText w:val="(%1)"/>
      <w:numFmt w:val="lowerLetter"/>
      <w:start w:val="61"/>
    </w:lvl>
    <w:lvl w:ilvl="1">
      <w:lvlJc w:val="left"/>
      <w:lvlText w:val="(%2)"/>
      <w:numFmt w:val="lowerLetter"/>
      <w:start w:val="7"/>
    </w:lvl>
  </w:abstractNum>
  <w:abstractNum w:abstractNumId="37">
    <w:nsid w:val="310C50B3"/>
    <w:multiLevelType w:val="hybridMultilevel"/>
    <w:lvl w:ilvl="0">
      <w:lvlJc w:val="left"/>
      <w:lvlText w:val="(%1)"/>
      <w:numFmt w:val="lowerLetter"/>
      <w:start w:val="35"/>
    </w:lvl>
    <w:lvl w:ilvl="1">
      <w:lvlJc w:val="left"/>
      <w:lvlText w:val="%2"/>
      <w:numFmt w:val="lowerLetter"/>
      <w:start w:val="1"/>
    </w:lvl>
  </w:abstractNum>
  <w:abstractNum w:abstractNumId="38">
    <w:nsid w:val="5FF87E05"/>
    <w:multiLevelType w:val="hybridMultilevel"/>
    <w:lvl w:ilvl="0">
      <w:lvlJc w:val="left"/>
      <w:lvlText w:val="(%1)"/>
      <w:numFmt w:val="lowerLetter"/>
      <w:start w:val="10"/>
    </w:lvl>
  </w:abstractNum>
  <w:abstractNum w:abstractNumId="39">
    <w:nsid w:val="2F305DEF"/>
    <w:multiLevelType w:val="hybridMultilevel"/>
    <w:lvl w:ilvl="0">
      <w:lvlJc w:val="left"/>
      <w:lvlText w:val="(%1)"/>
      <w:numFmt w:val="lowerLetter"/>
      <w:start w:val="12"/>
    </w:lvl>
    <w:lvl w:ilvl="1">
      <w:lvlJc w:val="left"/>
      <w:lvlText w:val="(%2)"/>
      <w:numFmt w:val="lowerRoman"/>
      <w:start w:val="1"/>
    </w:lvl>
  </w:abstractNum>
  <w:abstractNum w:abstractNumId="40">
    <w:nsid w:val="25A70BF7"/>
    <w:multiLevelType w:val="hybridMultilevel"/>
    <w:lvl w:ilvl="0">
      <w:lvlJc w:val="left"/>
      <w:lvlText w:val="(%1)"/>
      <w:numFmt w:val="lowerLetter"/>
      <w:start w:val="23"/>
    </w:lvl>
  </w:abstractNum>
  <w:abstractNum w:abstractNumId="41">
    <w:nsid w:val="1DBABF00"/>
    <w:multiLevelType w:val="hybridMultilevel"/>
    <w:lvl w:ilvl="0">
      <w:lvlJc w:val="left"/>
      <w:lvlText w:val="(%1)"/>
      <w:numFmt w:val="lowerLetter"/>
      <w:start w:val="35"/>
    </w:lvl>
    <w:lvl w:ilvl="1">
      <w:lvlJc w:val="left"/>
      <w:lvlText w:val="(%2)"/>
      <w:numFmt w:val="lowerLetter"/>
      <w:start w:val="26"/>
    </w:lvl>
  </w:abstractNum>
  <w:abstractNum w:abstractNumId="42">
    <w:nsid w:val="4AD084E9"/>
    <w:multiLevelType w:val="hybridMultilevel"/>
    <w:lvl w:ilvl="0">
      <w:lvlJc w:val="left"/>
      <w:lvlText w:val="%1"/>
      <w:numFmt w:val="lowerLetter"/>
      <w:start w:val="1"/>
    </w:lvl>
    <w:lvl w:ilvl="1">
      <w:lvlJc w:val="left"/>
      <w:lvlText w:val="(%2)"/>
      <w:numFmt w:val="lowerLetter"/>
      <w:start w:val="27"/>
    </w:lvl>
  </w:abstractNum>
  <w:abstractNum w:abstractNumId="43">
    <w:nsid w:val="1F48EAA1"/>
    <w:multiLevelType w:val="hybridMultilevel"/>
    <w:lvl w:ilvl="0">
      <w:lvlJc w:val="left"/>
      <w:lvlText w:val="(%1)"/>
      <w:numFmt w:val="lowerLetter"/>
      <w:start w:val="50"/>
    </w:lvl>
    <w:lvl w:ilvl="1">
      <w:lvlJc w:val="left"/>
      <w:lvlText w:val="(%2)"/>
      <w:numFmt w:val="lowerLetter"/>
      <w:start w:val="34"/>
    </w:lvl>
  </w:abstractNum>
  <w:abstractNum w:abstractNumId="44">
    <w:nsid w:val="1381823A"/>
    <w:multiLevelType w:val="hybridMultilevel"/>
    <w:lvl w:ilvl="0">
      <w:lvlJc w:val="left"/>
      <w:lvlText w:val="(%1)"/>
      <w:numFmt w:val="lowerLetter"/>
      <w:start w:val="36"/>
    </w:lvl>
  </w:abstractNum>
  <w:abstractNum w:abstractNumId="45">
    <w:nsid w:val="5DB70AE5"/>
    <w:multiLevelType w:val="hybridMultilevel"/>
    <w:lvl w:ilvl="0">
      <w:lvlJc w:val="left"/>
      <w:lvlText w:val="(%1)"/>
      <w:numFmt w:val="lowerLetter"/>
      <w:start w:val="51"/>
    </w:lvl>
  </w:abstractNum>
  <w:abstractNum w:abstractNumId="46">
    <w:nsid w:val="100F8FCA"/>
    <w:multiLevelType w:val="hybridMultilevel"/>
    <w:lvl w:ilvl="0">
      <w:lvlJc w:val="left"/>
      <w:lvlText w:val="(%1)"/>
      <w:numFmt w:val="lowerLetter"/>
      <w:start w:val="53"/>
    </w:lvl>
  </w:abstractNum>
  <w:abstractNum w:abstractNumId="47">
    <w:nsid w:val="6590700B"/>
    <w:multiLevelType w:val="hybridMultilevel"/>
    <w:lvl w:ilvl="0">
      <w:lvlJc w:val="left"/>
      <w:lvlText w:val="(%1)"/>
      <w:numFmt w:val="lowerLetter"/>
      <w:start w:val="1"/>
    </w:lvl>
  </w:abstractNum>
  <w:abstractNum w:abstractNumId="48">
    <w:nsid w:val="15014ACB"/>
    <w:multiLevelType w:val="hybridMultilevel"/>
    <w:lvl w:ilvl="0">
      <w:lvlJc w:val="left"/>
      <w:lvlText w:val="(%1)"/>
      <w:numFmt w:val="lowerLetter"/>
      <w:start w:val="2"/>
    </w:lvl>
    <w:lvl w:ilvl="1">
      <w:lvlJc w:val="left"/>
      <w:lvlText w:val="(%2)"/>
      <w:numFmt w:val="lowerRoman"/>
      <w:start w:val="1"/>
    </w:lvl>
  </w:abstractNum>
  <w:abstractNum w:abstractNumId="49">
    <w:nsid w:val="5F5E7FD0"/>
    <w:multiLevelType w:val="hybridMultilevel"/>
    <w:lvl w:ilvl="0">
      <w:lvlJc w:val="left"/>
      <w:lvlText w:val="(%1)"/>
      <w:numFmt w:val="lowerRoman"/>
      <w:start w:val="3"/>
    </w:lvl>
  </w:abstractNum>
  <w:abstractNum w:abstractNumId="50">
    <w:nsid w:val="98A3148"/>
    <w:multiLevelType w:val="hybridMultilevel"/>
    <w:lvl w:ilvl="0">
      <w:lvlJc w:val="left"/>
      <w:lvlText w:val="(%1)"/>
      <w:numFmt w:val="lowerRoman"/>
      <w:start w:val="5"/>
    </w:lvl>
  </w:abstractNum>
  <w:abstractNum w:abstractNumId="51">
    <w:nsid w:val="799D0247"/>
    <w:multiLevelType w:val="hybridMultilevel"/>
    <w:lvl w:ilvl="0">
      <w:lvlJc w:val="left"/>
      <w:lvlText w:val="(%1)"/>
      <w:numFmt w:val="lowerLetter"/>
      <w:start w:val="3"/>
    </w:lvl>
  </w:abstractNum>
  <w:abstractNum w:abstractNumId="52">
    <w:nsid w:val="6B94764"/>
    <w:multiLevelType w:val="hybridMultilevel"/>
    <w:lvl w:ilvl="0">
      <w:lvlJc w:val="left"/>
      <w:lvlText w:val="(%1)"/>
      <w:numFmt w:val="lowerLetter"/>
      <w:start w:val="1"/>
    </w:lvl>
  </w:abstractNum>
  <w:abstractNum w:abstractNumId="53">
    <w:nsid w:val="42C296BD"/>
    <w:multiLevelType w:val="hybridMultilevel"/>
    <w:lvl w:ilvl="0">
      <w:lvlJc w:val="left"/>
      <w:lvlText w:val="(%1)"/>
      <w:numFmt w:val="lowerRoman"/>
      <w:start w:val="1"/>
    </w:lvl>
  </w:abstractNum>
  <w:abstractNum w:abstractNumId="54">
    <w:nsid w:val="168E121F"/>
    <w:multiLevelType w:val="hybridMultilevel"/>
    <w:lvl w:ilvl="0">
      <w:lvlJc w:val="left"/>
      <w:lvlText w:val="(%1)"/>
      <w:numFmt w:val="lowerLetter"/>
      <w:start w:val="6"/>
    </w:lvl>
    <w:lvl w:ilvl="1">
      <w:lvlJc w:val="left"/>
      <w:lvlText w:val="(%2)"/>
      <w:numFmt w:val="lowerRoman"/>
      <w:start w:val="1"/>
    </w:lvl>
  </w:abstractNum>
  <w:abstractNum w:abstractNumId="55">
    <w:nsid w:val="1EBA5D23"/>
    <w:multiLevelType w:val="hybridMultilevel"/>
    <w:lvl w:ilvl="0">
      <w:lvlJc w:val="left"/>
      <w:lvlText w:val="%1"/>
      <w:numFmt w:val="lowerLetter"/>
      <w:start w:val="1"/>
    </w:lvl>
    <w:lvl w:ilvl="1">
      <w:lvlJc w:val="left"/>
      <w:lvlText w:val="(%2)"/>
      <w:numFmt w:val="lowerLetter"/>
      <w:start w:val="61"/>
    </w:lvl>
  </w:abstractNum>
  <w:abstractNum w:abstractNumId="56">
    <w:nsid w:val="661E3F1E"/>
    <w:multiLevelType w:val="hybridMultilevel"/>
    <w:lvl w:ilvl="0">
      <w:lvlJc w:val="left"/>
      <w:lvlText w:val="(%1)"/>
      <w:numFmt w:val="lowerLetter"/>
      <w:start w:val="8"/>
    </w:lvl>
    <w:lvl w:ilvl="1">
      <w:lvlJc w:val="left"/>
      <w:lvlText w:val="%2"/>
      <w:numFmt w:val="lowerLetter"/>
      <w:start w:val="1"/>
    </w:lvl>
  </w:abstractNum>
  <w:abstractNum w:abstractNumId="57">
    <w:nsid w:val="5DC79EA8"/>
    <w:multiLevelType w:val="hybridMultilevel"/>
    <w:lvl w:ilvl="0">
      <w:lvlJc w:val="left"/>
      <w:lvlText w:val="(%1)"/>
      <w:numFmt w:val="lowerLetter"/>
      <w:start w:val="14"/>
    </w:lvl>
  </w:abstractNum>
  <w:abstractNum w:abstractNumId="58">
    <w:nsid w:val="540A471C"/>
    <w:multiLevelType w:val="hybridMultilevel"/>
    <w:lvl w:ilvl="0">
      <w:lvlJc w:val="left"/>
      <w:lvlText w:val="(%1)"/>
      <w:numFmt w:val="lowerLetter"/>
      <w:start w:val="1"/>
    </w:lvl>
  </w:abstractNum>
  <w:abstractNum w:abstractNumId="59">
    <w:nsid w:val="7BD3EE7B"/>
    <w:multiLevelType w:val="hybridMultilevel"/>
    <w:lvl w:ilvl="0">
      <w:lvlJc w:val="left"/>
      <w:lvlText w:val="(%1)"/>
      <w:numFmt w:val="lowerLetter"/>
      <w:start w:val="3"/>
    </w:lvl>
    <w:lvl w:ilvl="1">
      <w:lvlJc w:val="left"/>
      <w:lvlText w:val="(%2)"/>
      <w:numFmt w:val="lowerRoman"/>
      <w:start w:val="1"/>
    </w:lvl>
  </w:abstractNum>
  <w:abstractNum w:abstractNumId="60">
    <w:nsid w:val="51D9C564"/>
    <w:multiLevelType w:val="hybridMultilevel"/>
    <w:lvl w:ilvl="0">
      <w:lvlJc w:val="left"/>
      <w:lvlText w:val="(%1)"/>
      <w:numFmt w:val="lowerLetter"/>
      <w:start w:val="1"/>
    </w:lvl>
  </w:abstractNum>
  <w:abstractNum w:abstractNumId="61">
    <w:nsid w:val="613EFDC5"/>
    <w:multiLevelType w:val="hybridMultilevel"/>
    <w:lvl w:ilvl="0">
      <w:lvlJc w:val="left"/>
      <w:lvlText w:val="(%1)"/>
      <w:numFmt w:val="lowerLetter"/>
      <w:start w:val="5"/>
    </w:lvl>
  </w:abstractNum>
  <w:abstractNum w:abstractNumId="62">
    <w:nsid w:val="BF72B14"/>
    <w:multiLevelType w:val="hybridMultilevel"/>
    <w:lvl w:ilvl="0">
      <w:lvlJc w:val="left"/>
      <w:lvlText w:val="(%1)"/>
      <w:numFmt w:val="lowerLetter"/>
      <w:start w:val="1"/>
    </w:lvl>
    <w:lvl w:ilvl="1">
      <w:lvlJc w:val="left"/>
      <w:lvlText w:val="(%2)"/>
      <w:numFmt w:val="lowerRoman"/>
      <w:start w:val="1"/>
    </w:lvl>
  </w:abstractNum>
  <w:abstractNum w:abstractNumId="63">
    <w:nsid w:val="11447B73"/>
    <w:multiLevelType w:val="hybridMultilevel"/>
    <w:lvl w:ilvl="0">
      <w:lvlJc w:val="left"/>
      <w:lvlText w:val="(%1)"/>
      <w:numFmt w:val="lowerLetter"/>
      <w:start w:val="1"/>
    </w:lvl>
  </w:abstractNum>
  <w:abstractNum w:abstractNumId="64">
    <w:nsid w:val="42963E5A"/>
    <w:multiLevelType w:val="hybridMultilevel"/>
    <w:lvl w:ilvl="0">
      <w:lvlJc w:val="left"/>
      <w:lvlText w:val="(%1)"/>
      <w:numFmt w:val="lowerLetter"/>
      <w:start w:val="2"/>
    </w:lvl>
  </w:abstractNum>
  <w:abstractNum w:abstractNumId="65">
    <w:nsid w:val="A0382C5"/>
    <w:multiLevelType w:val="hybridMultilevel"/>
    <w:lvl w:ilvl="0">
      <w:lvlJc w:val="left"/>
      <w:lvlText w:val="(%1)"/>
      <w:numFmt w:val="lowerLetter"/>
      <w:start w:val="1"/>
    </w:lvl>
  </w:abstractNum>
  <w:abstractNum w:abstractNumId="66">
    <w:nsid w:val="8F2B15E"/>
    <w:multiLevelType w:val="hybridMultilevel"/>
    <w:lvl w:ilvl="0">
      <w:lvlJc w:val="left"/>
      <w:lvlText w:val="(%1)"/>
      <w:numFmt w:val="lowerLetter"/>
      <w:start w:val="4"/>
    </w:lvl>
  </w:abstractNum>
  <w:abstractNum w:abstractNumId="67">
    <w:nsid w:val="1A32234B"/>
    <w:multiLevelType w:val="hybridMultilevel"/>
    <w:lvl w:ilvl="0">
      <w:lvlJc w:val="left"/>
      <w:lvlText w:val="(%1)"/>
      <w:numFmt w:val="lowerLetter"/>
      <w:start w:val="1"/>
    </w:lvl>
  </w:abstractNum>
  <w:abstractNum w:abstractNumId="68">
    <w:nsid w:val="3B0FD379"/>
    <w:multiLevelType w:val="hybridMultilevel"/>
    <w:lvl w:ilvl="0">
      <w:lvlJc w:val="left"/>
      <w:lvlText w:val="(%1)"/>
      <w:numFmt w:val="lowerLetter"/>
      <w:start w:val="7"/>
    </w:lvl>
  </w:abstractNum>
  <w:abstractNum w:abstractNumId="69">
    <w:nsid w:val="68EB2F63"/>
    <w:multiLevelType w:val="hybridMultilevel"/>
    <w:lvl w:ilvl="0">
      <w:lvlJc w:val="left"/>
      <w:lvlText w:val="(%1)"/>
      <w:numFmt w:val="lowerLetter"/>
      <w:start w:val="1"/>
    </w:lvl>
    <w:lvl w:ilvl="1">
      <w:lvlJc w:val="left"/>
      <w:lvlText w:val="(%2)"/>
      <w:numFmt w:val="lowerRoman"/>
      <w:start w:val="1"/>
    </w:lvl>
  </w:abstractNum>
  <w:abstractNum w:abstractNumId="70">
    <w:nsid w:val="4962813B"/>
    <w:multiLevelType w:val="hybridMultilevel"/>
    <w:lvl w:ilvl="0">
      <w:lvlJc w:val="left"/>
      <w:lvlText w:val="(%1)"/>
      <w:numFmt w:val="lowerLetter"/>
      <w:start w:val="1"/>
    </w:lvl>
  </w:abstractNum>
  <w:abstractNum w:abstractNumId="71">
    <w:nsid w:val="60B6DF70"/>
    <w:multiLevelType w:val="hybridMultilevel"/>
    <w:lvl w:ilvl="0">
      <w:lvlJc w:val="left"/>
      <w:lvlText w:val="(%1)"/>
      <w:numFmt w:val="lowerLetter"/>
      <w:start w:val="2"/>
    </w:lvl>
  </w:abstractNum>
  <w:abstractNum w:abstractNumId="72">
    <w:nsid w:val="6A5EE64"/>
    <w:multiLevelType w:val="hybridMultilevel"/>
    <w:lvl w:ilvl="0">
      <w:lvlJc w:val="left"/>
      <w:lvlText w:val="(%1)"/>
      <w:numFmt w:val="lowerLetter"/>
      <w:start w:val="1"/>
    </w:lvl>
  </w:abstractNum>
  <w:abstractNum w:abstractNumId="73">
    <w:nsid w:val="14330624"/>
    <w:multiLevelType w:val="hybridMultilevel"/>
    <w:lvl w:ilvl="0">
      <w:lvlJc w:val="left"/>
      <w:lvlText w:val="(%1)"/>
      <w:numFmt w:val="lowerLetter"/>
      <w:start w:val="1"/>
    </w:lvl>
  </w:abstractNum>
  <w:abstractNum w:abstractNumId="74">
    <w:nsid w:val="7FFFCA11"/>
    <w:multiLevelType w:val="hybridMultilevel"/>
    <w:lvl w:ilvl="0">
      <w:lvlJc w:val="left"/>
      <w:lvlText w:val="(%1)"/>
      <w:numFmt w:val="lowerLetter"/>
      <w:start w:val="1"/>
    </w:lvl>
  </w:abstractNum>
  <w:abstractNum w:abstractNumId="75">
    <w:nsid w:val="1A27709E"/>
    <w:multiLevelType w:val="hybridMultilevel"/>
    <w:lvl w:ilvl="0">
      <w:lvlJc w:val="left"/>
      <w:lvlText w:val="%1."/>
      <w:numFmt w:val="decimal"/>
      <w:start w:val="1"/>
    </w:lvl>
    <w:lvl w:ilvl="1">
      <w:lvlJc w:val="left"/>
      <w:lvlText w:val="%2."/>
      <w:numFmt w:val="lowerLetter"/>
      <w:start w:val="2"/>
    </w:lvl>
    <w:lvl w:ilvl="2">
      <w:lvlJc w:val="left"/>
      <w:lvlText w:val="%3."/>
      <w:numFmt w:val="lowerLetter"/>
      <w:start w:val="1"/>
    </w:lvl>
  </w:abstractNum>
  <w:abstractNum w:abstractNumId="76">
    <w:nsid w:val="71EA1109"/>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77">
    <w:nsid w:val="100F59DC"/>
    <w:multiLevelType w:val="hybridMultilevel"/>
    <w:lvl w:ilvl="0">
      <w:lvlJc w:val="left"/>
      <w:lvlText w:val="%1."/>
      <w:numFmt w:val="decimal"/>
      <w:start w:val="1"/>
    </w:lvl>
  </w:abstractNum>
  <w:abstractNum w:abstractNumId="78">
    <w:nsid w:val="7FB7E0AA"/>
    <w:multiLevelType w:val="hybridMultilevel"/>
    <w:lvl w:ilvl="0">
      <w:lvlJc w:val="left"/>
      <w:lvlText w:val="%1."/>
      <w:numFmt w:val="decimal"/>
      <w:start w:val="1"/>
    </w:lvl>
  </w:abstractNum>
  <w:abstractNum w:abstractNumId="79">
    <w:nsid w:val="6EB5BD4"/>
    <w:multiLevelType w:val="hybridMultilevel"/>
    <w:lvl w:ilvl="0">
      <w:lvlJc w:val="left"/>
      <w:lvlText w:val="%1."/>
      <w:numFmt w:val="decimal"/>
      <w:start w:val="1"/>
    </w:lvl>
    <w:lvl w:ilvl="1">
      <w:lvlJc w:val="left"/>
      <w:lvlText w:val="(%2)"/>
      <w:numFmt w:val="lowerLetter"/>
      <w:start w:val="1"/>
    </w:lvl>
  </w:abstractNum>
  <w:abstractNum w:abstractNumId="80">
    <w:nsid w:val="6F6DD9AC"/>
    <w:multiLevelType w:val="hybridMultilevel"/>
    <w:lvl w:ilvl="0">
      <w:lvlJc w:val="left"/>
      <w:lvlText w:val="1"/>
      <w:numFmt w:val="bullet"/>
      <w:start w:val="1"/>
    </w:lvl>
  </w:abstractNum>
  <w:abstractNum w:abstractNumId="81">
    <w:nsid w:val="94211F2"/>
    <w:multiLevelType w:val="hybridMultilevel"/>
    <w:lvl w:ilvl="0">
      <w:lvlJc w:val="left"/>
      <w:lvlText w:val="(%1)"/>
      <w:numFmt w:val="lowerLetter"/>
      <w:start w:val="5"/>
    </w:lvl>
  </w:abstractNum>
  <w:abstractNum w:abstractNumId="82">
    <w:nsid w:val="885E1B"/>
    <w:multiLevelType w:val="hybridMultilevel"/>
    <w:lvl w:ilvl="0">
      <w:lvlJc w:val="left"/>
      <w:lvlText w:val="%1"/>
      <w:numFmt w:val="decimal"/>
      <w:start w:val="1"/>
    </w:lvl>
    <w:lvl w:ilvl="1">
      <w:lvlJc w:val="left"/>
      <w:lvlText w:val="(%2)"/>
      <w:numFmt w:val="lowerLetter"/>
      <w:start w:val="13"/>
    </w:lvl>
  </w:abstractNum>
  <w:abstractNum w:abstractNumId="83">
    <w:nsid w:val="76272110"/>
    <w:multiLevelType w:val="hybridMultilevel"/>
    <w:lvl w:ilvl="0">
      <w:lvlJc w:val="left"/>
      <w:lvlText w:val="%1."/>
      <w:numFmt w:val="decimal"/>
      <w:start w:val="4"/>
    </w:lvl>
    <w:lvl w:ilvl="1">
      <w:lvlJc w:val="left"/>
      <w:lvlText w:val="(%2)"/>
      <w:numFmt w:val="lowerLetter"/>
      <w:start w:val="1"/>
    </w:lvl>
  </w:abstractNum>
  <w:abstractNum w:abstractNumId="84">
    <w:nsid w:val="4C04A8AF"/>
    <w:multiLevelType w:val="hybridMultilevel"/>
    <w:lvl w:ilvl="0">
      <w:lvlJc w:val="left"/>
      <w:lvlText w:val="2"/>
      <w:numFmt w:val="bullet"/>
      <w:start w:val="1"/>
    </w:lvl>
  </w:abstractNum>
  <w:abstractNum w:abstractNumId="85">
    <w:nsid w:val="1716703B"/>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86">
    <w:nsid w:val="14E17E33"/>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87">
    <w:nsid w:val="3222E7CD"/>
    <w:multiLevelType w:val="hybridMultilevel"/>
    <w:lvl w:ilvl="0">
      <w:lvlJc w:val="left"/>
      <w:lvlText w:val="3"/>
      <w:numFmt w:val="bullet"/>
      <w:start w:val="1"/>
    </w:lvl>
  </w:abstractNum>
  <w:abstractNum w:abstractNumId="88">
    <w:nsid w:val="74DE0EE3"/>
    <w:multiLevelType w:val="hybridMultilevel"/>
    <w:lvl w:ilvl="0">
      <w:lvlJc w:val="left"/>
      <w:lvlText w:val="%1."/>
      <w:numFmt w:val="decimal"/>
      <w:start w:val="8"/>
    </w:lvl>
    <w:lvl w:ilvl="1">
      <w:lvlJc w:val="left"/>
      <w:lvlText w:val="(%2)"/>
      <w:numFmt w:val="lowerLetter"/>
      <w:start w:val="1"/>
    </w:lvl>
    <w:lvl w:ilvl="2">
      <w:lvlJc w:val="left"/>
      <w:lvlText w:val="(%3)"/>
      <w:numFmt w:val="lowerLetter"/>
      <w:start w:val="1"/>
    </w:lvl>
    <w:lvl w:ilvl="3">
      <w:lvlJc w:val="left"/>
      <w:lvlText w:val="*"/>
      <w:numFmt w:val="bullet"/>
      <w:start w:val="1"/>
    </w:lvl>
  </w:abstractNum>
  <w:abstractNum w:abstractNumId="89">
    <w:nsid w:val="68EBC550"/>
    <w:multiLevelType w:val="hybridMultilevel"/>
    <w:lvl w:ilvl="0">
      <w:lvlJc w:val="left"/>
      <w:lvlText w:val="4"/>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75" Type="http://schemas.openxmlformats.org/officeDocument/2006/relationships/image" Target="media/image61.png"/><Relationship Id="rId80" Type="http://schemas.openxmlformats.org/officeDocument/2006/relationships/image" Target="media/image62.png"/><Relationship Id="rId81" Type="http://schemas.openxmlformats.org/officeDocument/2006/relationships/image" Target="media/image63.png"/><Relationship Id="rId99" Type="http://schemas.openxmlformats.org/officeDocument/2006/relationships/image" Target="media/image64.png"/><Relationship Id="rId100" Type="http://schemas.openxmlformats.org/officeDocument/2006/relationships/image" Target="media/image65.png"/><Relationship Id="rId101" Type="http://schemas.openxmlformats.org/officeDocument/2006/relationships/image" Target="media/image66.png"/><Relationship Id="rId109" Type="http://schemas.openxmlformats.org/officeDocument/2006/relationships/image" Target="media/image67.png"/><Relationship Id="rId110" Type="http://schemas.openxmlformats.org/officeDocument/2006/relationships/image" Target="media/image68.png"/><Relationship Id="rId111" Type="http://schemas.openxmlformats.org/officeDocument/2006/relationships/image" Target="media/image69.png"/><Relationship Id="rId112" Type="http://schemas.openxmlformats.org/officeDocument/2006/relationships/image" Target="media/image70.png"/><Relationship Id="rId113" Type="http://schemas.openxmlformats.org/officeDocument/2006/relationships/image" Target="media/image71.png"/><Relationship Id="rId114" Type="http://schemas.openxmlformats.org/officeDocument/2006/relationships/image" Target="media/image72.png"/><Relationship Id="rId115" Type="http://schemas.openxmlformats.org/officeDocument/2006/relationships/image" Target="media/image73.png"/><Relationship Id="rId116" Type="http://schemas.openxmlformats.org/officeDocument/2006/relationships/image" Target="media/image74.png"/><Relationship Id="rId117" Type="http://schemas.openxmlformats.org/officeDocument/2006/relationships/image" Target="media/image75.png"/><Relationship Id="rId118" Type="http://schemas.openxmlformats.org/officeDocument/2006/relationships/image" Target="media/image76.png"/><Relationship Id="rId119" Type="http://schemas.openxmlformats.org/officeDocument/2006/relationships/image" Target="media/image77.png"/><Relationship Id="rId120" Type="http://schemas.openxmlformats.org/officeDocument/2006/relationships/image" Target="media/image78.png"/><Relationship Id="rId121" Type="http://schemas.openxmlformats.org/officeDocument/2006/relationships/image" Target="media/image79.png"/><Relationship Id="rId122" Type="http://schemas.openxmlformats.org/officeDocument/2006/relationships/image" Target="media/image80.png"/><Relationship Id="rId123" Type="http://schemas.openxmlformats.org/officeDocument/2006/relationships/image" Target="media/image81.png"/><Relationship Id="rId124" Type="http://schemas.openxmlformats.org/officeDocument/2006/relationships/image" Target="media/image82.png"/><Relationship Id="rId125" Type="http://schemas.openxmlformats.org/officeDocument/2006/relationships/image" Target="media/image83.png"/><Relationship Id="rId126" Type="http://schemas.openxmlformats.org/officeDocument/2006/relationships/image" Target="media/image84.png"/><Relationship Id="rId127" Type="http://schemas.openxmlformats.org/officeDocument/2006/relationships/image" Target="media/image85.png"/><Relationship Id="rId128" Type="http://schemas.openxmlformats.org/officeDocument/2006/relationships/image" Target="media/image86.png"/><Relationship Id="rId129" Type="http://schemas.openxmlformats.org/officeDocument/2006/relationships/image" Target="media/image87.png"/><Relationship Id="rId130" Type="http://schemas.openxmlformats.org/officeDocument/2006/relationships/image" Target="media/image88.png"/><Relationship Id="rId131" Type="http://schemas.openxmlformats.org/officeDocument/2006/relationships/image" Target="media/image89.png"/><Relationship Id="rId132" Type="http://schemas.openxmlformats.org/officeDocument/2006/relationships/image" Target="media/image90.png"/><Relationship Id="rId133" Type="http://schemas.openxmlformats.org/officeDocument/2006/relationships/image" Target="media/image91.png"/><Relationship Id="rId134" Type="http://schemas.openxmlformats.org/officeDocument/2006/relationships/image" Target="media/image92.png"/><Relationship Id="rId135" Type="http://schemas.openxmlformats.org/officeDocument/2006/relationships/image" Target="media/image93.png"/><Relationship Id="rId136" Type="http://schemas.openxmlformats.org/officeDocument/2006/relationships/image" Target="media/image94.png"/><Relationship Id="rId137" Type="http://schemas.openxmlformats.org/officeDocument/2006/relationships/image" Target="media/image95.png"/><Relationship Id="rId138" Type="http://schemas.openxmlformats.org/officeDocument/2006/relationships/image" Target="media/image96.png"/><Relationship Id="rId139" Type="http://schemas.openxmlformats.org/officeDocument/2006/relationships/image" Target="media/image97.png"/><Relationship Id="rId140" Type="http://schemas.openxmlformats.org/officeDocument/2006/relationships/image" Target="media/image98.png"/><Relationship Id="rId141" Type="http://schemas.openxmlformats.org/officeDocument/2006/relationships/image" Target="media/image99.png"/><Relationship Id="rId142" Type="http://schemas.openxmlformats.org/officeDocument/2006/relationships/image" Target="media/image100.png"/><Relationship Id="rId143" Type="http://schemas.openxmlformats.org/officeDocument/2006/relationships/image" Target="media/image101.png"/><Relationship Id="rId144" Type="http://schemas.openxmlformats.org/officeDocument/2006/relationships/image" Target="media/image102.png"/><Relationship Id="rId145" Type="http://schemas.openxmlformats.org/officeDocument/2006/relationships/image" Target="media/image103.png"/><Relationship Id="rId146" Type="http://schemas.openxmlformats.org/officeDocument/2006/relationships/image" Target="media/image104.png"/><Relationship Id="rId147" Type="http://schemas.openxmlformats.org/officeDocument/2006/relationships/image" Target="media/image105.png"/><Relationship Id="rId148" Type="http://schemas.openxmlformats.org/officeDocument/2006/relationships/image" Target="media/image106.png"/><Relationship Id="rId149" Type="http://schemas.openxmlformats.org/officeDocument/2006/relationships/image" Target="media/image107.png"/><Relationship Id="rId150" Type="http://schemas.openxmlformats.org/officeDocument/2006/relationships/image" Target="media/image108.png"/><Relationship Id="rId151" Type="http://schemas.openxmlformats.org/officeDocument/2006/relationships/image" Target="media/image109.png"/><Relationship Id="rId152" Type="http://schemas.openxmlformats.org/officeDocument/2006/relationships/image" Target="media/image110.png"/><Relationship Id="rId153" Type="http://schemas.openxmlformats.org/officeDocument/2006/relationships/image" Target="media/image111.png"/><Relationship Id="rId154" Type="http://schemas.openxmlformats.org/officeDocument/2006/relationships/image" Target="media/image112.png"/><Relationship Id="rId155" Type="http://schemas.openxmlformats.org/officeDocument/2006/relationships/image" Target="media/image113.png"/><Relationship Id="rId156" Type="http://schemas.openxmlformats.org/officeDocument/2006/relationships/image" Target="media/image114.png"/><Relationship Id="rId157" Type="http://schemas.openxmlformats.org/officeDocument/2006/relationships/image" Target="media/image115.png"/><Relationship Id="rId158" Type="http://schemas.openxmlformats.org/officeDocument/2006/relationships/image" Target="media/image116.png"/><Relationship Id="rId159" Type="http://schemas.openxmlformats.org/officeDocument/2006/relationships/image" Target="media/image117.png"/><Relationship Id="rId160" Type="http://schemas.openxmlformats.org/officeDocument/2006/relationships/image" Target="media/image118.png"/><Relationship Id="rId161" Type="http://schemas.openxmlformats.org/officeDocument/2006/relationships/image" Target="media/image119.png"/><Relationship Id="rId162" Type="http://schemas.openxmlformats.org/officeDocument/2006/relationships/image" Target="media/image120.png"/><Relationship Id="rId163" Type="http://schemas.openxmlformats.org/officeDocument/2006/relationships/image" Target="media/image121.png"/><Relationship Id="rId164" Type="http://schemas.openxmlformats.org/officeDocument/2006/relationships/image" Target="media/image122.png"/><Relationship Id="rId165" Type="http://schemas.openxmlformats.org/officeDocument/2006/relationships/image" Target="media/image123.png"/><Relationship Id="rId68" Type="http://schemas.openxmlformats.org/officeDocument/2006/relationships/hyperlink" Target="https://www.sec.gov/Archives/edgar/data/849146/000084914618000046/ex31-certificateofincorpor.htm" TargetMode="External"/><Relationship Id="rId69" Type="http://schemas.openxmlformats.org/officeDocument/2006/relationships/hyperlink" Target="https://www.sec.gov/Archives/edgar/data/849146/000084914619000066/lifevantage-amendedandrest.htm" TargetMode="External"/><Relationship Id="rId70" Type="http://schemas.openxmlformats.org/officeDocument/2006/relationships/hyperlink" Target="https://www.sec.gov/Archives/edgar/data/849146/000084914623000114/lfvn-certificateofdesign.htm" TargetMode="External"/><Relationship Id="rId71" Type="http://schemas.openxmlformats.org/officeDocument/2006/relationships/hyperlink" Target="https://www.sec.gov/Archives/edgar/data/849146/000084914618000046/exhibit41formofcommonsto.htm" TargetMode="External"/><Relationship Id="rId72" Type="http://schemas.openxmlformats.org/officeDocument/2006/relationships/hyperlink" Target="https://www.sec.gov/Archives/edgar/data/849146/000084914622000058/ex42descriptionofcapitalst.htm" TargetMode="External"/><Relationship Id="rId73" Type="http://schemas.openxmlformats.org/officeDocument/2006/relationships/hyperlink" Target="https://www.sec.gov/Archives/edgar/data/849146/000084914623000114/lifevantage-rightsplanfi.htm" TargetMode="External"/><Relationship Id="rId74" Type="http://schemas.openxmlformats.org/officeDocument/2006/relationships/hyperlink" Target="https://www.sec.gov/Archives/edgar/data/849146/000084914624000021/lfvn-cooperationagreemen.htm" TargetMode="External"/><Relationship Id="rId76" Type="http://schemas.openxmlformats.org/officeDocument/2006/relationships/hyperlink" Target="https://www.sec.gov/Archives/edgar/data/849146/000084914622000058/lifevantagesalescompensa.htm" TargetMode="External"/><Relationship Id="rId77" Type="http://schemas.openxmlformats.org/officeDocument/2006/relationships/hyperlink" Target="https://www.sec.gov/Archives/edgar/data/849146/000084914623000102/evolve-usa.htm" TargetMode="External"/><Relationship Id="rId78" Type="http://schemas.openxmlformats.org/officeDocument/2006/relationships/hyperlink" Target="https://www.sec.gov/Archives/edgar/data/849146/000084914623000102/evolve-aus.htm" TargetMode="External"/><Relationship Id="rId79" Type="http://schemas.openxmlformats.org/officeDocument/2006/relationships/hyperlink" Target="https://www.sec.gov/Archives/edgar/data/849146/000084914623000102/evolve-nzl.htm" TargetMode="External"/><Relationship Id="rId82" Type="http://schemas.openxmlformats.org/officeDocument/2006/relationships/hyperlink" Target="https://www.sec.gov/Archives/edgar/data/849146/000084914623000102/evolve-jpn.htm" TargetMode="External"/><Relationship Id="rId83" Type="http://schemas.openxmlformats.org/officeDocument/2006/relationships/hyperlink" Target="https://www.sec.gov/Archives/edgar/data/849146/000084914624000047/evolvecompensationplanca.htm" TargetMode="External"/><Relationship Id="rId84" Type="http://schemas.openxmlformats.org/officeDocument/2006/relationships/hyperlink" Target="https://www.sec.gov/Archives/edgar/data/849146/000084914624000047/evolvecompensationplanme.htm" TargetMode="External"/><Relationship Id="rId85" Type="http://schemas.openxmlformats.org/officeDocument/2006/relationships/hyperlink" Target="https://www.sec.gov/Archives/edgar/data/849146/000084914624000047/evolvecompensationplanuk.htm" TargetMode="External"/><Relationship Id="rId86" Type="http://schemas.openxmlformats.org/officeDocument/2006/relationships/hyperlink" Target="https://www.sec.gov/Archives/edgar/data/849146/000084914624000047/evolvecompensationplaneu.htm" TargetMode="External"/><Relationship Id="rId87" Type="http://schemas.openxmlformats.org/officeDocument/2006/relationships/hyperlink" Target="https://www.sec.gov/Archives/edgar/data/849146/000084914617000064/ex992restrictedstockgranta.htm" TargetMode="External"/><Relationship Id="rId88" Type="http://schemas.openxmlformats.org/officeDocument/2006/relationships/hyperlink" Target="https://www.sec.gov/Archives/edgar/data/849146/000084914617000064/ex993stockunitagreement.htm" TargetMode="External"/><Relationship Id="rId89" Type="http://schemas.openxmlformats.org/officeDocument/2006/relationships/hyperlink" Target="https://www.sec.gov/Archives/edgar/data/849146/000084914618000107/espp.htm" TargetMode="External"/><Relationship Id="rId90" Type="http://schemas.openxmlformats.org/officeDocument/2006/relationships/hyperlink" Target="https://www.sec.gov/Archives/edgar/data/849146/000084914618000046/ex991-indemnificationagree.htm" TargetMode="External"/><Relationship Id="rId91" Type="http://schemas.openxmlformats.org/officeDocument/2006/relationships/hyperlink" Target="https://www.sec.gov/Archives/edgar/data/849146/000084914621000047/lfvnstevefifeceoofferlet.htm" TargetMode="External"/><Relationship Id="rId92" Type="http://schemas.openxmlformats.org/officeDocument/2006/relationships/hyperlink" Target="https://www.sec.gov/Archives/edgar/data/849146/000084914624000039/loanagreement.htm" TargetMode="External"/><Relationship Id="rId93" Type="http://schemas.openxmlformats.org/officeDocument/2006/relationships/hyperlink" Target="https://www.sec.gov/Archives/edgar/data/849146/000084914624000039/continuinganduncondition.htm" TargetMode="External"/><Relationship Id="rId94" Type="http://schemas.openxmlformats.org/officeDocument/2006/relationships/hyperlink" Target="https://www.sec.gov/Archives/edgar/data/849146/000084914624000039/securityandpledgeagreeme.htm" TargetMode="External"/><Relationship Id="rId95" Type="http://schemas.openxmlformats.org/officeDocument/2006/relationships/hyperlink" Target="https://www.sec.gov/Archives/edgar/data/849146/000084914616000165/exhibit101zfnb-lifevantage.htm" TargetMode="External"/><Relationship Id="rId96" Type="http://schemas.openxmlformats.org/officeDocument/2006/relationships/hyperlink" Target="https://www.sec.gov/Archives/edgar/data/849146/000084914616000165/exhibit102zfnb-lifevantage.htm" TargetMode="External"/><Relationship Id="rId97" Type="http://schemas.openxmlformats.org/officeDocument/2006/relationships/hyperlink" Target="https://www.sec.gov/Archives/edgar/data/849146/000084914618000057/ex101-loanmodification.htm" TargetMode="External"/><Relationship Id="rId98" Type="http://schemas.openxmlformats.org/officeDocument/2006/relationships/hyperlink" Target="https://www.sec.gov/Archives/edgar/data/849146/000084914619000029/ex101loanmodification.htm" TargetMode="External"/><Relationship Id="rId102" Type="http://schemas.openxmlformats.org/officeDocument/2006/relationships/hyperlink" Target="https://www.sec.gov/Archives/edgar/data/849146/000084914621000047/loandocuments-lifevantag.htm" TargetMode="External"/><Relationship Id="rId103" Type="http://schemas.openxmlformats.org/officeDocument/2006/relationships/hyperlink" Target="https://www.sec.gov/Archives/edgar/data/849146/000084914622000076/a20220930-zionsrlocadden.htm" TargetMode="External"/><Relationship Id="rId104" Type="http://schemas.openxmlformats.org/officeDocument/2006/relationships/hyperlink" Target="https://www.sec.gov/Archives/edgar/data/849146/000084914620000040/lfvnleasetrciii.htm" TargetMode="External"/><Relationship Id="rId105" Type="http://schemas.openxmlformats.org/officeDocument/2006/relationships/hyperlink" Target="https://www.sec.gov/Archives/edgar/data/849146/000084914623000204/leaseagreementshinagawag.htm" TargetMode="External"/><Relationship Id="rId106" Type="http://schemas.openxmlformats.org/officeDocument/2006/relationships/hyperlink" Target="https://www.sec.gov/Archives/edgar/data/849146/000084914614000027/dlimanufacturingagreement.htm" TargetMode="External"/><Relationship Id="rId107" Type="http://schemas.openxmlformats.org/officeDocument/2006/relationships/hyperlink" Target="https://www.sec.gov/Archives/edgar/data/849146/000084914614000062/integracoreservicesagreeme.htm" TargetMode="External"/><Relationship Id="rId108" Type="http://schemas.openxmlformats.org/officeDocument/2006/relationships/hyperlink" Target="https://www.sec.gov/Archives/edgar/data/849146/000084914614000062/wasatchmanufagreement.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2024-08-28T17:40:09Z</dcterms:created>
  <dcterms:modified xsi:type="dcterms:W3CDTF">2024-08-28T17:40:09Z</dcterms:modified>
</cp:coreProperties>
</file>