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3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UNDER SECTION 13 OR 15 (d) OF THE SECURITIES EXCHANGE ACT OF 1934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2017</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145" w:lineRule="exact"/>
        <w:rPr>
          <w:sz w:val="24"/>
          <w:szCs w:val="24"/>
          <w:color w:val="auto"/>
        </w:rPr>
      </w:pPr>
    </w:p>
    <w:p>
      <w:pPr>
        <w:ind w:left="296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-7620</wp:posOffset>
            </wp:positionV>
            <wp:extent cx="13633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001-35647</w:t>
      </w:r>
    </w:p>
    <w:p>
      <w:pPr>
        <w:spacing w:after="0" w:line="26"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LIFEVANTAGE CORPORATION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8" w:lineRule="exact"/>
        <w:rPr>
          <w:sz w:val="24"/>
          <w:szCs w:val="24"/>
          <w:color w:val="auto"/>
        </w:rPr>
      </w:pPr>
    </w:p>
    <w:p>
      <w:pPr>
        <w:ind w:left="35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ectPr>
          <w:pgSz w:w="11900" w:h="16838" w:orient="portrait"/>
          <w:cols w:equalWidth="0" w:num="1">
            <w:col w:w="11420"/>
          </w:cols>
          <w:pgMar w:left="240" w:top="733" w:right="239" w:bottom="1440" w:gutter="0" w:footer="0" w:header="0"/>
        </w:sectPr>
      </w:pPr>
    </w:p>
    <w:p>
      <w:pPr>
        <w:spacing w:after="0" w:line="153" w:lineRule="exact"/>
        <w:rPr>
          <w:sz w:val="24"/>
          <w:szCs w:val="24"/>
          <w:color w:val="auto"/>
        </w:rPr>
      </w:pPr>
    </w:p>
    <w:p>
      <w:pPr>
        <w:ind w:left="2280"/>
        <w:spacing w:after="0"/>
        <w:rPr>
          <w:sz w:val="20"/>
          <w:szCs w:val="20"/>
          <w:color w:val="auto"/>
        </w:rPr>
      </w:pPr>
      <w:r>
        <w:rPr>
          <w:rFonts w:ascii="Arial" w:cs="Arial" w:eastAsia="Arial" w:hAnsi="Arial"/>
          <w:sz w:val="18"/>
          <w:szCs w:val="18"/>
          <w:b w:val="1"/>
          <w:bCs w:val="1"/>
          <w:color w:val="auto"/>
        </w:rPr>
        <w:t>COLORADO</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90-0224471</w:t>
      </w:r>
    </w:p>
    <w:p>
      <w:pPr>
        <w:spacing w:after="0" w:line="81" w:lineRule="exact"/>
        <w:rPr>
          <w:sz w:val="24"/>
          <w:szCs w:val="24"/>
          <w:color w:val="auto"/>
        </w:rPr>
      </w:pPr>
    </w:p>
    <w:p>
      <w:pPr>
        <w:sectPr>
          <w:pgSz w:w="11900" w:h="16838" w:orient="portrait"/>
          <w:cols w:equalWidth="0" w:num="2">
            <w:col w:w="7540" w:space="720"/>
            <w:col w:w="3160"/>
          </w:cols>
          <w:pgMar w:left="240" w:top="733" w:right="239" w:bottom="1440" w:gutter="0" w:footer="0" w:header="0"/>
          <w:type w:val="continuous"/>
        </w:sect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180"/>
        <w:spacing w:after="0"/>
        <w:rPr>
          <w:sz w:val="20"/>
          <w:szCs w:val="20"/>
          <w:color w:val="auto"/>
        </w:rPr>
      </w:pPr>
      <w:r>
        <w:rPr>
          <w:rFonts w:ascii="Arial" w:cs="Arial" w:eastAsia="Arial" w:hAnsi="Arial"/>
          <w:sz w:val="13"/>
          <w:szCs w:val="13"/>
          <w:b w:val="1"/>
          <w:bCs w:val="1"/>
          <w:color w:val="auto"/>
        </w:rPr>
        <w:t>Identification No.)</w:t>
      </w:r>
    </w:p>
    <w:p>
      <w:pPr>
        <w:spacing w:after="0" w:line="177" w:lineRule="exact"/>
        <w:rPr>
          <w:sz w:val="24"/>
          <w:szCs w:val="24"/>
          <w:color w:val="auto"/>
        </w:rPr>
      </w:pPr>
    </w:p>
    <w:p>
      <w:pPr>
        <w:sectPr>
          <w:pgSz w:w="11900" w:h="16838" w:orient="portrait"/>
          <w:cols w:equalWidth="0" w:num="2">
            <w:col w:w="7400" w:space="720"/>
            <w:col w:w="3300"/>
          </w:cols>
          <w:pgMar w:left="240" w:top="733"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9785 S. Monroe Street, Ste 300, Sandy, UT 84070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(801) 432-9000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w:t>
      </w:r>
    </w:p>
    <w:p>
      <w:pPr>
        <w:spacing w:after="0" w:line="6" w:lineRule="exact"/>
        <w:rPr>
          <w:sz w:val="24"/>
          <w:szCs w:val="24"/>
          <w:color w:val="auto"/>
        </w:rPr>
      </w:pPr>
    </w:p>
    <w:p>
      <w:pPr>
        <w:ind w:left="356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w:t>
      </w:r>
    </w:p>
    <w:p>
      <w:pPr>
        <w:sectPr>
          <w:pgSz w:w="11900" w:h="16838" w:orient="portrait"/>
          <w:cols w:equalWidth="0" w:num="1">
            <w:col w:w="11420"/>
          </w:cols>
          <w:pgMar w:left="240" w:top="733" w:right="239" w:bottom="1440" w:gutter="0" w:footer="0" w:header="0"/>
          <w:type w:val="continuous"/>
        </w:sectPr>
      </w:pPr>
    </w:p>
    <w:p>
      <w:pPr>
        <w:spacing w:after="0" w:line="168"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474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2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420" w:type="dxa"/>
            <w:vAlign w:val="bottom"/>
          </w:tcPr>
          <w:p>
            <w:pPr>
              <w:ind w:left="68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1880"/>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outstanding of the issuer’s common stock, par value $0.001 per share, as of February 1, 2018 was 14,209,628.</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86"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to properly manage, motivate and retain our independent distributors or to attract new independent distributors on an ongoing basis;</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existing markets, open new international markets or expand our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of new products and technological innovations to gain distributor or market acceptance;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execute our product launch process due to increased pressure on our supply chain, information systems and management;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appropriately manage our inventory;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effects on our business and stock price due to ineffective internal controls;</w:t>
      </w:r>
    </w:p>
    <w:p>
      <w:pPr>
        <w:spacing w:after="0" w:line="144"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financial reporting and internal control systems and processes and maintain appropriate level of internal control over financial reporting;</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information technology systems;</w:t>
      </w:r>
    </w:p>
    <w:p>
      <w:pPr>
        <w:spacing w:after="0" w:line="144"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plan to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protect against cyber security risks and to maintain the integrity of data;</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comply with financial covenants imposed by our credit facility and the impact of debt service obligations and restrictive debt covenants;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 fluctuations;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of global economic conditions;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or complete desired acquisitions;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environmental liabilities stemming from past operations and property ownership;</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a few products for revenue;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materials for our products may become difficult to obtain or expensive;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third parties to manufacture our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the transportation channels used to distribute our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subject to a product recall;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publicity on our business or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direct selling program could be found to not be in compliance with current or newly adopted laws or regulations in various markets;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may be expensive and time consuming;</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skin care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investigatory and enforcement action by the Federal Trade Commission;</w:t>
      </w:r>
    </w:p>
    <w:p>
      <w:pPr>
        <w:spacing w:after="0" w:line="144"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authorities may question our tax positions or transfer pricing policies or change their laws in a manner that could increase our effective tax rate or otherwise harm our business;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laws;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build and integrate our new management team could harm our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held responsible for certain taxes or assessments relating to the activity of our independent distributors;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dietary supplement market;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claims that we infringe on their intellectual property;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 against us;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delisting of our common stock due to non-compliance with Nasdaq's continued listing requirements;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the market price of our common stock;</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sales of shares may negatively impact the market price of our common stock; and</w:t>
      </w:r>
    </w:p>
    <w:p>
      <w:pPr>
        <w:spacing w:after="0" w:line="144"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 of outstanding common shares may occur if holders of our existing options exercise their securities or upon future vesting of performance restricted stock units.</w:t>
      </w:r>
    </w:p>
    <w:p>
      <w:pPr>
        <w:spacing w:after="0" w:line="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4" w:right="27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color w:val="auto"/>
        </w:rPr>
        <w:t>LIFEVANTAGE CORPORATION</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PAGE</w:t>
            </w:r>
          </w:p>
        </w:tc>
      </w:tr>
      <w:tr>
        <w:trPr>
          <w:trHeight w:val="196"/>
        </w:trPr>
        <w:tc>
          <w:tcPr>
            <w:tcW w:w="2460" w:type="dxa"/>
            <w:vAlign w:val="bottom"/>
            <w:tcBorders>
              <w:bottom w:val="single" w:sz="8" w:color="0000FF"/>
            </w:tcBorders>
            <w:gridSpan w:val="7"/>
          </w:tcPr>
          <w:p>
            <w:pPr>
              <w:spacing w:after="0" w:line="170" w:lineRule="exact"/>
              <w:rPr>
                <w:rFonts w:ascii="Arial" w:cs="Arial" w:eastAsia="Arial" w:hAnsi="Arial"/>
                <w:sz w:val="18"/>
                <w:szCs w:val="18"/>
                <w:color w:val="0000FF"/>
              </w:rPr>
            </w:pPr>
            <w:hyperlink w:anchor="page5">
              <w:r>
                <w:rPr>
                  <w:rFonts w:ascii="Arial" w:cs="Arial" w:eastAsia="Arial" w:hAnsi="Arial"/>
                  <w:sz w:val="18"/>
                  <w:szCs w:val="18"/>
                  <w:color w:val="0000FF"/>
                </w:rPr>
                <w:t>PART I. Financial Information</w:t>
              </w:r>
            </w:hyperlink>
          </w:p>
        </w:tc>
        <w:tc>
          <w:tcPr>
            <w:tcW w:w="7900" w:type="dxa"/>
            <w:vAlign w:val="bottom"/>
            <w:gridSpan w:val="11"/>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17"/>
                <w:szCs w:val="17"/>
                <w:color w:val="auto"/>
              </w:rPr>
            </w:pPr>
          </w:p>
        </w:tc>
      </w:tr>
      <w:tr>
        <w:trPr>
          <w:trHeight w:val="257"/>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Financial Statements:</w:t>
              </w:r>
            </w:hyperlink>
          </w:p>
        </w:tc>
        <w:tc>
          <w:tcPr>
            <w:tcW w:w="7660" w:type="dxa"/>
            <w:vAlign w:val="bottom"/>
            <w:gridSpan w:val="10"/>
          </w:tcPr>
          <w:p>
            <w:pPr>
              <w:spacing w:after="0"/>
              <w:rPr>
                <w:sz w:val="22"/>
                <w:szCs w:val="22"/>
                <w:color w:val="auto"/>
              </w:rPr>
            </w:pPr>
          </w:p>
        </w:tc>
        <w:tc>
          <w:tcPr>
            <w:tcW w:w="9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2"/>
                <w:szCs w:val="22"/>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2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(unaudited)</w:t>
              </w:r>
            </w:hyperlink>
          </w:p>
        </w:tc>
        <w:tc>
          <w:tcPr>
            <w:tcW w:w="5400" w:type="dxa"/>
            <w:vAlign w:val="bottom"/>
            <w:gridSpan w:val="7"/>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2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and Comprehensive Income (unaudited)</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0" w:type="dxa"/>
            <w:vAlign w:val="bottom"/>
            <w:tcBorders>
              <w:top w:val="single" w:sz="8" w:color="0000FF"/>
            </w:tcBorders>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 of Stockholders’ Equity (unaudited)</w:t>
              </w:r>
            </w:hyperlink>
          </w:p>
        </w:tc>
        <w:tc>
          <w:tcPr>
            <w:tcW w:w="262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Condensed Consolidated Statements of Cash Flows (unaudited)</w:t>
              </w:r>
            </w:hyperlink>
          </w:p>
        </w:tc>
        <w:tc>
          <w:tcPr>
            <w:tcW w:w="600" w:type="dxa"/>
            <w:vAlign w:val="bottom"/>
            <w:tcBorders>
              <w:top w:val="single" w:sz="8" w:color="0000FF"/>
            </w:tcBorders>
            <w:gridSpan w:val="2"/>
          </w:tcPr>
          <w:p>
            <w:pPr>
              <w:spacing w:after="0"/>
              <w:rPr>
                <w:sz w:val="21"/>
                <w:szCs w:val="21"/>
                <w:color w:val="auto"/>
              </w:rPr>
            </w:pPr>
          </w:p>
        </w:tc>
        <w:tc>
          <w:tcPr>
            <w:tcW w:w="402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8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Condensed Consolidated Financial Statements (unaudited)</w:t>
              </w:r>
            </w:hyperlink>
          </w:p>
        </w:tc>
        <w:tc>
          <w:tcPr>
            <w:tcW w:w="434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16"/>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080" w:type="dxa"/>
            <w:vAlign w:val="bottom"/>
            <w:tcBorders>
              <w:left w:val="single" w:sz="8" w:color="0000FF"/>
            </w:tcBorders>
            <w:gridSpan w:val="4"/>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Quantitative and Qualitative Disclosures About Market Risk</w:t>
              </w:r>
            </w:hyperlink>
          </w:p>
        </w:tc>
        <w:tc>
          <w:tcPr>
            <w:tcW w:w="2080" w:type="dxa"/>
            <w:vAlign w:val="bottom"/>
            <w:gridSpan w:val="4"/>
          </w:tcPr>
          <w:p>
            <w:pPr>
              <w:spacing w:after="0"/>
              <w:rPr>
                <w:sz w:val="21"/>
                <w:szCs w:val="21"/>
                <w:color w:val="auto"/>
              </w:rPr>
            </w:pPr>
          </w:p>
        </w:tc>
        <w:tc>
          <w:tcPr>
            <w:tcW w:w="278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FF"/>
                <w:w w:val="88"/>
              </w:rPr>
            </w:pPr>
            <w:hyperlink w:anchor="page26">
              <w:r>
                <w:rPr>
                  <w:rFonts w:ascii="Arial" w:cs="Arial" w:eastAsia="Arial" w:hAnsi="Arial"/>
                  <w:sz w:val="18"/>
                  <w:szCs w:val="18"/>
                  <w:color w:val="0000FF"/>
                  <w:w w:val="88"/>
                </w:rPr>
                <w:t>Controls and Procedures</w:t>
              </w:r>
            </w:hyperlink>
          </w:p>
        </w:tc>
        <w:tc>
          <w:tcPr>
            <w:tcW w:w="2580" w:type="dxa"/>
            <w:vAlign w:val="bottom"/>
            <w:gridSpan w:val="3"/>
          </w:tcPr>
          <w:p>
            <w:pPr>
              <w:spacing w:after="0"/>
              <w:rPr>
                <w:sz w:val="21"/>
                <w:szCs w:val="21"/>
                <w:color w:val="auto"/>
              </w:rPr>
            </w:pPr>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000" w:type="dxa"/>
            <w:vAlign w:val="bottom"/>
            <w:gridSpan w:val="4"/>
          </w:tcPr>
          <w:p>
            <w:pPr>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PART II. Other Information</w:t>
              </w:r>
            </w:hyperlink>
          </w:p>
        </w:tc>
        <w:tc>
          <w:tcPr>
            <w:tcW w:w="8360" w:type="dxa"/>
            <w:vAlign w:val="bottom"/>
            <w:gridSpan w:val="14"/>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5"/>
          </w:tcPr>
          <w:p>
            <w:pPr>
              <w:spacing w:after="0"/>
              <w:rPr>
                <w:rFonts w:ascii="Arial" w:cs="Arial" w:eastAsia="Arial" w:hAnsi="Arial"/>
                <w:sz w:val="18"/>
                <w:szCs w:val="18"/>
                <w:color w:val="0000FF"/>
                <w:w w:val="85"/>
              </w:rPr>
            </w:pPr>
            <w:hyperlink w:anchor="page27">
              <w:r>
                <w:rPr>
                  <w:rFonts w:ascii="Arial" w:cs="Arial" w:eastAsia="Arial" w:hAnsi="Arial"/>
                  <w:sz w:val="18"/>
                  <w:szCs w:val="18"/>
                  <w:color w:val="0000FF"/>
                  <w:w w:val="85"/>
                </w:rPr>
                <w:t>Legal Proceedings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Risk Factors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0"/>
          </w:tcPr>
          <w:p>
            <w:pP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Unregistered Sales of Equity Securities and Use of Proceeds</w:t>
              </w:r>
            </w:hyperlink>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1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Defaults Upon Senior Securities</w:t>
              </w:r>
            </w:hyperlink>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Mine Safety Disclosures</w:t>
              </w:r>
            </w:hyperlink>
          </w:p>
        </w:tc>
        <w:tc>
          <w:tcPr>
            <w:tcW w:w="540" w:type="dxa"/>
            <w:vAlign w:val="bottom"/>
          </w:tcPr>
          <w:p>
            <w:pPr>
              <w:spacing w:after="0"/>
              <w:rPr>
                <w:sz w:val="21"/>
                <w:szCs w:val="21"/>
                <w:color w:val="auto"/>
              </w:rPr>
            </w:pPr>
          </w:p>
        </w:tc>
        <w:tc>
          <w:tcPr>
            <w:tcW w:w="690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5"/>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Other Information</w:t>
              </w:r>
            </w:hyperlink>
          </w:p>
        </w:tc>
        <w:tc>
          <w:tcPr>
            <w:tcW w:w="460" w:type="dxa"/>
            <w:vAlign w:val="bottom"/>
            <w:gridSpan w:val="2"/>
          </w:tcPr>
          <w:p>
            <w:pPr>
              <w:spacing w:after="0"/>
              <w:rPr>
                <w:sz w:val="21"/>
                <w:szCs w:val="21"/>
                <w:color w:val="auto"/>
              </w:rPr>
            </w:pPr>
          </w:p>
        </w:tc>
        <w:tc>
          <w:tcPr>
            <w:tcW w:w="744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5"/>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Exhibits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Signatures</w:t>
              </w:r>
            </w:hyperlink>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507"/>
        </w:trPr>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600" w:type="dxa"/>
            <w:vAlign w:val="bottom"/>
            <w:gridSpan w:val="11"/>
          </w:tcPr>
          <w:p>
            <w:pPr>
              <w:ind w:left="4480"/>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Pr>
          <w:p>
            <w:pPr>
              <w:spacing w:after="0"/>
              <w:rPr>
                <w:sz w:val="16"/>
                <w:szCs w:val="16"/>
                <w:color w:val="auto"/>
              </w:rPr>
            </w:pPr>
          </w:p>
        </w:tc>
        <w:tc>
          <w:tcPr>
            <w:tcW w:w="1520" w:type="dxa"/>
            <w:vAlign w:val="bottom"/>
          </w:tcPr>
          <w:p>
            <w:pPr>
              <w:jc w:val="right"/>
              <w:ind w:right="411"/>
              <w:spacing w:after="0"/>
              <w:rPr>
                <w:sz w:val="20"/>
                <w:szCs w:val="20"/>
                <w:color w:val="auto"/>
              </w:rPr>
            </w:pPr>
            <w:r>
              <w:rPr>
                <w:rFonts w:ascii="Arial" w:cs="Arial" w:eastAsia="Arial" w:hAnsi="Arial"/>
                <w:sz w:val="14"/>
                <w:szCs w:val="14"/>
                <w:b w:val="1"/>
                <w:bCs w:val="1"/>
                <w:color w:val="auto"/>
              </w:rPr>
              <w:t>June 30, 2017</w:t>
            </w:r>
          </w:p>
        </w:tc>
      </w:tr>
      <w:tr>
        <w:trPr>
          <w:trHeight w:val="251"/>
        </w:trPr>
        <w:tc>
          <w:tcPr>
            <w:tcW w:w="766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22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11,458</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1,334</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Inventory,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16,819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16,575</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deposits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5,266</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35,293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35,546</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84"/>
        </w:trPr>
        <w:tc>
          <w:tcPr>
            <w:tcW w:w="7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4,644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3,127</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Long-term deferred income tax asset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3,396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4,087</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45,656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45,249</w:t>
            </w:r>
          </w:p>
        </w:tc>
      </w:tr>
      <w:tr>
        <w:trPr>
          <w:trHeight w:val="67"/>
        </w:trPr>
        <w:tc>
          <w:tcPr>
            <w:tcW w:w="7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51"/>
        </w:trPr>
        <w:tc>
          <w:tcPr>
            <w:tcW w:w="7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3,269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4,850</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Commissions payable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Income tax payable</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215</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2,000</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23,355</w:t>
            </w:r>
          </w:p>
        </w:tc>
      </w:tr>
      <w:tr>
        <w:trPr>
          <w:trHeight w:val="270"/>
        </w:trPr>
        <w:tc>
          <w:tcPr>
            <w:tcW w:w="7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Principal amount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5,500</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unamortized discount and deferred offering costs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Long-term debt, net of unamortized discount and deferred offering costs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4,457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5,440</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1,927</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29,151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30,722</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 Note 6</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Preferred stock — par value $0.001 per share, 50,000 shares authorized, no shares issued or</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3"/>
              </w:rPr>
              <w:t>Common stock — par value $0.001 per share, 250,000 shares authorized and 14,211 and 14,232</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issued and outstanding as of December 31, 2017 and June 30, 2017, respectively</w:t>
            </w:r>
          </w:p>
        </w:tc>
        <w:tc>
          <w:tcPr>
            <w:tcW w:w="220" w:type="dxa"/>
            <w:vAlign w:val="bottom"/>
          </w:tcPr>
          <w:p>
            <w:pPr>
              <w:spacing w:after="0"/>
              <w:rPr>
                <w:sz w:val="20"/>
                <w:szCs w:val="20"/>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121,599</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(106,108)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(106,992)</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16,505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14,527</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45,656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45,249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spacing w:after="0" w:line="272" w:lineRule="auto"/>
        <w:rPr>
          <w:sz w:val="20"/>
          <w:szCs w:val="20"/>
          <w:color w:val="auto"/>
        </w:rPr>
      </w:pPr>
      <w:r>
        <w:rPr>
          <w:rFonts w:ascii="Arial" w:cs="Arial" w:eastAsia="Arial" w:hAnsi="Arial"/>
          <w:sz w:val="18"/>
          <w:szCs w:val="18"/>
          <w:color w:val="auto"/>
        </w:rPr>
        <w:t>LIFEVANTAGE CORPORATION AND SUBSIDIARIES CONDENSED CONSOLIDATED STATEMENTS OF OPERATIONS AND COMPREHENSIVE INCOME (Unaudited)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40" w:type="dxa"/>
            <w:vAlign w:val="bottom"/>
          </w:tcPr>
          <w:p>
            <w:pPr>
              <w:spacing w:after="0"/>
              <w:rPr>
                <w:sz w:val="16"/>
                <w:szCs w:val="16"/>
                <w:color w:val="auto"/>
              </w:rPr>
            </w:pPr>
          </w:p>
        </w:tc>
        <w:tc>
          <w:tcPr>
            <w:tcW w:w="272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49,482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98,609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103,841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9,117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17,856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16,332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40,365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87,509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Commissions and incentives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49,836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14,643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30,224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34,987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38,038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84,823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2,327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other expense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13,956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13,959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14,176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6" w:name="page7"/>
    <w:bookmarkEnd w:id="6"/>
    <w:p>
      <w:pPr>
        <w:jc w:val="center"/>
        <w:spacing w:after="0" w:line="264" w:lineRule="auto"/>
        <w:rPr>
          <w:sz w:val="20"/>
          <w:szCs w:val="20"/>
          <w:color w:val="auto"/>
        </w:rPr>
      </w:pPr>
      <w:r>
        <w:rPr>
          <w:rFonts w:ascii="Arial" w:cs="Arial" w:eastAsia="Arial" w:hAnsi="Arial"/>
          <w:sz w:val="18"/>
          <w:szCs w:val="18"/>
          <w:color w:val="auto"/>
        </w:rPr>
        <w:t>LIFEVANTAGE CORPORATION AND SUBSIDIARIES CONDENSED CONSOLIDATED STATEMENT OF STOCKHOLDERS’ EQUITY (Unaudited)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32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4"/>
                <w:szCs w:val="4"/>
                <w:color w:val="auto"/>
              </w:rPr>
            </w:pPr>
          </w:p>
        </w:tc>
        <w:tc>
          <w:tcPr>
            <w:tcW w:w="120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4"/>
                <w:szCs w:val="4"/>
                <w:color w:val="auto"/>
              </w:rPr>
            </w:pPr>
          </w:p>
        </w:tc>
        <w:tc>
          <w:tcPr>
            <w:tcW w:w="128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200" w:type="dxa"/>
            <w:vAlign w:val="bottom"/>
          </w:tcPr>
          <w:p>
            <w:pPr>
              <w:spacing w:after="0"/>
              <w:rPr>
                <w:sz w:val="5"/>
                <w:szCs w:val="5"/>
                <w:color w:val="auto"/>
              </w:rPr>
            </w:pPr>
          </w:p>
        </w:tc>
        <w:tc>
          <w:tcPr>
            <w:tcW w:w="14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2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June 30, 2017</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14,232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121,599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(106,992)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14,527</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shares related to restricted</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88"/>
              </w:rPr>
              <w:t>Shares canceled or surrendered as payment</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of tax withholding</w:t>
            </w: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company stock</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Currency translation adjustment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Balances, December 31, 2017</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14,211</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122,627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(106,108)</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16,505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rPr>
              <w:t>Six Months Ended December 31,</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6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1"/>
                <w:szCs w:val="21"/>
                <w:color w:val="auto"/>
              </w:rPr>
            </w:pP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Amortization of deferred financing fees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discount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Deferred income tax</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receivable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Inventory, net</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deposits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Income tax payable</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accrued expenses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Other long-term liabilities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4,682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5,100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equipment</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(2,117)</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Repurchase of company stock</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on term loan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Exercise of options and warrants</w:t>
            </w:r>
          </w:p>
        </w:tc>
        <w:tc>
          <w:tcPr>
            <w:tcW w:w="11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Foreign Currency Effect on Cash</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in Cash and Cash Equivalents: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1,336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3,848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and Cash Equivalents — beginning of period</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11,458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7,883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 end of period</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12,794</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11,731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Cash paid for interest</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7660" w:type="dxa"/>
            <w:vAlign w:val="bottom"/>
          </w:tcPr>
          <w:p>
            <w:pPr>
              <w:ind w:left="1140"/>
              <w:spacing w:after="0"/>
              <w:rPr>
                <w:sz w:val="20"/>
                <w:szCs w:val="20"/>
                <w:color w:val="auto"/>
              </w:rPr>
            </w:pPr>
            <w:r>
              <w:rPr>
                <w:rFonts w:ascii="Arial" w:cs="Arial" w:eastAsia="Arial" w:hAnsi="Arial"/>
                <w:sz w:val="18"/>
                <w:szCs w:val="18"/>
                <w:color w:val="auto"/>
              </w:rPr>
              <w:t>Cash paid for income taxes</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These unaudited condensed consolidated financial statements and notes should be read in conjunction with the audited financial statements and notes of LifeVantage Corporation (the “Company”) as of and for the year ended June 30, 2017 included in the annual report on Form 10-K filed with the Securities and Exchange Commission (“SEC”) on September 7, 2017.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48"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LifeVantage Corporation is a company focused on biohacking the aging code through nutrigenomics, the study of how nutrition and naturally occurring compounds affect our genes. The Company is dedicated to helping people achieve their health, wellness and financial goals. The Company provides quality, scientifically-validated products and a financially rewarding direct sales business opportunity to preferred customers, retail customers and independent distributors. The Company sells its products in the United States, Japan, Hong Kong, Australia, Canada, Mexico, Thailand, the United Kingdom, the Netherlands and Germany. In addition, the Company has begun its expansion into China through an e-commerce business model.</w:t>
      </w:r>
    </w:p>
    <w:p>
      <w:pPr>
        <w:spacing w:after="0" w:line="91" w:lineRule="exact"/>
        <w:rPr>
          <w:sz w:val="20"/>
          <w:szCs w:val="20"/>
          <w:color w:val="auto"/>
        </w:rPr>
      </w:pPr>
    </w:p>
    <w:p>
      <w:pPr>
        <w:ind w:right="40" w:firstLine="405"/>
        <w:spacing w:after="0" w:line="197" w:lineRule="auto"/>
        <w:rPr>
          <w:sz w:val="20"/>
          <w:szCs w:val="20"/>
          <w:color w:val="auto"/>
        </w:rPr>
      </w:pPr>
      <w:r>
        <w:rPr>
          <w:rFonts w:ascii="Arial" w:cs="Arial" w:eastAsia="Arial" w:hAnsi="Arial"/>
          <w:sz w:val="18"/>
          <w:szCs w:val="18"/>
          <w:color w:val="auto"/>
        </w:rPr>
        <w:t>The Company engages in the identification, research, development and distribution of advanced nutraceutical dietary supplements and skin care products, including Protandim</w:t>
      </w:r>
      <w:r>
        <w:rPr>
          <w:rFonts w:ascii="Arial" w:cs="Arial" w:eastAsia="Arial" w:hAnsi="Arial"/>
          <w:sz w:val="25"/>
          <w:szCs w:val="25"/>
          <w:color w:val="auto"/>
          <w:vertAlign w:val="superscript"/>
        </w:rPr>
        <w:t>®</w:t>
      </w:r>
      <w:r>
        <w:rPr>
          <w:rFonts w:ascii="Arial" w:cs="Arial" w:eastAsia="Arial" w:hAnsi="Arial"/>
          <w:sz w:val="18"/>
          <w:szCs w:val="18"/>
          <w:color w:val="auto"/>
        </w:rPr>
        <w:t>, its line of scientifically-validated dietary supplements, TrueScience</w:t>
      </w:r>
      <w:r>
        <w:rPr>
          <w:rFonts w:ascii="Arial" w:cs="Arial" w:eastAsia="Arial" w:hAnsi="Arial"/>
          <w:sz w:val="25"/>
          <w:szCs w:val="25"/>
          <w:color w:val="auto"/>
          <w:vertAlign w:val="superscript"/>
        </w:rPr>
        <w:t>®</w:t>
      </w:r>
      <w:r>
        <w:rPr>
          <w:rFonts w:ascii="Arial" w:cs="Arial" w:eastAsia="Arial" w:hAnsi="Arial"/>
          <w:sz w:val="18"/>
          <w:szCs w:val="18"/>
          <w:color w:val="auto"/>
        </w:rPr>
        <w:t>, its line of anti-aging skin care products, Petandim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Dogs, its companion pet supplement formulated to combat oxidative stress in dogs, Axio</w:t>
      </w:r>
      <w:r>
        <w:rPr>
          <w:rFonts w:ascii="Arial" w:cs="Arial" w:eastAsia="Arial" w:hAnsi="Arial"/>
          <w:sz w:val="25"/>
          <w:szCs w:val="25"/>
          <w:color w:val="auto"/>
          <w:vertAlign w:val="superscript"/>
        </w:rPr>
        <w:t>®</w:t>
      </w:r>
      <w:r>
        <w:rPr>
          <w:rFonts w:ascii="Arial" w:cs="Arial" w:eastAsia="Arial" w:hAnsi="Arial"/>
          <w:sz w:val="18"/>
          <w:szCs w:val="18"/>
          <w:color w:val="auto"/>
        </w:rPr>
        <w:t>, its Smart Energy Drink mixes, PhysIQ</w:t>
      </w:r>
      <w:r>
        <w:rPr>
          <w:rFonts w:ascii="Arial" w:cs="Arial" w:eastAsia="Arial" w:hAnsi="Arial"/>
          <w:sz w:val="25"/>
          <w:szCs w:val="25"/>
          <w:color w:val="auto"/>
          <w:vertAlign w:val="superscript"/>
        </w:rPr>
        <w:t>™</w:t>
      </w:r>
      <w:r>
        <w:rPr>
          <w:rFonts w:ascii="Arial" w:cs="Arial" w:eastAsia="Arial" w:hAnsi="Arial"/>
          <w:sz w:val="18"/>
          <w:szCs w:val="18"/>
          <w:color w:val="auto"/>
        </w:rPr>
        <w:t>, its Smart Weight Management System, and Omega+, its sustainable fish oil supplement.</w:t>
      </w:r>
    </w:p>
    <w:p>
      <w:pPr>
        <w:spacing w:after="0" w:line="122"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December 31, 2017, and the results of operations for the three and six months ended December 31, 2017 and 2016, and the cash flows for the six months ended December 31, 2017 and 2016. Interim results are not necessarily indicative of results for a full year or for any future period. Certain amounts in the prior year financial statements have been reclassified for comparative purposes in order to conform with current year presentation.</w:t>
      </w:r>
    </w:p>
    <w:p>
      <w:pPr>
        <w:spacing w:after="0" w:line="11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2017, pursuant to the rules and regulations of the SEC. For further information, refer to the financial statements and notes thereto as of and for the year ended June 30, 2017, and included in the annual report on Form 10-K on file with the SEC.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4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are eliminated in consolidation.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materially from those estimates and assumptions. On an ongoing basis, the Company reviews its estimates, including those related to inventory valuation and obsolescence, sales returns, income taxes and tax valuation reserves, share-based compensation, and loss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48"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condensed consolidated balance sheets and as a component of comprehensive income. Transaction gains and losses are included in other expense, net in the condensed consolidated</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9" w:name="page10"/>
    <w:bookmarkEnd w:id="9"/>
    <w:p>
      <w:pPr>
        <w:ind w:right="280"/>
        <w:spacing w:after="0" w:line="264" w:lineRule="auto"/>
        <w:rPr>
          <w:sz w:val="20"/>
          <w:szCs w:val="20"/>
          <w:color w:val="auto"/>
        </w:rPr>
      </w:pPr>
      <w:r>
        <w:rPr>
          <w:rFonts w:ascii="Arial" w:cs="Arial" w:eastAsia="Arial" w:hAnsi="Arial"/>
          <w:sz w:val="18"/>
          <w:szCs w:val="18"/>
          <w:color w:val="auto"/>
        </w:rPr>
        <w:t>statements of operations and comprehensive income. For the three months ended December 31, 2017 and 2016, net foreign currency losses of $0.1 million and $0.3 million, respectively, are recorded in other expense, net. For the six months ended December 31, 2017 and 2016, net foreign currency losses of $8,000 and $0.4 million, respectively, are recorded in other expense,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4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100"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To hedge risks associated with the foreign-currency-denominated intercompany transactions, the Company entered into forward foreign exchange contracts which were settled in December 2017 and were not designated for hedge accounting. For the three months ended December 31, 2017 and 2016, a realized loss of $0.1 million and a realized gain of $0.2 million, respectively, related to forward contracts, are recorded in other expense, net. For the six months ended December 31, 2017 and 2016, a realized loss of $0.1 million and a realized gain of $0.1 million, respectively, related to forward contracts, are recorded in other expense, net. The Company did not hold any derivative instruments at December 31, 2017.</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considers only its monetary liquid assets with original maturities of three months or less as cash and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Accounting guidance for financial instruments requires disclosure of significant concentrations of credit risk regardless of the degree of such risk. Financial instruments with significant credit risk include cash and investments. At December 31, 2017, the Company had $9.5 million in cash accounts at one financial institution and $3.3 million in accounts at other financial institutions. As of December 31, 2017 and June 30, 2017, and during the periods then ended, the Company’s cash balances exceeded federally insured limits.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Company’s accounts receivable as of December 31, 2017 and June 30, 2017 consist primarily of credit card receivables. Based on the Company’s verification process for customer credit cards and historical information available, management has determined that an allowance for doubtful accounts on credit card sales related to its customer sales as of December 31, 2017 is not necessary. No bad debt expense has been recorded for the three and six months ended December 31, 2017 and 2016.</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2017 and June 30, 2017, inventory consisted of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1440" w:type="dxa"/>
            <w:vAlign w:val="bottom"/>
          </w:tcPr>
          <w:p>
            <w:pPr>
              <w:jc w:val="right"/>
              <w:ind w:right="597"/>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7,817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7,683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8,758</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inventory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16,819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16,575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Inventories are carried and depicted above at the lower of cost or market, using the first-in, first-out method, which includes a reduction in inventory values of $1.4 million and $0.9 million at December 31, 2017 and June 30, 2017, respectively, related to obsolete and slow-moving inventory.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The Company ships the majority of its product directly to the consumer and receives substantially all payment for these sales in the form of credit card receipts. Revenue from direct product sales to customers is recognized upon shipment, which is when passage of title and risk of loss occurs. Estimated returns are recorded when product is shipped. Subject to some exceptions based on local regulations, the Company’s return policy is to provide a full refund for product returned within 30 days if the returned product is unopened or defective. After 30 days, the Company generally does not issue refunds to direct sales customers for returned product. The Company allows terminating distributors to return up to 30% of unopened, unexpired product that they have purchased within the prior twelve months for a full refund, less a 10% restocking fee. The Company establishes the returns reserve based on historical experience. The returns reserve is evaluated on a quarterly basis. As of</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right="880"/>
        <w:spacing w:after="0" w:line="407" w:lineRule="auto"/>
        <w:rPr>
          <w:sz w:val="20"/>
          <w:szCs w:val="20"/>
          <w:color w:val="auto"/>
        </w:rPr>
      </w:pPr>
      <w:r>
        <w:rPr>
          <w:rFonts w:ascii="Arial" w:cs="Arial" w:eastAsia="Arial" w:hAnsi="Arial"/>
          <w:sz w:val="18"/>
          <w:szCs w:val="18"/>
          <w:color w:val="auto"/>
        </w:rPr>
        <w:t xml:space="preserve">December 31, 2017 and June 30, 2017, the Company’s reserve balance for returns and allowances was $0.3 million and $0.4 million, respectively. </w:t>
      </w:r>
      <w:r>
        <w:rPr>
          <w:rFonts w:ascii="Arial" w:cs="Arial" w:eastAsia="Arial" w:hAnsi="Arial"/>
          <w:sz w:val="18"/>
          <w:szCs w:val="18"/>
          <w:b w:val="1"/>
          <w:bCs w:val="1"/>
          <w:color w:val="auto"/>
        </w:rPr>
        <w:t>Shipping and Handling</w:t>
      </w:r>
    </w:p>
    <w:p>
      <w:pPr>
        <w:ind w:right="320" w:firstLine="432"/>
        <w:spacing w:after="0" w:line="277" w:lineRule="auto"/>
        <w:rPr>
          <w:sz w:val="20"/>
          <w:szCs w:val="20"/>
          <w:color w:val="auto"/>
        </w:rPr>
      </w:pPr>
      <w:r>
        <w:rPr>
          <w:rFonts w:ascii="Arial" w:cs="Arial" w:eastAsia="Arial" w:hAnsi="Arial"/>
          <w:sz w:val="18"/>
          <w:szCs w:val="18"/>
          <w:color w:val="auto"/>
        </w:rPr>
        <w:t>Shipping and handling costs associated with inbound freight and freight out to customers, including independent distributors, are included in cost of sales. Shipping and handling fees charged to customers are included in sales.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Company expenses all costs related to research and development activities, as incurred. Research and development expenses for the three months ended December 31, 2017 and 2016 were $0.3 million and $0.3 million, respectively. Research and development expenses for the six months ended December 31, 2017 and 2016 were $0.5 million and $0.6 million,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8"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7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Black-Scholes option pricing model is used to estimate the fair value of stock options. The determination of the fair value of stock options is affected by the Company's stock price and a number of assumptions, including expected volatility, expected life, risk-free interest rate and expected dividends. The Company uses historical volatility as the expected volatility assumption required in the Black-Scholes model. The Company utilizes a simplified method for estimating the expected life of the options. The Company uses this method because it believes that it provides a better estimate than the Company’s historical data as post vesting exercises have been limited. The risk-free interest rate assumption is based on observed interest rates appropriate for the expected terms of the stock options.</w:t>
      </w:r>
    </w:p>
    <w:p>
      <w:pPr>
        <w:spacing w:after="0" w:line="112"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fair value of restricted stock grants is based on the closing market price of the Company's stock on the date of grant less the Company's expected dividend yield. The fair value of performance restricted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for new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98"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On December 22, 2017, the President of the United States of America signed tax reform legislation (the “2017 Act”), which includes a broad range of tax reform affecting businesses, including corporate tax rates, business deductions, and international tax regulations. Among these changes, the 2017 Act reduces the corporate tax rate from 35% to 21% effective December 31, 2017. This change in tax rate will be recognized as a discrete item for the Company during the second quarter of fiscal year 2018. Current taxes for fiscal 2018 will be accounted for at a blended rate of 28%, and the Company will revalue its deferred tax assets and liabilities to the reduced rates based on the period in which those assets and liabilities are expected to reverse. The Company has incorporated the changes resulting from the 2017 Act in its tax related accounts in the period ended December 31, 2017.</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right="80" w:firstLine="432"/>
        <w:spacing w:after="0" w:line="293" w:lineRule="auto"/>
        <w:rPr>
          <w:sz w:val="20"/>
          <w:szCs w:val="20"/>
          <w:color w:val="auto"/>
        </w:rPr>
      </w:pPr>
      <w:r>
        <w:rPr>
          <w:rFonts w:ascii="Arial" w:cs="Arial" w:eastAsia="Arial" w:hAnsi="Arial"/>
          <w:sz w:val="16"/>
          <w:szCs w:val="16"/>
          <w:color w:val="auto"/>
        </w:rPr>
        <w:t>For the six months ended December 31, 2017 and 2016, the Company recognized income tax expense of $2.2 million and $0.6 million, respectively, which is reflective of the Company’s current estimated federal, state and foreign effective tax rate. Realization of deferred tax assets is dependent upon future earnings in specific tax jurisdictions, the timing and amount of which are uncertain. As a result of the 2017 Act, the effective tax rate increased from 35.1% for the three months ended September 30, 2017 to 65.8% for the six months ended December 31, 2017. The Company's deferred tax asset balances were reduced by approximately $1.2 million as a result of remeasuring them to the new reduced corporate tax rate. This remeasurement caused an increase of approximately 35.2% to the effective tax rate. The increase was partially offset due to the lower blended corporate tax rate for fiscal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Per Share</w:t>
      </w:r>
    </w:p>
    <w:p>
      <w:pPr>
        <w:spacing w:after="0" w:line="14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100" w:lineRule="exact"/>
        <w:rPr>
          <w:sz w:val="20"/>
          <w:szCs w:val="20"/>
          <w:color w:val="auto"/>
        </w:rPr>
      </w:pPr>
    </w:p>
    <w:p>
      <w:pPr>
        <w:jc w:val="both"/>
        <w:ind w:right="420" w:firstLine="432"/>
        <w:spacing w:after="0" w:line="302" w:lineRule="auto"/>
        <w:rPr>
          <w:sz w:val="20"/>
          <w:szCs w:val="20"/>
          <w:color w:val="auto"/>
        </w:rPr>
      </w:pPr>
      <w:r>
        <w:rPr>
          <w:rFonts w:ascii="Arial" w:cs="Arial" w:eastAsia="Arial" w:hAnsi="Arial"/>
          <w:sz w:val="16"/>
          <w:szCs w:val="16"/>
          <w:color w:val="auto"/>
        </w:rPr>
        <w:t>For the three months ended December 31, 2017 and 2016, the effects of approximately 0.1 million and 0.1 million common shares, respectively, issuable upon exercise of options and non-vested shares of restricted stock are not included in computations as their effect was anti-dilutive. For the six months ended December 31, 2017 and 2016, the effects of approximately 0.3 million and 43,000 common shares, respectively, issuable upon exercise of options and non-vested shares of restricted stock are not included in computations as their effect was anti-dilutive.</w:t>
      </w:r>
    </w:p>
    <w:p>
      <w:pPr>
        <w:spacing w:after="0" w:line="73"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40" w:type="dxa"/>
            <w:vAlign w:val="bottom"/>
          </w:tcPr>
          <w:p>
            <w:pPr>
              <w:spacing w:after="0"/>
              <w:rPr>
                <w:sz w:val="16"/>
                <w:szCs w:val="16"/>
                <w:color w:val="auto"/>
              </w:rPr>
            </w:pPr>
          </w:p>
        </w:tc>
        <w:tc>
          <w:tcPr>
            <w:tcW w:w="272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 weighted-average common shares outstanding</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13,956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13,840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13,959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13,830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Stock awards and options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Warrants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14,153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14,132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14,117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14,176</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Net income per share, 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Net income per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48"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Company operates in a single operating segment by selling products to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does not use profitability reports on a regional or divisional basis for making business decisions. However, the Company does report revenue in two geographic regions: the Americas region and the Asia/Pacific &amp; Europe region. Revenues by geographic region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40" w:type="dxa"/>
            <w:vAlign w:val="bottom"/>
          </w:tcPr>
          <w:p>
            <w:pPr>
              <w:spacing w:after="0"/>
              <w:rPr>
                <w:sz w:val="16"/>
                <w:szCs w:val="16"/>
                <w:color w:val="auto"/>
              </w:rPr>
            </w:pPr>
          </w:p>
        </w:tc>
        <w:tc>
          <w:tcPr>
            <w:tcW w:w="272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Six Months Ended December 31,</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36,903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73,066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77,748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2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12,579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11,334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25,543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26,093</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49,482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98,609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103,841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ind w:left="1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2" w:name="page13"/>
    <w:bookmarkEnd w:id="12"/>
    <w:p>
      <w:pPr>
        <w:ind w:left="420"/>
        <w:spacing w:after="0"/>
        <w:rPr>
          <w:sz w:val="20"/>
          <w:szCs w:val="20"/>
          <w:color w:val="auto"/>
        </w:rPr>
      </w:pPr>
      <w:r>
        <w:rPr>
          <w:rFonts w:ascii="Arial" w:cs="Arial" w:eastAsia="Arial" w:hAnsi="Arial"/>
          <w:sz w:val="17"/>
          <w:szCs w:val="17"/>
          <w:color w:val="auto"/>
        </w:rPr>
        <w:t>Additional information as to the Company’s revenue from operations in the most significant geographical areas is set forth below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40" w:type="dxa"/>
            <w:vAlign w:val="bottom"/>
          </w:tcPr>
          <w:p>
            <w:pPr>
              <w:spacing w:after="0"/>
              <w:rPr>
                <w:sz w:val="16"/>
                <w:szCs w:val="16"/>
                <w:color w:val="auto"/>
              </w:rPr>
            </w:pPr>
          </w:p>
        </w:tc>
        <w:tc>
          <w:tcPr>
            <w:tcW w:w="272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rPr>
              <w:t>Six Months Ended December 31,</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34,814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35,535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68,929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74,153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Japan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10,383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9,498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21,240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20,105</w:t>
            </w:r>
          </w:p>
        </w:tc>
      </w:tr>
    </w:tbl>
    <w:p>
      <w:pPr>
        <w:spacing w:after="0" w:line="148"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As of December 31, 2017, long-lived assets were $8.0 million in the United States and $0.9 million in Japan. As of June 30, 2017, long-lived assets were $6.2 million in the United States and $0.9 million in Japan.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Pronouncements</w:t>
      </w:r>
    </w:p>
    <w:p>
      <w:pPr>
        <w:spacing w:after="0" w:line="14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 (Topic 606)</w:t>
      </w:r>
      <w:r>
        <w:rPr>
          <w:rFonts w:ascii="Arial" w:cs="Arial" w:eastAsia="Arial" w:hAnsi="Arial"/>
          <w:sz w:val="18"/>
          <w:szCs w:val="18"/>
          <w:color w:val="auto"/>
        </w:rPr>
        <w:t>, and has subsequently issued ASU 2015-14,</w:t>
      </w:r>
      <w:r>
        <w:rPr>
          <w:rFonts w:ascii="Arial" w:cs="Arial" w:eastAsia="Arial" w:hAnsi="Arial"/>
          <w:sz w:val="18"/>
          <w:szCs w:val="18"/>
          <w:i w:val="1"/>
          <w:iCs w:val="1"/>
          <w:color w:val="auto"/>
        </w:rPr>
        <w:t xml:space="preserve"> Revenue from Contracts with Customers (Topic 606): Deferral of the Effective Date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ASU 2016-08, </w:t>
      </w:r>
      <w:r>
        <w:rPr>
          <w:rFonts w:ascii="Arial" w:cs="Arial" w:eastAsia="Arial" w:hAnsi="Arial"/>
          <w:sz w:val="18"/>
          <w:szCs w:val="18"/>
          <w:i w:val="1"/>
          <w:iCs w:val="1"/>
          <w:color w:val="auto"/>
        </w:rPr>
        <w:t>Revenue from Contracts with Customers (Topic 606): Principal versus Agent Considerations (Reporting Revenue Gross versus Net)</w:t>
      </w:r>
      <w:r>
        <w:rPr>
          <w:rFonts w:ascii="Arial" w:cs="Arial" w:eastAsia="Arial" w:hAnsi="Arial"/>
          <w:sz w:val="18"/>
          <w:szCs w:val="18"/>
          <w:color w:val="auto"/>
        </w:rPr>
        <w:t xml:space="preserve">, ASU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xml:space="preserve">, ASU 2016-11,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605) and Derivatives and Hedging (Topic 815)</w:t>
      </w:r>
      <w:r>
        <w:rPr>
          <w:rFonts w:ascii="Arial" w:cs="Arial" w:eastAsia="Arial" w:hAnsi="Arial"/>
          <w:sz w:val="18"/>
          <w:szCs w:val="18"/>
          <w:color w:val="auto"/>
        </w:rPr>
        <w:t>, ASU 2016-12,</w:t>
      </w:r>
      <w:r>
        <w:rPr>
          <w:rFonts w:ascii="Arial" w:cs="Arial" w:eastAsia="Arial" w:hAnsi="Arial"/>
          <w:sz w:val="18"/>
          <w:szCs w:val="18"/>
          <w:i w:val="1"/>
          <w:iCs w:val="1"/>
          <w:color w:val="auto"/>
        </w:rPr>
        <w:t xml:space="preserve"> Revenue from Contracts with Customers (Topic 606): Narrow-Scope Improvements and Practical Expedients</w:t>
      </w:r>
      <w:r>
        <w:rPr>
          <w:rFonts w:ascii="Arial" w:cs="Arial" w:eastAsia="Arial" w:hAnsi="Arial"/>
          <w:sz w:val="18"/>
          <w:szCs w:val="18"/>
          <w:color w:val="auto"/>
        </w:rPr>
        <w:t>, and ASU 2016-20,</w:t>
      </w:r>
      <w:r>
        <w:rPr>
          <w:rFonts w:ascii="Arial" w:cs="Arial" w:eastAsia="Arial" w:hAnsi="Arial"/>
          <w:sz w:val="18"/>
          <w:szCs w:val="18"/>
          <w:i w:val="1"/>
          <w:iCs w:val="1"/>
          <w:color w:val="auto"/>
        </w:rPr>
        <w:t xml:space="preserve"> Technical Corrections and Improvements to Topic 606, Revenue from Contracts with Customers </w:t>
      </w:r>
      <w:r>
        <w:rPr>
          <w:rFonts w:ascii="Arial" w:cs="Arial" w:eastAsia="Arial" w:hAnsi="Arial"/>
          <w:sz w:val="18"/>
          <w:szCs w:val="18"/>
          <w:color w:val="auto"/>
        </w:rPr>
        <w:t>(collectively, Topic</w:t>
      </w:r>
      <w:r>
        <w:rPr>
          <w:rFonts w:ascii="Arial" w:cs="Arial" w:eastAsia="Arial" w:hAnsi="Arial"/>
          <w:sz w:val="18"/>
          <w:szCs w:val="18"/>
          <w:i w:val="1"/>
          <w:iCs w:val="1"/>
          <w:color w:val="auto"/>
        </w:rPr>
        <w:t xml:space="preserve"> </w:t>
      </w:r>
      <w:r>
        <w:rPr>
          <w:rFonts w:ascii="Arial" w:cs="Arial" w:eastAsia="Arial" w:hAnsi="Arial"/>
          <w:sz w:val="18"/>
          <w:szCs w:val="18"/>
          <w:color w:val="auto"/>
        </w:rPr>
        <w:t>606).</w:t>
      </w:r>
    </w:p>
    <w:p>
      <w:pPr>
        <w:spacing w:after="0" w:line="108"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Topic 606 outlines a single comprehensive model for entities to use in accounting for revenue arising from contracts with customers and supersedes most current revenue recognition guidance, including industry-specific guidance. The core principle of the new guidance is for companies to recognize revenue to depict the transfer of goods or services to customers in amounts that reflect the consideration it expects to receive in exchange for those goods or services. The guidance also requires additional disclosure about the nature, amount, timing and uncertainty of revenue and cash flows arising from customer contracts, including significant judgments and changes in judgments and assets recognized from costs incurred to fulfill a contract. This guidance is effective for the Company beginning on July 1, 2018 with the option to adopt using either a full retrospective or a modified retrospective approach. The Company expects to adopt Topic 606 using the modified retrospective approach, under which the cumulative effect of initially applying Topic 606 is recognized as an adjustment to the opening balance of retained earnings in the first quarter of fiscal 2019.</w:t>
      </w:r>
    </w:p>
    <w:p>
      <w:pPr>
        <w:spacing w:after="0" w:line="98"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Company has evaluated each of its revenue streams and has identified similar performance obligations under Topic 606 as compared to current revenue recognition guidance. As a result, the Company expects that the timing of the recognition of revenue will remain materially unchanged compared to the current guidance.</w:t>
      </w:r>
    </w:p>
    <w:p>
      <w:pPr>
        <w:spacing w:after="0" w:line="100" w:lineRule="exact"/>
        <w:rPr>
          <w:sz w:val="20"/>
          <w:szCs w:val="20"/>
          <w:color w:val="auto"/>
        </w:rPr>
      </w:pPr>
    </w:p>
    <w:p>
      <w:pPr>
        <w:ind w:right="380" w:firstLine="405"/>
        <w:spacing w:after="0" w:line="279" w:lineRule="auto"/>
        <w:rPr>
          <w:sz w:val="20"/>
          <w:szCs w:val="20"/>
          <w:color w:val="auto"/>
        </w:rPr>
      </w:pPr>
      <w:r>
        <w:rPr>
          <w:rFonts w:ascii="Arial" w:cs="Arial" w:eastAsia="Arial" w:hAnsi="Arial"/>
          <w:sz w:val="17"/>
          <w:szCs w:val="17"/>
          <w:color w:val="auto"/>
        </w:rPr>
        <w:t>There are also considerations related to internal control over financial reporting associated with implementing Topic 606. The Company has substantially completed the evaluation of its control framework for revenue recognition and identified no material changes needed in response to the new guidance. The Company has also evaluated the expanded disclosure requirements under Topic 606 and has substantially completed the design and implementation of the appropriate controls over gathering and reporting the information required under Topic 606.</w:t>
      </w:r>
    </w:p>
    <w:p>
      <w:pPr>
        <w:spacing w:after="0" w:line="90"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 xml:space="preserve">In February 2016, FASB issued ASU No. 2016-02, </w:t>
      </w:r>
      <w:r>
        <w:rPr>
          <w:rFonts w:ascii="Arial" w:cs="Arial" w:eastAsia="Arial" w:hAnsi="Arial"/>
          <w:sz w:val="17"/>
          <w:szCs w:val="17"/>
          <w:i w:val="1"/>
          <w:iCs w:val="1"/>
          <w:color w:val="auto"/>
        </w:rPr>
        <w:t>Leases (Topic 841)</w:t>
      </w:r>
      <w:r>
        <w:rPr>
          <w:rFonts w:ascii="Arial" w:cs="Arial" w:eastAsia="Arial" w:hAnsi="Arial"/>
          <w:sz w:val="17"/>
          <w:szCs w:val="17"/>
          <w:color w:val="auto"/>
        </w:rPr>
        <w:t>. For lessees, this ASU requires that for all leases not considered to be short term, a company recognize both a right-of-use asset and lease liability on its balance sheet, representing the obligation to make payments and the right to use or control the use of a specified asset for the lease term. This ASU is effective for annual periods beginning after December 15, 2018 and interim periods within those annual periods. The Company is currently evaluating the impact of the ASU on the Company’s outstanding leases and expects that adoption will have an impact on its consolidated balance sheets related to recording right-of-use assets and corresponding lease liabilities.</w:t>
      </w:r>
    </w:p>
    <w:p>
      <w:pPr>
        <w:spacing w:after="0" w:line="91"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 xml:space="preserve">In May 2017, FASB issued ASU No. 2017-09, </w:t>
      </w:r>
      <w:r>
        <w:rPr>
          <w:rFonts w:ascii="Arial" w:cs="Arial" w:eastAsia="Arial" w:hAnsi="Arial"/>
          <w:sz w:val="18"/>
          <w:szCs w:val="18"/>
          <w:i w:val="1"/>
          <w:iCs w:val="1"/>
          <w:color w:val="auto"/>
        </w:rPr>
        <w:t>Compensation - Stock Compensation (Topic 718): Scope of Modification Accounting</w:t>
      </w:r>
      <w:r>
        <w:rPr>
          <w:rFonts w:ascii="Arial" w:cs="Arial" w:eastAsia="Arial" w:hAnsi="Arial"/>
          <w:sz w:val="18"/>
          <w:szCs w:val="18"/>
          <w:color w:val="auto"/>
        </w:rPr>
        <w:t>. The ASU provides guidance about which changes to the terms or conditions of a share-based award require an entity to apply modification accounting in Topic 718. An entity should account for the effects of a modification unless all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The current disclosure requirements in Topic 718 apply regardless of whether an entity is required to apply modification accounting under this ASU. This ASU is effective for all annual periods, and interim periods within those annual periods, beginning after December 15, 2017. Early adoption is permitted. This ASU should be applied prospectively to an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award modified on or after the adoption date. The Company will apply this ASU to any award modifications made on or after the adoption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Long-Term Debt</w:t>
      </w:r>
    </w:p>
    <w:p>
      <w:pPr>
        <w:spacing w:after="0" w:line="14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On March 30, 2016, the Company entered into a loan agreement (the “March 2016 Loan Agreement”) to refinance its outstanding debt. In connection with the March 2016 Loan Agreement and on the same date, the Company entered into a security agreement (the “Security Agreement”). The March 2016 Loan Agreement provides for a term loan in an aggregate principal amount of $10.0 million (the “March 2016 Term Loan") and a revolving loan facility in an aggregate principal amount not to exceed $2.0 million (the “March 2016 Revolving Loan,” and collectively with the March 2016 Term Loan, the March 2016 Loan Agreement and the Security Agreement, the “March 2016 Credit Facility”).</w:t>
      </w:r>
    </w:p>
    <w:p>
      <w:pPr>
        <w:spacing w:after="0" w:line="107"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The principal amount of the March 2016 Term Loan is payable in consecutive quarterly installments in the amount of $0.5 million plus accrued interest beginning with the fiscal quarter ended June 30, 2016 and maturing on March 30, 2019 (the “Maturity Date”). The March 2016 Term Loan bears interest at a fixed rate of 4.93%. If the Company borrows under the March 2016 Revolving Loan, interest will be payable quarterly in arrears on the last day of each fiscal quarter at a variable rate equal to the 30 day LIBOR Rate plus 3.50%.</w:t>
      </w:r>
    </w:p>
    <w:p>
      <w:pPr>
        <w:spacing w:after="0" w:line="106"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Company’s obligations under the March 2016 Credit Facility are secured by a security interest in substantially all of the Company’s assets. Loans outstanding under the March 2016 Credit Facility may be prepaid in whole or in part at any time without premium or penalty. In addition, if, at any time, the aggregate principal amount outstanding under the March 2016 Revolving Loan exceeds $2.0 million, the Company must prepay an amount equal to such excess. Any principal amount of the March 2016 Term Loan which is prepaid or repaid may not be re-borrowed.</w:t>
      </w:r>
    </w:p>
    <w:p>
      <w:pPr>
        <w:spacing w:after="0" w:line="9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March 2016 Credit Facility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March 2016 Credit Facility also contains various financial covenants that require the Company to maintain a certain consolidated minimum tangible net worth, minimum working capital amounts, and debt to EBITDA and fixed charge coverage ratios. Additionally, the March 2016 Credit Facility contains cross-default provisions, whereby a default under the terms of certain indebtedness or an uncured default of a payment or other material obligation of the Company under a material contract of the Company will cause a default on the remaining indebtedness under the March 2016 Credit Facility. As of December 31, 2017, the Company was in compliance with all applicable covenants under the March 2016 Credit Facility.</w:t>
      </w:r>
    </w:p>
    <w:p>
      <w:pPr>
        <w:spacing w:after="0" w:line="10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Company’s book value for the March 2016 Credit Facility approximates the fair value. Aggregate future principal payments required in accordance with the terms of the March 2016 Credit Facility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Ending June 30,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 (remaining six months ending June 30, 2018)</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5,500</w:t>
            </w:r>
          </w:p>
        </w:tc>
      </w:tr>
      <w:tr>
        <w:trPr>
          <w:trHeight w:val="27"/>
        </w:trPr>
        <w:tc>
          <w:tcPr>
            <w:tcW w:w="9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6,500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Stockholders’ Equity</w:t>
      </w:r>
    </w:p>
    <w:p>
      <w:pPr>
        <w:spacing w:after="0" w:line="14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During the three and six months ended December 31, 2017, the Company issued 30,000 shares of restricted stock and no shares of common stock upon the exercise of warrants and options. During the three and six months ended December 31, 2017, 2,000 and 6,000 shares, respectively, of restricted stock were canceled or surrendered as payment of tax withholding upon vesting.</w:t>
      </w:r>
    </w:p>
    <w:p>
      <w:pPr>
        <w:spacing w:after="0" w:line="10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 Company's management. As part of the repurchase program, the Company may enter into a pre-arranged stock repurchase plan which will operate in accordance with guidelines specified under Rule 10b5-1 of the Securities Exchange Act. Accordingly, transactions, if any, would be completed in accordance with the terms of the stock repurchase plan, including specified price, volume and timing conditions. The authorization may be suspended or discontinued at any time and expires on November 27, 2020. During the six months ended December 31, 2017, the Company purchased 45,107 shares of its common stock on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ind w:right="140"/>
        <w:spacing w:after="0" w:line="277" w:lineRule="auto"/>
        <w:rPr>
          <w:sz w:val="20"/>
          <w:szCs w:val="20"/>
          <w:color w:val="auto"/>
        </w:rPr>
      </w:pPr>
      <w:r>
        <w:rPr>
          <w:rFonts w:ascii="Arial" w:cs="Arial" w:eastAsia="Arial" w:hAnsi="Arial"/>
          <w:sz w:val="18"/>
          <w:szCs w:val="18"/>
          <w:color w:val="auto"/>
        </w:rPr>
        <w:t>open market at an aggregate purchase price of $0.2 million under this repurchase program. At December 31, 2017, there is $4.8 million remaining under this repurchase program.</w:t>
      </w:r>
    </w:p>
    <w:p>
      <w:pPr>
        <w:spacing w:after="0" w:line="8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Company’s Articles of Incorporation authorize the issuance of preferred shares. However, as of December 31, 2017, none have been issued and no rights or preferences have been assigned to the preferred shares by the Company’s board of directors.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Stock-Based Compensation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Long-Term Incentive Plans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Equity-Settled Plans</w:t>
      </w:r>
    </w:p>
    <w:p>
      <w:pPr>
        <w:spacing w:after="0" w:line="148"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The Company adopted and the shareholders approved the 2007 Long-Term Incentive Plan (the “2007 Plan”), effective November 21, 2006, to provide incentives to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between $1.47 and $10.50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Effective November 21, 2016, no new awards can be granted under the 2007 Plan.</w:t>
      </w:r>
    </w:p>
    <w:p>
      <w:pPr>
        <w:spacing w:after="0" w:line="10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Company adopted and the shareholders approved the 2010 Long-Term Incentive Plan (the “2010 Plan”), effective September 27, 2010, as amended on August 21, 2014, to provide incentives to certain employees, directors and consultants. A maximum of 1.1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$5.60 and $20.09 per share, and vest over one to four year vesting periods. Awards expire in accordance with the terms of each award and, upon expiration of the award, the shares subject to the award will be added to the 2017 Plan pool as described below. The contractual term of stock options granted is generally ten years. No new awards will be granted under the 2010 Plan and forfeited or terminated shares will be added to the 2017 Plan pool as described below.</w:t>
      </w:r>
    </w:p>
    <w:p>
      <w:pPr>
        <w:spacing w:after="0" w:line="86"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The Company adopted and the shareholders approved the 2017 Long-Term Incentive Plan (the “2017 Plan”), effective February 16, 2017, to provide incentives to eligible employees, directors and consultants. The maximum number of shares that can be issued under the 2017 Plan is not to exceed 1,125,000 shares, calculated as the sum of (i) 650,000 shares and (ii) up to 475,000 shares previously reserved for issuance under the 2010 Plan, including shares returned upon cancellation, termination or forfeiture of awards that were previously granted under that plan. As of December 31, 2017, a maximum of 1.0 million shares of the Company's common stock can be issued under the 2017 Plan in connection with the grant of awards. Awards expire in accordance with the terms of each award and the shares subject to the award are added back to the 2017 Plan upon expiration of the award.</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Cash-Settled Plans</w:t>
      </w:r>
    </w:p>
    <w:p>
      <w:pPr>
        <w:spacing w:after="0" w:line="148"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The Company adopted a performance incentive plan effective July 1, 2015 (the "Fiscal 2016 Performance Plan"). The Fiscal 2016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2016 Performance Plan seeks to achieve this purpose by providing for awards in the form of performance share units (the “Units”). No shares will be issued under the Fiscal 2016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 The Company adopted separate performance incentive plans effective July 1, 2016 (the "Fiscal 2017 Performance Plan") and July 1, 2017 (the "Fiscal 2018 Performance Plan"). The Fiscal 2017 Performance Plan and Fiscal 2018 Performance Plan include performance-based and service-based vesting requirements and payment terms that are substantially the same as described above for the Fiscal 2016 Performance Plan.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u w:val="single" w:color="auto"/>
          <w:color w:val="auto"/>
        </w:rPr>
        <w:t>Stock-Based Compensation</w:t>
      </w:r>
    </w:p>
    <w:p>
      <w:pPr>
        <w:spacing w:after="0" w:line="14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accordance with accounting guidance for stock-based compensation, payments in equity instruments for goods or services are accounted for by the fair value method. For the three and six months ended December 31, 2017, stock-based compensation of $0.6 million and $1.0 million, respectively, was reflected as an increase to additional paid-in capital and an increase of $0.2 million and $0.4 million, respectively, was included in other accrued expenses, all of which was employee related. For the three and six months ended December 31, 2016, stock-based compensation of $0.3 million and $1.0 million, respectively, was reflected as an increase to additional paid-in capital and an increase of $0.1 million and $0.2 million, respectively, was included in other accrued expenses, all of which was employee related.</w:t>
      </w:r>
    </w:p>
    <w:p>
      <w:pPr>
        <w:spacing w:after="0" w:line="112"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On January 4, 2016, the Company awarded performance restricted stock units under the 2010 Long-Term Incentive Plan to its executive officers (the "Recipients") and, in March 2016, the Company and each Recipient entered into an amended and restated stock unit agreement (the "Restated Stock Unit Agreement") amending the terms of the January 2016 awards. Under the Restated Stock Unit Agreements, vesting for the performance restricted stock units occurs at the end of a three-year performance period beginning January 1, 2016 (the "Performance Period") and is subject to achievement of both service-based and market-based performance vesting requirements. Subject generally to the Recipient's continued service with the Company (the service-based requirement) and limitations otherwise set forth in the 2010 Long-Term Incentive Plan, each performance restricted stock unit represents a contingent right for the Recipient to receive, within thirty days after the end of the performance period, a distribution of shares of common stock of the Company equal to 0% to 200% of the target number of performance restricted stock units subject to the award. The actual number of shares distributed will be based on the Company's total stockholder return ("TSR") performance during the Performance Period, subject to acceleration upon a change in control of the Company. The vesting for 50% of the performance restricted stock units is based upon the Company's absolute TSR for the performance period compared to a matrix of fixed numeric values and the vesting for the other 50% of the performance restricted stock units is based upon the relative comparison of the Company's TSR to the Vanguard Russell 2000 exchange traded fund TSR. The fair value of the performance restricted stock units will be recognized on a straight-line basis over the requisite service period of the awards, regardless of when, if ever, the market-based performance conditions are satisfied. On March 28, 2017, the Company awarded new performance restricted stock units under the 2017 Long-Term Incentive Plan to its executive officers. These awards have a three-year performance period beginning on January 1, 2017 and otherwise include the same performance-based and service-based vesting requirements as the previous awards.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44"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 xml:space="preserve">The Company accounts for contingent liabilities in accordance with Accounting Standards Codification ("ASC") Topic 450, </w:t>
      </w:r>
      <w:r>
        <w:rPr>
          <w:rFonts w:ascii="Arial" w:cs="Arial" w:eastAsia="Arial" w:hAnsi="Arial"/>
          <w:sz w:val="16"/>
          <w:szCs w:val="16"/>
          <w:i w:val="1"/>
          <w:iCs w:val="1"/>
          <w:color w:val="auto"/>
        </w:rPr>
        <w:t>Contingencies</w:t>
      </w:r>
      <w:r>
        <w:rPr>
          <w:rFonts w:ascii="Arial" w:cs="Arial" w:eastAsia="Arial" w:hAnsi="Arial"/>
          <w:sz w:val="16"/>
          <w:szCs w:val="16"/>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December 31, 2017, and based on the assessment, there are no probable loss contingencies requiring accrual or disclosures within its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Accruals</w:t>
      </w:r>
    </w:p>
    <w:p>
      <w:pPr>
        <w:spacing w:after="0" w:line="14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6" w:name="page17"/>
    <w:bookmarkEnd w:id="16"/>
    <w:p>
      <w:pPr>
        <w:ind w:right="200"/>
        <w:spacing w:after="0" w:line="257" w:lineRule="auto"/>
        <w:rPr>
          <w:sz w:val="20"/>
          <w:szCs w:val="20"/>
          <w:color w:val="auto"/>
        </w:rPr>
      </w:pPr>
      <w:r>
        <w:rPr>
          <w:rFonts w:ascii="Arial" w:cs="Arial" w:eastAsia="Arial" w:hAnsi="Arial"/>
          <w:sz w:val="18"/>
          <w:szCs w:val="18"/>
          <w:color w:val="auto"/>
        </w:rPr>
        <w:t>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significance of the impact any such losses, damages or remedies may have on the consolidated financial statements; and the unique facts and circumstances of the particular matter that may give rise to additional factors.</w:t>
      </w:r>
    </w:p>
    <w:p>
      <w:pPr>
        <w:spacing w:after="0" w:line="10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b w:val="1"/>
          <w:bCs w:val="1"/>
          <w:color w:val="auto"/>
        </w:rPr>
        <w:t xml:space="preserve">Class Action Lawsuit: </w:t>
      </w:r>
      <w:r>
        <w:rPr>
          <w:rFonts w:ascii="Arial" w:cs="Arial" w:eastAsia="Arial" w:hAnsi="Arial"/>
          <w:sz w:val="17"/>
          <w:szCs w:val="17"/>
          <w:color w:val="auto"/>
        </w:rPr>
        <w:t>As previously reported, on September 15, 2016, a purported securities class action was filed in the United States District Court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the District of Utah, entitled </w:t>
      </w:r>
      <w:r>
        <w:rPr>
          <w:rFonts w:ascii="Arial" w:cs="Arial" w:eastAsia="Arial" w:hAnsi="Arial"/>
          <w:sz w:val="17"/>
          <w:szCs w:val="17"/>
          <w:i w:val="1"/>
          <w:iCs w:val="1"/>
          <w:color w:val="auto"/>
        </w:rPr>
        <w:t>Zhang v. LifeVantage Corp.</w:t>
      </w:r>
      <w:r>
        <w:rPr>
          <w:rFonts w:ascii="Arial" w:cs="Arial" w:eastAsia="Arial" w:hAnsi="Arial"/>
          <w:sz w:val="17"/>
          <w:szCs w:val="17"/>
          <w:color w:val="auto"/>
        </w:rPr>
        <w:t xml:space="preserve">, Case No. 2:16-cv-00965-BCW (D. Utah filed Sept. 15, 2016). In this action (later recaptioned as </w:t>
      </w:r>
      <w:r>
        <w:rPr>
          <w:rFonts w:ascii="Arial" w:cs="Arial" w:eastAsia="Arial" w:hAnsi="Arial"/>
          <w:sz w:val="17"/>
          <w:szCs w:val="17"/>
          <w:i w:val="1"/>
          <w:iCs w:val="1"/>
          <w:color w:val="auto"/>
        </w:rPr>
        <w:t>In re LifeVantage Corp. Securities Litigation</w:t>
      </w:r>
      <w:r>
        <w:rPr>
          <w:rFonts w:ascii="Arial" w:cs="Arial" w:eastAsia="Arial" w:hAnsi="Arial"/>
          <w:sz w:val="17"/>
          <w:szCs w:val="17"/>
          <w:color w:val="auto"/>
        </w:rPr>
        <w:t>), plaintiff alleged that the Company, its Chief Executive Officer and former Chief Financial Officer violated</w:t>
      </w:r>
      <w:r>
        <w:rPr>
          <w:rFonts w:ascii="Arial" w:cs="Arial" w:eastAsia="Arial" w:hAnsi="Arial"/>
          <w:sz w:val="17"/>
          <w:szCs w:val="17"/>
          <w:i w:val="1"/>
          <w:iCs w:val="1"/>
          <w:color w:val="auto"/>
        </w:rPr>
        <w:t xml:space="preserve"> </w:t>
      </w:r>
      <w:r>
        <w:rPr>
          <w:rFonts w:ascii="Arial" w:cs="Arial" w:eastAsia="Arial" w:hAnsi="Arial"/>
          <w:sz w:val="17"/>
          <w:szCs w:val="17"/>
          <w:color w:val="auto"/>
        </w:rPr>
        <w:t>Sections 10(b) and/or 20(a) of the Securities Exchange Act of 1934, 15 U.S.C. §§ 78j(b), 78t(a), and Rule 10b-5, 17 C.F.R. § 240.10b-5, promulgated thereunder. On June 15, 2017, the Court granted defendants’ motion to dismiss the amended complaint, without prejudice, and permitted lead plaintiffs to file a motion for leave to file a second amended complaint. On September 18, 2017, the Court denied lead plaintiffs’ motion for leave to amend and entered final judgment in favor of LifeVantage and the other defendants and dismissed the case with prejudice. On October 17, 2017, the parties executed a stipulation whereby lead plaintiffs agreed not to take an appeal from the final judgment of dismissal in favor of defendants in exchange for mutual releases, without payment of any consideration by or on behalf of defendants. This case is now concluded.</w:t>
      </w:r>
    </w:p>
    <w:p>
      <w:pPr>
        <w:spacing w:after="0" w:line="93" w:lineRule="exact"/>
        <w:rPr>
          <w:sz w:val="20"/>
          <w:szCs w:val="20"/>
          <w:color w:val="auto"/>
        </w:rPr>
      </w:pPr>
    </w:p>
    <w:p>
      <w:pPr>
        <w:ind w:right="20" w:firstLine="324"/>
        <w:spacing w:after="0" w:line="295" w:lineRule="auto"/>
        <w:rPr>
          <w:sz w:val="20"/>
          <w:szCs w:val="20"/>
          <w:color w:val="auto"/>
        </w:rPr>
      </w:pPr>
      <w:r>
        <w:rPr>
          <w:rFonts w:ascii="Arial" w:cs="Arial" w:eastAsia="Arial" w:hAnsi="Arial"/>
          <w:sz w:val="16"/>
          <w:szCs w:val="16"/>
          <w:b w:val="1"/>
          <w:bCs w:val="1"/>
          <w:color w:val="auto"/>
        </w:rPr>
        <w:t xml:space="preserve">Derivative Action Lawsuits: </w:t>
      </w:r>
      <w:r>
        <w:rPr>
          <w:rFonts w:ascii="Arial" w:cs="Arial" w:eastAsia="Arial" w:hAnsi="Arial"/>
          <w:sz w:val="16"/>
          <w:szCs w:val="16"/>
          <w:color w:val="auto"/>
        </w:rPr>
        <w:t>Also, as previously reported, on October 11, 2016, two purported shareholder derivative actions were filed in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District Court of the State of Utah, Salt Lake County, entitled </w:t>
      </w:r>
      <w:r>
        <w:rPr>
          <w:rFonts w:ascii="Arial" w:cs="Arial" w:eastAsia="Arial" w:hAnsi="Arial"/>
          <w:sz w:val="16"/>
          <w:szCs w:val="16"/>
          <w:i w:val="1"/>
          <w:iCs w:val="1"/>
          <w:color w:val="auto"/>
        </w:rPr>
        <w:t>Johnson v. Jensen</w:t>
      </w:r>
      <w:r>
        <w:rPr>
          <w:rFonts w:ascii="Arial" w:cs="Arial" w:eastAsia="Arial" w:hAnsi="Arial"/>
          <w:sz w:val="16"/>
          <w:szCs w:val="16"/>
          <w:color w:val="auto"/>
        </w:rPr>
        <w:t xml:space="preserve">, Case No. 160906320 MI (Utah Dist. filed Oct. 11, 2016), and </w:t>
      </w:r>
      <w:r>
        <w:rPr>
          <w:rFonts w:ascii="Arial" w:cs="Arial" w:eastAsia="Arial" w:hAnsi="Arial"/>
          <w:sz w:val="16"/>
          <w:szCs w:val="16"/>
          <w:i w:val="1"/>
          <w:iCs w:val="1"/>
          <w:color w:val="auto"/>
        </w:rPr>
        <w:t>Rupp v.</w:t>
      </w:r>
      <w:r>
        <w:rPr>
          <w:rFonts w:ascii="Arial" w:cs="Arial" w:eastAsia="Arial" w:hAnsi="Arial"/>
          <w:sz w:val="16"/>
          <w:szCs w:val="16"/>
          <w:color w:val="auto"/>
        </w:rPr>
        <w:t xml:space="preserve"> </w:t>
      </w:r>
      <w:r>
        <w:rPr>
          <w:rFonts w:ascii="Arial" w:cs="Arial" w:eastAsia="Arial" w:hAnsi="Arial"/>
          <w:sz w:val="16"/>
          <w:szCs w:val="16"/>
          <w:i w:val="1"/>
          <w:iCs w:val="1"/>
          <w:color w:val="auto"/>
        </w:rPr>
        <w:t>Jensen</w:t>
      </w:r>
      <w:r>
        <w:rPr>
          <w:rFonts w:ascii="Arial" w:cs="Arial" w:eastAsia="Arial" w:hAnsi="Arial"/>
          <w:sz w:val="16"/>
          <w:szCs w:val="16"/>
          <w:color w:val="auto"/>
        </w:rPr>
        <w:t>, Case No. 160906321 MI (Utah Dist. filed Oct. 11, 2016). In these actions (which are substantively identical), plaintiffs, purportedly on behalf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alleged that the Company’s Chief Executive Officer, former Chief Financial Officer and members of the board of directors breached their fiduciary duties owed to the Company in connection with the matters alleged in the securities class action lawsuit noted above. On October 19, 2016, the Court entered an order consolidating the two actions under the </w:t>
      </w:r>
      <w:r>
        <w:rPr>
          <w:rFonts w:ascii="Arial" w:cs="Arial" w:eastAsia="Arial" w:hAnsi="Arial"/>
          <w:sz w:val="16"/>
          <w:szCs w:val="16"/>
          <w:i w:val="1"/>
          <w:iCs w:val="1"/>
          <w:color w:val="auto"/>
        </w:rPr>
        <w:t>Johnson</w:t>
      </w:r>
      <w:r>
        <w:rPr>
          <w:rFonts w:ascii="Arial" w:cs="Arial" w:eastAsia="Arial" w:hAnsi="Arial"/>
          <w:sz w:val="16"/>
          <w:szCs w:val="16"/>
          <w:color w:val="auto"/>
        </w:rPr>
        <w:t xml:space="preserve"> case number, with the new caption </w:t>
      </w:r>
      <w:r>
        <w:rPr>
          <w:rFonts w:ascii="Arial" w:cs="Arial" w:eastAsia="Arial" w:hAnsi="Arial"/>
          <w:sz w:val="16"/>
          <w:szCs w:val="16"/>
          <w:i w:val="1"/>
          <w:iCs w:val="1"/>
          <w:color w:val="auto"/>
        </w:rPr>
        <w:t>In re LifeVantage Corp. Derivative Litigation</w:t>
      </w:r>
      <w:r>
        <w:rPr>
          <w:rFonts w:ascii="Arial" w:cs="Arial" w:eastAsia="Arial" w:hAnsi="Arial"/>
          <w:sz w:val="16"/>
          <w:szCs w:val="16"/>
          <w:color w:val="auto"/>
        </w:rPr>
        <w:t>.</w:t>
      </w:r>
    </w:p>
    <w:p>
      <w:pPr>
        <w:spacing w:after="0" w:line="7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On January 30, 2017, another purported shareholder derivative action was filed in the United States District Court for the District of Utah, entitled </w:t>
      </w:r>
      <w:r>
        <w:rPr>
          <w:rFonts w:ascii="Arial" w:cs="Arial" w:eastAsia="Arial" w:hAnsi="Arial"/>
          <w:sz w:val="16"/>
          <w:szCs w:val="16"/>
          <w:i w:val="1"/>
          <w:iCs w:val="1"/>
          <w:color w:val="auto"/>
        </w:rPr>
        <w:t>Hansen v. Jensen</w:t>
      </w:r>
      <w:r>
        <w:rPr>
          <w:rFonts w:ascii="Arial" w:cs="Arial" w:eastAsia="Arial" w:hAnsi="Arial"/>
          <w:sz w:val="16"/>
          <w:szCs w:val="16"/>
          <w:color w:val="auto"/>
        </w:rPr>
        <w:t>, Case No. 2:17 cv-00075-DN (D. Utah filed Jan. 30, 2017). In this action, plaintiff, purportedly on behalf of the Company, alleged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Company’s Chief Executive Officer, former Chief Financial Officer and members of the board of directors violated Section 14(a) of the Securities Exchange Act of 1934, 15 U.S.C. § 78n(a), and breached their fiduciary duties owed to the Company in connection with the matters alleged in the securities class action lawsuit noted above. On February 27, 2017, another purported shareholder derivative action was filed in the United States District Court for the District of Utah, entitled </w:t>
      </w:r>
      <w:r>
        <w:rPr>
          <w:rFonts w:ascii="Arial" w:cs="Arial" w:eastAsia="Arial" w:hAnsi="Arial"/>
          <w:sz w:val="16"/>
          <w:szCs w:val="16"/>
          <w:i w:val="1"/>
          <w:iCs w:val="1"/>
          <w:color w:val="auto"/>
        </w:rPr>
        <w:t>Baker v. Jensen</w:t>
      </w:r>
      <w:r>
        <w:rPr>
          <w:rFonts w:ascii="Arial" w:cs="Arial" w:eastAsia="Arial" w:hAnsi="Arial"/>
          <w:sz w:val="16"/>
          <w:szCs w:val="16"/>
          <w:color w:val="auto"/>
        </w:rPr>
        <w:t xml:space="preserve">, Case No. 2:17-cv-00141-PMW (D. Utah filed Feb. 27, 2017). Also, on April 24, 2017, another purported shareholder derivative action was filed in the United States District Court for the District of Utah, entitled </w:t>
      </w:r>
      <w:r>
        <w:rPr>
          <w:rFonts w:ascii="Arial" w:cs="Arial" w:eastAsia="Arial" w:hAnsi="Arial"/>
          <w:sz w:val="16"/>
          <w:szCs w:val="16"/>
          <w:i w:val="1"/>
          <w:iCs w:val="1"/>
          <w:color w:val="auto"/>
        </w:rPr>
        <w:t>Inforzato v. Jensen</w:t>
      </w:r>
      <w:r>
        <w:rPr>
          <w:rFonts w:ascii="Arial" w:cs="Arial" w:eastAsia="Arial" w:hAnsi="Arial"/>
          <w:sz w:val="16"/>
          <w:szCs w:val="16"/>
          <w:color w:val="auto"/>
        </w:rPr>
        <w:t xml:space="preserve">, Case No. 2:17-cv-00317-JNP (D. Utah filed Apr. 24, 2017). In these actions, plaintiffs, also purportedly on behalf of the Company, made similar allegations as the plaintiff in </w:t>
      </w:r>
      <w:r>
        <w:rPr>
          <w:rFonts w:ascii="Arial" w:cs="Arial" w:eastAsia="Arial" w:hAnsi="Arial"/>
          <w:sz w:val="16"/>
          <w:szCs w:val="16"/>
          <w:i w:val="1"/>
          <w:iCs w:val="1"/>
          <w:color w:val="auto"/>
        </w:rPr>
        <w:t>Hansen v. Jensen</w:t>
      </w:r>
      <w:r>
        <w:rPr>
          <w:rFonts w:ascii="Arial" w:cs="Arial" w:eastAsia="Arial" w:hAnsi="Arial"/>
          <w:sz w:val="16"/>
          <w:szCs w:val="16"/>
          <w:color w:val="auto"/>
        </w:rPr>
        <w:t>.</w:t>
      </w:r>
    </w:p>
    <w:p>
      <w:pPr>
        <w:spacing w:after="0" w:line="85"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 xml:space="preserve">Following and in light of the dismissal with prejudice of the securities class action lawsuit noted above, the Company requested that the plaintiffs in the shareholder derivative actions agree to dismiss their lawsuits voluntarily and without payment of any consideration by or on behalf of defendants or the Company. On October 31, 2017, the plaintiffs in </w:t>
      </w:r>
      <w:r>
        <w:rPr>
          <w:rFonts w:ascii="Arial" w:cs="Arial" w:eastAsia="Arial" w:hAnsi="Arial"/>
          <w:sz w:val="16"/>
          <w:szCs w:val="16"/>
          <w:i w:val="1"/>
          <w:iCs w:val="1"/>
          <w:color w:val="auto"/>
        </w:rPr>
        <w:t>In re LifeVantage Corp. Derivative Litigation</w:t>
      </w:r>
      <w:r>
        <w:rPr>
          <w:rFonts w:ascii="Arial" w:cs="Arial" w:eastAsia="Arial" w:hAnsi="Arial"/>
          <w:sz w:val="16"/>
          <w:szCs w:val="16"/>
          <w:color w:val="auto"/>
        </w:rPr>
        <w:t xml:space="preserve"> stipulated to voluntary dismissal of their consolidated action without payment of any consideration by or on behalf of defendants or the Company. On November 17, 2017, the parties in </w:t>
      </w:r>
      <w:r>
        <w:rPr>
          <w:rFonts w:ascii="Arial" w:cs="Arial" w:eastAsia="Arial" w:hAnsi="Arial"/>
          <w:sz w:val="16"/>
          <w:szCs w:val="16"/>
          <w:i w:val="1"/>
          <w:iCs w:val="1"/>
          <w:color w:val="auto"/>
        </w:rPr>
        <w:t>Inforzato</w:t>
      </w:r>
      <w:r>
        <w:rPr>
          <w:rFonts w:ascii="Arial" w:cs="Arial" w:eastAsia="Arial" w:hAnsi="Arial"/>
          <w:sz w:val="16"/>
          <w:szCs w:val="16"/>
          <w:color w:val="auto"/>
        </w:rPr>
        <w:t xml:space="preserve">, </w:t>
      </w:r>
      <w:r>
        <w:rPr>
          <w:rFonts w:ascii="Arial" w:cs="Arial" w:eastAsia="Arial" w:hAnsi="Arial"/>
          <w:sz w:val="16"/>
          <w:szCs w:val="16"/>
          <w:i w:val="1"/>
          <w:iCs w:val="1"/>
          <w:color w:val="auto"/>
        </w:rPr>
        <w:t>Hansen</w:t>
      </w:r>
      <w:r>
        <w:rPr>
          <w:rFonts w:ascii="Arial" w:cs="Arial" w:eastAsia="Arial" w:hAnsi="Arial"/>
          <w:sz w:val="16"/>
          <w:szCs w:val="16"/>
          <w:color w:val="auto"/>
        </w:rPr>
        <w:t xml:space="preserve"> and </w:t>
      </w:r>
      <w:r>
        <w:rPr>
          <w:rFonts w:ascii="Arial" w:cs="Arial" w:eastAsia="Arial" w:hAnsi="Arial"/>
          <w:sz w:val="16"/>
          <w:szCs w:val="16"/>
          <w:i w:val="1"/>
          <w:iCs w:val="1"/>
          <w:color w:val="auto"/>
        </w:rPr>
        <w:t>Baker</w:t>
      </w:r>
      <w:r>
        <w:rPr>
          <w:rFonts w:ascii="Arial" w:cs="Arial" w:eastAsia="Arial" w:hAnsi="Arial"/>
          <w:sz w:val="16"/>
          <w:szCs w:val="16"/>
          <w:color w:val="auto"/>
        </w:rPr>
        <w:t xml:space="preserve"> stipulated to voluntary dismissal of those actions without payment of any consideration by or on behalf of defendants or the Company.</w:t>
      </w:r>
    </w:p>
    <w:p>
      <w:pPr>
        <w:spacing w:after="0" w:line="77" w:lineRule="exact"/>
        <w:rPr>
          <w:sz w:val="20"/>
          <w:szCs w:val="20"/>
          <w:color w:val="auto"/>
        </w:rPr>
      </w:pPr>
    </w:p>
    <w:p>
      <w:pPr>
        <w:ind w:right="360" w:firstLine="324"/>
        <w:spacing w:after="0" w:line="291" w:lineRule="auto"/>
        <w:rPr>
          <w:sz w:val="20"/>
          <w:szCs w:val="20"/>
          <w:color w:val="auto"/>
        </w:rPr>
      </w:pPr>
      <w:r>
        <w:rPr>
          <w:rFonts w:ascii="Arial" w:cs="Arial" w:eastAsia="Arial" w:hAnsi="Arial"/>
          <w:sz w:val="16"/>
          <w:szCs w:val="16"/>
          <w:color w:val="auto"/>
        </w:rPr>
        <w:t xml:space="preserve">On November 20, 2017, the Courts in </w:t>
      </w:r>
      <w:r>
        <w:rPr>
          <w:rFonts w:ascii="Arial" w:cs="Arial" w:eastAsia="Arial" w:hAnsi="Arial"/>
          <w:sz w:val="16"/>
          <w:szCs w:val="16"/>
          <w:i w:val="1"/>
          <w:iCs w:val="1"/>
          <w:color w:val="auto"/>
        </w:rPr>
        <w:t>In re LifeVantage Corp. Derivative Litigation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Hansen</w:t>
      </w:r>
      <w:r>
        <w:rPr>
          <w:rFonts w:ascii="Arial" w:cs="Arial" w:eastAsia="Arial" w:hAnsi="Arial"/>
          <w:sz w:val="16"/>
          <w:szCs w:val="16"/>
          <w:color w:val="auto"/>
        </w:rPr>
        <w:t xml:space="preserve"> granted the stipulated motions to dismiss, and on December 12, 2017, the Court in </w:t>
      </w:r>
      <w:r>
        <w:rPr>
          <w:rFonts w:ascii="Arial" w:cs="Arial" w:eastAsia="Arial" w:hAnsi="Arial"/>
          <w:sz w:val="16"/>
          <w:szCs w:val="16"/>
          <w:i w:val="1"/>
          <w:iCs w:val="1"/>
          <w:color w:val="auto"/>
        </w:rPr>
        <w:t>Baker</w:t>
      </w:r>
      <w:r>
        <w:rPr>
          <w:rFonts w:ascii="Arial" w:cs="Arial" w:eastAsia="Arial" w:hAnsi="Arial"/>
          <w:sz w:val="16"/>
          <w:szCs w:val="16"/>
          <w:color w:val="auto"/>
        </w:rPr>
        <w:t xml:space="preserve"> granted the stipulated motion to dismiss.On November 27, 2017, the Court in </w:t>
      </w:r>
      <w:r>
        <w:rPr>
          <w:rFonts w:ascii="Arial" w:cs="Arial" w:eastAsia="Arial" w:hAnsi="Arial"/>
          <w:sz w:val="16"/>
          <w:szCs w:val="16"/>
          <w:i w:val="1"/>
          <w:iCs w:val="1"/>
          <w:color w:val="auto"/>
        </w:rPr>
        <w:t>Inforzato</w:t>
      </w:r>
      <w:r>
        <w:rPr>
          <w:rFonts w:ascii="Arial" w:cs="Arial" w:eastAsia="Arial" w:hAnsi="Arial"/>
          <w:sz w:val="16"/>
          <w:szCs w:val="16"/>
          <w:color w:val="auto"/>
        </w:rPr>
        <w:t xml:space="preserve"> ordered, pursuant to Rule</w:t>
      </w:r>
    </w:p>
    <w:p>
      <w:pPr>
        <w:spacing w:after="0" w:line="261" w:lineRule="auto"/>
        <w:rPr>
          <w:sz w:val="20"/>
          <w:szCs w:val="20"/>
          <w:color w:val="auto"/>
        </w:rPr>
      </w:pPr>
      <w:r>
        <w:rPr>
          <w:rFonts w:ascii="Arial" w:cs="Arial" w:eastAsia="Arial" w:hAnsi="Arial"/>
          <w:sz w:val="18"/>
          <w:szCs w:val="18"/>
          <w:color w:val="auto"/>
        </w:rPr>
        <w:t xml:space="preserve">23.1(c) of the Federal Rules of Civil Procedure, that the parties give notice to shareholders of the voluntary dismissal without prejudice of the </w:t>
      </w:r>
      <w:r>
        <w:rPr>
          <w:rFonts w:ascii="Arial" w:cs="Arial" w:eastAsia="Arial" w:hAnsi="Arial"/>
          <w:sz w:val="18"/>
          <w:szCs w:val="18"/>
          <w:i w:val="1"/>
          <w:iCs w:val="1"/>
          <w:color w:val="auto"/>
        </w:rPr>
        <w:t>Inforzato</w:t>
      </w:r>
      <w:r>
        <w:rPr>
          <w:rFonts w:ascii="Arial" w:cs="Arial" w:eastAsia="Arial" w:hAnsi="Arial"/>
          <w:sz w:val="18"/>
          <w:szCs w:val="18"/>
          <w:color w:val="auto"/>
        </w:rPr>
        <w:t xml:space="preserve"> action before the </w:t>
      </w:r>
      <w:r>
        <w:rPr>
          <w:rFonts w:ascii="Arial" w:cs="Arial" w:eastAsia="Arial" w:hAnsi="Arial"/>
          <w:sz w:val="18"/>
          <w:szCs w:val="18"/>
          <w:i w:val="1"/>
          <w:iCs w:val="1"/>
          <w:color w:val="auto"/>
        </w:rPr>
        <w:t>Inforzato</w:t>
      </w:r>
      <w:r>
        <w:rPr>
          <w:rFonts w:ascii="Arial" w:cs="Arial" w:eastAsia="Arial" w:hAnsi="Arial"/>
          <w:sz w:val="18"/>
          <w:szCs w:val="18"/>
          <w:color w:val="auto"/>
        </w:rPr>
        <w:t xml:space="preserve"> action could be dismissed, which the Company provided on January 8, 2018.</w:t>
      </w:r>
    </w:p>
    <w:p>
      <w:pPr>
        <w:spacing w:after="0" w:line="99" w:lineRule="exact"/>
        <w:rPr>
          <w:sz w:val="20"/>
          <w:szCs w:val="20"/>
          <w:color w:val="auto"/>
        </w:rPr>
      </w:pPr>
    </w:p>
    <w:p>
      <w:pPr>
        <w:ind w:right="100" w:firstLine="324"/>
        <w:spacing w:after="0" w:line="303" w:lineRule="auto"/>
        <w:rPr>
          <w:sz w:val="20"/>
          <w:szCs w:val="20"/>
          <w:color w:val="auto"/>
        </w:rPr>
      </w:pPr>
      <w:r>
        <w:rPr>
          <w:rFonts w:ascii="Arial" w:cs="Arial" w:eastAsia="Arial" w:hAnsi="Arial"/>
          <w:sz w:val="16"/>
          <w:szCs w:val="16"/>
          <w:b w:val="1"/>
          <w:bCs w:val="1"/>
          <w:color w:val="auto"/>
        </w:rPr>
        <w:t xml:space="preserve">Other Matters. </w:t>
      </w:r>
      <w:r>
        <w:rPr>
          <w:rFonts w:ascii="Arial" w:cs="Arial" w:eastAsia="Arial" w:hAnsi="Arial"/>
          <w:sz w:val="16"/>
          <w:szCs w:val="16"/>
          <w:color w:val="auto"/>
        </w:rPr>
        <w:t>In addition to the matters described above, the Company also may become involved in other litigation and regulatory matters incidental</w:t>
      </w:r>
      <w:r>
        <w:rPr>
          <w:rFonts w:ascii="Arial" w:cs="Arial" w:eastAsia="Arial" w:hAnsi="Arial"/>
          <w:sz w:val="16"/>
          <w:szCs w:val="16"/>
          <w:b w:val="1"/>
          <w:bCs w:val="1"/>
          <w:color w:val="auto"/>
        </w:rPr>
        <w:t xml:space="preserve"> </w:t>
      </w:r>
      <w:r>
        <w:rPr>
          <w:rFonts w:ascii="Arial" w:cs="Arial" w:eastAsia="Arial" w:hAnsi="Arial"/>
          <w:sz w:val="16"/>
          <w:szCs w:val="16"/>
          <w:color w:val="auto"/>
        </w:rPr>
        <w:t>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7 — Related Party Transactions</w:t>
      </w:r>
    </w:p>
    <w:p>
      <w:pPr>
        <w:spacing w:after="0" w:line="148"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Effective January 2014, the Company commenced a partnership with Real Salt Lake of Major League Soccer, which includes the placement of the Company's logo on the front of the team’s jersey as well as strategic placement of the Company's logo around the stadium and on televised broadcasts of the games. In July 2015, Dell Loy Hansen, the sole owner of Real Salt Lake and Real Monarchs SLC, became a major shareholder of the Company. During the six months ended December 31, 2017, the Company paid $1.0 million to Real Salt Lake pursuant to the terms of this partnership, and other various amounts for the endorsement of Real Monarchs SLC and product marketing expenses. During the remainder of fiscal year 2018, the Company expects to pay an additional $3.0 million to Real Salt Lake. Under the terms of this partnership, the Company paid to Real Salt Lake $0.2 million during the six months ended December 31, 2016 and a total of $2.2 million during fiscal year 2017.</w:t>
      </w:r>
    </w:p>
    <w:p>
      <w:pPr>
        <w:spacing w:after="0" w:line="9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During fiscal 2017, Dinng, a brand and digital brand studio, provided branding and marketing services to the Company. In June 2017, the Company completed an acquisition of the assets of Dinng. The Company's Chief Marketing Officer, Ryan Goodwin, was the Founder, President and Creative Director of Dinng. During the six months ended December 31, 2017, no payments were made by the Company to Dinng. During the six months ended December 31, 2016, the Company paid $0.2 million to Dinng for services provided.</w:t>
      </w:r>
    </w:p>
    <w:p>
      <w:pPr>
        <w:spacing w:after="0" w:line="10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six months ended December 31, 2017, Gig Economy Group ("GEG") provided outsourced software application development services to the Company pursuant to an agreement entered into between the Company and GEG in the amount of $1.3 million. During the six months ended December 31, 2016, GEG did not provide services to the Company. David Toole, a member of the Company's board of directors during the period of this report, is a majority owner and an officer of GEG.</w:t>
      </w:r>
    </w:p>
    <w:p>
      <w:pPr>
        <w:spacing w:after="0" w:line="106"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During the six months ended December 31, 2016, Outhink Inc., a digital media and application development company, provided consulting services to the Company pursuant to an agreement for services dated October 20, 2016 between the Company and Outhink Inc. in the amount of $0.1 million. During the six months ended December 31, 2017, no payments to Outhink Inc. were made by the Company. David Toole, a member of the Company's board of directors during the period of this report, is a majority owner and serves as the Chief Executive Officer of Outhink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148"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On February 2, 2018, the Company's shareholders approved an amendment to the 2017 Plan to increase the number of shares available for issuance under the plan by 425,000, which increased the maximum number of share available for issuance under the 2017 Plan from 1,125,000 to 1,550,000.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are a company focused on biohacking the aging code through nutrigenomics, the study of how nutrition and naturally occurring compounds affect our genes. We are dedicated to helping people achieve their health, wellness and financial goals. We provide quality, scientifically-validated products and a financially rewarding direct sales business opportunity to preferred customers, retail customers and independent distributors. We engage in the identification, research, development and distribution of advanced nutraceutical dietary supplements and skin care products. We currently sell our products to preferred customers, retail customers and independent distributors in two geographic regions that we have classified as the Americas region and the Asia/Pacific &amp; Europe region.</w:t>
      </w:r>
    </w:p>
    <w:p>
      <w:pPr>
        <w:spacing w:after="0" w:line="11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revenue depends on the number and productivity of our independent distributors and the number of our retail and preferred customers. When we are successful in attracting and retaining independent distributors and preferred customers, it is largely because of:</w:t>
      </w:r>
    </w:p>
    <w:p>
      <w:pPr>
        <w:spacing w:after="0" w:line="89" w:lineRule="exact"/>
        <w:rPr>
          <w:sz w:val="20"/>
          <w:szCs w:val="20"/>
          <w:color w:val="auto"/>
        </w:rPr>
      </w:pPr>
    </w:p>
    <w:p>
      <w:pPr>
        <w:ind w:left="740" w:right="200" w:hanging="327"/>
        <w:spacing w:after="0" w:line="236"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scientifically-validated products, including our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 TrueScience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anti-aging skin care line, Petandim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Dogs, Axio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Smart Energy Drink mixes, our PhysIQ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Smart Weight Management System and Omega+, our sustainable fish oil supplement;</w:t>
      </w:r>
    </w:p>
    <w:p>
      <w:pPr>
        <w:spacing w:after="0" w:line="24" w:lineRule="exact"/>
        <w:rPr>
          <w:rFonts w:ascii="Arial" w:cs="Arial" w:eastAsia="Arial" w:hAnsi="Arial"/>
          <w:sz w:val="17"/>
          <w:szCs w:val="17"/>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compensation plan and other sales initiatives; and</w:t>
      </w:r>
    </w:p>
    <w:p>
      <w:pPr>
        <w:spacing w:after="0" w:line="144"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delivery of superior customer service.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15" w:right="259" w:bottom="1440" w:gutter="0" w:footer="0" w:header="0"/>
        </w:sectPr>
      </w:pPr>
    </w:p>
    <w:bookmarkStart w:id="18" w:name="page19"/>
    <w:bookmarkEnd w:id="18"/>
    <w:p>
      <w:pPr>
        <w:ind w:right="200" w:firstLine="405"/>
        <w:spacing w:after="0" w:line="277" w:lineRule="auto"/>
        <w:rPr>
          <w:sz w:val="20"/>
          <w:szCs w:val="20"/>
          <w:color w:val="auto"/>
        </w:rPr>
      </w:pPr>
      <w:r>
        <w:rPr>
          <w:rFonts w:ascii="Arial" w:cs="Arial" w:eastAsia="Arial" w:hAnsi="Arial"/>
          <w:sz w:val="18"/>
          <w:szCs w:val="18"/>
          <w:color w:val="auto"/>
        </w:rPr>
        <w:t>As a result, it is vital to our success that we leverage our product development resources to develop and introduce compelling and innovative products and provide opportunities for our independent distributors to sell these products in a variety of markets.</w:t>
      </w:r>
    </w:p>
    <w:p>
      <w:pPr>
        <w:spacing w:after="0" w:line="8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have begun selling our products and attracting new independent distributors and preferred customers in several new markets since the beginning of our direct selling activities in 2009, including Japan, Hong Kong, Australia, Canada, Mexico, Thailand, the United Kingdom, the Netherlands and Germany. In addition, we have begun our expansion into China through our e-commerce business model. Entering a new market requires a considerable amount of time, resources and continued support. If we are unable to properly support an existing or new market, our revenue growth may be negatively impacted.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48" w:lineRule="exact"/>
        <w:rPr>
          <w:sz w:val="20"/>
          <w:szCs w:val="20"/>
          <w:color w:val="auto"/>
        </w:rPr>
      </w:pPr>
    </w:p>
    <w:p>
      <w:pPr>
        <w:ind w:firstLine="405"/>
        <w:spacing w:after="0" w:line="226" w:lineRule="auto"/>
        <w:rPr>
          <w:sz w:val="20"/>
          <w:szCs w:val="20"/>
          <w:color w:val="auto"/>
        </w:rPr>
      </w:pPr>
      <w:r>
        <w:rPr>
          <w:rFonts w:ascii="Arial" w:cs="Arial" w:eastAsia="Arial" w:hAnsi="Arial"/>
          <w:sz w:val="16"/>
          <w:szCs w:val="16"/>
          <w:color w:val="auto"/>
        </w:rPr>
        <w:t>Our products are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the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skin care line, Axio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Energy Drink mixes,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Smart Weight Management System, Petandim™ for Dogs, and Omega+, our sustainable fish oil supplement.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includes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and Nrf2 Synergizers™.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NRF1 Synergizer is formulated to increase cellular energy and performance by boosting mitochondria production to improve cellular repair and slow cellular aging. The Protandim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Nrf2 Synergizer™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Our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skin care line includes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Facial Cleanser,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Perfecting Lotion,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Eye Serum,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Anti-Aging Cream,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Micro-Lift Serum and TrueScience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Hand Cream. Axio</w:t>
      </w:r>
      <w:r>
        <w:rPr>
          <w:rFonts w:ascii="Arial" w:cs="Arial" w:eastAsia="Arial" w:hAnsi="Arial"/>
          <w:sz w:val="22"/>
          <w:szCs w:val="22"/>
          <w:b w:val="1"/>
          <w:bCs w:val="1"/>
          <w:color w:val="auto"/>
          <w:vertAlign w:val="superscript"/>
        </w:rPr>
        <w:t>®</w:t>
      </w:r>
      <w:r>
        <w:rPr>
          <w:rFonts w:ascii="Arial" w:cs="Arial" w:eastAsia="Arial" w:hAnsi="Arial"/>
          <w:sz w:val="16"/>
          <w:szCs w:val="16"/>
          <w:color w:val="auto"/>
        </w:rPr>
        <w:t xml:space="preserve"> is our line of Smart Energy Drink mixes formulated to promote alertness and support mental performance.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our Smart Weight Management System which includes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Fat Burn,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ProBio,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Cleanse and PhysIQ</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Protein Shake mix, all formulated to aid in weight management. Petandim™ for Dogs is a supplement specially formulated to combat oxidative stress in dogs through Nrf2 activation. Omega+ is a dietary supplement that combines DHA and EPA Omega-3 fatty acids, Omega-7 fatty acids, and Vitamin D3 to support cognitive health, cardiovascular health, skin health, and the immune system.</w:t>
      </w:r>
    </w:p>
    <w:p>
      <w:pPr>
        <w:spacing w:after="0" w:line="129"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preferred customers and retail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48"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Because we utilize a direct selling model for the distribution of our products, the success and growth of our business is primarily based on the effectiveness of our independent distributors in selling our products and on our ability to attract new and retain existing independent distributors. Changes in our product sales are typically the result of variations in product sales volume relating to fluctuations in the number of active independent distributors and preferred customers purchasing our products. The number of active independent distributors and preferred customers is, therefore, used by management as a key non-financial measure.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ind w:right="80" w:firstLine="405"/>
        <w:spacing w:after="0" w:line="286" w:lineRule="auto"/>
        <w:rPr>
          <w:sz w:val="20"/>
          <w:szCs w:val="20"/>
          <w:color w:val="auto"/>
        </w:rPr>
      </w:pPr>
      <w:r>
        <w:rPr>
          <w:rFonts w:ascii="Arial" w:cs="Arial" w:eastAsia="Arial" w:hAnsi="Arial"/>
          <w:sz w:val="17"/>
          <w:szCs w:val="17"/>
          <w:color w:val="auto"/>
        </w:rPr>
        <w:t>The following tables summarize the changes in our active customer base by geographic region. These numbers have been rounded to the nearest thousand as of the dates indicated. For purposes of this report, we only count as active customers those independent distributors and preferred customers who have purchased from us at any time during the most recent three-month period, either for personal use or for resale.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w w:val="92"/>
              </w:rPr>
              <w:t>Active Preferred Customers By Region</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w w:val="92"/>
              </w:rPr>
              <w:t>As of December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Change from Prior</w:t>
            </w:r>
          </w:p>
        </w:tc>
        <w:tc>
          <w:tcPr>
            <w:tcW w:w="120" w:type="dxa"/>
            <w:vAlign w:val="bottom"/>
          </w:tcPr>
          <w:p>
            <w:pPr>
              <w:spacing w:after="0"/>
              <w:rPr>
                <w:sz w:val="12"/>
                <w:szCs w:val="12"/>
                <w:color w:val="auto"/>
              </w:rPr>
            </w:pPr>
          </w:p>
        </w:tc>
        <w:tc>
          <w:tcPr>
            <w:tcW w:w="136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108,000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111,000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2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w w:val="93"/>
              </w:rPr>
              <w:t>Active Independent Distributors By Region</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w w:val="92"/>
              </w:rPr>
              <w:t>As of December 31,</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Change from Prior</w:t>
            </w:r>
          </w:p>
        </w:tc>
        <w:tc>
          <w:tcPr>
            <w:tcW w:w="120" w:type="dxa"/>
            <w:vAlign w:val="bottom"/>
          </w:tcPr>
          <w:p>
            <w:pPr>
              <w:spacing w:after="0"/>
              <w:rPr>
                <w:sz w:val="12"/>
                <w:szCs w:val="12"/>
                <w:color w:val="auto"/>
              </w:rPr>
            </w:pPr>
          </w:p>
        </w:tc>
        <w:tc>
          <w:tcPr>
            <w:tcW w:w="136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Asia/Pacific &amp; Europe</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1,000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63,000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and Six Months Ended December 31, 2017 compared to the Three and Six Months Ended December 31, 2016</w:t>
      </w:r>
    </w:p>
    <w:p>
      <w:pPr>
        <w:spacing w:after="0" w:line="14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generated net revenue of $49.5 million and $48.9 million during the three months ended December 31, 2017 and 2016, respectively.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net revenue of $98.6 million and $103.8 million during the six months ended December 31, 2017 and 2016, respectively. Foreign currency fluctuations negatively impacted our revenue $0.1 million or 0.3% and $0.9 million or 0.9% during the three and six months ended December 31, 2017, respectively.</w:t>
      </w:r>
    </w:p>
    <w:p>
      <w:pPr>
        <w:spacing w:after="0" w:line="106"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u w:val="single" w:color="auto"/>
          <w:color w:val="auto"/>
        </w:rPr>
        <w:t>Americas</w:t>
      </w:r>
      <w:r>
        <w:rPr>
          <w:rFonts w:ascii="Arial" w:cs="Arial" w:eastAsia="Arial" w:hAnsi="Arial"/>
          <w:sz w:val="18"/>
          <w:szCs w:val="18"/>
          <w:color w:val="auto"/>
        </w:rPr>
        <w:t>. The following table sets forth revenue for the three and six months ended December 31, 2017 and 2016 for the Americas region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5"/>
              </w:rPr>
              <w:t>Three Months Ended December 31,</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w w:val="96"/>
              </w:rPr>
              <w:t>Six Months Ended December 31,</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34,814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35,535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68,929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74,153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2,078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3,595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15.1 %</w:t>
            </w:r>
          </w:p>
        </w:tc>
      </w:tr>
      <w:tr>
        <w:trPr>
          <w:trHeight w:val="27"/>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Americas 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36,903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37,613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73,066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77,748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21"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Revenue in the Americas region for the three and six months ended December 31, 2017 decreased $0.7 million or 1.9% and $4.7 million or 6.0%, respectively, from the prior year same periods. Revenue in the United States decreased, as compared to the prior year periods, following the completion of the independent review conducted by the audit committee of our board of directors in December 2016, as policy changes were made to help ensure that our products are not distributed or sold into countries without complying with applicable customs, tax and other regulatory requirements and to appropriately verify the residency of individuals who want to become our independent distributors. The internal and external disruptions caused by the audit committee review and associated policy changes also led to a decrease in our active distributors and preferred customers in the United States as compared to the prior year periods, which contributed to the decreased current year revenues. These decreases were partially offset by increased revenue in Mexico due to the launch of the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 during the current fiscal year.</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ind w:left="420"/>
        <w:spacing w:after="0"/>
        <w:rPr>
          <w:sz w:val="20"/>
          <w:szCs w:val="20"/>
          <w:color w:val="auto"/>
        </w:rPr>
      </w:pPr>
      <w:r>
        <w:rPr>
          <w:rFonts w:ascii="Arial" w:cs="Arial" w:eastAsia="Arial" w:hAnsi="Arial"/>
          <w:sz w:val="16"/>
          <w:szCs w:val="16"/>
          <w:u w:val="single" w:color="auto"/>
          <w:color w:val="auto"/>
        </w:rPr>
        <w:t>Asia/Pacific &amp; Europe</w:t>
      </w:r>
      <w:r>
        <w:rPr>
          <w:rFonts w:ascii="Arial" w:cs="Arial" w:eastAsia="Arial" w:hAnsi="Arial"/>
          <w:sz w:val="16"/>
          <w:szCs w:val="16"/>
          <w:color w:val="auto"/>
        </w:rPr>
        <w:t>. The following table sets forth revenue for the three and six months ended December 31, 2017 and 2016 for the Asia/Pacific &amp;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Europe region and its principal markets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4"/>
              </w:rPr>
              <w:t>Three Months Ended December 31,</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w w:val="97"/>
              </w:rPr>
              <w:t>Six Months Ended December 31,</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9,498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21,240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20,105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Hong Kong</w:t>
            </w:r>
          </w:p>
        </w:tc>
        <w:tc>
          <w:tcPr>
            <w:tcW w:w="1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721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3,344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(85.4)%</w:t>
            </w: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75.3 %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44.3 %</w:t>
            </w:r>
          </w:p>
        </w:tc>
      </w:tr>
      <w:tr>
        <w:trPr>
          <w:trHeight w:val="257"/>
        </w:trPr>
        <w:tc>
          <w:tcPr>
            <w:tcW w:w="3200" w:type="dxa"/>
            <w:vAlign w:val="bottom"/>
          </w:tcPr>
          <w:p>
            <w:pPr>
              <w:ind w:left="500"/>
              <w:spacing w:after="0"/>
              <w:rPr>
                <w:sz w:val="20"/>
                <w:szCs w:val="20"/>
                <w:color w:val="auto"/>
              </w:rPr>
            </w:pPr>
            <w:r>
              <w:rPr>
                <w:rFonts w:ascii="Arial" w:cs="Arial" w:eastAsia="Arial" w:hAnsi="Arial"/>
                <w:sz w:val="18"/>
                <w:szCs w:val="18"/>
                <w:color w:val="auto"/>
              </w:rPr>
              <w:t>Asia/Pacific &amp; Europe 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12,579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11,334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11.0 %</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25,543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26,093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 w:firstLine="405"/>
        <w:spacing w:after="0" w:line="258" w:lineRule="auto"/>
        <w:rPr>
          <w:sz w:val="20"/>
          <w:szCs w:val="20"/>
          <w:color w:val="auto"/>
        </w:rPr>
      </w:pPr>
      <w:r>
        <w:rPr>
          <w:rFonts w:ascii="Arial" w:cs="Arial" w:eastAsia="Arial" w:hAnsi="Arial"/>
          <w:sz w:val="17"/>
          <w:szCs w:val="17"/>
          <w:color w:val="auto"/>
        </w:rPr>
        <w:t>Revenue in the Asia/Pacific &amp; Europe region increased $1.2 million or 11.0% for the three months ended December 31, 2017 as compared to the prior year period, and decreased by $0.6 million or 2.1% for the six months ended December 31, 2017 as compared to the prior year period. Revenue in the Asia/Pacific &amp; Europe region was negatively impacted approximately $0.2 million or 2.1% and $1.1 million or 4.1% during the three and six months ended December 31, 2017, respectively, as compared to the prior year period, by foreign currency exchange rate fluctuations. The negative impact for the region was primarily due to the weakening of the Japanese yen against the U.S. dollar, as compared to the prior year period, negatively impacting our revenue in Japan by $0.3 million or 3.6% and $1.2 million or 6.2%, respectively. On a constant currency basis, revenue in Japan increased 12.9% and 11.9% for the three and six months ended December 31, 2017, respectively, as compared to the prior year periods. In addition to the increase in Japan revenues during the periods, revenues in Thailand increased due to the launch of Protandim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Nrf2 during our first fiscal quarter and revenues increased in Europe as we continue to expand and support our distributor base.</w:t>
      </w:r>
    </w:p>
    <w:p>
      <w:pPr>
        <w:spacing w:after="0" w:line="10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Revenues in Hong Kong decreased significantly, as compared to the prior year periods, following the completion of the independent review conducted by the audit committee of our board of directors in December 2016, as policy changes were made to help ensure that our products are not distributed or sold into countries without complying with applicable customs, tax and other regulatory requirements and to appropriately verify the residency of individuals who want to become our independent distributors.</w:t>
      </w:r>
    </w:p>
    <w:p>
      <w:pPr>
        <w:spacing w:after="0" w:line="106"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We continue to focus on strengthening our core business, including the expansion of our product offering and expanding our global footprint. These efforts include the development and enhancement of distributor tools, training aids and technology, the scientific research and development of new products, and entrance into new markets. During the six months ended December 31, 2017, we launched business operations in Germany and held events for our independent distributors in the US, Canada, Japan and Europe. We are investing in both internal and external technology tools that we expect will help our independent distributors grow their businesses and help us better operate our business. During the quarter ended December 31, 2017, we began a commercial pilot to test our mainland China business model which utilizes an e-commerce platform. We have completed testing of transactional, logistical and banking processes and anticipate a full launch of our e-commerce model in China in the third fiscal quarter of 2018. We remain committed to pursuing growth in each of our markets and operating our business in accordance with our strengthened business practices.</w:t>
      </w:r>
    </w:p>
    <w:p>
      <w:pPr>
        <w:spacing w:after="0" w:line="98"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profit percentage for the three months ended December 31, 2017 and 2016 was 81.6% and 84.7%, respectively. Our gross</w:t>
      </w:r>
      <w:r>
        <w:rPr>
          <w:rFonts w:ascii="Arial" w:cs="Arial" w:eastAsia="Arial" w:hAnsi="Arial"/>
          <w:sz w:val="18"/>
          <w:szCs w:val="18"/>
          <w:i w:val="1"/>
          <w:iCs w:val="1"/>
          <w:color w:val="auto"/>
        </w:rPr>
        <w:t xml:space="preserve"> </w:t>
      </w:r>
      <w:r>
        <w:rPr>
          <w:rFonts w:ascii="Arial" w:cs="Arial" w:eastAsia="Arial" w:hAnsi="Arial"/>
          <w:sz w:val="18"/>
          <w:szCs w:val="18"/>
          <w:color w:val="auto"/>
        </w:rPr>
        <w:t>profit percentage for the six months ended December 31, 2017 and 2016 was 81.9% and 84.3%, respectively.</w:t>
      </w:r>
    </w:p>
    <w:p>
      <w:pPr>
        <w:spacing w:after="0" w:line="89"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As a percentage of total revenues, cost of sales for the three months ended December 31, 2017 increased to 18.4% compared to 15.3% for the three months ended December 31, 2016 and increased for the six months ended December 31, 2017 to 18.1% from 15.7% for the six months ended December 31, 2016. The increase in cost of sales as a percentage of revenue for the three and six months ended December 31, 2017, as compared to the prior year same periods, is primarily due to changes to our product and geographic sales mix, the incorporation of free shipping on product bundle purchases, and to increased costs associated with the obsolescence, storage, handling and shipment of inventory.</w:t>
      </w:r>
    </w:p>
    <w:p>
      <w:pPr>
        <w:spacing w:after="0" w:line="91"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during the three months ended December 31, 2017 decreased to $38.0 million or 76.9% of revenues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operating expenses of $40.7 million or 83.2% of revenues during the three months ended December 31, 2016. Total operating expenses during the six months ended December 31, 2017 decreased to $77.0 million or 78.1% of revenues as compared to operating expenses of $84.8 million or 81.7% of revenues during the six months ended December 31, 2016. Operating expenses consist of commission and incentives expenses and selling, general and administrative expenses.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right="80" w:firstLine="432"/>
        <w:spacing w:after="0" w:line="279" w:lineRule="auto"/>
        <w:rPr>
          <w:sz w:val="20"/>
          <w:szCs w:val="20"/>
          <w:color w:val="auto"/>
        </w:rPr>
      </w:pPr>
      <w:r>
        <w:rPr>
          <w:rFonts w:ascii="Arial" w:cs="Arial" w:eastAsia="Arial" w:hAnsi="Arial"/>
          <w:sz w:val="17"/>
          <w:szCs w:val="17"/>
          <w:i w:val="1"/>
          <w:iCs w:val="1"/>
          <w:color w:val="auto"/>
        </w:rPr>
        <w:t xml:space="preserve">Commissions and Incentives. </w:t>
      </w:r>
      <w:r>
        <w:rPr>
          <w:rFonts w:ascii="Arial" w:cs="Arial" w:eastAsia="Arial" w:hAnsi="Arial"/>
          <w:sz w:val="17"/>
          <w:szCs w:val="17"/>
          <w:color w:val="auto"/>
        </w:rPr>
        <w:t>Commissions and incentives expenses during the three months ended December 31, 2017 were $23.4 million or 47.3% of</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as compared to commissions and incentives expenses of $23.5 million or 48.1% of revenues for the three months ended December 31, 2016. Commissions and incentives expenses during the six months ended December 31, 2017 were $46.8 million or 47.5% of revenues as compared to commissions and incentives expenses of $49.8 million or 48.0% of revenues for the six months ended December 31, 2016.</w:t>
      </w:r>
    </w:p>
    <w:p>
      <w:pPr>
        <w:spacing w:after="0" w:line="90"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The decrease in commissions and incentives expenses as a percentage of revenues for the three and six months ended December 31, 2017 as compared to the prior year periods is due to the refinement to promotion and incentive programs and initiatives and the timing of events and promotional periods. Distributor commissions as a percentage of commissionable revenues generated remained consistent during the comparable periods.</w:t>
      </w:r>
    </w:p>
    <w:p>
      <w:pPr>
        <w:spacing w:after="0" w:line="6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expect commissions and incentives expenses to remain relatively stable as a percentage of net sales during the remainder of fiscal 2018, with some fluctuations caused by further refinements to compensation and incentive programs and initiatives.</w:t>
      </w:r>
    </w:p>
    <w:p>
      <w:pPr>
        <w:spacing w:after="0" w:line="89"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during the three months ended December 31, 2017 were $14.6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selling, general and administrative expenses of $17.2 million for the three months ended December 31, 2016. Selling, general and administrative expenses during the six months ended December 31, 2017 were $30.2 million as compared to selling, general and administrative expenses of $35.0 million for the six months ended December 31, 2016.</w:t>
      </w:r>
    </w:p>
    <w:p>
      <w:pPr>
        <w:spacing w:after="0" w:line="10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decrease in selling, general and administrative expenses during the three and six months ended December 31, 2017 compared to the prior year same period was primarily due to decreased legal and accounting expenses associated with the independent review conducted by the audit committee of our board of directors, which was completed during December 2016. Additionally, expenses associated with professional services, executive transition costs and legal costs related to settled and dismissed cases decreased during the current year periods.</w:t>
      </w:r>
    </w:p>
    <w:p>
      <w:pPr>
        <w:spacing w:after="0" w:line="10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expect selling, general and administrative expenses, as a percent of revenue, to remain relatively consistent for the remainder of the fiscal year as we execute on our strategic initiatives.</w:t>
      </w:r>
    </w:p>
    <w:p>
      <w:pPr>
        <w:spacing w:after="0" w:line="89" w:lineRule="exact"/>
        <w:rPr>
          <w:sz w:val="20"/>
          <w:szCs w:val="20"/>
          <w:color w:val="auto"/>
        </w:rPr>
      </w:pPr>
    </w:p>
    <w:p>
      <w:pPr>
        <w:jc w:val="both"/>
        <w:ind w:right="260" w:firstLine="432"/>
        <w:spacing w:after="0" w:line="312" w:lineRule="auto"/>
        <w:rPr>
          <w:sz w:val="20"/>
          <w:szCs w:val="20"/>
          <w:color w:val="auto"/>
        </w:rPr>
      </w:pPr>
      <w:r>
        <w:rPr>
          <w:rFonts w:ascii="Arial" w:cs="Arial" w:eastAsia="Arial" w:hAnsi="Arial"/>
          <w:sz w:val="16"/>
          <w:szCs w:val="16"/>
          <w:i w:val="1"/>
          <w:iCs w:val="1"/>
          <w:color w:val="auto"/>
        </w:rPr>
        <w:t xml:space="preserve">Total Other Expense. </w:t>
      </w:r>
      <w:r>
        <w:rPr>
          <w:rFonts w:ascii="Arial" w:cs="Arial" w:eastAsia="Arial" w:hAnsi="Arial"/>
          <w:sz w:val="16"/>
          <w:szCs w:val="16"/>
          <w:color w:val="auto"/>
        </w:rPr>
        <w:t>During the three and six months ended December 31, 2017, we recognized net other expenses of $0.3 million and $0.4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as compared to net other expenses of $0.3 million and $0.6 million for the three and six months ended December 31, 2016, respectively. Total other expense for the three and six months ended December 31, 2017 consisted primarily of interest expense and net currency losses.</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interest expense for the three and six months ended December 31, 2017 and 2016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74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December 31,</w:t>
            </w:r>
          </w:p>
        </w:tc>
        <w:tc>
          <w:tcPr>
            <w:tcW w:w="220" w:type="dxa"/>
            <w:vAlign w:val="bottom"/>
          </w:tcPr>
          <w:p>
            <w:pPr>
              <w:spacing w:after="0"/>
              <w:rPr>
                <w:sz w:val="16"/>
                <w:szCs w:val="16"/>
                <w:color w:val="auto"/>
              </w:rPr>
            </w:pPr>
          </w:p>
        </w:tc>
        <w:tc>
          <w:tcPr>
            <w:tcW w:w="240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w w:val="96"/>
              </w:rPr>
              <w:t>Six Months Ended December 31,</w:t>
            </w:r>
          </w:p>
        </w:tc>
      </w:tr>
      <w:tr>
        <w:trPr>
          <w:trHeight w:val="264"/>
        </w:trPr>
        <w:tc>
          <w:tcPr>
            <w:tcW w:w="606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840" w:type="dxa"/>
            <w:vAlign w:val="bottom"/>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233</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deferred financing fees: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discount:</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2016 Term Loan</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84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103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275</w:t>
            </w: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We recognized an income tax expense of $1.7 million and $2.2 million for the three and six months ended December 31, 2017,</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as compared to income tax expense of $0.1 million and $0.6 million for the three and six months ended December 31, 2016, respectively.</w:t>
      </w:r>
    </w:p>
    <w:p>
      <w:pPr>
        <w:spacing w:after="0" w:line="43"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On December 22, 2017, the President of the United States of America signed tax reform legislation (the “2017 Act”), which includes a broad range of tax reform affecting businesses, including corporate tax rates, business deductions, and international tax regulations. Among these changes, the 2017 Act reduces the corporate tax rate from 35% to 21% effective December 31, 2017. This change in tax rate will be recognized as a discrete item for us during the second quarter of fiscal year 2018. Current taxes for fiscal 2018 will be accounted for at a blended rate of 28%, and we will we revalue our deferred tax</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ind w:right="200"/>
        <w:spacing w:after="0" w:line="264" w:lineRule="auto"/>
        <w:rPr>
          <w:sz w:val="20"/>
          <w:szCs w:val="20"/>
          <w:color w:val="auto"/>
        </w:rPr>
      </w:pPr>
      <w:r>
        <w:rPr>
          <w:rFonts w:ascii="Arial" w:cs="Arial" w:eastAsia="Arial" w:hAnsi="Arial"/>
          <w:sz w:val="18"/>
          <w:szCs w:val="18"/>
          <w:color w:val="auto"/>
        </w:rPr>
        <w:t>assets and liabilities to the reduced rates based on the period in which those assets and liabilities are expected to reverse. We have incorporated the changes resulting from the 2017 Act in our tax related accounts in the period ended December 31, 2017, which resulted in a significant increase to our effective tax rate.</w:t>
      </w:r>
    </w:p>
    <w:p>
      <w:pPr>
        <w:spacing w:after="0" w:line="10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effective tax rate was 84.6% and 65.8%, respectively, of pre-tax income during the three and six months ended December 31, 2017, compared to 31.3% and 30.0%, respectively, for the same prior year periods. The increase in the effective tax rates for the three and six months ended December 31, 2017 is the result of the remeasurement of our deferred tax assets, pursuant to the 2017 act, leading to a reduction in the deferred tax balances of approximately $1.2 million which represents approximately 35.2% of the year to date effective tax rate. The increases associated with the deferred tax adjustments were partially offset due to the lower blended corporate tax rate for fiscal 2018.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4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Our primary liquidity and capital resource requirements are to service our debt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10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December 31, 2017, our available liquidity was $12.8 million, which consisted of available cash and cash equivalents. This represents an increase of $1.3 million from the $11.5 million in cash and cash equivalents as of June 30, 2017.</w:t>
      </w:r>
    </w:p>
    <w:p>
      <w:pPr>
        <w:spacing w:after="0" w:line="8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During the six months ended December 31, 2017, our net cash provided by operating activities was $4.7 million as compared to net cash provided by operating activities of $5.1 million during the six months ended December 31, 2016.</w:t>
      </w:r>
    </w:p>
    <w:p>
      <w:pPr>
        <w:spacing w:after="0" w:line="89" w:lineRule="exact"/>
        <w:rPr>
          <w:sz w:val="20"/>
          <w:szCs w:val="20"/>
          <w:color w:val="auto"/>
        </w:rPr>
      </w:pPr>
    </w:p>
    <w:p>
      <w:pPr>
        <w:jc w:val="both"/>
        <w:ind w:right="540" w:firstLine="432"/>
        <w:spacing w:after="0" w:line="264" w:lineRule="auto"/>
        <w:rPr>
          <w:sz w:val="20"/>
          <w:szCs w:val="20"/>
          <w:color w:val="auto"/>
        </w:rPr>
      </w:pPr>
      <w:r>
        <w:rPr>
          <w:rFonts w:ascii="Arial" w:cs="Arial" w:eastAsia="Arial" w:hAnsi="Arial"/>
          <w:sz w:val="18"/>
          <w:szCs w:val="18"/>
          <w:color w:val="auto"/>
        </w:rPr>
        <w:t>During the six months ended December 31, 2017, our net cash used in investing activities was $2.1 million, as a result of our investment in new technology assets and the purchase of fixed assets. During the six months ended December 31, 2016, our net cash used in investing activities was $0.2 million, as a result of the purchase of fixed assets.</w:t>
      </w:r>
    </w:p>
    <w:p>
      <w:pPr>
        <w:spacing w:after="0" w:line="100"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Cash used in financing activities during the six months ended December 31, 2017 was $1.3 million as a result of our quarterly principal payments on the March 2016 Term Loan and repurchase of company stock. Cash used in financing activities during the six months ended December 31, 2016 was $1.0 million as a result of our quarterly principal payments on the March 2016 Term Loan.</w:t>
      </w:r>
    </w:p>
    <w:p>
      <w:pPr>
        <w:spacing w:after="0" w:line="10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At December 31, 2017 and June 30, 2017, the total amount of our foreign subsidiary cash was $5.6 million and $6.6 million, respectively. As a result of the corporate tax reform signed into law during December 2017, companies are required to pay a one-time repatriation tax on net un-taxed foreign unrepatriated earnings. Tax reform also enacted a 100% dividend deduction for &gt; 10% owned foreign corporations. Therefore, in the future, if needed we can repatriate cash from foreign subsidiaries without paying additional US taxes. We completed an initial analysis of all foreign based earnings as of December 31, 2017, and we project an immaterial amount of additional income tax liabilities associated with the deemed repatriation provision due to our large foreign tax pool in Japan.</w:t>
      </w:r>
    </w:p>
    <w:p>
      <w:pPr>
        <w:spacing w:after="0" w:line="112"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At December 31, 2017, we had working capital (current assets minus current liabilities) of $12.6 million, compared to working capital of $12.2 million at June 30, 2017.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we would consider realigning our strategic plans including a reduction in capital spending and expenses.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144"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On March 30, 2016, we entered into a Loan Agreement (the “March 2016 Loan Agreement”) to refinance our outstanding debt. In connection with the March 2016 Loan Agreement and on the same date, we entered into a security agreement (the “Security Agreement”). The March 2016 Loan Agreement provides for a term loan in an aggregate principal amount of $10.0 million (the “March 2016 Term Loan") and a revolving loan facility in an aggregate principal amount not to exceed $2.0 million (the “March 2016 Revolving Loan,” and collectively with the March 2016 Term Loan, the March 2016 Loan Agreement and the Security Agreement, the “March 2016 Credit Facility”).</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584" w:right="279" w:bottom="1440" w:gutter="0" w:footer="0" w:header="0"/>
        </w:sectPr>
      </w:pPr>
    </w:p>
    <w:bookmarkStart w:id="23" w:name="page24"/>
    <w:bookmarkEnd w:id="23"/>
    <w:p>
      <w:pPr>
        <w:jc w:val="both"/>
        <w:ind w:right="20" w:firstLine="405"/>
        <w:spacing w:after="0" w:line="259" w:lineRule="auto"/>
        <w:rPr>
          <w:sz w:val="20"/>
          <w:szCs w:val="20"/>
          <w:color w:val="auto"/>
        </w:rPr>
      </w:pPr>
      <w:r>
        <w:rPr>
          <w:rFonts w:ascii="Arial" w:cs="Arial" w:eastAsia="Arial" w:hAnsi="Arial"/>
          <w:sz w:val="18"/>
          <w:szCs w:val="18"/>
          <w:color w:val="auto"/>
        </w:rPr>
        <w:t>The principal amount of the March 2016 Term Loan is payable in consecutive quarterly installments in the amount of $0.5 million plus accrued interest beginning with the fiscal quarter ended June 30, 2016 and maturing on March 30, 2019 (the “Maturity Date”). The March 2016 Term Loan bears interest at a fixed rate of 4.93%. If we borrow under the March 2016 Revolving Loan, interest will be payable quarterly in arrears on the last day of each fiscal quarter at a variable rate equal to the 30 day LIBOR Rate plus 3.50%.</w:t>
      </w:r>
    </w:p>
    <w:p>
      <w:pPr>
        <w:spacing w:after="0" w:line="10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March 2016 Credit Facility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December 31, 2017, we were in compliance with all applicable non-financial and restrictive covenants under the March 2016 Credit Facility.</w:t>
      </w:r>
    </w:p>
    <w:p>
      <w:pPr>
        <w:spacing w:after="0" w:line="107"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 March 2016 Credit Facility also contains various financial covenants that require us to maintain certain consolidated minimum tangible net worth, minimum consolidated working capital amounts, and certain consolidated debt to EBITDA and fixed charge coverage ratios. Specifically, we must:</w:t>
      </w:r>
    </w:p>
    <w:p>
      <w:pPr>
        <w:spacing w:after="0" w:line="43" w:lineRule="exact"/>
        <w:rPr>
          <w:sz w:val="20"/>
          <w:szCs w:val="20"/>
          <w:color w:val="auto"/>
        </w:rPr>
      </w:pPr>
    </w:p>
    <w:p>
      <w:pPr>
        <w:ind w:left="660" w:right="32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minimum fixed charge coverage ratio (as defined in the March 2016 Loan Agreement) of at least 1.50 to 1.00 at the end of each fiscal quarter, measured on a trailing twelve month basis;</w:t>
      </w:r>
    </w:p>
    <w:p>
      <w:pPr>
        <w:spacing w:after="0" w:line="89" w:lineRule="exact"/>
        <w:rPr>
          <w:rFonts w:ascii="Arial" w:cs="Arial" w:eastAsia="Arial" w:hAnsi="Arial"/>
          <w:sz w:val="18"/>
          <w:szCs w:val="18"/>
          <w:color w:val="auto"/>
        </w:rPr>
      </w:pPr>
    </w:p>
    <w:p>
      <w:pPr>
        <w:ind w:left="660" w:right="30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minimum consolidated working capital (as defined in the March 2016 Loan Agreement) at the end of each fiscal quarter of at least $5.0 million;</w:t>
      </w:r>
    </w:p>
    <w:p>
      <w:pPr>
        <w:spacing w:after="0" w:line="89" w:lineRule="exact"/>
        <w:rPr>
          <w:rFonts w:ascii="Arial" w:cs="Arial" w:eastAsia="Arial" w:hAnsi="Arial"/>
          <w:sz w:val="18"/>
          <w:szCs w:val="18"/>
          <w:color w:val="auto"/>
        </w:rPr>
      </w:pPr>
    </w:p>
    <w:p>
      <w:pPr>
        <w:ind w:left="660" w:right="52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ratio of funded debt to EBITDA (as defined in the March 2016 Loan Agreement) of not greater than 2.00 to 1.00 at the end of each quarter, measured on a trailing twelve month basis; and</w:t>
      </w:r>
    </w:p>
    <w:p>
      <w:pPr>
        <w:spacing w:after="0" w:line="89" w:lineRule="exact"/>
        <w:rPr>
          <w:rFonts w:ascii="Arial" w:cs="Arial" w:eastAsia="Arial" w:hAnsi="Arial"/>
          <w:sz w:val="18"/>
          <w:szCs w:val="18"/>
          <w:color w:val="auto"/>
        </w:rPr>
      </w:pPr>
    </w:p>
    <w:p>
      <w:pPr>
        <w:ind w:left="660" w:right="26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a tangible net worth (as defined in the March 2016 Loan Agreement) of at least $4.0 million by the end of our 2016 fiscal year and maintain that minimum tangible net worth thereafter, measured annually at fiscal year-end.</w:t>
      </w:r>
    </w:p>
    <w:p>
      <w:pPr>
        <w:spacing w:after="0" w:line="89" w:lineRule="exact"/>
        <w:rPr>
          <w:sz w:val="20"/>
          <w:szCs w:val="20"/>
          <w:color w:val="auto"/>
        </w:rPr>
      </w:pPr>
    </w:p>
    <w:p>
      <w:pPr>
        <w:ind w:right="840" w:firstLine="405"/>
        <w:spacing w:after="0" w:line="342" w:lineRule="auto"/>
        <w:rPr>
          <w:sz w:val="20"/>
          <w:szCs w:val="20"/>
          <w:color w:val="auto"/>
        </w:rPr>
      </w:pPr>
      <w:r>
        <w:rPr>
          <w:rFonts w:ascii="Arial" w:cs="Arial" w:eastAsia="Arial" w:hAnsi="Arial"/>
          <w:sz w:val="16"/>
          <w:szCs w:val="16"/>
          <w:color w:val="auto"/>
        </w:rPr>
        <w:t>As of December 31, 2017, we were in compliance with all applicable financial covenants under the March 2016 Credit Facility. Additionally, management anticipates that in the normal course of operations we will be in compliance with the financial covenants during the ensuing year.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Obligations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contractual payment obligations and commitments as of December 31, 2017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3"/>
                <w:szCs w:val="13"/>
                <w:color w:val="auto"/>
              </w:rPr>
            </w:pPr>
          </w:p>
        </w:tc>
        <w:tc>
          <w:tcPr>
            <w:tcW w:w="10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Interest on long-term debt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Other operating obligations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7,865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7,865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26,643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12,790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580" w:hanging="328"/>
        <w:spacing w:after="0" w:line="277" w:lineRule="auto"/>
        <w:tabs>
          <w:tab w:leader="none" w:pos="591"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operating obligations represent non-cancelable contractual obligations primarily related to marketing and sponsorship commitments and purchases of inventory.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2017, we did not have any off-balance sheet arrangements.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revenues and expenses during the periods presented. Actual results could differ from these estimates. Our significant accounting policies are described in Note 2 to our unaudited condensed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right="60"/>
        <w:spacing w:after="0" w:line="302" w:lineRule="auto"/>
        <w:rPr>
          <w:sz w:val="20"/>
          <w:szCs w:val="20"/>
          <w:color w:val="auto"/>
        </w:rPr>
      </w:pPr>
      <w:r>
        <w:rPr>
          <w:rFonts w:ascii="Arial" w:cs="Arial" w:eastAsia="Arial" w:hAnsi="Arial"/>
          <w:sz w:val="16"/>
          <w:szCs w:val="16"/>
          <w:color w:val="auto"/>
        </w:rPr>
        <w:t>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73"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Allowances for Product Returns</w:t>
      </w:r>
    </w:p>
    <w:p>
      <w:pPr>
        <w:spacing w:after="0" w:line="144"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We record allowances for product returns at the time we ship the product based on estimated return rates. Subject to some exceptions based on local regulations, customers may return unopened product to us within 30 days of purchase for a refund of the purchase price less shipping and handling. As of December 31, 2017, our shipments of products sold totaling approximately $15.5 million were subject to the return policy. In addition, we allow terminating distributors to return up to 30% of unopened, unexpired product they purchased within the prior twelve months.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monitor our product returns estimate on an ongoing basis and revise the allowances to reflect our experience. Our allowance for product returns was $0.3 million at December 31, 2017, compared with $0.4 million at June 30, 2017. To date, product expiration dates have not played any role in product returns, and we do not expect that they will in the future as it is unlikely that we will ship product with an expiration date earlier than the latest allowable product return date.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w:t>
      </w:r>
    </w:p>
    <w:p>
      <w:pPr>
        <w:spacing w:after="0" w:line="14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estimated market value. Factors utilized in the determination of estimated market value include (i) current sales data and historical return rates, (ii) estimates of future demand, (iii) competitive pricing pressures, (iv) new production introductions, (v) product expiration dates, and (vi) component and packaging obsolescence.</w:t>
      </w:r>
    </w:p>
    <w:p>
      <w:pPr>
        <w:spacing w:after="0" w:line="10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During the three months ended December 31, 2017 and 2016, we recognized expenses of $0.5 million and $0.1 million, respectively, related to obsolete and slow-moving inventory.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ship the majority of our product directly to the consumer and receive substantially all payment for these sales in the form of credit card receipts.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from direct product sales to customers is recognized upon shipment, which is when passage of title and risk of loss occurs.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44"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expense all of our payments related to research and development activities as incurred.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Accruals</w:t>
      </w:r>
    </w:p>
    <w:p>
      <w:pPr>
        <w:spacing w:after="0" w:line="14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2 to our unaudited condensed consolidated financial statements for a discussion of recently issued accounting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48"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During the six months ended December 31, 2017, approximately 30.1% of our net revenue was realized outside of the United States. The local currency of each international subsidiary is generally the functional currency. All revenues and expenses are translated at weighted-average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December 31, 2017, we did not have any derivative instruments. A 10% strengthening of the U.S. dollar compared to all of the foreign currencies in which we transact business would have resulted in a 2.7% decrease of our six months ended December 31, 2017 revenue, in the amount of $2.7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4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maintain disclosure controls and procedures (as defined in Rules 13a-15(e) and 15d-15(e) of the Exchange Act) that are designed to ensure that the information required to be disclosed in the reports we file or submit under the Exchange Act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as amended. Based on that evaluation, our Chief Executive Officer and Chief Financial Officer concluded that our disclosure controls and procedures were designed and operating effectively as of December 31, 2017.</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quarter ended December 31, 2017 that have materially affected or are reasonably likely to materially affect our internal controls over financial reporting.</w:t>
      </w:r>
    </w:p>
    <w:p>
      <w:pPr>
        <w:spacing w:after="0" w:line="8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An evaluation required by paragraph (d) of Rules 13a-15 and 15d-15 of the Exchange Act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December 31, 2017 that have materially affected, or are reasonably likely to materially affect, our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of Internal Control Over Financial Reporting</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15" w:right="259" w:bottom="1440" w:gutter="0" w:footer="0" w:header="0"/>
        </w:sectPr>
      </w:pPr>
    </w:p>
    <w:bookmarkStart w:id="26" w:name="page27"/>
    <w:bookmarkEnd w:id="26"/>
    <w:p>
      <w:pPr>
        <w:ind w:right="40" w:firstLine="324"/>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See Note 6 to our unaudited condensed consolidated financial statements contained within this quarterly report on Form 10-Q for a discussion of our legal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 Risk Factors” in our annual report on Form 10-K for the fiscal year ended June 30, 2017, filed on September 7, 2017. The risks and uncertainties described in such risk factors and elsewhere in this report, including the risk factor below, have the potential to materially affect our business, financial condition, results of operations, cash flows, projected results and future prospects. Other than the risk factor described below, as of the date of this report, we do not believe that there have been any material changes to the risk factors previously disclosed in our recent SEC filings, including our most recently filed Form 10-K, as referenced above.</w:t>
      </w:r>
    </w:p>
    <w:p>
      <w:pPr>
        <w:spacing w:after="0" w:line="10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rely on our information technology systems to manage numerous aspects of our business, and a disruption in these systems could adversely affect our business.</w:t>
      </w:r>
    </w:p>
    <w:p>
      <w:pPr>
        <w:spacing w:after="0" w:line="8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depend on our information technology, or IT, systems to manage numerous aspects of our business, including our finance and accounting transactions, to manage our independent distributor compensation plan and to provide analytical information to management. Our IT systems are an essential component of our business and growth strategies, and a serious disruption to our IT systems could significantly limit our ability to manage and operate our business efficiently. We plan to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w:t>
      </w:r>
    </w:p>
    <w:p>
      <w:pPr>
        <w:spacing w:after="0" w:line="112"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These systems are vulnerable to, among other things, damage and interruption from power loss or natural disasters, computer system and network failures, loss of telecommunications services, physical and electronic loss of data, security breaches and computer viruses. Any disruption could cause our business and competitive position to suffer and adversely affect our business and operating results. In addition, if we experience future growth, we will need to scale or change some of our systems to accommodate the increasing number of independent distributors and other customers.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On November 27, 2017, our Board of Directors approved a stock repurchase plan. Under the plan, which became effective on November 27, 2017, we are authorized to repurchase up to $5.0 million of our outstanding shares through November 27, 2020.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may enter into a pre-arranged stock repurchase plan which will operate in accordance with guidelines specified under Rule 10b5-1 of the Securities Exchange Act of 1934. Accordingly, transactions, if any, under the pre-arranged repurchase plan would be completed in accordance with the terms of the stock repurchase plan, including specified price, volume and timing conditions. The authorization may be suspended or discontinued at any time and expires on November 27, 2020. During the period from November 27, 2017 through December 31, 2017, we repurchased 45,107 shares of our common stock on the open market at an aggregate purchase price of $0.2 million under this repurchase program.</w:t>
      </w:r>
    </w:p>
    <w:p>
      <w:pPr>
        <w:spacing w:after="0" w:line="10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The following table provides information with respect to all purchases made by the Company during the three months ended December 31, 2017. All purchases listed below were made in the open market at prevailing market prices and pursuant to trading plans adopted by us pursuant to Rule 10b5-1 under the Securities Exchange Act of 1934.</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8"/>
                <w:szCs w:val="18"/>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Maximum Dollar Value</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Purchased as Part of</w:t>
            </w:r>
          </w:p>
        </w:tc>
        <w:tc>
          <w:tcPr>
            <w:tcW w:w="120" w:type="dxa"/>
            <w:vAlign w:val="bottom"/>
          </w:tcPr>
          <w:p>
            <w:pPr>
              <w:spacing w:after="0"/>
              <w:rPr>
                <w:sz w:val="18"/>
                <w:szCs w:val="18"/>
                <w:color w:val="auto"/>
              </w:rPr>
            </w:pPr>
          </w:p>
        </w:tc>
        <w:tc>
          <w:tcPr>
            <w:tcW w:w="19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of Shares that May Yet</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 Price Paid Per</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Publicly Announced</w:t>
            </w: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Be Purchased Under the</w:t>
            </w:r>
          </w:p>
        </w:tc>
      </w:tr>
      <w:tr>
        <w:trPr>
          <w:trHeight w:val="234"/>
        </w:trPr>
        <w:tc>
          <w:tcPr>
            <w:tcW w:w="2880" w:type="dxa"/>
            <w:vAlign w:val="bottom"/>
            <w:gridSpan w:val="2"/>
          </w:tcPr>
          <w:p>
            <w:pPr>
              <w:ind w:left="1120"/>
              <w:spacing w:after="0"/>
              <w:rPr>
                <w:sz w:val="20"/>
                <w:szCs w:val="20"/>
                <w:color w:val="auto"/>
              </w:rPr>
            </w:pPr>
            <w:r>
              <w:rPr>
                <w:rFonts w:ascii="Arial" w:cs="Arial" w:eastAsia="Arial" w:hAnsi="Arial"/>
                <w:sz w:val="18"/>
                <w:szCs w:val="18"/>
                <w:b w:val="1"/>
                <w:bCs w:val="1"/>
                <w:color w:val="auto"/>
              </w:rPr>
              <w:t>Period</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20"/>
                <w:szCs w:val="20"/>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Plans or Programs</w:t>
            </w:r>
          </w:p>
        </w:tc>
        <w:tc>
          <w:tcPr>
            <w:tcW w:w="120" w:type="dxa"/>
            <w:vAlign w:val="bottom"/>
          </w:tcPr>
          <w:p>
            <w:pPr>
              <w:spacing w:after="0"/>
              <w:rPr>
                <w:sz w:val="20"/>
                <w:szCs w:val="20"/>
                <w:color w:val="auto"/>
              </w:rPr>
            </w:pPr>
          </w:p>
        </w:tc>
        <w:tc>
          <w:tcPr>
            <w:tcW w:w="19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Plans or Programs</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 October 31</w:t>
            </w:r>
          </w:p>
        </w:tc>
        <w:tc>
          <w:tcPr>
            <w:tcW w:w="2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November 1 - November 30</w:t>
            </w:r>
          </w:p>
        </w:tc>
        <w:tc>
          <w:tcPr>
            <w:tcW w:w="2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 December 31</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4,750,000</w:t>
            </w:r>
          </w:p>
        </w:tc>
      </w:tr>
      <w:tr>
        <w:trPr>
          <w:trHeight w:val="257"/>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2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45,107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45,107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4,750,000</w:t>
            </w: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rPr>
              <w:t>Document Description</w:t>
            </w:r>
          </w:p>
        </w:tc>
        <w:tc>
          <w:tcPr>
            <w:tcW w:w="100" w:type="dxa"/>
            <w:vAlign w:val="bottom"/>
          </w:tcPr>
          <w:p>
            <w:pPr>
              <w:spacing w:after="0"/>
              <w:rPr>
                <w:sz w:val="16"/>
                <w:szCs w:val="16"/>
                <w:color w:val="auto"/>
              </w:rPr>
            </w:pPr>
          </w:p>
        </w:tc>
        <w:tc>
          <w:tcPr>
            <w:tcW w:w="478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Filed Herewith or Incorporate by Reference From</w:t>
            </w:r>
          </w:p>
        </w:tc>
      </w:tr>
      <w:tr>
        <w:trPr>
          <w:trHeight w:val="378"/>
        </w:trPr>
        <w:tc>
          <w:tcPr>
            <w:tcW w:w="920" w:type="dxa"/>
            <w:vAlign w:val="bottom"/>
          </w:tcPr>
          <w:p>
            <w:pPr>
              <w:jc w:val="center"/>
              <w:ind w:left="33"/>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Certification of principal executive officer pursuant to Rule 13a-</w:t>
              </w:r>
            </w:hyperlink>
          </w:p>
        </w:tc>
        <w:tc>
          <w:tcPr>
            <w:tcW w:w="478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30">
              <w:r>
                <w:rPr>
                  <w:rFonts w:ascii="Arial" w:cs="Arial" w:eastAsia="Arial" w:hAnsi="Arial"/>
                  <w:sz w:val="18"/>
                  <w:szCs w:val="18"/>
                  <w:color w:val="0000FF"/>
                </w:rPr>
                <w:t>14(a)/15d-14(a)</w:t>
              </w:r>
            </w:hyperlink>
          </w:p>
        </w:tc>
        <w:tc>
          <w:tcPr>
            <w:tcW w:w="880" w:type="dxa"/>
            <w:vAlign w:val="bottom"/>
            <w:gridSpan w:val="6"/>
          </w:tcPr>
          <w:p>
            <w:pPr>
              <w:spacing w:after="0"/>
              <w:rPr>
                <w:sz w:val="17"/>
                <w:szCs w:val="17"/>
                <w:color w:val="auto"/>
              </w:rPr>
            </w:pPr>
          </w:p>
        </w:tc>
        <w:tc>
          <w:tcPr>
            <w:tcW w:w="4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26"/>
        </w:trPr>
        <w:tc>
          <w:tcPr>
            <w:tcW w:w="920" w:type="dxa"/>
            <w:vAlign w:val="bottom"/>
          </w:tcPr>
          <w:p>
            <w:pPr>
              <w:jc w:val="center"/>
              <w:ind w:left="33"/>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9"/>
          </w:tcPr>
          <w:p>
            <w:pPr>
              <w:spacing w:after="0"/>
              <w:rPr>
                <w:rFonts w:ascii="Arial" w:cs="Arial" w:eastAsia="Arial" w:hAnsi="Arial"/>
                <w:sz w:val="18"/>
                <w:szCs w:val="18"/>
                <w:color w:val="0000FF"/>
                <w:w w:val="95"/>
              </w:rPr>
            </w:pPr>
            <w:hyperlink w:anchor="page31">
              <w:r>
                <w:rPr>
                  <w:rFonts w:ascii="Arial" w:cs="Arial" w:eastAsia="Arial" w:hAnsi="Arial"/>
                  <w:sz w:val="18"/>
                  <w:szCs w:val="18"/>
                  <w:color w:val="0000FF"/>
                  <w:w w:val="95"/>
                </w:rPr>
                <w:t>Certification of principal financial officer pursuant to Rule 13a-14(a)/15d-</w:t>
              </w:r>
            </w:hyperlink>
          </w:p>
        </w:tc>
        <w:tc>
          <w:tcPr>
            <w:tcW w:w="478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31">
              <w:r>
                <w:rPr>
                  <w:rFonts w:ascii="Arial" w:cs="Arial" w:eastAsia="Arial" w:hAnsi="Arial"/>
                  <w:sz w:val="18"/>
                  <w:szCs w:val="18"/>
                  <w:color w:val="0000FF"/>
                </w:rPr>
                <w:t>14(a)</w:t>
              </w:r>
            </w:hyperlink>
          </w:p>
        </w:tc>
        <w:tc>
          <w:tcPr>
            <w:tcW w:w="180" w:type="dxa"/>
            <w:vAlign w:val="bottom"/>
            <w:gridSpan w:val="2"/>
          </w:tcPr>
          <w:p>
            <w:pPr>
              <w:spacing w:after="0"/>
              <w:rPr>
                <w:sz w:val="17"/>
                <w:szCs w:val="17"/>
                <w:color w:val="auto"/>
              </w:rPr>
            </w:pPr>
          </w:p>
        </w:tc>
        <w:tc>
          <w:tcPr>
            <w:tcW w:w="4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26"/>
        </w:trPr>
        <w:tc>
          <w:tcPr>
            <w:tcW w:w="920" w:type="dxa"/>
            <w:vAlign w:val="bottom"/>
          </w:tcPr>
          <w:p>
            <w:pPr>
              <w:jc w:val="center"/>
              <w:ind w:left="33"/>
              <w:spacing w:after="0"/>
              <w:rPr>
                <w:sz w:val="20"/>
                <w:szCs w:val="20"/>
                <w:color w:val="auto"/>
              </w:rPr>
            </w:pPr>
            <w:r>
              <w:rPr>
                <w:rFonts w:ascii="Arial" w:cs="Arial" w:eastAsia="Arial" w:hAnsi="Arial"/>
                <w:sz w:val="18"/>
                <w:szCs w:val="18"/>
                <w:color w:val="auto"/>
                <w:w w:val="95"/>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Certification of principal executive officer pursuant to 18 U.S.C. 1350, as</w:t>
              </w:r>
            </w:hyperlink>
          </w:p>
        </w:tc>
        <w:tc>
          <w:tcPr>
            <w:tcW w:w="220" w:type="dxa"/>
            <w:vAlign w:val="bottom"/>
            <w:gridSpan w:val="3"/>
          </w:tcPr>
          <w:p>
            <w:pPr>
              <w:spacing w:after="0"/>
              <w:rPr>
                <w:sz w:val="24"/>
                <w:szCs w:val="24"/>
                <w:color w:val="auto"/>
              </w:rPr>
            </w:pPr>
          </w:p>
        </w:tc>
        <w:tc>
          <w:tcPr>
            <w:tcW w:w="4780" w:type="dxa"/>
            <w:vAlign w:val="bottom"/>
          </w:tcPr>
          <w:p>
            <w:pPr>
              <w:ind w:left="40"/>
              <w:spacing w:after="0"/>
              <w:rPr>
                <w:sz w:val="20"/>
                <w:szCs w:val="20"/>
                <w:color w:val="auto"/>
              </w:rPr>
            </w:pPr>
            <w:r>
              <w:rPr>
                <w:rFonts w:ascii="Arial" w:cs="Arial" w:eastAsia="Arial" w:hAnsi="Arial"/>
                <w:sz w:val="18"/>
                <w:szCs w:val="18"/>
                <w:color w:val="auto"/>
              </w:rPr>
              <w:t>Furnished herewith</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9"/>
          </w:tcPr>
          <w:p>
            <w:pPr>
              <w:spacing w:after="0" w:line="196" w:lineRule="exact"/>
              <w:rPr>
                <w:rFonts w:ascii="Arial" w:cs="Arial" w:eastAsia="Arial" w:hAnsi="Arial"/>
                <w:sz w:val="18"/>
                <w:szCs w:val="18"/>
                <w:color w:val="0000FF"/>
              </w:rPr>
            </w:pPr>
            <w:hyperlink w:anchor="page32">
              <w:r>
                <w:rPr>
                  <w:rFonts w:ascii="Arial" w:cs="Arial" w:eastAsia="Arial" w:hAnsi="Arial"/>
                  <w:sz w:val="18"/>
                  <w:szCs w:val="18"/>
                  <w:color w:val="0000FF"/>
                </w:rPr>
                <w:t>adopted pursuant to Section 906 of the Sarbanes-Oxley Act of 2002</w:t>
              </w:r>
            </w:hyperlink>
          </w:p>
        </w:tc>
        <w:tc>
          <w:tcPr>
            <w:tcW w:w="4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26"/>
        </w:trPr>
        <w:tc>
          <w:tcPr>
            <w:tcW w:w="920" w:type="dxa"/>
            <w:vAlign w:val="bottom"/>
          </w:tcPr>
          <w:p>
            <w:pPr>
              <w:jc w:val="center"/>
              <w:ind w:left="33"/>
              <w:spacing w:after="0"/>
              <w:rPr>
                <w:sz w:val="20"/>
                <w:szCs w:val="20"/>
                <w:color w:val="auto"/>
              </w:rPr>
            </w:pPr>
            <w:r>
              <w:rPr>
                <w:rFonts w:ascii="Arial" w:cs="Arial" w:eastAsia="Arial" w:hAnsi="Arial"/>
                <w:sz w:val="18"/>
                <w:szCs w:val="18"/>
                <w:color w:val="auto"/>
                <w:w w:val="95"/>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Certification of principal financial officer pursuant to 18 U.S.C. 1350, as</w:t>
              </w:r>
            </w:hyperlink>
          </w:p>
        </w:tc>
        <w:tc>
          <w:tcPr>
            <w:tcW w:w="280" w:type="dxa"/>
            <w:vAlign w:val="bottom"/>
            <w:gridSpan w:val="4"/>
          </w:tcPr>
          <w:p>
            <w:pPr>
              <w:spacing w:after="0"/>
              <w:rPr>
                <w:sz w:val="24"/>
                <w:szCs w:val="24"/>
                <w:color w:val="auto"/>
              </w:rPr>
            </w:pPr>
          </w:p>
        </w:tc>
        <w:tc>
          <w:tcPr>
            <w:tcW w:w="4780" w:type="dxa"/>
            <w:vAlign w:val="bottom"/>
          </w:tcPr>
          <w:p>
            <w:pPr>
              <w:ind w:left="40"/>
              <w:spacing w:after="0"/>
              <w:rPr>
                <w:sz w:val="20"/>
                <w:szCs w:val="20"/>
                <w:color w:val="auto"/>
              </w:rPr>
            </w:pPr>
            <w:r>
              <w:rPr>
                <w:rFonts w:ascii="Arial" w:cs="Arial" w:eastAsia="Arial" w:hAnsi="Arial"/>
                <w:sz w:val="18"/>
                <w:szCs w:val="18"/>
                <w:color w:val="auto"/>
              </w:rPr>
              <w:t>Furnished herewith</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9"/>
          </w:tcPr>
          <w:p>
            <w:pPr>
              <w:spacing w:after="0" w:line="196" w:lineRule="exact"/>
              <w:rPr>
                <w:rFonts w:ascii="Arial" w:cs="Arial" w:eastAsia="Arial" w:hAnsi="Arial"/>
                <w:sz w:val="18"/>
                <w:szCs w:val="18"/>
                <w:color w:val="0000FF"/>
              </w:rPr>
            </w:pPr>
            <w:hyperlink w:anchor="page33">
              <w:r>
                <w:rPr>
                  <w:rFonts w:ascii="Arial" w:cs="Arial" w:eastAsia="Arial" w:hAnsi="Arial"/>
                  <w:sz w:val="18"/>
                  <w:szCs w:val="18"/>
                  <w:color w:val="0000FF"/>
                </w:rPr>
                <w:t>adopted pursuant to Section 906 of the Sarbanes-Oxley Act of 2002</w:t>
              </w:r>
            </w:hyperlink>
          </w:p>
        </w:tc>
        <w:tc>
          <w:tcPr>
            <w:tcW w:w="4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gridSpan w:val="4"/>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66"/>
        </w:trPr>
        <w:tc>
          <w:tcPr>
            <w:tcW w:w="920" w:type="dxa"/>
            <w:vAlign w:val="bottom"/>
          </w:tcPr>
          <w:p>
            <w:pPr>
              <w:jc w:val="right"/>
              <w:ind w:right="25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9"/>
          </w:tcPr>
          <w:p>
            <w:pPr>
              <w:spacing w:after="0"/>
              <w:rPr>
                <w:sz w:val="20"/>
                <w:szCs w:val="20"/>
                <w:color w:val="auto"/>
              </w:rPr>
            </w:pPr>
            <w:r>
              <w:rPr>
                <w:rFonts w:ascii="Arial" w:cs="Arial" w:eastAsia="Arial" w:hAnsi="Arial"/>
                <w:sz w:val="18"/>
                <w:szCs w:val="18"/>
                <w:color w:val="auto"/>
                <w:w w:val="97"/>
              </w:rPr>
              <w:t>The following financial information from the Company’s quarterly report</w:t>
            </w:r>
          </w:p>
        </w:tc>
        <w:tc>
          <w:tcPr>
            <w:tcW w:w="4780" w:type="dxa"/>
            <w:vAlign w:val="bottom"/>
          </w:tcPr>
          <w:p>
            <w:pPr>
              <w:ind w:left="40"/>
              <w:spacing w:after="0"/>
              <w:rPr>
                <w:sz w:val="20"/>
                <w:szCs w:val="20"/>
                <w:color w:val="auto"/>
              </w:rPr>
            </w:pPr>
            <w:r>
              <w:rPr>
                <w:rFonts w:ascii="Arial" w:cs="Arial" w:eastAsia="Arial" w:hAnsi="Arial"/>
                <w:sz w:val="18"/>
                <w:szCs w:val="18"/>
                <w:color w:val="auto"/>
              </w:rPr>
              <w:t>Filed herewith</w:t>
            </w:r>
          </w:p>
        </w:tc>
      </w:tr>
    </w:tbl>
    <w:p>
      <w:pPr>
        <w:ind w:left="1100"/>
        <w:spacing w:after="0"/>
        <w:rPr>
          <w:sz w:val="20"/>
          <w:szCs w:val="20"/>
          <w:color w:val="auto"/>
        </w:rPr>
      </w:pPr>
      <w:r>
        <w:rPr>
          <w:rFonts w:ascii="Arial" w:cs="Arial" w:eastAsia="Arial" w:hAnsi="Arial"/>
          <w:sz w:val="18"/>
          <w:szCs w:val="18"/>
          <w:color w:val="auto"/>
        </w:rPr>
        <w:t>on Form 10-Q for the quarter ended December 31, 2017 formatted in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XBRL (extensible Business Reporting Language): (i) Unaudited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Condensed Consolidated Balance Sheets at December 31, 2017 and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June 30, 2017; (ii) Unaudited Condensed Consolidated Statements of</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Operations and Other Comprehensive Income for the three and six months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ended December 31, 2017 and 2016; (iii) Unaudited Condensed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Consolidated Statement of Stockholders’ Equity for the six months ended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December 31, 2017; (iv) Unaudited Condensed Consolidated Statements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of Cash Flows for the six months ended December 31, 2017 and 2016;</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and (v) Notes to Unaudited Condensed Consolidated Financial</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Statements, tagged as blocks of text</w:t>
      </w:r>
    </w:p>
    <w:p>
      <w:pPr>
        <w:spacing w:after="0" w:line="319" w:lineRule="exact"/>
        <w:rPr>
          <w:sz w:val="20"/>
          <w:szCs w:val="20"/>
          <w:color w:val="auto"/>
        </w:rPr>
      </w:pPr>
    </w:p>
    <w:p>
      <w:pPr>
        <w:ind w:left="1220" w:right="200" w:hanging="717"/>
        <w:spacing w:after="0" w:line="264"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28" w:name="page29"/>
    <w:bookmarkEnd w:id="28"/>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LIFEVANTAGE CORPORATION</w:t>
      </w:r>
    </w:p>
    <w:p>
      <w:pPr>
        <w:spacing w:after="0" w:line="387" w:lineRule="exact"/>
        <w:rPr>
          <w:sz w:val="20"/>
          <w:szCs w:val="20"/>
          <w:color w:val="auto"/>
        </w:rPr>
      </w:pPr>
    </w:p>
    <w:p>
      <w:pPr>
        <w:ind w:left="40"/>
        <w:spacing w:after="0"/>
        <w:tabs>
          <w:tab w:leader="none" w:pos="600" w:val="left"/>
          <w:tab w:leader="none" w:pos="5720" w:val="left"/>
        </w:tabs>
        <w:rPr>
          <w:sz w:val="20"/>
          <w:szCs w:val="20"/>
          <w:color w:val="auto"/>
        </w:rPr>
      </w:pPr>
      <w:r>
        <w:rPr>
          <w:rFonts w:ascii="Arial" w:cs="Arial" w:eastAsia="Arial" w:hAnsi="Arial"/>
          <w:sz w:val="18"/>
          <w:szCs w:val="18"/>
          <w:color w:val="auto"/>
        </w:rPr>
        <w:t>Date:</w:t>
        <w:tab/>
        <w:t>February 7, 2018</w:t>
      </w:r>
      <w:r>
        <w:rPr>
          <w:sz w:val="20"/>
          <w:szCs w:val="20"/>
          <w:color w:val="auto"/>
        </w:rPr>
        <w:tab/>
      </w:r>
      <w:r>
        <w:rPr>
          <w:rFonts w:ascii="Arial" w:cs="Arial" w:eastAsia="Arial" w:hAnsi="Arial"/>
          <w:sz w:val="15"/>
          <w:szCs w:val="15"/>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Darren Jensen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40"/>
        <w:spacing w:after="0"/>
        <w:tabs>
          <w:tab w:leader="none" w:pos="600" w:val="left"/>
          <w:tab w:leader="none" w:pos="5720" w:val="left"/>
        </w:tabs>
        <w:rPr>
          <w:sz w:val="20"/>
          <w:szCs w:val="20"/>
          <w:color w:val="auto"/>
        </w:rPr>
      </w:pPr>
      <w:r>
        <w:rPr>
          <w:rFonts w:ascii="Arial" w:cs="Arial" w:eastAsia="Arial" w:hAnsi="Arial"/>
          <w:sz w:val="18"/>
          <w:szCs w:val="18"/>
          <w:color w:val="auto"/>
        </w:rPr>
        <w:t>Date:</w:t>
        <w:tab/>
        <w:t>February 7, 2018</w:t>
      </w:r>
      <w:r>
        <w:rPr>
          <w:sz w:val="20"/>
          <w:szCs w:val="20"/>
          <w:color w:val="auto"/>
        </w:rPr>
        <w:tab/>
      </w:r>
      <w:r>
        <w:rPr>
          <w:rFonts w:ascii="Arial" w:cs="Arial" w:eastAsia="Arial" w:hAnsi="Arial"/>
          <w:sz w:val="16"/>
          <w:szCs w:val="16"/>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80"/>
          </w:cols>
          <w:pgMar w:left="240" w:top="580" w:right="37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Darren Jensen, certify that:</w:t>
      </w:r>
    </w:p>
    <w:p>
      <w:pPr>
        <w:spacing w:after="0" w:line="144"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4"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820" w:right="380" w:hanging="407"/>
        <w:spacing w:after="0" w:line="264"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820" w:right="80" w:hanging="407"/>
        <w:spacing w:after="0" w:line="264"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820" w:right="880" w:hanging="407"/>
        <w:spacing w:after="0" w:line="342" w:lineRule="auto"/>
        <w:tabs>
          <w:tab w:leader="none" w:pos="82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820" w:right="100" w:hanging="407"/>
        <w:spacing w:after="0" w:line="264"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820" w:right="300" w:hanging="407"/>
        <w:spacing w:after="0" w:line="277"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820" w:right="240" w:hanging="407"/>
        <w:spacing w:after="0" w:line="277"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2018</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Steven R. Fife, certify that:</w:t>
      </w:r>
    </w:p>
    <w:p>
      <w:pPr>
        <w:spacing w:after="0" w:line="144"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4"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820" w:right="380" w:hanging="407"/>
        <w:spacing w:after="0" w:line="264"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820" w:right="80" w:hanging="407"/>
        <w:spacing w:after="0" w:line="264"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820" w:right="880" w:hanging="407"/>
        <w:spacing w:after="0" w:line="342" w:lineRule="auto"/>
        <w:tabs>
          <w:tab w:leader="none" w:pos="8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820" w:right="100" w:hanging="407"/>
        <w:spacing w:after="0" w:line="264"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820" w:right="300" w:hanging="407"/>
        <w:spacing w:after="0" w:line="277"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820" w:right="240" w:hanging="407"/>
        <w:spacing w:after="0" w:line="277" w:lineRule="auto"/>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2018</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Steven R. Fife</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December 31, 2017, with the Securities and Exchange Commission on the date hereof (the “report”), I, Darren Jensen, Principal Executive Officer of the Company, certify, pursuant to 18 U.S.C. Section 1350, as adopted pursuant to Section 906 of the Sarbanes-Oxley Act of 2002, that:</w:t>
      </w:r>
    </w:p>
    <w:p>
      <w:pPr>
        <w:spacing w:after="0" w:line="84" w:lineRule="exact"/>
        <w:rPr>
          <w:sz w:val="20"/>
          <w:szCs w:val="20"/>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820" w:hanging="407"/>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2018</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Executive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December 31, 2017, with the Securities and Exchange Commission on the date hereof (the “report”), I, Steven R. Fife, Principal Financial Officer of the Company, certify, pursuant to 18 U.S.C. Section 1350, as adopted pursuant to Section 906 of the Sarbanes-Oxley Act of 2002, that:</w:t>
      </w:r>
    </w:p>
    <w:p>
      <w:pPr>
        <w:spacing w:after="0" w:line="84" w:lineRule="exact"/>
        <w:rPr>
          <w:sz w:val="20"/>
          <w:szCs w:val="20"/>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2018</w:t>
      </w:r>
    </w:p>
    <w:p>
      <w:pPr>
        <w:spacing w:after="0" w:line="30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Steven R. Fife</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Financial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2019-12-29T02:07:02Z</dcterms:created>
  <dcterms:modified xsi:type="dcterms:W3CDTF">2019-12-29T02:07:02Z</dcterms:modified>
</cp:coreProperties>
</file>