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lfvn-20260803.htm"/>
      <w:bookmarkStart w:id="1" w:name="kslfvn20260803"/>
      <w:bookmarkEnd w:id="0"/>
      <w:bookmarkEnd w:id="1"/>
      <w:r>
        <w:rPr>
          <w:rFonts w:ascii="Times New Roman" w:hAnsi="Times New Roman"/>
          <w:b/>
          <w:color w:val="000000"/>
          <w:sz w:val="20"/>
        </w:rPr>
        <w:t>As filed with the Securities and Exchange Commission on August 3, 2026</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w:t>
      </w:r>
    </w:p>
    <w:p>
      <w:pPr>
        <w:pStyle w:val="TextBody"/>
        <w:bidi w:val="0"/>
        <w:jc w:val="right"/>
        <w:rPr/>
      </w:pPr>
      <w:r>
        <w:rPr/>
        <w:t> </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p>
      <w:pPr>
        <w:pStyle w:val="TextBody"/>
        <w:bidi w:val="0"/>
        <w:jc w:val="center"/>
        <w:rPr>
          <w:rFonts w:ascii="Times New Roman" w:hAnsi="Times New Roman"/>
          <w:b/>
          <w:color w:val="000000"/>
          <w:sz w:val="36"/>
        </w:rPr>
      </w:pPr>
      <w:r>
        <w:rPr>
          <w:rFonts w:ascii="Times New Roman" w:hAnsi="Times New Roman"/>
          <w:b/>
          <w:color w:val="000000"/>
          <w:sz w:val="36"/>
        </w:rPr>
        <w:t>FORM S-8</w:t>
      </w:r>
    </w:p>
    <w:p>
      <w:pPr>
        <w:pStyle w:val="TextBody"/>
        <w:bidi w:val="0"/>
        <w:jc w:val="center"/>
        <w:rPr>
          <w:rFonts w:ascii="Times New Roman" w:hAnsi="Times New Roman"/>
          <w:b/>
          <w:color w:val="000000"/>
          <w:sz w:val="36"/>
        </w:rPr>
      </w:pPr>
      <w:r>
        <w:rPr>
          <w:rFonts w:ascii="Times New Roman" w:hAnsi="Times New Roman"/>
          <w:b/>
          <w:color w:val="000000"/>
          <w:sz w:val="36"/>
        </w:rPr>
        <w:t>REGISTRATION STATEMENT</w:t>
      </w:r>
    </w:p>
    <w:p>
      <w:pPr>
        <w:pStyle w:val="TextBody"/>
        <w:bidi w:val="0"/>
        <w:jc w:val="center"/>
        <w:rPr>
          <w:rFonts w:ascii="Times New Roman" w:hAnsi="Times New Roman"/>
          <w:b/>
          <w:color w:val="000000"/>
          <w:sz w:val="24"/>
        </w:rPr>
      </w:pPr>
      <w:r>
        <w:rPr>
          <w:rFonts w:ascii="Times New Roman" w:hAnsi="Times New Roman"/>
          <w:b/>
          <w:color w:val="000000"/>
          <w:sz w:val="24"/>
        </w:rPr>
        <w:t>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Act of 1933</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p>
      <w:pPr>
        <w:pStyle w:val="TextBody"/>
        <w:bidi w:val="0"/>
        <w:jc w:val="center"/>
        <w:rPr>
          <w:rFonts w:ascii="Times New Roman" w:hAnsi="Times New Roman"/>
          <w:b/>
          <w:color w:val="000000"/>
          <w:sz w:val="48"/>
        </w:rPr>
      </w:pPr>
      <w:r>
        <w:rPr>
          <w:rFonts w:ascii="Times New Roman" w:hAnsi="Times New Roman"/>
          <w:b/>
          <w:color w:val="000000"/>
          <w:sz w:val="48"/>
        </w:rPr>
        <w:t>LIFEVANTAGE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tbl>
      <w:tblPr>
        <w:tblW w:w="4292" w:type="dxa"/>
        <w:jc w:val="left"/>
        <w:tblInd w:w="0" w:type="dxa"/>
        <w:tblLayout w:type="fixed"/>
        <w:tblCellMar>
          <w:top w:w="28" w:type="dxa"/>
          <w:left w:w="28" w:type="dxa"/>
          <w:bottom w:w="28" w:type="dxa"/>
          <w:right w:w="28" w:type="dxa"/>
        </w:tblCellMar>
      </w:tblPr>
      <w:tblGrid>
        <w:gridCol w:w="840"/>
        <w:gridCol w:w="762"/>
        <w:gridCol w:w="768"/>
        <w:gridCol w:w="146"/>
        <w:gridCol w:w="146"/>
        <w:gridCol w:w="146"/>
        <w:gridCol w:w="447"/>
        <w:gridCol w:w="447"/>
        <w:gridCol w:w="590"/>
      </w:tblGrid>
      <w:tr>
        <w:trPr/>
        <w:tc>
          <w:tcPr>
            <w:tcW w:w="8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90-0224471</w:t>
            </w:r>
          </w:p>
        </w:tc>
      </w:tr>
      <w:tr>
        <w:trPr/>
        <w:tc>
          <w:tcPr>
            <w:tcW w:w="2370"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92" w:type="dxa"/>
            <w:gridSpan w:val="9"/>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3300 Triumph Blvd., Suite 700</w:t>
            </w:r>
          </w:p>
        </w:tc>
      </w:tr>
      <w:tr>
        <w:trPr/>
        <w:tc>
          <w:tcPr>
            <w:tcW w:w="4292" w:type="dxa"/>
            <w:gridSpan w:val="9"/>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Lehi, UT 84043</w:t>
            </w:r>
          </w:p>
        </w:tc>
      </w:tr>
      <w:tr>
        <w:trPr/>
        <w:tc>
          <w:tcPr>
            <w:tcW w:w="4292" w:type="dxa"/>
            <w:gridSpan w:val="9"/>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r>
    </w:tbl>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LifeVantage Corporation 2026 New Employee Long-Term Incentive Plan</w:t>
      </w:r>
    </w:p>
    <w:p>
      <w:pPr>
        <w:pStyle w:val="TextBody"/>
        <w:bidi w:val="0"/>
        <w:jc w:val="center"/>
        <w:rPr>
          <w:rFonts w:ascii="Times New Roman" w:hAnsi="Times New Roman"/>
          <w:color w:val="000000"/>
          <w:sz w:val="16"/>
        </w:rPr>
      </w:pPr>
      <w:r>
        <w:rPr>
          <w:rFonts w:ascii="Times New Roman" w:hAnsi="Times New Roman"/>
          <w:color w:val="000000"/>
          <w:sz w:val="16"/>
        </w:rPr>
        <w:t>(Full title of plan)</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Carl Aure</w:t>
      </w:r>
    </w:p>
    <w:p>
      <w:pPr>
        <w:pStyle w:val="TextBody"/>
        <w:bidi w:val="0"/>
        <w:jc w:val="center"/>
        <w:rPr>
          <w:rFonts w:ascii="Times New Roman" w:hAnsi="Times New Roman"/>
          <w:b/>
          <w:color w:val="000000"/>
          <w:sz w:val="20"/>
        </w:rPr>
      </w:pPr>
      <w:r>
        <w:rPr>
          <w:rFonts w:ascii="Times New Roman" w:hAnsi="Times New Roman"/>
          <w:b/>
          <w:color w:val="000000"/>
          <w:sz w:val="20"/>
        </w:rPr>
        <w:t>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LifeVantage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3300 Triumph Blvd., Suite 700</w:t>
      </w:r>
    </w:p>
    <w:p>
      <w:pPr>
        <w:pStyle w:val="TextBody"/>
        <w:bidi w:val="0"/>
        <w:jc w:val="center"/>
        <w:rPr>
          <w:rFonts w:ascii="Times New Roman" w:hAnsi="Times New Roman"/>
          <w:b/>
          <w:color w:val="000000"/>
          <w:sz w:val="20"/>
        </w:rPr>
      </w:pPr>
      <w:r>
        <w:rPr>
          <w:rFonts w:ascii="Times New Roman" w:hAnsi="Times New Roman"/>
          <w:b/>
          <w:color w:val="000000"/>
          <w:sz w:val="20"/>
        </w:rPr>
        <w:t>Lehi, UT 84043</w:t>
      </w:r>
    </w:p>
    <w:p>
      <w:pPr>
        <w:pStyle w:val="TextBody"/>
        <w:bidi w:val="0"/>
        <w:jc w:val="center"/>
        <w:rPr>
          <w:rFonts w:ascii="Times New Roman" w:hAnsi="Times New Roman"/>
          <w:color w:val="000000"/>
          <w:sz w:val="16"/>
        </w:rPr>
      </w:pPr>
      <w:r>
        <w:rPr>
          <w:rFonts w:ascii="Times New Roman" w:hAnsi="Times New Roman"/>
          <w:color w:val="000000"/>
          <w:sz w:val="16"/>
        </w:rPr>
        <w:t>(Name and address of agent for service)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(801) 432-9000</w:t>
      </w:r>
    </w:p>
    <w:p>
      <w:pPr>
        <w:pStyle w:val="TextBody"/>
        <w:bidi w:val="0"/>
        <w:jc w:val="center"/>
        <w:rPr>
          <w:rFonts w:ascii="Times New Roman" w:hAnsi="Times New Roman"/>
          <w:color w:val="000000"/>
          <w:sz w:val="16"/>
        </w:rPr>
      </w:pPr>
      <w:r>
        <w:rPr>
          <w:rFonts w:ascii="Times New Roman" w:hAnsi="Times New Roman"/>
          <w:color w:val="000000"/>
          <w:sz w:val="16"/>
        </w:rPr>
        <w:t>(Telephone number, including area code, of agent for service)</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p>
      <w:pPr>
        <w:pStyle w:val="TextBody"/>
        <w:bidi w:val="0"/>
        <w:spacing w:before="80" w:after="283"/>
        <w:jc w:val="center"/>
        <w:rPr>
          <w:rFonts w:ascii="Times New Roman" w:hAnsi="Times New Roman"/>
          <w:i/>
          <w:color w:val="000000"/>
          <w:sz w:val="20"/>
        </w:rPr>
      </w:pPr>
      <w:r>
        <w:rPr>
          <w:rFonts w:ascii="Times New Roman" w:hAnsi="Times New Roman"/>
          <w:i/>
          <w:color w:val="000000"/>
          <w:sz w:val="20"/>
        </w:rPr>
        <w:t>Copies to:</w:t>
      </w:r>
    </w:p>
    <w:p>
      <w:pPr>
        <w:pStyle w:val="TextBody"/>
        <w:bidi w:val="0"/>
        <w:jc w:val="center"/>
        <w:rPr>
          <w:rFonts w:ascii="Times New Roman" w:hAnsi="Times New Roman"/>
          <w:b/>
          <w:color w:val="000000"/>
          <w:sz w:val="20"/>
        </w:rPr>
      </w:pPr>
      <w:r>
        <w:rPr>
          <w:rFonts w:ascii="Times New Roman" w:hAnsi="Times New Roman"/>
          <w:b/>
          <w:color w:val="000000"/>
          <w:sz w:val="20"/>
        </w:rPr>
        <w:t>Kirt W Shuldberg, Esq.</w:t>
      </w:r>
    </w:p>
    <w:p>
      <w:pPr>
        <w:pStyle w:val="TextBody"/>
        <w:bidi w:val="0"/>
        <w:jc w:val="center"/>
        <w:rPr>
          <w:rFonts w:ascii="Times New Roman" w:hAnsi="Times New Roman"/>
          <w:b/>
          <w:color w:val="000000"/>
          <w:sz w:val="20"/>
        </w:rPr>
      </w:pPr>
      <w:r>
        <w:rPr>
          <w:rFonts w:ascii="Times New Roman" w:hAnsi="Times New Roman"/>
          <w:b/>
          <w:color w:val="000000"/>
          <w:sz w:val="20"/>
        </w:rPr>
        <w:t>Gunderson Dettmer Stough Villeneuve Franklin &amp; Hachigian, LLP</w:t>
      </w:r>
    </w:p>
    <w:p>
      <w:pPr>
        <w:pStyle w:val="TextBody"/>
        <w:bidi w:val="0"/>
        <w:jc w:val="center"/>
        <w:rPr>
          <w:rFonts w:ascii="Times New Roman" w:hAnsi="Times New Roman"/>
          <w:b/>
          <w:color w:val="000000"/>
          <w:sz w:val="20"/>
        </w:rPr>
      </w:pPr>
      <w:r>
        <w:rPr>
          <w:rFonts w:ascii="Times New Roman" w:hAnsi="Times New Roman"/>
          <w:b/>
          <w:color w:val="000000"/>
          <w:sz w:val="20"/>
        </w:rPr>
        <w:t>3570 Carmel Mountain Rd., Suite 200</w:t>
      </w:r>
    </w:p>
    <w:p>
      <w:pPr>
        <w:pStyle w:val="TextBody"/>
        <w:bidi w:val="0"/>
        <w:jc w:val="center"/>
        <w:rPr>
          <w:rFonts w:ascii="Times New Roman" w:hAnsi="Times New Roman"/>
          <w:b/>
          <w:color w:val="000000"/>
          <w:sz w:val="20"/>
        </w:rPr>
      </w:pPr>
      <w:r>
        <w:rPr>
          <w:rFonts w:ascii="Times New Roman" w:hAnsi="Times New Roman"/>
          <w:b/>
          <w:color w:val="000000"/>
          <w:sz w:val="20"/>
        </w:rPr>
        <w:t>San Diego, CA 92130</w:t>
      </w:r>
    </w:p>
    <w:p>
      <w:pPr>
        <w:pStyle w:val="TextBody"/>
        <w:bidi w:val="0"/>
        <w:jc w:val="center"/>
        <w:rPr>
          <w:rFonts w:ascii="Times New Roman" w:hAnsi="Times New Roman"/>
          <w:b/>
          <w:color w:val="000000"/>
          <w:sz w:val="20"/>
        </w:rPr>
      </w:pPr>
      <w:r>
        <w:rPr>
          <w:rFonts w:ascii="Times New Roman" w:hAnsi="Times New Roman"/>
          <w:b/>
          <w:color w:val="000000"/>
          <w:sz w:val="20"/>
        </w:rPr>
        <w:t>(858) 436-8000</w:t>
      </w:r>
    </w:p>
    <w:p>
      <w:pPr>
        <w:pStyle w:val="TextBody"/>
        <w:bidi w:val="0"/>
        <w:jc w:val="center"/>
        <w:rPr>
          <w:rFonts w:ascii="Times New Roman" w:hAnsi="Times New Roman"/>
          <w:b/>
          <w:color w:val="000000"/>
          <w:sz w:val="12"/>
        </w:rPr>
      </w:pPr>
      <w:r>
        <w:rPr>
          <w:rFonts w:ascii="Times New Roman" w:hAnsi="Times New Roman"/>
          <w:b/>
          <w:color w:val="000000"/>
          <w:sz w:val="12"/>
        </w:rPr>
        <w:t>________________________________________________________________________________</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p>
    <w:tbl>
      <w:tblPr>
        <w:tblW w:w="5151" w:type="dxa"/>
        <w:jc w:val="left"/>
        <w:tblInd w:w="0" w:type="dxa"/>
        <w:tblLayout w:type="fixed"/>
        <w:tblCellMar>
          <w:top w:w="28" w:type="dxa"/>
          <w:left w:w="28" w:type="dxa"/>
          <w:bottom w:w="28" w:type="dxa"/>
          <w:right w:w="28" w:type="dxa"/>
        </w:tblCellMar>
      </w:tblPr>
      <w:tblGrid>
        <w:gridCol w:w="682"/>
        <w:gridCol w:w="617"/>
        <w:gridCol w:w="621"/>
        <w:gridCol w:w="146"/>
        <w:gridCol w:w="146"/>
        <w:gridCol w:w="146"/>
        <w:gridCol w:w="769"/>
        <w:gridCol w:w="769"/>
        <w:gridCol w:w="772"/>
        <w:gridCol w:w="146"/>
        <w:gridCol w:w="146"/>
        <w:gridCol w:w="191"/>
      </w:tblGrid>
      <w:tr>
        <w:trPr/>
        <w:tc>
          <w:tcPr>
            <w:tcW w:w="68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ý</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ý</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r>
    </w:tbl>
    <w:p>
      <w:pPr>
        <w:pStyle w:val="TextBody"/>
        <w:bidi w:val="0"/>
        <w:spacing w:before="10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erif" w:hAnsi="Wingdings;serif"/>
          <w:color w:val="000000"/>
          <w:sz w:val="20"/>
        </w:rPr>
        <w: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registration statement shall become effective upon filing in accordance with Rule 462(a) under the Securities Act of 1933.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specified in this Part I is omitted from this Registration Statement on Form S-8, or the Registration Statement, in accordance with the provisions of Rule 428 under the Securities Act of 1933, as amended, or the Securities Act. In accordance with the rules and regulations of the Securities and Exchange Commission, or the SEC, and the instructions to Form S-8, such documents are not being filed with the SEC either as part of this Registration Statement or as prospectuses or prospectus supplements pursuant to Rule 424 under the Securities Act.</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180" w:after="283"/>
        <w:jc w:val="center"/>
        <w:rPr/>
      </w:pPr>
      <w:r>
        <w:rPr/>
        <w:t> </w:t>
      </w:r>
    </w:p>
    <w:p>
      <w:pPr>
        <w:pStyle w:val="TextBody"/>
        <w:bidi w:val="0"/>
        <w:jc w:val="left"/>
        <w:rPr>
          <w:rFonts w:ascii="Times New Roman" w:hAnsi="Times New Roman"/>
          <w:sz w:val="20"/>
        </w:rPr>
      </w:pPr>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Incorporation of Documents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documents and information previously filed by the Registrant with the SEC are hereby incorporated by reference in this registration statement: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 the Registrant’s annual report on Form 10-K and any amendments thereto for the fiscal year ended June 30, 2025, filed on September 4</w:t>
      </w:r>
      <w:r>
        <w:rPr>
          <w:rFonts w:ascii="Times New Roman" w:hAnsi="Times New Roman"/>
          <w:sz w:val="20"/>
        </w:rPr>
        <w:t>,</w:t>
      </w:r>
      <w:r>
        <w:rPr>
          <w:rFonts w:ascii="Times New Roman" w:hAnsi="Times New Roman"/>
          <w:color w:val="000000"/>
          <w:sz w:val="20"/>
        </w:rPr>
        <w:t xml:space="preserve">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the Registrant’s quarterly reports on Form 10-Q and any amendments thereto for the fiscal quarters ended September 30, 2025, December 31, 2025 and March 31, 2026, filed on November 4, 2025, February 4, 2026 and May 6, 2026,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(3) </w:t>
      </w:r>
      <w:r>
        <w:rPr>
          <w:rFonts w:ascii="Times New Roman" w:hAnsi="Times New Roman"/>
          <w:sz w:val="20"/>
        </w:rPr>
        <w:t>the Registrant’s current report</w:t>
      </w: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sz w:val="20"/>
        </w:rPr>
        <w:t>on Form 8-K filed on November 12, 2025</w:t>
      </w:r>
      <w:r>
        <w:rPr>
          <w:rFonts w:ascii="Times New Roman" w:hAnsi="Times New Roman"/>
          <w:color w:val="000000"/>
          <w:sz w:val="20"/>
        </w:rPr>
        <w:t>, December 9, 2025, February 4, 2026 (Item 5.02 and Exhibit 99.2 only), April 16, 2026 and August 3, 2026 only to the extent filed and not furnished;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(4) all reports filed by the Registrant pursuant to Section 13(a) or 15(d) of the Securities Exchange of 1934 (the “</w:t>
      </w:r>
      <w:r>
        <w:rPr>
          <w:rFonts w:ascii="Times New Roman" w:hAnsi="Times New Roman"/>
          <w:b/>
          <w:color w:val="000000"/>
          <w:sz w:val="20"/>
        </w:rPr>
        <w:t>Exchange Act</w:t>
      </w:r>
      <w:r>
        <w:rPr>
          <w:rFonts w:ascii="Times New Roman" w:hAnsi="Times New Roman"/>
          <w:color w:val="000000"/>
          <w:sz w:val="20"/>
        </w:rPr>
        <w:t>”) since the end of the fiscal year covered by the Registrant’s latest annual report;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(5) the description of the Registrant’s common stock contained in </w:t>
      </w:r>
      <w:r>
        <w:rPr>
          <w:rFonts w:ascii="Times New Roman" w:hAnsi="Times New Roman"/>
          <w:sz w:val="20"/>
        </w:rPr>
        <w:t>the Registrant’s registration statement on Amendment No. 1 to Form 8-A filed under the Securities Act on March 13, 2018</w:t>
      </w:r>
      <w:r>
        <w:rPr>
          <w:rFonts w:ascii="Times New Roman" w:hAnsi="Times New Roman"/>
          <w:color w:val="000000"/>
          <w:sz w:val="20"/>
        </w:rPr>
        <w:t>, including any amendment or report filed for the purpose of updating such description.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other reports and documents filed by the Registrant pursuant to Section 13(a), 13(c), 14 or 15(d) of the Exchange Act, as amended,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Section 145 of the Delaware General Corporation Law authorizes a corporation’s board of directors to grant, and authorizes a court to award, indemnity to officers, directors and other corporate agents.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permitted by Section 102(b)(7) of the Delaware General Corporation Law, the Registrant’s certificate of incorporation includes provisions that eliminate the personal liability of its directors and officers for monetary damages for a breach of their fiduciary duty as directors and officers.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as permitted by Section 145 of the Delaware General Corporation Law, the Registrant’s amended and restated bylaws provide that: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 may, in its discretion, indemnify employees and agents in those circumstances in which indemnification is not required by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 will be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 will not be obligated pursuant to the bylaws to indemnify a person with respect to proceedings initiated by that person, except with respect to proceedings authorized by the registrant’s board of directors. The rights conferred in the bylaws are not exclusive, and the registrant is authorized to enter into indemnification agreements with its directors, officers, employees and agents and to obtain insurance to indemnify such persons.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Registrant may not retroactively amend the bylaw provisions to reduce its indemnification obligations to directors, officers, employees and agents.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Registrant has entered into separate indemnification agreements with each of its directors and executive officers that will provide the maximum indemnity allowed to directors and executive officers by Section 145 of the Delaware General Corporation Law and provide for certain additional procedural protections. The Registrant also maintains insurance to insure directors and officers against certain liabilities.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These indemnification provisions and the indemnification agreements to be entered into between the registrant and its officers and directors may be sufficiently broad to permit indemnification of the registrant’s officers and directors for liabilities (including reimbursement of expenses incurred) arising under the Securities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been advised that in the opinion of the SEC indemnification for liabilities arising under the Securities Act is against public policy as expressed in the Securities Act, and is, therefore, unenforceable. In the event that a claim for indemnification against such liabilities is asserted by one of our directors, officers, or controlling persons in connection with the securities being registered, we will, unless in the opinion of our legal counsel the matter has been settled by controlling precedent, submit the question of whether such indemnification is against public policy to a court of appropriate jurisdiction. We will then be governed by the court’s decision.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exhibits are incorporated herein by reference. </w:t>
      </w:r>
    </w:p>
    <w:tbl>
      <w:tblPr>
        <w:tblW w:w="8418" w:type="dxa"/>
        <w:jc w:val="left"/>
        <w:tblInd w:w="0" w:type="dxa"/>
        <w:tblLayout w:type="fixed"/>
        <w:tblCellMar>
          <w:top w:w="28" w:type="dxa"/>
          <w:left w:w="28" w:type="dxa"/>
          <w:bottom w:w="28" w:type="dxa"/>
          <w:right w:w="28" w:type="dxa"/>
        </w:tblCellMar>
      </w:tblPr>
      <w:tblGrid>
        <w:gridCol w:w="382"/>
        <w:gridCol w:w="348"/>
        <w:gridCol w:w="349"/>
        <w:gridCol w:w="146"/>
        <w:gridCol w:w="146"/>
        <w:gridCol w:w="146"/>
        <w:gridCol w:w="659"/>
        <w:gridCol w:w="659"/>
        <w:gridCol w:w="661"/>
        <w:gridCol w:w="146"/>
        <w:gridCol w:w="146"/>
        <w:gridCol w:w="146"/>
        <w:gridCol w:w="1353"/>
        <w:gridCol w:w="1353"/>
        <w:gridCol w:w="1778"/>
      </w:tblGrid>
      <w:tr>
        <w:trPr/>
        <w:tc>
          <w:tcPr>
            <w:tcW w:w="3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r>
      <w:tr>
        <w:trPr/>
        <w:tc>
          <w:tcPr>
            <w:tcW w:w="382" w:type="dxa"/>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4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 or Incorporated by Reference From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6313"/>
        <w:gridCol w:w="146"/>
        <w:gridCol w:w="3119"/>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r>
      <w:tr>
        <w:trPr/>
        <w:tc>
          <w:tcPr>
            <w:tcW w:w="4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31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11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Certificate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Form 8-K filed on March 13, 2018.</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Amended and Restated Bylaws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 to Form 8-K filed on August 15, 2019.</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Certificate of Designation of Series A Junior Participating Preferred Stock of the Registrant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Form 8-K filed on August 31, 2023.</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Elimination of Series A Junior Participating Preferred Stock of the Registrant, filed November 18,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Form 8-K filed on November 19, 2024.</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Form of Common Stock Certificate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4.1 to Form 8-K filed on March 13, 2018.</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pPr>
            <w:hyperlink w:anchor="lfvn-ex5_1.htm">
              <w:r>
                <w:rPr>
                  <w:rStyle w:val="InternetLink"/>
                  <w:rFonts w:ascii="Times New Roman" w:hAnsi="Times New Roman"/>
                  <w:color w:val="0000FF"/>
                  <w:sz w:val="20"/>
                  <w:u w:val="single"/>
                </w:rPr>
                <w:t>Opinion of Gunderson Dettmer Stough Villeneuve Franklin &amp; Hachigian, LLP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pPr>
            <w:hyperlink w:anchor="lfvn-ex23_1.htm">
              <w:r>
                <w:rPr>
                  <w:rStyle w:val="InternetLink"/>
                  <w:rFonts w:ascii="Times New Roman" w:hAnsi="Times New Roman"/>
                  <w:color w:val="0000FF"/>
                  <w:sz w:val="20"/>
                  <w:u w:val="single"/>
                </w:rPr>
                <w:t>Consent of Deloitte &amp; Touche,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of Gunderson Dettmer Stough Villeneuve Franklin &amp; Hachigian, LLP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Contained in Exhibit 5.1.</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Contained on the signature page hereto.</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LifeVantage Corporation 2026 New Employee Long-Term Incentive Plan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8-K filed on August 3, 2026.</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3" w:type="dxa"/>
            <w:tcBorders/>
            <w:tcMar>
              <w:top w:w="0" w:type="dxa"/>
              <w:left w:w="0" w:type="dxa"/>
              <w:bottom w:w="0" w:type="dxa"/>
              <w:right w:w="0" w:type="dxa"/>
            </w:tcMar>
            <w:vAlign w:val="center"/>
          </w:tcPr>
          <w:p>
            <w:pPr>
              <w:pStyle w:val="TableContents"/>
              <w:bidi w:val="0"/>
              <w:spacing w:before="0" w:after="283"/>
              <w:jc w:val="left"/>
              <w:rPr/>
            </w:pPr>
            <w:hyperlink w:anchor="lfvn-exfiling_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color w:val="000000"/>
          <w:sz w:val="20"/>
        </w:rPr>
        <w:t>Undertakings</w:t>
      </w:r>
    </w:p>
    <w:p>
      <w:pPr>
        <w:pStyle w:val="TextBody"/>
        <w:bidi w:val="0"/>
        <w:jc w:val="both"/>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jc w:val="both"/>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both"/>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jc w:val="both"/>
        <w:rPr>
          <w:rFonts w:ascii="Times New Roman" w:hAnsi="Times New Roman"/>
          <w:sz w:val="20"/>
        </w:rPr>
      </w:pPr>
      <w:r>
        <w:rPr>
          <w:rFonts w:ascii="Times New Roman" w:hAnsi="Times New Roman"/>
          <w:color w:val="000000"/>
          <w:sz w:val="20"/>
        </w:rPr>
        <w:t xml:space="preserve">(iii) to include any material information with respect to the plan of distribution not previously disclosed in this Registration Statement or any material change to such information in this Registration Statement;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pStyle w:val="TextBody"/>
        <w:bidi w:val="0"/>
        <w:jc w:val="both"/>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Registrant’s offering.</w:t>
      </w:r>
    </w:p>
    <w:p>
      <w:pPr>
        <w:pStyle w:val="TextBody"/>
        <w:bidi w:val="0"/>
        <w:jc w:val="both"/>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both"/>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Lehi, Utah on this 3rd day of August, 2026.</w:t>
      </w:r>
    </w:p>
    <w:p>
      <w:pPr>
        <w:pStyle w:val="TextBody"/>
        <w:bidi w:val="0"/>
        <w:jc w:val="left"/>
        <w:rPr/>
      </w:pPr>
      <w:r>
        <w:rPr/>
        <w:t> </w:t>
      </w:r>
    </w:p>
    <w:tbl>
      <w:tblPr>
        <w:tblW w:w="4305" w:type="dxa"/>
        <w:jc w:val="left"/>
        <w:tblInd w:w="0" w:type="dxa"/>
        <w:tblLayout w:type="fixed"/>
        <w:tblCellMar>
          <w:top w:w="28" w:type="dxa"/>
          <w:left w:w="28" w:type="dxa"/>
          <w:bottom w:w="28" w:type="dxa"/>
          <w:right w:w="28" w:type="dxa"/>
        </w:tblCellMar>
      </w:tblPr>
      <w:tblGrid>
        <w:gridCol w:w="161"/>
        <w:gridCol w:w="146"/>
        <w:gridCol w:w="146"/>
        <w:gridCol w:w="307"/>
        <w:gridCol w:w="307"/>
        <w:gridCol w:w="307"/>
        <w:gridCol w:w="307"/>
        <w:gridCol w:w="307"/>
        <w:gridCol w:w="307"/>
        <w:gridCol w:w="598"/>
        <w:gridCol w:w="598"/>
        <w:gridCol w:w="81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LIFEVANTAGE CORPORATION</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6"/>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 Aure</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3"/>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Aure</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180" w:after="283"/>
        <w:jc w:val="center"/>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Carl Aure,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 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WITNESS WHEREOF, each of the undersigned has executed this Power of Attorney as of the date indicated.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77"/>
        <w:gridCol w:w="146"/>
        <w:gridCol w:w="6601"/>
        <w:gridCol w:w="146"/>
        <w:gridCol w:w="1335"/>
      </w:tblGrid>
      <w:tr>
        <w:trPr/>
        <w:tc>
          <w:tcPr>
            <w:tcW w:w="1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Beindorff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Interim Chief Executive Officer and Director (</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2026</w:t>
            </w:r>
          </w:p>
        </w:tc>
      </w:tr>
      <w:tr>
        <w:trPr/>
        <w:tc>
          <w:tcPr>
            <w:tcW w:w="1977" w:type="dxa"/>
            <w:tcBorders>
              <w:top w:val="single" w:sz="8" w:space="0" w:color="000000"/>
            </w:tcBorders>
            <w:tcMar>
              <w:top w:w="43"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Beindorff</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6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7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 Aure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 (</w:t>
            </w:r>
            <w:r>
              <w:rPr>
                <w:rFonts w:ascii="Times New Roman" w:hAnsi="Times New Roman"/>
                <w:i/>
                <w:color w:val="000000"/>
                <w:sz w:val="20"/>
              </w:rPr>
              <w:t>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2026</w:t>
            </w:r>
          </w:p>
        </w:tc>
      </w:tr>
      <w:tr>
        <w:trPr/>
        <w:tc>
          <w:tcPr>
            <w:tcW w:w="1977" w:type="dxa"/>
            <w:tcBorders>
              <w:top w:val="single" w:sz="8" w:space="0" w:color="000000"/>
            </w:tcBorders>
            <w:tcMar>
              <w:top w:w="43"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Aure</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6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7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Raymond Greer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2026</w:t>
            </w:r>
          </w:p>
        </w:tc>
      </w:tr>
      <w:tr>
        <w:trPr/>
        <w:tc>
          <w:tcPr>
            <w:tcW w:w="1977" w:type="dxa"/>
            <w:tcBorders>
              <w:top w:val="single" w:sz="8" w:space="0" w:color="000000"/>
            </w:tcBorders>
            <w:tcMar>
              <w:top w:w="43"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B. Greer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6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84" w:type="dxa"/>
        <w:jc w:val="left"/>
        <w:tblInd w:w="0" w:type="dxa"/>
        <w:tblLayout w:type="fixed"/>
        <w:tblCellMar>
          <w:top w:w="28" w:type="dxa"/>
          <w:left w:w="28" w:type="dxa"/>
          <w:bottom w:w="28" w:type="dxa"/>
          <w:right w:w="28" w:type="dxa"/>
        </w:tblCellMar>
      </w:tblPr>
      <w:tblGrid>
        <w:gridCol w:w="2176"/>
        <w:gridCol w:w="1233"/>
        <w:gridCol w:w="1233"/>
        <w:gridCol w:w="146"/>
        <w:gridCol w:w="1396"/>
      </w:tblGrid>
      <w:tr>
        <w:trPr/>
        <w:tc>
          <w:tcPr>
            <w:tcW w:w="217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Rajendran Anbalagan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2026</w:t>
            </w:r>
          </w:p>
        </w:tc>
      </w:tr>
      <w:tr>
        <w:trPr/>
        <w:tc>
          <w:tcPr>
            <w:tcW w:w="2176" w:type="dxa"/>
            <w:tcBorders>
              <w:top w:val="single" w:sz="8" w:space="0" w:color="000000"/>
            </w:tcBorders>
            <w:tcMar>
              <w:top w:w="43"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Rajendran Anbalagan</w:t>
            </w:r>
          </w:p>
        </w:tc>
        <w:tc>
          <w:tcPr>
            <w:tcW w:w="123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3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Dayton Judd</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2026</w:t>
            </w:r>
          </w:p>
        </w:tc>
      </w:tr>
      <w:tr>
        <w:trPr/>
        <w:tc>
          <w:tcPr>
            <w:tcW w:w="2176" w:type="dxa"/>
            <w:tcBorders>
              <w:top w:val="single" w:sz="8" w:space="0" w:color="000000"/>
            </w:tcBorders>
            <w:tcMar>
              <w:top w:w="43"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Dayton Judd</w:t>
            </w:r>
          </w:p>
        </w:tc>
        <w:tc>
          <w:tcPr>
            <w:tcW w:w="123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bottom w:val="single" w:sz="4" w:space="0" w:color="000000"/>
            </w:tcBorders>
            <w:tcMar>
              <w:top w:w="0"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Cynthia Latham</w:t>
            </w:r>
          </w:p>
        </w:tc>
        <w:tc>
          <w:tcPr>
            <w:tcW w:w="1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2026</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Cynthia Latham</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bottom w:val="single" w:sz="4" w:space="0" w:color="000000"/>
            </w:tcBorders>
            <w:tcMar>
              <w:top w:w="0" w:type="dxa"/>
              <w:left w:w="0" w:type="dxa"/>
              <w:bottom w:w="29"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Darwin Lewis</w:t>
            </w:r>
          </w:p>
        </w:tc>
        <w:tc>
          <w:tcPr>
            <w:tcW w:w="1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2026</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Darwin Lewis</w:t>
            </w:r>
          </w:p>
        </w:tc>
        <w:tc>
          <w:tcPr>
            <w:tcW w:w="1233" w:type="dxa"/>
            <w:tcBorders/>
            <w:tcMar>
              <w:top w:w="0" w:type="dxa"/>
              <w:left w:w="0" w:type="dxa"/>
              <w:bottom w:w="0" w:type="dxa"/>
              <w:right w:w="0" w:type="dxa"/>
            </w:tcMar>
            <w:vAlign w:val="center"/>
          </w:tcPr>
          <w:p>
            <w:pPr>
              <w:pStyle w:val="TableContents"/>
              <w:bidi w:val="0"/>
              <w:spacing w:before="0" w:after="283"/>
              <w:ind w:left="0" w:right="0" w:firstLine="1087"/>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ind w:left="0" w:right="0" w:firstLine="10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fvn-ex5_1.htm"/>
      <w:bookmarkStart w:id="3" w:name="kslfvnex5_1"/>
      <w:bookmarkEnd w:id="2"/>
      <w:bookmarkEnd w:id="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5.1</w:t>
      </w:r>
    </w:p>
    <w:p>
      <w:pPr>
        <w:pStyle w:val="TextBody"/>
        <w:bidi w:val="0"/>
        <w:jc w:val="right"/>
        <w:rPr/>
      </w:pPr>
      <w:r>
        <w:rPr/>
        <w:t> </w:t>
      </w:r>
    </w:p>
    <w:p>
      <w:pPr>
        <w:pStyle w:val="TextBody"/>
        <w:bidi w:val="0"/>
        <w:jc w:val="right"/>
        <w:rPr/>
      </w:pPr>
      <w:r>
        <w:rPr/>
        <w:drawing>
          <wp:inline distT="0" distB="0" distL="0" distR="0">
            <wp:extent cx="594360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5943600" cy="847725"/>
                    </a:xfrm>
                    <a:prstGeom prst="rect">
                      <a:avLst/>
                    </a:prstGeom>
                  </pic:spPr>
                </pic:pic>
              </a:graphicData>
            </a:graphic>
          </wp:inline>
        </w:drawing>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August 3,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LifeVantage Corporation</w:t>
      </w:r>
    </w:p>
    <w:p>
      <w:pPr>
        <w:pStyle w:val="TextBody"/>
        <w:bidi w:val="0"/>
        <w:jc w:val="left"/>
        <w:rPr>
          <w:rFonts w:ascii="Times New Roman" w:hAnsi="Times New Roman"/>
          <w:color w:val="000000"/>
          <w:sz w:val="20"/>
        </w:rPr>
      </w:pPr>
      <w:r>
        <w:rPr>
          <w:rFonts w:ascii="Times New Roman" w:hAnsi="Times New Roman"/>
          <w:color w:val="000000"/>
          <w:sz w:val="20"/>
        </w:rPr>
        <w:t>3300 Triumph Blvd., Suite 700</w:t>
      </w:r>
    </w:p>
    <w:p>
      <w:pPr>
        <w:pStyle w:val="TextBody"/>
        <w:bidi w:val="0"/>
        <w:jc w:val="left"/>
        <w:rPr>
          <w:rFonts w:ascii="Times New Roman" w:hAnsi="Times New Roman"/>
          <w:color w:val="000000"/>
          <w:sz w:val="20"/>
        </w:rPr>
      </w:pPr>
      <w:r>
        <w:rPr>
          <w:rFonts w:ascii="Times New Roman" w:hAnsi="Times New Roman"/>
          <w:color w:val="000000"/>
          <w:sz w:val="20"/>
        </w:rPr>
        <w:t>Lehi, Utah 84043</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refer to the registration statement on Form S-8 (the “</w:t>
      </w:r>
      <w:r>
        <w:rPr>
          <w:rFonts w:ascii="Times New Roman" w:hAnsi="Times New Roman"/>
          <w:b/>
          <w:i/>
          <w:color w:val="000000"/>
          <w:sz w:val="20"/>
        </w:rPr>
        <w:t>Registration Statement</w:t>
      </w:r>
      <w:r>
        <w:rPr>
          <w:rFonts w:ascii="Times New Roman" w:hAnsi="Times New Roman"/>
          <w:color w:val="000000"/>
          <w:sz w:val="20"/>
        </w:rPr>
        <w:t>”) to be filed by LifeVantage Corporation (the “</w:t>
      </w:r>
      <w:r>
        <w:rPr>
          <w:rFonts w:ascii="Times New Roman" w:hAnsi="Times New Roman"/>
          <w:b/>
          <w:i/>
          <w:color w:val="000000"/>
          <w:sz w:val="20"/>
        </w:rPr>
        <w:t>Company</w:t>
      </w:r>
      <w:r>
        <w:rPr>
          <w:rFonts w:ascii="Times New Roman" w:hAnsi="Times New Roman"/>
          <w:color w:val="000000"/>
          <w:sz w:val="20"/>
        </w:rPr>
        <w:t>”), with the Securities and Exchange Commission (the “</w:t>
      </w:r>
      <w:r>
        <w:rPr>
          <w:rFonts w:ascii="Times New Roman" w:hAnsi="Times New Roman"/>
          <w:b/>
          <w:i/>
          <w:color w:val="000000"/>
          <w:sz w:val="20"/>
        </w:rPr>
        <w:t>Commission</w:t>
      </w:r>
      <w:r>
        <w:rPr>
          <w:rFonts w:ascii="Times New Roman" w:hAnsi="Times New Roman"/>
          <w:color w:val="000000"/>
          <w:sz w:val="20"/>
        </w:rPr>
        <w:t>”) in connection with the registration of 1,500,000 shares of the Company’s Common Stock, $0.001 per share (the “</w:t>
      </w:r>
      <w:r>
        <w:rPr>
          <w:rFonts w:ascii="Times New Roman" w:hAnsi="Times New Roman"/>
          <w:b/>
          <w:i/>
          <w:color w:val="000000"/>
          <w:sz w:val="20"/>
        </w:rPr>
        <w:t>Shares</w:t>
      </w:r>
      <w:r>
        <w:rPr>
          <w:rFonts w:ascii="Times New Roman" w:hAnsi="Times New Roman"/>
          <w:color w:val="000000"/>
          <w:sz w:val="20"/>
        </w:rPr>
        <w:t>”), that are subject to issuance by the Company upon exercise or settlement of awards granted or to be granted under the Company’s 2026 New Employee Long-Term Incentive Plan (the “</w:t>
      </w:r>
      <w:r>
        <w:rPr>
          <w:rFonts w:ascii="Times New Roman" w:hAnsi="Times New Roman"/>
          <w:b/>
          <w:i/>
          <w:color w:val="000000"/>
          <w:sz w:val="20"/>
        </w:rPr>
        <w:t>Plan</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this opinion, we have reviewed the actions proposed to be taken by you in connection with the issuance and sale of the Shares to be issued under the Plan.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upon and subject to the foregoing, we advise you that, in our opinion, when the Shares have been issued and sold by the Company pursuant to the applicable provisions of the Plan and pursuant to the agreements which accompany the Plan, and in accordance with the Registration Statement, such Shares will be validly issued, fully paid and nonassessable.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Gunderson Dettmer Stough Villeneuve Franklin &amp; Hachigian, LLP</w:t>
      </w:r>
    </w:p>
    <w:p>
      <w:pPr>
        <w:pStyle w:val="TextBody"/>
        <w:bidi w:val="0"/>
        <w:jc w:val="left"/>
        <w:rPr>
          <w:rFonts w:ascii="Times New Roman" w:hAnsi="Times New Roman"/>
          <w:color w:val="000000"/>
          <w:sz w:val="20"/>
        </w:rPr>
      </w:pPr>
      <w:r>
        <w:rPr>
          <w:rFonts w:ascii="Times New Roman" w:hAnsi="Times New Roman"/>
          <w:color w:val="000000"/>
          <w:sz w:val="20"/>
        </w:rPr>
        <w:t>Gunderson Dettmer Stough Villeneuve Franklin &amp; Hachigian, LLP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4" w:name="lfvn-ex23_1.htm"/>
      <w:bookmarkStart w:id="5" w:name="kslfvnex23_1"/>
      <w:bookmarkEnd w:id="4"/>
      <w:bookmarkEnd w:id="5"/>
      <w:r>
        <w:rPr>
          <w:rFonts w:ascii="Times New Roman" w:hAnsi="Times New Roman"/>
          <w:b/>
          <w:color w:val="000000"/>
          <w:sz w:val="20"/>
        </w:rPr>
        <w:t>EXHIBIT 23.1</w:t>
      </w:r>
      <w:r>
        <w:br w:type="page"/>
      </w:r>
    </w:p>
    <w:p>
      <w:pPr>
        <w:pStyle w:val="TextBody"/>
        <w:bidi w:val="0"/>
        <w:spacing w:before="240" w:after="283"/>
        <w:jc w:val="center"/>
        <w:rPr/>
      </w:pPr>
      <w:r>
        <w:rPr/>
        <w:t> </w:t>
      </w:r>
    </w:p>
    <w:p>
      <w:pPr>
        <w:pStyle w:val="TextBody"/>
        <w:bidi w:val="0"/>
        <w:spacing w:before="0" w:after="160"/>
        <w:jc w:val="left"/>
        <w:rPr>
          <w:rFonts w:ascii="sans-serif" w:hAnsi="sans-serif"/>
          <w:color w:val="000000"/>
          <w:sz w:val="20"/>
        </w:rPr>
      </w:pPr>
      <w:r>
        <w:rPr>
          <w:rFonts w:ascii="sans-serif" w:hAnsi="sans-serif"/>
          <w:color w:val="000000"/>
          <w:sz w:val="20"/>
        </w:rPr>
        <w:t>CONSENT OF INDEPENDENT REGISTERED PUBLIC ACCOUNTING FIRM</w:t>
      </w:r>
    </w:p>
    <w:p>
      <w:pPr>
        <w:pStyle w:val="TextBody"/>
        <w:bidi w:val="0"/>
        <w:spacing w:before="0" w:after="160"/>
        <w:jc w:val="left"/>
        <w:rPr>
          <w:rFonts w:ascii="sans-serif" w:hAnsi="sans-serif"/>
          <w:color w:val="000000"/>
          <w:sz w:val="20"/>
        </w:rPr>
      </w:pPr>
      <w:r>
        <w:rPr>
          <w:rFonts w:ascii="sans-serif" w:hAnsi="sans-serif"/>
          <w:color w:val="000000"/>
          <w:sz w:val="20"/>
        </w:rPr>
        <w:t>We consent to the incorporation by reference in this Registration Statement on Form S-8 of our report dated September 4, 2025 relating to the financial statements of LifeVantage Corporation and the effectiveness of LifeVantage Corporation's internal control over financial reporting, appearing in the Annual Report on Form 10-K of LifeVantage Corporation for the year ended June 30, 2025.</w:t>
      </w:r>
    </w:p>
    <w:p>
      <w:pPr>
        <w:pStyle w:val="TextBody"/>
        <w:bidi w:val="0"/>
        <w:spacing w:before="0" w:after="60"/>
        <w:jc w:val="left"/>
        <w:rPr>
          <w:rFonts w:ascii="sans-serif" w:hAnsi="sans-serif"/>
          <w:color w:val="000000"/>
          <w:sz w:val="20"/>
        </w:rPr>
      </w:pPr>
      <w:r>
        <w:rPr>
          <w:rFonts w:ascii="sans-serif" w:hAnsi="sans-serif"/>
          <w:color w:val="000000"/>
          <w:sz w:val="20"/>
        </w:rPr>
        <w:t>/s/ Deloitte &amp; Touche LLP</w:t>
      </w:r>
    </w:p>
    <w:p>
      <w:pPr>
        <w:pStyle w:val="TextBody"/>
        <w:bidi w:val="0"/>
        <w:spacing w:before="0" w:after="60"/>
        <w:jc w:val="left"/>
        <w:rPr>
          <w:rFonts w:ascii="sans-serif" w:hAnsi="sans-serif"/>
          <w:color w:val="000000"/>
          <w:sz w:val="20"/>
        </w:rPr>
      </w:pPr>
      <w:r>
        <w:rPr>
          <w:rFonts w:ascii="sans-serif" w:hAnsi="sans-serif"/>
          <w:color w:val="000000"/>
          <w:sz w:val="20"/>
        </w:rPr>
        <w:t>Salt Lake City, Utah</w:t>
      </w:r>
    </w:p>
    <w:p>
      <w:pPr>
        <w:pStyle w:val="TextBody"/>
        <w:bidi w:val="0"/>
        <w:spacing w:before="0" w:after="60"/>
        <w:jc w:val="left"/>
        <w:rPr>
          <w:rFonts w:ascii="sans-serif" w:hAnsi="sans-serif"/>
          <w:color w:val="000000"/>
          <w:sz w:val="20"/>
        </w:rPr>
      </w:pPr>
      <w:r>
        <w:rPr>
          <w:rFonts w:ascii="sans-serif" w:hAnsi="sans-serif"/>
          <w:color w:val="000000"/>
          <w:sz w:val="20"/>
        </w:rPr>
        <w:t>August 3,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6" w:name="lfvn-exfiling_fees.htm"/>
      <w:bookmarkStart w:id="7" w:name="kslfvnexfiling_fees"/>
      <w:bookmarkStart w:id="8" w:name="lfvn-exfiling_fees.htm"/>
      <w:bookmarkStart w:id="9" w:name="kslfvnexfiling_fees"/>
      <w:bookmarkEnd w:id="8"/>
      <w:bookmarkEnd w:id="9"/>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Lifevantage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par value $0.0001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1,500,000 </w:t>
            </w:r>
          </w:p>
        </w:tc>
        <w:tc>
          <w:tcPr>
            <w:tcW w:w="1244" w:type="dxa"/>
            <w:tcBorders/>
            <w:shd w:fill="E7E7E2" w:val="clear"/>
            <w:vAlign w:val="center"/>
          </w:tcPr>
          <w:p>
            <w:pPr>
              <w:pStyle w:val="TableContents"/>
              <w:bidi w:val="0"/>
              <w:spacing w:before="0" w:after="283"/>
              <w:jc w:val="right"/>
              <w:rPr/>
            </w:pPr>
            <w:r>
              <w:rPr/>
              <w:t xml:space="preserve">$ 6.35 </w:t>
            </w:r>
          </w:p>
        </w:tc>
        <w:tc>
          <w:tcPr>
            <w:tcW w:w="1603" w:type="dxa"/>
            <w:tcBorders/>
            <w:shd w:fill="E7E7E2" w:val="clear"/>
            <w:vAlign w:val="center"/>
          </w:tcPr>
          <w:p>
            <w:pPr>
              <w:pStyle w:val="TableContents"/>
              <w:bidi w:val="0"/>
              <w:spacing w:before="0" w:after="283"/>
              <w:jc w:val="right"/>
              <w:rPr/>
            </w:pPr>
            <w:r>
              <w:rPr/>
              <w:t xml:space="preserve">$ 9,525,000.00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$ 1,315.40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0" w:name="MaxAggtOfferingPrice"/>
            <w:bookmarkEnd w:id="10"/>
            <w:r>
              <w:rPr/>
              <w:t xml:space="preserve">$ 9,525,000.00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$ 1,315.40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2" w:name="TotalOffsetAmt"/>
            <w:bookmarkEnd w:id="12"/>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3" w:name="NetFeeAmt"/>
            <w:bookmarkEnd w:id="13"/>
            <w:r>
              <w:rPr/>
              <w:t xml:space="preserve">$ 1,315.40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shall also cover any additional shares of the Registrant's common stock, par value $0.0001 per share (the "Common Stock"), that become issuable under the Registrant's 2026 New Employee Long-Term Incentive Plan (the "2026 New Employee Plan") as a result of any stock dividend, stock split, recapitalization, or other similar transaction effected without the receipt of consideration that results in an increase to the number of outstanding shares of Registrant's Common Stock, as applicable. (b) Represents shares of Common Stock reserved for issuance under the 2026 New Employee Plan, adopted by the Registrant's board of directors (the "Board") without stockholder approval pursuant to Rule 5635(c)(4) of the Nasdaq Listing Rules. In general, to the extent that any awards under the 2026 New Employee Plan are forfeited or expire for any reason before being exercised or settled in full, or if shares issued under the 2026 New Employee Plan are reacquired by the Registrant pursuant to a forfeiture provision, repurchase right or for any other reason, those shares will again become available for issuance under the 2026 New Employee Plan, as will shares applied to pay the exercise or purchase price of an award or to satisfy tax withholding obligations related to any award. (c) The proposed maximum offering price per share is estimated solely for the purpose of calculating the registration fee pursuant to Rule 457(c) and Rule 457(h) under the Securities Act. The proposed maximum offering price per share and proposed maximum aggregate offering price are based on the average of the high and low sale prices of the Common Stock as reported on The Nasdaq Capital Market on July 29, 2026, a date within five business days prior to the filing of this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9146/000084914624000146/lfvn-certificateofterminat.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3624</Words>
  <Characters>20185</Characters>
  <CharactersWithSpaces>23833</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