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 (d)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45"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LIFEVANTAGE 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sectPr>
      </w:pPr>
    </w:p>
    <w:p>
      <w:pPr>
        <w:spacing w:after="0" w:line="153"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90-0224471</w:t>
      </w:r>
    </w:p>
    <w:p>
      <w:pPr>
        <w:spacing w:after="0" w:line="81" w:lineRule="exact"/>
        <w:rPr>
          <w:sz w:val="24"/>
          <w:szCs w:val="24"/>
          <w:color w:val="auto"/>
        </w:rPr>
      </w:pPr>
    </w:p>
    <w:p>
      <w:pPr>
        <w:sectPr>
          <w:pgSz w:w="11900" w:h="16838" w:orient="portrait"/>
          <w:cols w:equalWidth="0" w:num="2">
            <w:col w:w="7540" w:space="720"/>
            <w:col w:w="316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400" w:space="720"/>
            <w:col w:w="3300"/>
          </w:cols>
          <w:pgMar w:left="240" w:top="7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9785 S. Monroe Street, Ste 400, Sandy, UT 84070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(801) 432-9000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type w:val="continuous"/>
        </w:sectPr>
      </w:pPr>
    </w:p>
    <w:p>
      <w:pPr>
        <w:spacing w:after="0" w:line="16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$0.0001 per share, as of May 4, 2018 was 14,306,851.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4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financial reporting and internal control systems and processes and maintain appropriate level of internal control over financial reporting;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jc w:val="both"/>
        <w:ind w:left="660" w:right="4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in the process of implementing new enterprise software systems in a number of areas affecting a broad range of business processes and functional areas. The time and resources required to fully implement these new systems is uncertain and failure to complete this in a timely and efficient manner could harm our business.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global economic conditions;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environmental liabilities stemming from past operations and property ownership;</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new management team could harm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7">
              <w:r>
                <w:rPr>
                  <w:rFonts w:ascii="Arial" w:cs="Arial" w:eastAsia="Arial" w:hAnsi="Arial"/>
                  <w:sz w:val="18"/>
                  <w:szCs w:val="18"/>
                  <w:color w:val="0000FF"/>
                  <w:w w:val="8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0"/>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300" w:type="dxa"/>
            <w:vAlign w:val="bottom"/>
          </w:tcPr>
          <w:p>
            <w:pPr>
              <w:spacing w:after="0"/>
              <w:rPr>
                <w:sz w:val="16"/>
                <w:szCs w:val="16"/>
                <w:color w:val="auto"/>
              </w:rPr>
            </w:pPr>
          </w:p>
        </w:tc>
        <w:tc>
          <w:tcPr>
            <w:tcW w:w="152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 2017</w:t>
            </w: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1,334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15,816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16,575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5,266</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35,546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7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3,127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Long-term deferred income tax asset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3,593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4,087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50,929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45,249</w:t>
            </w:r>
          </w:p>
        </w:tc>
      </w:tr>
      <w:tr>
        <w:trPr>
          <w:trHeight w:val="67"/>
        </w:trPr>
        <w:tc>
          <w:tcPr>
            <w:tcW w:w="7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51"/>
        </w:trPr>
        <w:tc>
          <w:tcPr>
            <w:tcW w:w="7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4,850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23,355</w:t>
            </w:r>
          </w:p>
        </w:tc>
      </w:tr>
      <w:tr>
        <w:trPr>
          <w:trHeight w:val="270"/>
        </w:trPr>
        <w:tc>
          <w:tcPr>
            <w:tcW w:w="7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5,500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30,722</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6</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Preferred stock — par value $0.0001 and $0.001 per share, 5,000 and 50,000 shares authorized, no</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or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2"/>
              </w:rPr>
              <w:t>Common stock — par value $0.0001 and $0.001 per share, 40,000 and 250,000 shares authorized</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w w:val="89"/>
              </w:rPr>
              <w:t>and 14,307 and 14,232 issued and outstanding as of March 31, 2018 and June 30, 2017, respectively</w:t>
            </w:r>
          </w:p>
        </w:tc>
        <w:tc>
          <w:tcPr>
            <w:tcW w:w="28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121,599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(104,723)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(106,992)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14,527</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8,921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124,283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72,679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48,695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121,374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14,006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30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30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June 30, 2017</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14,232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121,599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14,527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options and warrants</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Issuance of shares related to restricted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stock</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Repurchase of company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par value of common stock</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Balances, March 31, 2018</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14,307</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123,955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(104,723)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19,302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Nine Months Ended March 31,</w:t>
            </w:r>
          </w:p>
        </w:tc>
        <w:tc>
          <w:tcPr>
            <w:tcW w:w="680" w:type="dxa"/>
            <w:vAlign w:val="bottom"/>
            <w:tcBorders>
              <w:bottom w:val="single" w:sz="8" w:color="auto"/>
            </w:tcBorders>
          </w:tcPr>
          <w:p>
            <w:pPr>
              <w:spacing w:after="0"/>
              <w:rPr>
                <w:sz w:val="16"/>
                <w:szCs w:val="16"/>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1,524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1,224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income tax</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888</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5,724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deposits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equipment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(3,367)</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 of deferred financing fees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company stock</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 on term loan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options and warrants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(1,970)</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(2,840)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2,494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1,319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1140" w:type="dxa"/>
            <w:vAlign w:val="bottom"/>
            <w:tcBorders>
              <w:top w:val="single" w:sz="8" w:color="auto"/>
            </w:tcBorders>
          </w:tcPr>
          <w:p>
            <w:pPr>
              <w:jc w:val="right"/>
              <w:ind w:right="935"/>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13,952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33"/>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9,202</w:t>
            </w:r>
          </w:p>
        </w:tc>
      </w:tr>
      <w:tr>
        <w:trPr>
          <w:trHeight w:val="67"/>
        </w:trPr>
        <w:tc>
          <w:tcPr>
            <w:tcW w:w="766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 Cash Investing and Financing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1140"/>
              <w:spacing w:after="0"/>
              <w:rPr>
                <w:sz w:val="20"/>
                <w:szCs w:val="20"/>
                <w:color w:val="auto"/>
              </w:rPr>
            </w:pPr>
            <w:r>
              <w:rPr>
                <w:rFonts w:ascii="Arial" w:cs="Arial" w:eastAsia="Arial" w:hAnsi="Arial"/>
                <w:sz w:val="18"/>
                <w:szCs w:val="18"/>
                <w:color w:val="auto"/>
              </w:rPr>
              <w:t>Increase in property and equipment/other long-term liabilities</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140"/>
              <w:spacing w:after="0"/>
              <w:rPr>
                <w:sz w:val="20"/>
                <w:szCs w:val="20"/>
                <w:color w:val="auto"/>
              </w:rPr>
            </w:pPr>
            <w:r>
              <w:rPr>
                <w:rFonts w:ascii="Arial" w:cs="Arial" w:eastAsia="Arial" w:hAnsi="Arial"/>
                <w:sz w:val="18"/>
                <w:szCs w:val="18"/>
                <w:color w:val="auto"/>
              </w:rPr>
              <w:t>Cash paid for interest</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6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Cash paid for income taxes</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4,455</w:t>
            </w:r>
          </w:p>
        </w:tc>
      </w:tr>
      <w:tr>
        <w:trPr>
          <w:trHeight w:val="27"/>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2017 included in the annual report on Form 10-K filed with the Securities and Exchange Commission (“SEC”) on September 7,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LifeVantage Corporation is a company focused on biohacking the aging code through nutrigenomics, the study of how nutrition and naturally occurring compounds affect our genes. The Company is dedicated to helping people achieve their health, wellness and financial goals. The Company provides quality, scientifically-validated products and a financially rewarding direct sales business opportunity to preferred customers, retail customers and independent distributors. The Company sells its products in the United States, Japan, Hong Kong, Australia, Canada, Mexico, Thailand, the United Kingdom, the Netherlands and Germany. In addition, the Company sells its products in China through an e-commerce business model.</w:t>
      </w:r>
    </w:p>
    <w:p>
      <w:pPr>
        <w:spacing w:after="0" w:line="91" w:lineRule="exact"/>
        <w:rPr>
          <w:sz w:val="20"/>
          <w:szCs w:val="20"/>
          <w:color w:val="auto"/>
        </w:rPr>
      </w:pPr>
    </w:p>
    <w:p>
      <w:pPr>
        <w:ind w:right="40" w:firstLine="405"/>
        <w:spacing w:after="0" w:line="197"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its line of scientifically-validated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its line of anti-aging skin care products,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its Smart Energy Drink mixes, PhysIQ</w:t>
      </w:r>
      <w:r>
        <w:rPr>
          <w:rFonts w:ascii="Arial" w:cs="Arial" w:eastAsia="Arial" w:hAnsi="Arial"/>
          <w:sz w:val="25"/>
          <w:szCs w:val="25"/>
          <w:color w:val="auto"/>
          <w:vertAlign w:val="superscript"/>
        </w:rPr>
        <w:t>™</w:t>
      </w:r>
      <w:r>
        <w:rPr>
          <w:rFonts w:ascii="Arial" w:cs="Arial" w:eastAsia="Arial" w:hAnsi="Arial"/>
          <w:sz w:val="18"/>
          <w:szCs w:val="18"/>
          <w:color w:val="auto"/>
        </w:rPr>
        <w:t>, its Smart Weight Management System, and Omega+, its sustainable fish oil supplement.</w:t>
      </w:r>
    </w:p>
    <w:p>
      <w:pPr>
        <w:spacing w:after="0" w:line="12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March 9, 2018, pursuant to an approving vote of the Company's stockholders and its 2018 Annual Meeting of Stockholders, the Company changed its state of incorporation from the State of Colorado to the State of Delaware pursuant to a plan of conversion, dated March 9, 2018. The reincorporation was accomplished by the filing of (i) a statement of conversion with the Secretary of State of the State of Colorado, and (ii) a certificate of conversion and a certificate of incorporation with the Secretary of State of the State of Delaware. All outstanding common stock shares,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10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2018, and the results of operations for the three and nine months ended March 31, 2018 and 2017, and the cash flows for the nine months ended March 31, 2018 and 2017.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1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2017, pursuant to the rules and regulations of the SEC. For further information, refer to the financial statements and notes thereto as of and for the year ended June 30, 2017, and included in the annual report on Form 10-K on file with the SEC.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share-based compensation, and loss contingencies.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March 31, 2018 and 2017, net foreign currency gains of $14,000 and $0.2 million, respectively, are recorded in other expense, net. For the nine months ended March 31, 2018 and 2017, a net foreign currency gain of $5,000 and loss of $0.2 million, respectively, are recorded in other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settled in March 2018 and were not designated for hedge accounting. For the three months ended March 31, 2018 and 2017, a realized gain of $21,000 and a realized loss of $0.2 million, respectively, related to forward contracts, are recorded in other expense, net. For the nine months ended March 31, 2018 and 2017, realized losses of $0.1 million and $0.1 million, respectively, related to forward contracts, are recorded in other expense, net. The Company did not hold any derivative instruments at March 31,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March 31, 2018, the Company had $7.7 million in cash accounts at one financial institution and $6.3 million in accounts at other financial institutions. As of March 31, 2018 and June 30, 2017, and during the periods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Company’s accounts receivable as of March 31, 2018 and June 30, 2017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2018 is not necessary. No bad debt expense has been recorded for the three and nine months ended March 31, 2018 and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and June 30, 2017, inventory consisted of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6,611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8,758</w:t>
            </w:r>
          </w:p>
        </w:tc>
      </w:tr>
      <w:tr>
        <w:trPr>
          <w:trHeight w:val="27"/>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inventory</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15,816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16,575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Inventories are carried and depicted above at the lower of cost or market, using the first-in, first-out method, which includes a reduction in inventory values of $1.5 million and $0.9 million at March 31, 2018 and June 30, 2017, respectively, related to obsolete and slow-moving inventory.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 March 31, 2018 and June 30, 2017, the Company’s reserve balance for returns and allowances was $0.4 million and $0.4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March 31, 2018 and 2017 were $0.3 million and $0.2 million, respectively. Research and development expenses for the nine months ended March 31, 2018 and 2017 were $0.8 million and $0.8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73"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uses historical data for estimating the expected life of stock options. The risk-free interest rate assumption is based on observed interest rates appropriate for the expected terms of the stock options.</w:t>
      </w:r>
    </w:p>
    <w:p>
      <w:pPr>
        <w:spacing w:after="0" w:line="10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for new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40" w:firstLine="432"/>
        <w:spacing w:after="0" w:line="293" w:lineRule="auto"/>
        <w:rPr>
          <w:sz w:val="20"/>
          <w:szCs w:val="20"/>
          <w:color w:val="auto"/>
        </w:rPr>
      </w:pPr>
      <w:r>
        <w:rPr>
          <w:rFonts w:ascii="Arial" w:cs="Arial" w:eastAsia="Arial" w:hAnsi="Arial"/>
          <w:sz w:val="16"/>
          <w:szCs w:val="16"/>
          <w:color w:val="auto"/>
        </w:rPr>
        <w:t>On December 22, 2017, the President of the United States of America signed tax reform legislation (the “2017 Act”), which includes a broad range of tax reform affecting businesses, including corporate tax rates, business deductions, and international tax regulations. Among these changes, the 2017 Act reduces the corporate tax rate from 35% to 21% effective December 31, 2017. This change in tax rate has been recognized as a discrete item for the Company during the second quarter of fiscal year 2018. Current taxes for fiscal 2018 are accounted for at a blended rate of 28%, and the Company has revalued its deferred tax assets and liabilities to the reduced rates based on the period in which those assets and liabilities are expected to reverse. The Company has incorporated the changes resulting from the 2017 Act in its tax related accounts in the year to date period ended March 31, 2018.</w:t>
      </w:r>
    </w:p>
    <w:p>
      <w:pPr>
        <w:spacing w:after="0" w:line="8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For the nine months ended March 31, 2018 and 2017, the Company recognized income tax expense of $2.8 million and $0.6 million, respectively, which is reflective of the Company’s current estimated federal, state and foreign effective tax rate. Realization of deferred tax assets is dependent upon future earnings in specific tax jurisdictions, the timing and amount of which are uncertain. As a result of the 2017 Act, the effective tax rate increased to 50.1% for the nine months ended March 31, 2018. The Company's deferred tax asset balances were reduced by approximately $1.2 million as a result of remeasuring them to the new reduced corporate tax rate. This remeasurement caused an increase of approximately 21.0% to the effective tax rate. The increase was partially offset due to the lower blended corporate tax rate for fiscal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For the three months ended March 31, 2018 and 2017, the effects of approximately 0.5 million and 0.2 million common shares, respectively, issuable upon exercise of options and non-vested shares of restricted stock are not included in computations as their effect was anti-dilutive. For the nine months ended March 31, 2018 and 2017, the effects of approximately 0.6 million and 0.1 million common shares, respectively, issuable upon exercise of options and non-vested shares of restricted stock are not included in computations as their effect was anti-dilutive.</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14,006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region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38,026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34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12,536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38,079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36,721</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50,562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148,848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35,585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107,834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Japan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10,064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31,303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29,246</w:t>
            </w: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of March 31, 2018, long-lived assets were $9.3 million in the United States and $0.9 million in Japan. As of June 30, 2017, long-lived assets were $6.2 million in the United States and $0.9 million in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4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and has subsequently issued ASU 2015-14,</w:t>
      </w:r>
      <w:r>
        <w:rPr>
          <w:rFonts w:ascii="Arial" w:cs="Arial" w:eastAsia="Arial" w:hAnsi="Arial"/>
          <w:sz w:val="18"/>
          <w:szCs w:val="18"/>
          <w:i w:val="1"/>
          <w:iCs w:val="1"/>
          <w:color w:val="auto"/>
        </w:rPr>
        <w:t xml:space="preserve"> Revenue from Contracts with Customers (Topic 606): Deferral of the Effective Date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2016-11,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and Derivatives and Hedging (Topic 815)</w:t>
      </w:r>
      <w:r>
        <w:rPr>
          <w:rFonts w:ascii="Arial" w:cs="Arial" w:eastAsia="Arial" w:hAnsi="Arial"/>
          <w:sz w:val="18"/>
          <w:szCs w:val="18"/>
          <w:color w:val="auto"/>
        </w:rPr>
        <w:t>, ASU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(collectively,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w:t>
      </w:r>
    </w:p>
    <w:p>
      <w:pPr>
        <w:spacing w:after="0" w:line="10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Topic 606 outlines a single comprehensive model for entities to use in accounting for revenue arising from contracts with customers and supersedes most current revenue recognition guidance, including industry-specific guidance. The core principle of the new guidance is for companies to recognize revenue to depict the transfer of goods or services to customers in amounts that reflect the consideration it expects to receive in exchange for those goods or services. 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is effective for the Company beginning on July 1, 2018 with the option to adopt using either a full retrospective or a modified retrospective approach. The Company expects to adopt Topic 606 using the modified retrospective approach, under which the cumulative effect of initially applying Topic 606 is recognized as an adjustment to the opening balance of retained earnings in the first quarter of fiscal 2019.</w:t>
      </w:r>
    </w:p>
    <w:p>
      <w:pPr>
        <w:spacing w:after="0" w:line="9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has evaluated each of its revenue streams and has identified similar performance obligations under Topic 606 as compared to current revenue recognition guidance. As a result, the Company expects that the timing of the recognition of revenue will remain materially unchanged compared to the current guidance.</w:t>
      </w:r>
    </w:p>
    <w:p>
      <w:pPr>
        <w:spacing w:after="0" w:line="100"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There are also considerations related to internal control over financial reporting associated with implementing Topic 606. The Company has substantially completed the evaluation of its control framework for revenue recognition and identified no material changes needed in response to the new guidance. The Company has also evaluated the expanded disclosure requirements under Topic 606 and has substantially completed the design and implementation of the appropriate controls over gathering and reporting the information required under Topic 606.</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ind w:right="40" w:firstLine="405"/>
        <w:spacing w:after="0" w:line="276"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841)</w:t>
      </w:r>
      <w:r>
        <w:rPr>
          <w:rFonts w:ascii="Arial" w:cs="Arial" w:eastAsia="Arial" w:hAnsi="Arial"/>
          <w:sz w:val="17"/>
          <w:szCs w:val="17"/>
          <w:color w:val="auto"/>
        </w:rPr>
        <w:t>. For lessees, this ASU requires that for all leases not considered to be short term, a company recognize both a right-of-use asset and lease liability on its balance sheet, representing the obligation to make payments and the right to use or control the use of a specified asset for the lease term. This ASU is effective for annual periods beginning after December 15, 2018 and interim periods within those annual periods. The Company is currently evaluating the impact of the ASU on the Company’s outstanding leases and expects that adoption will have an impact on its consolidated balance sheets related to recording right-of-use assets and corresponding lease liabilities.</w:t>
      </w:r>
    </w:p>
    <w:p>
      <w:pPr>
        <w:spacing w:after="0" w:line="9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In May 2017,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The ASU provides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current disclosure requirements in Topic 718 apply regardless of whether an entity is required to apply modification accounting under this ASU. This ASU became effective for the Company beginning January 1, 2018 and will be applied to any award modified on or after January 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Long-Term Debt</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March 30, 2016, the Company entered into a loan agreement (the “March 2016 Loan Agreement”) to refinance its outstanding debt. In connection with the March 2016 Loan Agreement and on the same date, the Company entered into a security agreement (the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Security Agreement, the “March 2016 Credit Facility”).</w:t>
      </w:r>
    </w:p>
    <w:p>
      <w:pPr>
        <w:spacing w:after="0" w:line="10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If the Company borrows under the March 2016 Revolving Loan, interest will be payable quarterly in arrears on the last day of each fiscal quarter.</w:t>
      </w:r>
    </w:p>
    <w:p>
      <w:pPr>
        <w:spacing w:after="0" w:line="10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May 4, 2018, the Company entered into a loan modification agreement, which amended the March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8"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The Company’s obligations under the March 2016 Credit Facility, as amended, are secured by a security interest in substantially all of the Company’s assets. Loans outstanding under the March 2016 Credit Facility, as amended, may be prepaid in whole or in part at any time 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7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March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March 2016 Credit Facility, as amended, also contains various financial covenants that require the Company to maintain certain consolidated working capital amounts, total liabilities to tangible net worth ratios and fixed charge coverage ratios. Additionally, the March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as amended. As of March 31, 2018, the Company was in compliance with all applicable covenants under the March 2016 Credit Facility, as amended.</w:t>
      </w:r>
    </w:p>
    <w:p>
      <w:pPr>
        <w:spacing w:after="0" w:line="8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Company’s book value for the March 2016 Credit Facility, as amended, approximates the fair value. Aggregate future principal payments required in accordance with the terms of the March 2016 Credit Facility, as amended, are as follows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June 30,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(remaining three months ending June 30, 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2,000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1,500</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Stockholders’ Equity</w:t>
      </w:r>
    </w:p>
    <w:p>
      <w:pPr>
        <w:spacing w:after="0" w:line="148"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During the three and nine months ended March 31, 2018, the Company issued 0.2 million and 0.2 million shares, respectively, of restricted stock and 14,000 shares of common stock upon the exercise of warrants and options. During the three and nine months ended March 31, 2018, 17,000 and 23,000 shares, respectively, of restricted stock were canceled or surrendered as payment of tax withholding upon vesting.</w:t>
      </w:r>
    </w:p>
    <w:p>
      <w:pPr>
        <w:spacing w:after="0" w:line="84"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may enter into a pre-arranged stock repurchase plan which will operate in accordance with guidelines specified under Rule 10b5-1 of the Securities Exchange Act. Accordingly, transactions, if any, would be completed in accordance with the terms of the stock repurchase plan, including specified price, volume and timing conditions. The authorization may be suspended or discontinued at any time and expires on November 27, 2020. During the three and nine months</w:t>
      </w:r>
    </w:p>
    <w:p>
      <w:pPr>
        <w:spacing w:after="0" w:line="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ended March 31, 2018, the Company purchased 61,000 and 106,000 shares, respectively, of its common stock on the open market at an aggregate purchase price of $0.2 million and $0.5 million, respectively, under this repurchase program. At March 31, 2018, there is $4.5 million remaining under this repurchase program.</w:t>
      </w:r>
    </w:p>
    <w:p>
      <w:pPr>
        <w:spacing w:after="0" w:line="10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Company’s Certificate of Incorporation authorizes the issuance of preferred shares. However, as of March 31, 2018, none have been issued and no rights or preferences have been assigned to the preferred shares by the Company’s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Stock-Based Compensation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Long-Term Incentive Plans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Equity-Settled Plans</w:t>
      </w:r>
    </w:p>
    <w:p>
      <w:pPr>
        <w:spacing w:after="0" w:line="148"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Company adopted and the shareholders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10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adopted and the shareholders approved the 2010 Long-Term Incentive Plan (the “2010 Plan”), effective September 27, 2010, as amended on August 21, 2014, to provide incentives to certain employees, directors and consultants. A maximum of 1.1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will be added to the 2017 Plan pool as described below.</w:t>
      </w:r>
    </w:p>
    <w:p>
      <w:pPr>
        <w:spacing w:after="0" w:line="86"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Company adopted and the shareholders approved the 2017 Long-Term Incentive Plan (the “2017 Plan”), effective February 16, 2017, to provide incentives to eligible employees, directors and consultants. On February 2, 2018, the shareholders approved an amendment to the 2017 Plan to increase by 425,000 shares the number of shares of the Company's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40"/>
        <w:spacing w:after="0" w:line="272" w:lineRule="auto"/>
        <w:rPr>
          <w:sz w:val="20"/>
          <w:szCs w:val="20"/>
          <w:color w:val="auto"/>
        </w:rPr>
      </w:pPr>
      <w:r>
        <w:rPr>
          <w:rFonts w:ascii="Arial" w:cs="Arial" w:eastAsia="Arial" w:hAnsi="Arial"/>
          <w:sz w:val="17"/>
          <w:szCs w:val="17"/>
          <w:color w:val="auto"/>
        </w:rPr>
        <w:t>common stock that are available for issuance under the 2017 Plan. The maximum number of shares that can be issued under the 2017 Plan is not to exceed 1,550,000 shares, calculated as the sum of (i) 1,075,000 shares and (ii) up to 475,000 shares previously reserved for issuance under the 2010 Plan, including shares returned upon cancellation, termination or forfeiture of awards that were previously granted under that plan. As of March 31, 2018, a maximum of 1.5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the shares subject to the award are added back to the 2017 Plan upon expiration of the award. The contractual term of stock options granted are substantially the same as described above for the 2007 Plan and 2010 Plan.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Cash-Settled Plans</w:t>
      </w:r>
    </w:p>
    <w:p>
      <w:pPr>
        <w:spacing w:after="0" w:line="14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Company adopted a performance incentive plan effective July 1, 2015 (the "Fiscal 2016 Performance Plan"). The Fiscal 2016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2016 Performance Plan seeks to achieve this purpose by providing for awards in the form of performance share units (the “Units”). No shares will be issued under the Fiscal 2016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2016 (the "Fiscal 2017 Performance Plan") and July 1, 2017 (the "Fiscal 2018 Performance Plan"). The Fiscal 2017 Performance Plan and Fiscal 2018 Performance Plan include performance-based and service-based vesting requirements and payment terms that are substantially the same as described above for the Fiscal 2016 Performance Plan.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three and nine months ended March 31, 2018, stock-based compensation of $1.3 million and $2.3 million, respectively, was reflected as an increase to additional paid-in capital and a decrease of $0.6 million and $0.2 million, respectively, was included in other accrued expenses, all of which was employee related. For the three and nine months ended March 31, 2017, stock-based compensation of $0.6 million and $1.7 million, respectively, was reflected as an increase to additional paid-in capital and a decrease of $12,000 and increase of $0.2 million, respectively, was included in other accrued expenses, all of which was employee related.</w:t>
      </w:r>
    </w:p>
    <w:p>
      <w:pPr>
        <w:spacing w:after="0" w:line="112"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On January 4, 2016, the Company awarded performance restricted stock units under the 2010 Long-Term Incentive Plan to its executive officers (the "Recipients") and, in March 2016, the Company and each Recipient entered into an amended and restated stock unit agreement (the "Restated Stock Unit Agreement") amending the terms of the January 2016 awards. Under the Restated Stock Unit Agreements, vesting for the performance restricted stock units occurs at the end of a three-year performance period beginning January 1, 2016 (the "Performance Period") and is subject to achievement of both service-based and market-based performance vesting requirements. Subject generally to the Recipient's continued service with the Company (the service-based requirement) and limitations otherwise set forth in the 2010 Long-Term Incentive Plan, each performance restricted stock unit represents a contingent right for the Recipient to receive, within thirty days after the end of the performance period, a distribution of shares of common stock of the Company equal to 0% to 200% of the target number of performance restricted stock units subject to the award. The actual number of shares distributed will be based on the Company's total stockholder return ("TSR") performance during the Performance Period, subject to acceleration upon a change in control of the Company. The vesting for 50% of the performance restricted stock units is based upon the Company's absolute TSR for the Performance Period compared to a matrix of fixed numeric values and the vesting for the other 50% of the performance restricted stock units is based upon the relative comparison of the Company's TSR to the Vanguard Russell 2000 exchange traded fund TSR. The fair value of the performance restricted stock units will be recognized on a straight-line basis over the requisite service period of the awards, regardless of when, if ever, the market-based performance conditions are satisfied. On March 28, 2017, the Company awarded new performance restricted stock units under the 2017 Long-Term Incentive Plan to its executive officers. These awards have a three-year performance period beginning on January 1, 2017 and otherwise include the same performance-based and service-based vesting requirements as the previous awards.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Accounting Standards Codification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2018, and based on the assessment, there are no probable loss contingencies requiring accrual or disclosures within its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Class Action Lawsuit (</w:t>
      </w:r>
      <w:r>
        <w:rPr>
          <w:rFonts w:ascii="Arial" w:cs="Arial" w:eastAsia="Arial" w:hAnsi="Arial"/>
          <w:sz w:val="18"/>
          <w:szCs w:val="18"/>
          <w:b w:val="1"/>
          <w:bCs w:val="1"/>
          <w:i w:val="1"/>
          <w:iCs w:val="1"/>
          <w:color w:val="auto"/>
        </w:rPr>
        <w:t>Smith v. LifeVantage Corp</w:t>
      </w:r>
      <w:r>
        <w:rPr>
          <w:rFonts w:ascii="Arial" w:cs="Arial" w:eastAsia="Arial" w:hAnsi="Arial"/>
          <w:sz w:val="18"/>
          <w:szCs w:val="18"/>
          <w:b w:val="1"/>
          <w:bCs w:val="1"/>
          <w:color w:val="auto"/>
        </w:rPr>
        <w:t xml:space="preserve">.): </w:t>
      </w:r>
      <w:r>
        <w:rPr>
          <w:rFonts w:ascii="Arial" w:cs="Arial" w:eastAsia="Arial" w:hAnsi="Arial"/>
          <w:sz w:val="18"/>
          <w:szCs w:val="18"/>
          <w:color w:val="auto"/>
        </w:rPr>
        <w:t>On January 24, 2018, a purported class action was filed in the United States District Court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District of Connecticut, entitled </w:t>
      </w:r>
      <w:r>
        <w:rPr>
          <w:rFonts w:ascii="Arial" w:cs="Arial" w:eastAsia="Arial" w:hAnsi="Arial"/>
          <w:sz w:val="18"/>
          <w:szCs w:val="18"/>
          <w:i w:val="1"/>
          <w:iCs w:val="1"/>
          <w:color w:val="auto"/>
        </w:rPr>
        <w:t>Smith v. LifeVantage Corp</w:t>
      </w:r>
      <w:r>
        <w:rPr>
          <w:rFonts w:ascii="Arial" w:cs="Arial" w:eastAsia="Arial" w:hAnsi="Arial"/>
          <w:sz w:val="18"/>
          <w:szCs w:val="18"/>
          <w:color w:val="auto"/>
        </w:rPr>
        <w:t>., Case No. 3:18-cv-a35 (D. Connecticut filed Jan. 24, 2018). In this action, plaintiff alleged that the Company, its Chief Executive Officer, its Chief Sales Officer and it's Chief Marketing Officer operated a pyramid scheme in violation of a variety of federal and state statutes, including RICO and the Connecticut Unfair Trade Practices Act (“CUTPA”). On April 16, 2018, the Company filed motions with the Court to dismiss the complaint against LifeVantage, dismiss the complaint against the Company's executives, transfer the venue of the case from the State of Connecticut to the State of Utah, and contest class certification. Plaintiff’s response is due on June 4, 2018.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10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Zhang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As previously reported, on September 15, 2016, a purported securities class action was filed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District Court for the District of Utah, entitled </w:t>
      </w:r>
      <w:r>
        <w:rPr>
          <w:rFonts w:ascii="Arial" w:cs="Arial" w:eastAsia="Arial" w:hAnsi="Arial"/>
          <w:sz w:val="16"/>
          <w:szCs w:val="16"/>
          <w:i w:val="1"/>
          <w:iCs w:val="1"/>
          <w:color w:val="auto"/>
        </w:rPr>
        <w:t>Zhang v. LifeVantage Corp.</w:t>
      </w:r>
      <w:r>
        <w:rPr>
          <w:rFonts w:ascii="Arial" w:cs="Arial" w:eastAsia="Arial" w:hAnsi="Arial"/>
          <w:sz w:val="16"/>
          <w:szCs w:val="16"/>
          <w:color w:val="auto"/>
        </w:rPr>
        <w:t xml:space="preserve">, Case No. 2:16-cv-00965-BCW (D. Utah filed Sept. 15, 2016). In this action (later recaptioned as </w:t>
      </w:r>
      <w:r>
        <w:rPr>
          <w:rFonts w:ascii="Arial" w:cs="Arial" w:eastAsia="Arial" w:hAnsi="Arial"/>
          <w:sz w:val="16"/>
          <w:szCs w:val="16"/>
          <w:i w:val="1"/>
          <w:iCs w:val="1"/>
          <w:color w:val="auto"/>
        </w:rPr>
        <w:t>In re LifeVantage Corp. Securities Litigation</w:t>
      </w:r>
      <w:r>
        <w:rPr>
          <w:rFonts w:ascii="Arial" w:cs="Arial" w:eastAsia="Arial" w:hAnsi="Arial"/>
          <w:sz w:val="16"/>
          <w:szCs w:val="16"/>
          <w:color w:val="auto"/>
        </w:rPr>
        <w:t>), plaintiff alleged that the Company, its Chief Executive Officer and former Chief Financial Officer violated Sections 10(b) and/or 20(a) of the Securities Exchange Act of 1934, 15 U.S.C. §§ 78j(b), 78t(a), and Rule 10b-5, 17 C.F.R. § 240.10b-5, promulgated thereunder. On June 15, 2017, the Court granted defendants’ motion to dismiss the amended complaint, without prejudice, and permitted lead plaintiffs to file a motion for leave to file a second amended complaint. On September 18, 2017, the Court denied lead plaintiffs’ motion for leave to amend and entered final judgment in favor of LifeVantage and the other defendants and dismissed the case with prejudice. On October 17, 2017, the parties executed a stipulation whereby lead plaintiffs agreed not to take an appeal from the final judgment of dismissal in favor of defendants in exchange for mutual releases, without payment of any consideration by or on behalf of defendants. This case is now concluded.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15" w:right="259" w:bottom="1440" w:gutter="0" w:footer="0" w:header="0"/>
        </w:sectPr>
      </w:pPr>
    </w:p>
    <w:bookmarkStart w:id="17" w:name="page18"/>
    <w:bookmarkEnd w:id="17"/>
    <w:p>
      <w:pPr>
        <w:ind w:right="20" w:firstLine="324"/>
        <w:spacing w:after="0" w:line="295" w:lineRule="auto"/>
        <w:rPr>
          <w:sz w:val="20"/>
          <w:szCs w:val="20"/>
          <w:color w:val="auto"/>
        </w:rPr>
      </w:pPr>
      <w:r>
        <w:rPr>
          <w:rFonts w:ascii="Arial" w:cs="Arial" w:eastAsia="Arial" w:hAnsi="Arial"/>
          <w:sz w:val="16"/>
          <w:szCs w:val="16"/>
          <w:b w:val="1"/>
          <w:bCs w:val="1"/>
          <w:color w:val="auto"/>
        </w:rPr>
        <w:t xml:space="preserve">Derivative Action Lawsuits: </w:t>
      </w:r>
      <w:r>
        <w:rPr>
          <w:rFonts w:ascii="Arial" w:cs="Arial" w:eastAsia="Arial" w:hAnsi="Arial"/>
          <w:sz w:val="16"/>
          <w:szCs w:val="16"/>
          <w:color w:val="auto"/>
        </w:rPr>
        <w:t>Also, as previously reported, on October 11, 2016, two purported shareholder derivative actions were filed in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District Court of the State of Utah, Salt Lake County, entitled </w:t>
      </w:r>
      <w:r>
        <w:rPr>
          <w:rFonts w:ascii="Arial" w:cs="Arial" w:eastAsia="Arial" w:hAnsi="Arial"/>
          <w:sz w:val="16"/>
          <w:szCs w:val="16"/>
          <w:i w:val="1"/>
          <w:iCs w:val="1"/>
          <w:color w:val="auto"/>
        </w:rPr>
        <w:t>Johnson v. Jensen</w:t>
      </w:r>
      <w:r>
        <w:rPr>
          <w:rFonts w:ascii="Arial" w:cs="Arial" w:eastAsia="Arial" w:hAnsi="Arial"/>
          <w:sz w:val="16"/>
          <w:szCs w:val="16"/>
          <w:color w:val="auto"/>
        </w:rPr>
        <w:t xml:space="preserve">, Case No. 160906320 MI (Utah Dist. filed Oct. 11, 2016), and </w:t>
      </w:r>
      <w:r>
        <w:rPr>
          <w:rFonts w:ascii="Arial" w:cs="Arial" w:eastAsia="Arial" w:hAnsi="Arial"/>
          <w:sz w:val="16"/>
          <w:szCs w:val="16"/>
          <w:i w:val="1"/>
          <w:iCs w:val="1"/>
          <w:color w:val="auto"/>
        </w:rPr>
        <w:t>Rupp v.</w:t>
      </w:r>
      <w:r>
        <w:rPr>
          <w:rFonts w:ascii="Arial" w:cs="Arial" w:eastAsia="Arial" w:hAnsi="Arial"/>
          <w:sz w:val="16"/>
          <w:szCs w:val="16"/>
          <w:color w:val="auto"/>
        </w:rPr>
        <w:t xml:space="preserve"> </w:t>
      </w:r>
      <w:r>
        <w:rPr>
          <w:rFonts w:ascii="Arial" w:cs="Arial" w:eastAsia="Arial" w:hAnsi="Arial"/>
          <w:sz w:val="16"/>
          <w:szCs w:val="16"/>
          <w:i w:val="1"/>
          <w:iCs w:val="1"/>
          <w:color w:val="auto"/>
        </w:rPr>
        <w:t>Jensen</w:t>
      </w:r>
      <w:r>
        <w:rPr>
          <w:rFonts w:ascii="Arial" w:cs="Arial" w:eastAsia="Arial" w:hAnsi="Arial"/>
          <w:sz w:val="16"/>
          <w:szCs w:val="16"/>
          <w:color w:val="auto"/>
        </w:rPr>
        <w:t>, Case No. 160906321 MI (Utah Dist. filed Oct. 11, 2016). In these actions (which are substantively identical), plaintiffs, purportedly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alleged that the Company’s Chief Executive Officer, former Chief Financial Officer and members of the board of directors breached their fiduciary duties owed to the Company in connection with the matters alleged in the securities class action lawsuit noted above. On October 19, 2016, the Court entered an order consolidating the two actions under the </w:t>
      </w:r>
      <w:r>
        <w:rPr>
          <w:rFonts w:ascii="Arial" w:cs="Arial" w:eastAsia="Arial" w:hAnsi="Arial"/>
          <w:sz w:val="16"/>
          <w:szCs w:val="16"/>
          <w:i w:val="1"/>
          <w:iCs w:val="1"/>
          <w:color w:val="auto"/>
        </w:rPr>
        <w:t>Johnson</w:t>
      </w:r>
      <w:r>
        <w:rPr>
          <w:rFonts w:ascii="Arial" w:cs="Arial" w:eastAsia="Arial" w:hAnsi="Arial"/>
          <w:sz w:val="16"/>
          <w:szCs w:val="16"/>
          <w:color w:val="auto"/>
        </w:rPr>
        <w:t xml:space="preserve"> case number, with the new caption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w:t>
      </w:r>
    </w:p>
    <w:p>
      <w:pPr>
        <w:spacing w:after="0" w:line="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On January 30, 2017, another purported shareholder derivative action was filed in the United States District Court for the District of Utah, entitled </w:t>
      </w:r>
      <w:r>
        <w:rPr>
          <w:rFonts w:ascii="Arial" w:cs="Arial" w:eastAsia="Arial" w:hAnsi="Arial"/>
          <w:sz w:val="16"/>
          <w:szCs w:val="16"/>
          <w:i w:val="1"/>
          <w:iCs w:val="1"/>
          <w:color w:val="auto"/>
        </w:rPr>
        <w:t>Hansen v. Jensen</w:t>
      </w:r>
      <w:r>
        <w:rPr>
          <w:rFonts w:ascii="Arial" w:cs="Arial" w:eastAsia="Arial" w:hAnsi="Arial"/>
          <w:sz w:val="16"/>
          <w:szCs w:val="16"/>
          <w:color w:val="auto"/>
        </w:rPr>
        <w:t>, Case No. 2:17 cv-00075-DN (D. Utah filed Jan. 30, 2017). In this action, plaintiff, purportedly on behalf of the Company, alleged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Chief Executive Officer, former Chief Financial Officer and members of the board of directors violated Section 14(a) of the Securities Exchange Act of 1934, 15 U.S.C. § 78n(a), and breached their fiduciary duties owed to the Company in connection with the matters alleged in the securities class action lawsuit noted above. On February 27, 2017, another purported shareholder derivative action was filed in the United States District Court for the District of Utah, entitled </w:t>
      </w:r>
      <w:r>
        <w:rPr>
          <w:rFonts w:ascii="Arial" w:cs="Arial" w:eastAsia="Arial" w:hAnsi="Arial"/>
          <w:sz w:val="16"/>
          <w:szCs w:val="16"/>
          <w:i w:val="1"/>
          <w:iCs w:val="1"/>
          <w:color w:val="auto"/>
        </w:rPr>
        <w:t>Baker v. Jensen</w:t>
      </w:r>
      <w:r>
        <w:rPr>
          <w:rFonts w:ascii="Arial" w:cs="Arial" w:eastAsia="Arial" w:hAnsi="Arial"/>
          <w:sz w:val="16"/>
          <w:szCs w:val="16"/>
          <w:color w:val="auto"/>
        </w:rPr>
        <w:t xml:space="preserve">, Case No. 2:17-cv-00141-PMW (D. Utah filed Feb. 27, 2017). Also, on April 24, 2017, another purported shareholder derivative action was filed in the United States District Court for the District of Utah, entitled </w:t>
      </w:r>
      <w:r>
        <w:rPr>
          <w:rFonts w:ascii="Arial" w:cs="Arial" w:eastAsia="Arial" w:hAnsi="Arial"/>
          <w:sz w:val="16"/>
          <w:szCs w:val="16"/>
          <w:i w:val="1"/>
          <w:iCs w:val="1"/>
          <w:color w:val="auto"/>
        </w:rPr>
        <w:t>Inforzato v. Jensen</w:t>
      </w:r>
      <w:r>
        <w:rPr>
          <w:rFonts w:ascii="Arial" w:cs="Arial" w:eastAsia="Arial" w:hAnsi="Arial"/>
          <w:sz w:val="16"/>
          <w:szCs w:val="16"/>
          <w:color w:val="auto"/>
        </w:rPr>
        <w:t xml:space="preserve">, Case No. 2:17-cv-00317-JNP (D. Utah filed Apr. 24, 2017). In these actions, plaintiffs, also purportedly on behalf of the Company, made similar allegations as the plaintiff in </w:t>
      </w:r>
      <w:r>
        <w:rPr>
          <w:rFonts w:ascii="Arial" w:cs="Arial" w:eastAsia="Arial" w:hAnsi="Arial"/>
          <w:sz w:val="16"/>
          <w:szCs w:val="16"/>
          <w:i w:val="1"/>
          <w:iCs w:val="1"/>
          <w:color w:val="auto"/>
        </w:rPr>
        <w:t>Hansen v. Jensen</w:t>
      </w:r>
      <w:r>
        <w:rPr>
          <w:rFonts w:ascii="Arial" w:cs="Arial" w:eastAsia="Arial" w:hAnsi="Arial"/>
          <w:sz w:val="16"/>
          <w:szCs w:val="16"/>
          <w:color w:val="auto"/>
        </w:rPr>
        <w:t>.</w:t>
      </w:r>
    </w:p>
    <w:p>
      <w:pPr>
        <w:spacing w:after="0" w:line="8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 xml:space="preserve">Following and in light of the dismissal with prejudice of the securities class action lawsuit noted above, the Company requested that the plaintiffs in the shareholder derivative actions agree to dismiss their lawsuits voluntarily and without payment of any consideration by or on behalf of defendants or the Company. On October 31, 2017, the plaintiffs in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 xml:space="preserve"> stipulated to voluntary dismissal of their consolidated action without payment of any consideration by or on behalf of defendants or the Company. On November 17, 2017, the parties in </w:t>
      </w:r>
      <w:r>
        <w:rPr>
          <w:rFonts w:ascii="Arial" w:cs="Arial" w:eastAsia="Arial" w:hAnsi="Arial"/>
          <w:sz w:val="16"/>
          <w:szCs w:val="16"/>
          <w:i w:val="1"/>
          <w:iCs w:val="1"/>
          <w:color w:val="auto"/>
        </w:rPr>
        <w:t>Inforzato</w:t>
      </w:r>
      <w:r>
        <w:rPr>
          <w:rFonts w:ascii="Arial" w:cs="Arial" w:eastAsia="Arial" w:hAnsi="Arial"/>
          <w:sz w:val="16"/>
          <w:szCs w:val="16"/>
          <w:color w:val="auto"/>
        </w:rPr>
        <w:t xml:space="preserve">, </w:t>
      </w:r>
      <w:r>
        <w:rPr>
          <w:rFonts w:ascii="Arial" w:cs="Arial" w:eastAsia="Arial" w:hAnsi="Arial"/>
          <w:sz w:val="16"/>
          <w:szCs w:val="16"/>
          <w:i w:val="1"/>
          <w:iCs w:val="1"/>
          <w:color w:val="auto"/>
        </w:rPr>
        <w:t>Hansen</w:t>
      </w:r>
      <w:r>
        <w:rPr>
          <w:rFonts w:ascii="Arial" w:cs="Arial" w:eastAsia="Arial" w:hAnsi="Arial"/>
          <w:sz w:val="16"/>
          <w:szCs w:val="16"/>
          <w:color w:val="auto"/>
        </w:rPr>
        <w:t xml:space="preserve"> and </w:t>
      </w:r>
      <w:r>
        <w:rPr>
          <w:rFonts w:ascii="Arial" w:cs="Arial" w:eastAsia="Arial" w:hAnsi="Arial"/>
          <w:sz w:val="16"/>
          <w:szCs w:val="16"/>
          <w:i w:val="1"/>
          <w:iCs w:val="1"/>
          <w:color w:val="auto"/>
        </w:rPr>
        <w:t>Baker</w:t>
      </w:r>
      <w:r>
        <w:rPr>
          <w:rFonts w:ascii="Arial" w:cs="Arial" w:eastAsia="Arial" w:hAnsi="Arial"/>
          <w:sz w:val="16"/>
          <w:szCs w:val="16"/>
          <w:color w:val="auto"/>
        </w:rPr>
        <w:t xml:space="preserve"> stipulated to voluntary dismissal of those actions without payment of any consideration by or on behalf of defendants or the Company.</w:t>
      </w:r>
    </w:p>
    <w:p>
      <w:pPr>
        <w:spacing w:after="0" w:line="77" w:lineRule="exact"/>
        <w:rPr>
          <w:sz w:val="20"/>
          <w:szCs w:val="20"/>
          <w:color w:val="auto"/>
        </w:rPr>
      </w:pPr>
    </w:p>
    <w:p>
      <w:pPr>
        <w:ind w:right="360" w:firstLine="324"/>
        <w:spacing w:after="0" w:line="291" w:lineRule="auto"/>
        <w:rPr>
          <w:sz w:val="20"/>
          <w:szCs w:val="20"/>
          <w:color w:val="auto"/>
        </w:rPr>
      </w:pPr>
      <w:r>
        <w:rPr>
          <w:rFonts w:ascii="Arial" w:cs="Arial" w:eastAsia="Arial" w:hAnsi="Arial"/>
          <w:sz w:val="16"/>
          <w:szCs w:val="16"/>
          <w:color w:val="auto"/>
        </w:rPr>
        <w:t xml:space="preserve">On November 20, 2017, the Courts in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Hansen</w:t>
      </w:r>
      <w:r>
        <w:rPr>
          <w:rFonts w:ascii="Arial" w:cs="Arial" w:eastAsia="Arial" w:hAnsi="Arial"/>
          <w:sz w:val="16"/>
          <w:szCs w:val="16"/>
          <w:color w:val="auto"/>
        </w:rPr>
        <w:t xml:space="preserve"> granted the stipulated motions to dismiss, and on December 12, 2017, the Court in </w:t>
      </w:r>
      <w:r>
        <w:rPr>
          <w:rFonts w:ascii="Arial" w:cs="Arial" w:eastAsia="Arial" w:hAnsi="Arial"/>
          <w:sz w:val="16"/>
          <w:szCs w:val="16"/>
          <w:i w:val="1"/>
          <w:iCs w:val="1"/>
          <w:color w:val="auto"/>
        </w:rPr>
        <w:t>Baker</w:t>
      </w:r>
      <w:r>
        <w:rPr>
          <w:rFonts w:ascii="Arial" w:cs="Arial" w:eastAsia="Arial" w:hAnsi="Arial"/>
          <w:sz w:val="16"/>
          <w:szCs w:val="16"/>
          <w:color w:val="auto"/>
        </w:rPr>
        <w:t xml:space="preserve"> granted the stipulated motion to dismiss.On November 27, 2017, the Court in </w:t>
      </w:r>
      <w:r>
        <w:rPr>
          <w:rFonts w:ascii="Arial" w:cs="Arial" w:eastAsia="Arial" w:hAnsi="Arial"/>
          <w:sz w:val="16"/>
          <w:szCs w:val="16"/>
          <w:i w:val="1"/>
          <w:iCs w:val="1"/>
          <w:color w:val="auto"/>
        </w:rPr>
        <w:t>Inforzato</w:t>
      </w:r>
      <w:r>
        <w:rPr>
          <w:rFonts w:ascii="Arial" w:cs="Arial" w:eastAsia="Arial" w:hAnsi="Arial"/>
          <w:sz w:val="16"/>
          <w:szCs w:val="16"/>
          <w:color w:val="auto"/>
        </w:rPr>
        <w:t xml:space="preserve"> ordered, pursuant to Rule</w:t>
      </w:r>
    </w:p>
    <w:p>
      <w:pPr>
        <w:jc w:val="both"/>
        <w:spacing w:after="0" w:line="255" w:lineRule="auto"/>
        <w:rPr>
          <w:sz w:val="20"/>
          <w:szCs w:val="20"/>
          <w:color w:val="auto"/>
        </w:rPr>
      </w:pPr>
      <w:r>
        <w:rPr>
          <w:rFonts w:ascii="Arial" w:cs="Arial" w:eastAsia="Arial" w:hAnsi="Arial"/>
          <w:sz w:val="18"/>
          <w:szCs w:val="18"/>
          <w:color w:val="auto"/>
        </w:rPr>
        <w:t xml:space="preserve">23.1(c) of the Federal Rules of Civil Procedure, that the parties give notice to shareholders of the voluntary dismissal without prejudice of the </w:t>
      </w:r>
      <w:r>
        <w:rPr>
          <w:rFonts w:ascii="Arial" w:cs="Arial" w:eastAsia="Arial" w:hAnsi="Arial"/>
          <w:sz w:val="18"/>
          <w:szCs w:val="18"/>
          <w:i w:val="1"/>
          <w:iCs w:val="1"/>
          <w:color w:val="auto"/>
        </w:rPr>
        <w:t>Inforzato</w:t>
      </w:r>
      <w:r>
        <w:rPr>
          <w:rFonts w:ascii="Arial" w:cs="Arial" w:eastAsia="Arial" w:hAnsi="Arial"/>
          <w:sz w:val="18"/>
          <w:szCs w:val="18"/>
          <w:color w:val="auto"/>
        </w:rPr>
        <w:t xml:space="preserve"> action before the </w:t>
      </w:r>
      <w:r>
        <w:rPr>
          <w:rFonts w:ascii="Arial" w:cs="Arial" w:eastAsia="Arial" w:hAnsi="Arial"/>
          <w:sz w:val="18"/>
          <w:szCs w:val="18"/>
          <w:i w:val="1"/>
          <w:iCs w:val="1"/>
          <w:color w:val="auto"/>
        </w:rPr>
        <w:t>Inforzato</w:t>
      </w:r>
      <w:r>
        <w:rPr>
          <w:rFonts w:ascii="Arial" w:cs="Arial" w:eastAsia="Arial" w:hAnsi="Arial"/>
          <w:sz w:val="18"/>
          <w:szCs w:val="18"/>
          <w:color w:val="auto"/>
        </w:rPr>
        <w:t xml:space="preserve"> action could be dismissed, which the Company provided on January 8, 2018. On April 5, 2018, the last remaining derivative lawsuit, the </w:t>
      </w:r>
      <w:r>
        <w:rPr>
          <w:rFonts w:ascii="Arial" w:cs="Arial" w:eastAsia="Arial" w:hAnsi="Arial"/>
          <w:sz w:val="18"/>
          <w:szCs w:val="18"/>
          <w:i w:val="1"/>
          <w:iCs w:val="1"/>
          <w:color w:val="auto"/>
        </w:rPr>
        <w:t xml:space="preserve">Inforzato </w:t>
      </w:r>
      <w:r>
        <w:rPr>
          <w:rFonts w:ascii="Arial" w:cs="Arial" w:eastAsia="Arial" w:hAnsi="Arial"/>
          <w:sz w:val="18"/>
          <w:szCs w:val="18"/>
          <w:color w:val="auto"/>
        </w:rPr>
        <w:t>action, was dismissed without prejudice.</w:t>
      </w:r>
    </w:p>
    <w:p>
      <w:pPr>
        <w:spacing w:after="0" w:line="105"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14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major shareholder of the Company. During the nine months ended March 31, 2018, the Company paid $3.8 million to Real Salt Lake pursuant to the terms of this partnership, and other various amounts for the endorsement of Real Monarchs SLC and product marketing expenses. Under the terms of this partnership, the Company paid to Real Salt Lake $1.2 million during the nine months ended March 31, 2017 and a total of $2.2 million during fiscal year 2017.</w:t>
      </w:r>
    </w:p>
    <w:p>
      <w:pPr>
        <w:spacing w:after="0" w:line="8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fiscal 2017, Dinng, a brand and digital brand studio, provided branding and marketing services to the Company. In June 2017, the Company completed an acquisition of the assets of Dinng. The Company's Chief Marketing Officer, Ryan Goodwin, was the Founder, President and Creative Director of Dinng. During the nine months ended March 31, 2018, no payments were made by the Company to Dinng. During the nine months ended March 31, 2017, the Company paid $0.3 million to Dinng for services provided.</w:t>
      </w:r>
    </w:p>
    <w:p>
      <w:pPr>
        <w:spacing w:after="0" w:line="10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the nine months ended March 31, 2018, the Company paid $2.1 million to Gig Economy Group ("GEG") for outsourced software application development services to the Company pursuant to an agreement entered into between the Company and GEG. During the nine months ended March 31, 2017, the Company paid $0.1 million to GEG for services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0"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provided. David Toole, who served as a member of the Company's board of directors until February 2, 2018, is a majority owner and an officer of GEG.</w:t>
      </w:r>
    </w:p>
    <w:p>
      <w:pPr>
        <w:spacing w:after="0" w:line="15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During the nine months ended March 31, 2017, Outhink Inc., a digital media and application development company, provided consulting services to the Company pursuant to an agreement for services dated October 20, 2016 between the Company and Outhink Inc. in the amount of $0.1 million. During the nine months ended March 31, 2018, no payments to Outhink Inc. were made by the Company. David Toole, who served as a member of the Company's board of directors until February 2, 2018, is a majority owner and serves as the Chief Executive Officer of Outhink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14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 May 4, 2018, the Company entered into a loan modification agreement, which amended the March 2016 Credit Facility. See Note 3 for a discussion on the terms of the amendment.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are a company focused on biohacking the aging code through nutrigenomics, the study of how nutrition and naturally occurring compounds affect our genes. We are dedicated to helping people achieve their health, wellness and financial goals. We provide quality, scientifically-validated products and a financially rewarding direct sales business opportunity to preferred customers, retail customers and independent distributors.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pacing w:after="0" w:line="11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89" w:lineRule="exact"/>
        <w:rPr>
          <w:sz w:val="20"/>
          <w:szCs w:val="20"/>
          <w:color w:val="auto"/>
        </w:rPr>
      </w:pPr>
    </w:p>
    <w:p>
      <w:pPr>
        <w:ind w:left="740" w:right="220" w:hanging="327"/>
        <w:spacing w:after="0" w:line="23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scientifically-validated products, including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Energy Drink mixes, our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Weight Management System and Omega+, our sustainable fish oil supplement;</w:t>
      </w:r>
    </w:p>
    <w:p>
      <w:pPr>
        <w:spacing w:after="0" w:line="24" w:lineRule="exact"/>
        <w:rPr>
          <w:rFonts w:ascii="Arial" w:cs="Arial" w:eastAsia="Arial" w:hAnsi="Arial"/>
          <w:sz w:val="17"/>
          <w:szCs w:val="17"/>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4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9"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We have begun selling our products and attracting new independent distributors and preferred customers in several new markets since the beginning of our direct selling activities in 2009, including Japan, Hong Kong, Australia, Canada, Mexico, Thailand, the United Kingdom, the Netherlands and Germany.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firstLine="405"/>
        <w:spacing w:after="0" w:line="226"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Energy Drink mixes,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Petandim™ for Dogs, and Omega+, our sustainable fish oil supplement.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Micro-Lift Serum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Hand Cream. Axio</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our line of Smart Energy Drink mixes formulated to promote alertness and support mental</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40"/>
        <w:spacing w:after="0" w:line="213" w:lineRule="auto"/>
        <w:rPr>
          <w:sz w:val="20"/>
          <w:szCs w:val="20"/>
          <w:color w:val="auto"/>
        </w:rPr>
      </w:pPr>
      <w:r>
        <w:rPr>
          <w:rFonts w:ascii="Arial" w:cs="Arial" w:eastAsia="Arial" w:hAnsi="Arial"/>
          <w:sz w:val="18"/>
          <w:szCs w:val="18"/>
          <w:color w:val="auto"/>
        </w:rPr>
        <w:t>performance.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Smart Weight Management System which includes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Fat Burn,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ProBio,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Cleanse and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Protein Shake mix, all formulated to aid in weight management. Petandim™ for Dogs is a supplement specially formulated to combat oxidative stress in dogs through Nrf2 activation. Omega+ is a dietary supplement that combines DHA and EPA Omega-3 fatty acids, Omega-7 fatty acids, and Vitamin D3 to support cognitive health, cardiovascular health, skin health, and the immune system.</w:t>
      </w:r>
    </w:p>
    <w:p>
      <w:pPr>
        <w:spacing w:after="0" w:line="12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preferred customers and retail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jc w:val="both"/>
        <w:ind w:right="6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in selling our products and on our ability to attract new and retain existing independent distributors. Changes in our product sales typically are the result of variations in product sales volume relating to fluctuations in the number of active independent distributors and preferred customers purchasing our products. The number of active independent distributors and preferred customers is, therefore, used by management as a key non-financial measure.</w:t>
      </w:r>
    </w:p>
    <w:p>
      <w:pPr>
        <w:spacing w:after="0" w:line="10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w w:val="92"/>
              </w:rPr>
              <w:t>Active Preferred Customers By Region</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4"/>
              </w:rPr>
              <w:t>As of March 31,</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20" w:type="dxa"/>
            <w:vAlign w:val="bottom"/>
          </w:tcPr>
          <w:p>
            <w:pPr>
              <w:spacing w:after="0"/>
              <w:rPr>
                <w:sz w:val="12"/>
                <w:szCs w:val="12"/>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111,000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w w:val="94"/>
              </w:rPr>
              <w:t>As of March 31,</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20" w:type="dxa"/>
            <w:vAlign w:val="bottom"/>
          </w:tcPr>
          <w:p>
            <w:pPr>
              <w:spacing w:after="0"/>
              <w:rPr>
                <w:sz w:val="12"/>
                <w:szCs w:val="12"/>
                <w:color w:val="auto"/>
              </w:rPr>
            </w:pPr>
          </w:p>
        </w:tc>
        <w:tc>
          <w:tcPr>
            <w:tcW w:w="13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Nine Months ended March 31, 2018 compared to the Three and Nine Months ended March 31, 2017</w:t>
      </w:r>
    </w:p>
    <w:p>
      <w:pPr>
        <w:spacing w:after="0" w:line="144" w:lineRule="exact"/>
        <w:rPr>
          <w:sz w:val="20"/>
          <w:szCs w:val="20"/>
          <w:color w:val="auto"/>
        </w:rPr>
      </w:pPr>
    </w:p>
    <w:p>
      <w:pPr>
        <w:ind w:right="520" w:firstLine="405"/>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generated net revenue of $50.6 million and $45.0 million during the three months ended March 31, 2018 and 2017,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net revenue of $149.2 million and $148.8 million during the nine months ended March 31, 2018 and 2017, respectively. Foreign currency fluctuations negatively impacted our revenue $0.8 million or 1.8% and $0.1 million or 0.1% during the three and nine months ended March 31, 2018,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420"/>
        <w:spacing w:after="0"/>
        <w:rPr>
          <w:sz w:val="20"/>
          <w:szCs w:val="20"/>
          <w:color w:val="auto"/>
        </w:rPr>
      </w:pPr>
      <w:r>
        <w:rPr>
          <w:rFonts w:ascii="Arial" w:cs="Arial" w:eastAsia="Arial" w:hAnsi="Arial"/>
          <w:sz w:val="16"/>
          <w:szCs w:val="16"/>
          <w:u w:val="single" w:color="auto"/>
          <w:color w:val="auto"/>
        </w:rPr>
        <w:t>Americas</w:t>
      </w:r>
      <w:r>
        <w:rPr>
          <w:rFonts w:ascii="Arial" w:cs="Arial" w:eastAsia="Arial" w:hAnsi="Arial"/>
          <w:sz w:val="16"/>
          <w:szCs w:val="16"/>
          <w:color w:val="auto"/>
        </w:rPr>
        <w:t>. The following table sets forth revenue for the three and nine months ended March 31, 2018 and 2017 for the Americas region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9"/>
              </w:rPr>
              <w:t>Three Months Ended March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Nine Months Ended March 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35,585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33,681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107,834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698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4,293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53.2 %</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 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34,379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111,092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112,127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405"/>
        <w:spacing w:after="0" w:line="294" w:lineRule="auto"/>
        <w:rPr>
          <w:sz w:val="20"/>
          <w:szCs w:val="20"/>
          <w:color w:val="auto"/>
        </w:rPr>
      </w:pPr>
      <w:r>
        <w:rPr>
          <w:rFonts w:ascii="Arial" w:cs="Arial" w:eastAsia="Arial" w:hAnsi="Arial"/>
          <w:sz w:val="16"/>
          <w:szCs w:val="16"/>
          <w:color w:val="auto"/>
        </w:rPr>
        <w:t>Revenue in the Americas region for the three months ended March 31, 2018 increased $3.6 million or 10.6% from the prior year same period. Revenue in the United States increased due to our continued focus on providing a superior product offering to our customers and valuable training tools and technologies to our distributors. We continue to invest in our red carpet program, which is designed to attract and retain proven business leaders who will focus on new customer and distributor acquisition. We also realized revenue growth in Canada and Mexico due to the above mentioned initiatives as well as further expansion of our product lines in those markets, including the launch of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in Mexico during the current fiscal year.</w:t>
      </w:r>
    </w:p>
    <w:p>
      <w:pPr>
        <w:spacing w:after="0" w:line="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Revenue in the Americas region for the nine months ended March 31, 2018 decreased $1.0 million or 0.9% from the prior year same period. Revenue in the United States decreased $3.3 million or 3.1%, following the completion of the independent review by the audit committee of our board of directors in December 2016, as policy changes were made to help ensure that our products are not distributed or sold into countries without complying with applicable customs, tax and other regulatory requirements and to appropriately verify the residency of individuals who want to become our independent distributors. The internal and external disruptions caused by the audit committee review and associated policy changes also led to a decrease in our active distributors and preferred customers in the United States as compared to the prior year period, which contributed to the decreased current year revenues. Revenue in Canada and Mexico increased a total of $2.3 million or 53.2% due to an increase in our active preferred customers and distributors, further expansion of our product lines in those markets, and as a result of investment in the red carpet program in Mexico.</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Asia/Pacific &amp; Europe</w:t>
      </w:r>
      <w:r>
        <w:rPr>
          <w:rFonts w:ascii="Arial" w:cs="Arial" w:eastAsia="Arial" w:hAnsi="Arial"/>
          <w:sz w:val="17"/>
          <w:szCs w:val="17"/>
          <w:color w:val="auto"/>
        </w:rPr>
        <w:t>. The following table sets forth revenue for the three and nine months ended March 31, 2018 and 2017 for the Asia/Pacific &amp;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9"/>
              </w:rPr>
              <w:t>Three Months Ended March 31,</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Nine Months Ended March 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29,246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Hong Kong</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286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(76.2)%</w:t>
            </w:r>
          </w:p>
        </w:tc>
      </w:tr>
      <w:tr>
        <w:trPr>
          <w:trHeight w:val="27"/>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53.8 %</w:t>
            </w:r>
          </w:p>
        </w:tc>
      </w:tr>
      <w:tr>
        <w:trPr>
          <w:trHeight w:val="257"/>
        </w:trPr>
        <w:tc>
          <w:tcPr>
            <w:tcW w:w="3240" w:type="dxa"/>
            <w:vAlign w:val="bottom"/>
          </w:tcPr>
          <w:p>
            <w:pPr>
              <w:ind w:left="500"/>
              <w:spacing w:after="0"/>
              <w:rPr>
                <w:sz w:val="20"/>
                <w:szCs w:val="20"/>
                <w:color w:val="auto"/>
              </w:rPr>
            </w:pPr>
            <w:r>
              <w:rPr>
                <w:rFonts w:ascii="Arial" w:cs="Arial" w:eastAsia="Arial" w:hAnsi="Arial"/>
                <w:sz w:val="18"/>
                <w:szCs w:val="18"/>
                <w:color w:val="auto"/>
              </w:rPr>
              <w:t>Asia/Pacific &amp; Europe 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12,536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38,079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36,721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Revenue in the Asia/Pacific &amp; Europe region increased $1.9 million or 18.0% for the three months ended March 31, 2018 as compared to the prior year period. Revenue in the Asia/Pacific &amp; Europe region was positively impacted approximately $0.7 million or 6.2% during the three months ended March 31, 2018, as compared to the prior year period, by foreign currency exchange rate fluctuations. The positive impact for the region for the three months ended March 31, 2018 primarily was due to the strengthening of the Japanese yen against the U.S. dollar, as compared to the prior year period, positively impacting our revenue in Japan by $0.5 million or 5.3%. On a constant currency basis, revenue in Japan increased 4.9% for the three months ended March 31, 2018, as compared to the prior year period. Additionally, revenue increased in Europe and Thailand as we continue to focus on growth in these regions. Specifically, revenue in Thailand increased as the result of the launch of our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product during the current fiscal year.</w:t>
      </w:r>
    </w:p>
    <w:p>
      <w:pPr>
        <w:spacing w:after="0" w:line="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the nine months ended March 31, 2018, revenue in the Asia/Pacific &amp; Europe region increased by $1.4 million or 3.7% as compared to the prior year period. Revenue in the Asia/Pacific &amp; Europe region was negatively impacted approximately $0.4 million or 1.1% during the nine months ended March 31, 2018, as compared to the prior year period, by foreign currency exchange rate fluctuations. The negative impact for the region for the nine months ended March 31, 2018 primarily was due to the weakening of the Japanese yen against the U.S. dollar, as compared to the prior year period, negatively impacting our revenue in Japan by $0.8 million or 2.6%. On a constant currency basis, revenue in Japan increased 9.6% for the nine months ended March 31, 2018, as compared to the prior year period. Revenue in Australia, Europe and Thailand also increased during the current year as a result of continued focus on our growth strategy in these regions.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200" w:firstLine="405"/>
        <w:spacing w:after="0" w:line="279" w:lineRule="auto"/>
        <w:rPr>
          <w:sz w:val="20"/>
          <w:szCs w:val="20"/>
          <w:color w:val="auto"/>
        </w:rPr>
      </w:pPr>
      <w:r>
        <w:rPr>
          <w:rFonts w:ascii="Arial" w:cs="Arial" w:eastAsia="Arial" w:hAnsi="Arial"/>
          <w:sz w:val="17"/>
          <w:szCs w:val="17"/>
          <w:color w:val="auto"/>
        </w:rPr>
        <w:t>For the nine months ended March 31, 2018, revenues in Hong Kong decreased significantly, as compared to the prior year periods, following the completion of the independent review conducted by the audit committee of our board of directors in December 2016, as policy changes were made to help ensure that our products are not distributed or sold into countries without complying with applicable customs, tax and other regulatory requirements and to appropriately verify the residency of individuals who want to become our independent distributors.</w:t>
      </w:r>
    </w:p>
    <w:p>
      <w:pPr>
        <w:spacing w:after="0" w:line="90"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We continue to focus on strengthening our core business, including the expansion of our product offering, investing in our red carpet program, and expanding our global footprint. These efforts include the development and enhancement of distributor tools, training aids and technology, the scientific research and development of new products, and entrance into new markets. During the nine months ended March 31, 2018, we launched business operations in Germany and held events for our independent distributors in the U.S., Canada, Japan and Europe. During April 2018, we expanded into Ireland, Austria, Italy, Belgium, France, New Zealand and the Dominican Republic, on a not-for-resale basis and we are targeting the launch of our Taiwan market in the coming months. We are investing in both internal and external technology tools that we expect will help our independent distributors grow their businesses and help us more efficiently operate our business and improve upon our internal processes. During the quarter ended March 31, 2018, we formally launched our mainland China business model which utilizes an e-commerce platform. We remain committed to pursuing growth in each of our markets and operating our business in accordance with our strengthened business practices.</w:t>
      </w:r>
    </w:p>
    <w:p>
      <w:pPr>
        <w:spacing w:after="0" w:line="10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March 31, 2018 and 2017 was 82.4% and 81.7%, respectively. Our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for the nine months ended March 31, 2018 and 2017 was 82.0% and 83.5%, respectively.</w:t>
      </w:r>
    </w:p>
    <w:p>
      <w:pPr>
        <w:spacing w:after="0" w:line="8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a percentage of total revenues, cost of sales for the three months ended March 31, 2018 decreased to 17.6% compared to 18.3% for the three months ended March 31, 2017. The decrease in cost of sales as a percentage of revenue is primarily due to decreased costs associated with inventory obsolescence and changes to our product sales mix.</w:t>
      </w:r>
    </w:p>
    <w:p>
      <w:pPr>
        <w:spacing w:after="0" w:line="10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As a percentage of total revenues, cost of sales for the nine months ended March 31, 2018 increased to 18.0% from 16.5% for the nine months ended March 31, 2017. The increase in cost of sales as a percentage of revenue is primarily due to changes to our product and geographic sales mix, the incorporation of free shipping on product bundle purchases, and to increased costs associated with the obsolescence, storage, handling and shipment of inventory.</w:t>
      </w:r>
    </w:p>
    <w:p>
      <w:pPr>
        <w:spacing w:after="0" w:line="106"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during the three months ended March 31, 2018 increased to $39.3 million or 77.8% of revenues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operating expenses of $36.6 million or 81.2% of revenues during the three months ended March 31, 2017. Total operating expenses during the nine months ended March 31, 2018 decreased to $116.4 million or 78.0% of revenues as compared to operating expenses of $121.4 million or 81.5% of revenues during the nine months ended March 31, 2017. Operating expenses consist of commission and incentives expenses and selling, general and administrative expenses.</w:t>
      </w:r>
    </w:p>
    <w:p>
      <w:pPr>
        <w:spacing w:after="0" w:line="10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i w:val="1"/>
          <w:iCs w:val="1"/>
          <w:color w:val="auto"/>
        </w:rPr>
        <w:t xml:space="preserve">Commissions and Incentives. </w:t>
      </w:r>
      <w:r>
        <w:rPr>
          <w:rFonts w:ascii="Arial" w:cs="Arial" w:eastAsia="Arial" w:hAnsi="Arial"/>
          <w:sz w:val="17"/>
          <w:szCs w:val="17"/>
          <w:color w:val="auto"/>
        </w:rPr>
        <w:t>Commissions and incentives expenses during the three months ended March 31, 2018 were $24.3 million or 48.1%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as compared to commissions and incentives expenses of $22.8 million or 50.8% of revenues for the three months ended March 31, 2017. Commissions and incentives expenses during the nine months ended March 31, 2018 were $71.1 million or 47.7% of revenues as compared to commissions and incentives expenses of $72.7 million or 48.8% of revenues for the nine months ended March 31, 2017.</w:t>
      </w:r>
    </w:p>
    <w:p>
      <w:pPr>
        <w:spacing w:after="0" w:line="9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decrease in commissions and incentives expenses as a percentage of revenues for the three and nine months ended March 31, 2018 as compared to the prior year periods is due to the refinement to promotion and incentive programs and initiatives and the timing of events and promotional periods. Distributor commissions as a percentage of commissionable revenues generated remained consistent during the comparable periods.</w:t>
      </w:r>
    </w:p>
    <w:p>
      <w:pPr>
        <w:spacing w:after="0" w:line="66"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expect commissions and incentives expenses to increase slightly as a percentage of revenue during the remainder of fiscal 2018 as we continue to invest in our red carpet program, which is designed to attract new distributor leaders, with some continued fluctuations caused by further refinements to and timing of compensation and incentive programs.</w:t>
      </w:r>
    </w:p>
    <w:p>
      <w:pPr>
        <w:spacing w:after="0" w:line="10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during the three months ended March 31, 2018 were $15.0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selling, general and administrative expenses of $13.7 million for the three months ended March 31, 2017. Selling, general and administrative expenses during the nine months ended March 31, 2018 were $45.2 million as compared to selling, general and administrative expenses of $48.7 million for the nine months ended March 31, 2017.</w:t>
      </w:r>
    </w:p>
    <w:p>
      <w:pPr>
        <w:spacing w:after="0" w:line="10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increase in selling, general and administrative expenses during the three months ended March 31, 2018 compared to the prior year same period primarily was due to expenses associated with our US Elite Academy held during February 2018. During the prior year period, no large events where held in anticipation of the global convention held during April 2017.</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584" w:right="29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Expenses associated with employee compensation and benefits also increased as we continue to align our internal resources with strategic initiatives.</w:t>
      </w:r>
    </w:p>
    <w:p>
      <w:pPr>
        <w:spacing w:after="0" w:line="15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decrease in selling, general and administrative expenses during the nine months ended March 31, 2018 compared to the prior year same period was primarily due to decreased legal and accounting expenses associated with the independent review conducted by the audit committee of our board of directors, which was completed during December 2016. Additionally, expenses associated with professional services, executive transition costs and legal costs related to settled and dismissed cases decreased during the current year periods.</w:t>
      </w:r>
    </w:p>
    <w:p>
      <w:pPr>
        <w:spacing w:after="0" w:line="10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expect selling, general and administrative expenses, as a percent of revenue, to remain relatively consistent for the remainder of the fiscal year as we execute on our strategic investments and initiatives.</w:t>
      </w:r>
    </w:p>
    <w:p>
      <w:pPr>
        <w:spacing w:after="0" w:line="8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i w:val="1"/>
          <w:iCs w:val="1"/>
          <w:color w:val="auto"/>
        </w:rPr>
        <w:t xml:space="preserve">Total Other Expense. </w:t>
      </w:r>
      <w:r>
        <w:rPr>
          <w:rFonts w:ascii="Arial" w:cs="Arial" w:eastAsia="Arial" w:hAnsi="Arial"/>
          <w:sz w:val="16"/>
          <w:szCs w:val="16"/>
          <w:color w:val="auto"/>
        </w:rPr>
        <w:t>During the three and nine months ended March 31, 2018, we recognized net other expenses of $0.1 million and $0.5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net other expenses of $0.2 million and $0.8 million for the three and nine months ended March 31, 2017, respectively. Total other expense for the three and nine months ended March 31, 2018 consisted primarily of interest expense and foreign currency gains and losses.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and nine months ended March 31, 2018 and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38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06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406</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380" w:firstLine="432"/>
        <w:spacing w:after="0" w:line="34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We recognized an income tax expense of $0.6 million and $2.8 million for the three and nine months ended March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income tax benefit of $1,000 and expense of $0.6 million for the three and nine months ended March 31, 2017, respectively.</w:t>
      </w:r>
    </w:p>
    <w:p>
      <w:pPr>
        <w:spacing w:after="0" w:line="4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December 22, 2017, the President of the United States of America signed tax reform legislation (the “2017 Act”), which includes a broad range of tax reform affecting businesses, including corporate tax rates, business deductions, and international tax regulations. Among these changes, the 2017 Act reduces the corporate tax rate from 35% to 21% effective December 31, 2017. This change in tax rate has been recognized as a discrete item during the second quarter of our current fiscal year 2018. Current taxes for fiscal 2018 are accounted for at a blended rate of 28%, and we have revalued our deferred tax assets and liabilities to the reduced rates based on the period in which those assets and liabilities are expected to reverse. We have incorporated the changes resulting from the 2017 Act in our tax related accounts in the year to date period ended March 31, 2018, which resulted in a significant increase to our year to date effective tax rate.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effective tax rate was 26.8% and 50.1%, respectively, of pre-tax income during the three and nine months ended March 31, 2018,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 and 29.1%, respectively, for the same prior year periods. The increase in the effective tax rates for the three and nine months ended March 31, 2018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result of the remeasurement of our deferred tax assets, pursuant to the 2017 act, leading to a reduction in the deferred tax balances of approximately $1.2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which represents approximately 21.0% of the year to date effective tax rate. The increases associated with the deferred tax adjustments were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due to the lower blended corporate tax rate for fiscal 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20"/>
        <w:spacing w:after="0" w:line="277" w:lineRule="auto"/>
        <w:rPr>
          <w:sz w:val="20"/>
          <w:szCs w:val="20"/>
          <w:color w:val="auto"/>
        </w:rPr>
      </w:pPr>
      <w:r>
        <w:rPr>
          <w:rFonts w:ascii="Arial" w:cs="Arial" w:eastAsia="Arial" w:hAnsi="Arial"/>
          <w:sz w:val="18"/>
          <w:szCs w:val="18"/>
          <w:color w:val="auto"/>
        </w:rPr>
        <w:t>relied on cash flow from operations to fund operating activities and we have, at times, incurred long-term debt in order to fund stock repurchases and strategic transactions.</w:t>
      </w:r>
    </w:p>
    <w:p>
      <w:pPr>
        <w:spacing w:after="0" w:line="8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March 31, 2018, our available liquidity was $14.0 million, which consisted of available cash and cash equivalents. This represents an increase of $2.5 million from the $11.5 million in cash and cash equivalents as of June 30, 2017.</w:t>
      </w:r>
    </w:p>
    <w:p>
      <w:pPr>
        <w:spacing w:after="0" w:line="8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During the nine months ended March 31, 2018, our net cash provided by operating activities was $7.8 million as compared to net cash provided by operating activities of $4.6 million during the nine months ended March 31, 2017.</w:t>
      </w:r>
    </w:p>
    <w:p>
      <w:pPr>
        <w:spacing w:after="0" w:line="8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nine months ended March 31, 2018, our net cash used in investing activities was $3.4 million, as a result of our investment in new technology assets and the purchase of fixed assets. During the nine months ended March 31, 2017, our net cash used in investing activities was $0.5 million, as a result of the purchase of fixed assets.</w:t>
      </w:r>
    </w:p>
    <w:p>
      <w:pPr>
        <w:spacing w:after="0" w:line="10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Cash used in financing activities during the nine months ended March 31, 2018 was $2.0 million as a result of our quarterly principal payments on the March 2016 Term Loan and the repurchase of company stock. Cash used in financing activities during the nine months ended March 31, 2017 was $2.8 million as a result of our quarterly principal payments on the March 2016 Term Loan and $1.4 million in stock compensation tax related adjustments made during the period.</w:t>
      </w:r>
    </w:p>
    <w:p>
      <w:pPr>
        <w:spacing w:after="0" w:line="10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March 31, 2018 and June 30, 2017, the total amount of our foreign subsidiary cash was $3.4 million and $6.6 million, respectively. As a result of the corporate tax reform signed into law during December 2017, companies are required to pay a one-time repatriation tax on net un-taxed foreign unrepatriated earnings. Tax reform also enacted a 100% dividend deduction for &gt; 10% owned foreign corporations. Therefore, in the future, if needed, we can repatriate cash from foreign subsidiaries without paying additional U.S. taxes. We completed an initial analysis of all foreign based earnings as of December 31, 2017, and we project an immaterial amount of additional income tax liabilities associated with the deemed repatriation provision due to our large foreign tax pool in Japan.</w:t>
      </w:r>
    </w:p>
    <w:p>
      <w:pPr>
        <w:spacing w:after="0" w:line="112"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At March 31, 2018, we had working capital (current assets minus current liabilities) of $13.5 million, compared to working capital of $12.2 million at June 30, 2017.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we would consider realigning our strategic plans including a reduction in capital spending and expenses.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On March 30, 2016, we entered into a Loan Agreement (the “March 2016 Loan Agreement”) to refinance our outstanding debt. In connection with the March 2016 Loan Agreement and on the same date, we entered into a security agreement (the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Security Agreement, the “March 2016 Credit Facility”).</w:t>
      </w:r>
    </w:p>
    <w:p>
      <w:pPr>
        <w:spacing w:after="0" w:line="10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If we borrow under the March 2016 Revolving Loan, interest will be payable quarterly in arrears on the last day of each fiscal quarter.</w:t>
      </w:r>
    </w:p>
    <w:p>
      <w:pPr>
        <w:spacing w:after="0" w:line="10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May 4, 2018, the Company entered into a loan modification agreement, which amended its March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March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consolidations, mergers or transfers of all or any substantial part of our assets. As of March 31, 2018, we were in compliance with all applicable non-financial and restrictive covenants under the March 2016 Credit Facility, as amended.</w:t>
      </w:r>
    </w:p>
    <w:p>
      <w:pPr>
        <w:spacing w:after="0" w:line="8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March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89" w:lineRule="exact"/>
        <w:rPr>
          <w:sz w:val="20"/>
          <w:szCs w:val="20"/>
          <w:color w:val="auto"/>
        </w:rPr>
      </w:pPr>
    </w:p>
    <w:p>
      <w:pPr>
        <w:ind w:left="660" w:right="18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March 2016 Loan Agreement, as amended) of at least 1.25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10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March 2016 Loan Agreement, as amended) at the end of each fiscal quarter of at least $8.0 million; and</w:t>
      </w:r>
    </w:p>
    <w:p>
      <w:pPr>
        <w:spacing w:after="0" w:line="89"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March 2016 Loan Agreement, as amended) of not greater than 3.00 to 1.00 at the end of each quarter, measured on a trailing twelve month basis.</w:t>
      </w:r>
    </w:p>
    <w:p>
      <w:pPr>
        <w:spacing w:after="0" w:line="89"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As of March 31, 2018, we were in compliance with all applicable financial covenants under the March 2016 Credit Facility, as amended. Additionally, management anticipates that in the normal course of operations we will be in compliance with the financial covenants during the ensuing year.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payment obligations and commitments as of March 31, 2018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580" w:hanging="328"/>
        <w:spacing w:after="0" w:line="277" w:lineRule="auto"/>
        <w:tabs>
          <w:tab w:leader="none" w:pos="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operating obligations represent non-cancelable contractual obligations primarily related to marketing and sponsorship commitments and purchases of inventory.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we did not have any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jc w:val="both"/>
        <w:ind w:right="340" w:firstLine="432"/>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March 31, 2018, our shipments of products sold totaling approximately $17.0 million were subject to the return policy. In addition, we allow terminating distributors to return up to 30% of unopened, unexpired product they purchased within the prior twelve months.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$0.4 million at March 31, 2018, compared with $0.4 million at June 30, 2017.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10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three months ended March 31, 2018 and 2017, we recognized expenses of $0.3 million and $0.4 million, respectively, related to obsolete and slow-moving inventory.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which is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540"/>
        <w:spacing w:after="0" w:line="277" w:lineRule="auto"/>
        <w:rPr>
          <w:sz w:val="20"/>
          <w:szCs w:val="20"/>
          <w:color w:val="auto"/>
        </w:rPr>
      </w:pPr>
      <w:r>
        <w:rPr>
          <w:rFonts w:ascii="Arial" w:cs="Arial" w:eastAsia="Arial" w:hAnsi="Arial"/>
          <w:sz w:val="18"/>
          <w:szCs w:val="18"/>
          <w:color w:val="auto"/>
        </w:rPr>
        <w:t>policies that govern international investment in countries where we have operations, as well as, to a lesser extent, changes in U.S. laws and regulations relating to international trade and investment.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During the nine months ended March 31, 2018, approximately 29.9%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March 31, 2018, we did not have any derivative instruments. A 10% strengthening of the U.S. dollar compared to all of the foreign currencies in which we transact business would have resulted in a 2.7% decrease of our nine months ended March 31, 2018 revenue, in the amount of $4.0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as amended. Based on that evaluation, our Chief Executive Officer and Chief Financial Officer concluded that our disclosure controls and procedures were designed and operating effectively as of March 31,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March 31, 2018 that have materially affected or are reasonably likely to materially affect our internal controls over financial reporting.</w:t>
      </w:r>
    </w:p>
    <w:p>
      <w:pPr>
        <w:spacing w:after="0" w:line="8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An evaluation required by paragraph (d) of Rules 13a-15 and 15d-15 of the Exchange Act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2018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Note 6 to our unaudited condensed consolidated financial statements contained within this quarterly report on Form 10-Q for a discussion of our legal proceedings.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 Risk Factors” in our annual report on Form 10-K for the fiscal year ended June 30, 2017, filed on September 7, 2017 and “Part II. Item 1A - Risk Factors” in our quarterly report on Form 10-Q for the quarter ended December 31, 2017, filed on February 7, 2018. The risks and uncertainties described in such risk factors and elsewhere in this report, including the risk factor below, have the potential to materially affect our business, financial condition, results of operations, cash flows, projected results and future prospects. Other than the risk factor described below, as of the date of this report, we do not believe that there have been any material changes to the risk factors previously disclosed in our recent SEC filings, including our most recently filed Form 10-K, as referenced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On November 27, 2017, our Board of Directors approved a stock repurchase plan. Under the plan, which became effective on November 27, 2017, we are authorized to repurchase up to $5.0 million of our outstanding shares through November 27, 2020.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will operate in accordance with guidelines specified under Rule 10b5-1 of the Securities Exchange Act of 1934. Accordingly, transactions, if any, under the pre-arranged repurchase plan would be completed in accordance with the terms of the stock repurchase plan, including specified price, volume and timing conditions. The authorization may be suspended or discontinued at any time and expires on November 27, 2020. During the three months ended March 31, 2018, we repurchased 61,000 shares of our common stock on the open market at an aggregate purchase price of $0.2 million under this repurchase program.</w:t>
      </w:r>
    </w:p>
    <w:p>
      <w:pPr>
        <w:spacing w:after="0" w:line="8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March 31, 2018. All purchases listed below were made in the open market at prevailing market prices and pursuant to trading plans adopted by us pursuant to Rule 10b5-1 under the Securities Exchange Act of 1934.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Shares that May Yet</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Publicly Announced</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 Purchased Under the</w:t>
            </w:r>
          </w:p>
        </w:tc>
      </w:tr>
      <w:tr>
        <w:trPr>
          <w:trHeight w:val="234"/>
        </w:trPr>
        <w:tc>
          <w:tcPr>
            <w:tcW w:w="2880" w:type="dxa"/>
            <w:vAlign w:val="bottom"/>
            <w:gridSpan w:val="2"/>
          </w:tcPr>
          <w:p>
            <w:pPr>
              <w:ind w:left="1120"/>
              <w:spacing w:after="0"/>
              <w:rPr>
                <w:sz w:val="20"/>
                <w:szCs w:val="20"/>
                <w:color w:val="auto"/>
              </w:rPr>
            </w:pPr>
            <w:r>
              <w:rPr>
                <w:rFonts w:ascii="Arial" w:cs="Arial" w:eastAsia="Arial" w:hAnsi="Arial"/>
                <w:sz w:val="18"/>
                <w:szCs w:val="18"/>
                <w:b w:val="1"/>
                <w:bCs w:val="1"/>
                <w:color w:val="auto"/>
              </w:rPr>
              <w:t>Period</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0"/>
                <w:szCs w:val="20"/>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2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60,549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60.549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4,500,000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2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60,549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60.549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4,500,000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4, 2018, the Company entered into a loan modification agreement, which amended the March 2016 Credit Facility (“Amendment No. 1”).</w:t>
      </w:r>
    </w:p>
    <w:p>
      <w:pPr>
        <w:spacing w:after="0" w:line="1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Amendment No. 1 revised the maturity date from March 30, 2019 to March 31, 2021 (the “Maturity Date”) and increased the fixed interest rate for the term loan from 4.93% to 5.68%. Amendment No. 1 also amended certain financial covenants to (i) revise the minimum fixed charge coverage ratio (as defined in Amendment No. 1) from a minimum of 1.50 to 1.00 to a minimum of 1.25 to 1.00, measured on a trailing twelve-month basis, at the end of each fiscal quarter, (ii) increase the minimum working capital from $5.0 million to $8.0 million, (iii) replace the funded debt to EBITDA ratio with the total liabilities to tangible net worth ratio (as defined in Amendment No. 1) of not greater than 3.00 to 1.00 at the end of each quarter and (iv) remove the minimum tangible net worth measure from the financial covenants.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right="140" w:firstLine="324"/>
        <w:spacing w:after="0" w:line="277" w:lineRule="auto"/>
        <w:rPr>
          <w:sz w:val="20"/>
          <w:szCs w:val="20"/>
          <w:color w:val="auto"/>
        </w:rPr>
      </w:pPr>
      <w:r>
        <w:rPr>
          <w:rFonts w:ascii="Arial" w:cs="Arial" w:eastAsia="Arial" w:hAnsi="Arial"/>
          <w:sz w:val="18"/>
          <w:szCs w:val="18"/>
          <w:color w:val="auto"/>
        </w:rPr>
        <w:t>The foregoing description of Amendment No. 1 does not purport to be complete and is subject to, and qualified in its entirety by, the complete text of Amendment No. 1 which is filed as Exhibit 10.1 to this Quarterly on Form 10-Q and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9" w:lineRule="exact"/>
        <w:rPr>
          <w:sz w:val="20"/>
          <w:szCs w:val="20"/>
          <w:color w:val="auto"/>
        </w:rPr>
      </w:pPr>
    </w:p>
    <w:p>
      <w:pPr>
        <w:ind w:left="360"/>
        <w:spacing w:after="0"/>
        <w:tabs>
          <w:tab w:leader="none" w:pos="3160" w:val="left"/>
          <w:tab w:leader="none" w:pos="73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Filed Herewith or Incorporate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p>
      <w:pPr>
        <w:spacing w:after="0" w:line="239" w:lineRule="exact"/>
        <w:rPr>
          <w:sz w:val="20"/>
          <w:szCs w:val="20"/>
          <w:color w:val="auto"/>
        </w:rPr>
      </w:pPr>
    </w:p>
    <w:p>
      <w:pPr>
        <w:ind w:left="6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10">
        <w:r>
          <w:rPr>
            <w:rFonts w:ascii="Arial" w:cs="Arial" w:eastAsia="Arial" w:hAnsi="Arial"/>
            <w:sz w:val="16"/>
            <w:szCs w:val="16"/>
            <w:u w:val="single" w:color="auto"/>
            <w:color w:val="0000FF"/>
          </w:rPr>
          <w:t>Plan of Conversion, dated March 9, 2018</w:t>
        </w:r>
      </w:hyperlink>
    </w:p>
    <w:p>
      <w:pPr>
        <w:spacing w:after="0" w:line="200" w:lineRule="exact"/>
        <w:rPr>
          <w:sz w:val="20"/>
          <w:szCs w:val="20"/>
          <w:color w:val="auto"/>
        </w:rPr>
      </w:pPr>
    </w:p>
    <w:p>
      <w:pPr>
        <w:spacing w:after="0" w:line="255" w:lineRule="exact"/>
        <w:rPr>
          <w:sz w:val="20"/>
          <w:szCs w:val="20"/>
          <w:color w:val="auto"/>
        </w:rPr>
      </w:pPr>
    </w:p>
    <w:p>
      <w:pPr>
        <w:ind w:left="1300" w:right="220" w:hanging="618"/>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1">
        <w:r>
          <w:rPr>
            <w:rFonts w:ascii="Arial" w:cs="Arial" w:eastAsia="Arial" w:hAnsi="Arial"/>
            <w:sz w:val="18"/>
            <w:szCs w:val="18"/>
            <w:u w:val="single" w:color="auto"/>
            <w:color w:val="0000FF"/>
          </w:rPr>
          <w:t>Certificate of Incorporation, as filed with the Delaware Secretary of</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State on March 9, 2018</w:t>
        </w:r>
      </w:hyperlink>
    </w:p>
    <w:p>
      <w:pPr>
        <w:spacing w:after="0" w:line="184" w:lineRule="exact"/>
        <w:rPr>
          <w:sz w:val="20"/>
          <w:szCs w:val="20"/>
          <w:color w:val="auto"/>
        </w:rPr>
      </w:pPr>
    </w:p>
    <w:p>
      <w:pPr>
        <w:ind w:left="6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2">
        <w:r>
          <w:rPr>
            <w:rFonts w:ascii="Arial" w:cs="Arial" w:eastAsia="Arial" w:hAnsi="Arial"/>
            <w:sz w:val="16"/>
            <w:szCs w:val="16"/>
            <w:u w:val="single" w:color="auto"/>
            <w:color w:val="0000FF"/>
          </w:rPr>
          <w:t>Bylaws, effective March 9, 2018</w:t>
        </w:r>
      </w:hyperlink>
    </w:p>
    <w:p>
      <w:pPr>
        <w:spacing w:after="0" w:line="200" w:lineRule="exact"/>
        <w:rPr>
          <w:sz w:val="20"/>
          <w:szCs w:val="20"/>
          <w:color w:val="auto"/>
        </w:rPr>
      </w:pPr>
    </w:p>
    <w:p>
      <w:pPr>
        <w:spacing w:after="0" w:line="255" w:lineRule="exact"/>
        <w:rPr>
          <w:sz w:val="20"/>
          <w:szCs w:val="20"/>
          <w:color w:val="auto"/>
        </w:rPr>
      </w:pPr>
    </w:p>
    <w:p>
      <w:pPr>
        <w:ind w:left="1300" w:hanging="618"/>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13">
        <w:r>
          <w:rPr>
            <w:rFonts w:ascii="Arial" w:cs="Arial" w:eastAsia="Arial" w:hAnsi="Arial"/>
            <w:sz w:val="18"/>
            <w:szCs w:val="18"/>
            <w:u w:val="single" w:color="auto"/>
            <w:color w:val="0000FF"/>
          </w:rPr>
          <w:t>Certificate of Conversion as filed with the Delaware Secretary of State</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on March 9, 2018</w:t>
        </w:r>
      </w:hyperlink>
    </w:p>
    <w:p>
      <w:pPr>
        <w:spacing w:after="0" w:line="184" w:lineRule="exact"/>
        <w:rPr>
          <w:sz w:val="20"/>
          <w:szCs w:val="20"/>
          <w:color w:val="auto"/>
        </w:rPr>
      </w:pPr>
    </w:p>
    <w:p>
      <w:pPr>
        <w:ind w:left="1300" w:right="60" w:hanging="618"/>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4">
        <w:r>
          <w:rPr>
            <w:rFonts w:ascii="Arial" w:cs="Arial" w:eastAsia="Arial" w:hAnsi="Arial"/>
            <w:sz w:val="18"/>
            <w:szCs w:val="18"/>
            <w:u w:val="single" w:color="auto"/>
            <w:color w:val="0000FF"/>
          </w:rPr>
          <w:t>Statement of Conversion as filed with the Colorado Secretary of State</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on March 9, 2018</w:t>
        </w:r>
      </w:hyperlink>
    </w:p>
    <w:p>
      <w:pPr>
        <w:spacing w:after="0" w:line="184" w:lineRule="exact"/>
        <w:rPr>
          <w:sz w:val="20"/>
          <w:szCs w:val="20"/>
          <w:color w:val="auto"/>
        </w:rPr>
      </w:pPr>
    </w:p>
    <w:p>
      <w:pPr>
        <w:ind w:left="1300" w:right="300" w:hanging="663"/>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31">
        <w:r>
          <w:rPr>
            <w:rFonts w:ascii="Arial" w:cs="Arial" w:eastAsia="Arial" w:hAnsi="Arial"/>
            <w:sz w:val="18"/>
            <w:szCs w:val="18"/>
            <w:u w:val="single" w:color="auto"/>
            <w:color w:val="0000FF"/>
          </w:rPr>
          <w:t>Amendment No. 1 to Loan Agreement, dated May 4, 2018, by and</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between Z.B., N.A., LifeVantage Corporation and Lifeline</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Nutraceuticals Corporation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19" w:lineRule="exact"/>
        <w:rPr>
          <w:rFonts w:ascii="Arial" w:cs="Arial" w:eastAsia="Arial" w:hAnsi="Arial"/>
          <w:sz w:val="18"/>
          <w:szCs w:val="18"/>
          <w:u w:val="single" w:color="auto"/>
          <w:color w:val="0000FF"/>
        </w:rPr>
      </w:pPr>
    </w:p>
    <w:p>
      <w:pPr>
        <w:ind w:right="120"/>
        <w:spacing w:after="0" w:line="277" w:lineRule="auto"/>
        <w:rPr>
          <w:sz w:val="20"/>
          <w:szCs w:val="20"/>
          <w:color w:val="auto"/>
        </w:rPr>
      </w:pPr>
      <w:r>
        <w:rPr>
          <w:rFonts w:ascii="Arial" w:cs="Arial" w:eastAsia="Arial" w:hAnsi="Arial"/>
          <w:sz w:val="18"/>
          <w:szCs w:val="18"/>
          <w:color w:val="auto"/>
        </w:rPr>
        <w:t>Exhibit 2.1 to the Current Report on Form 8-K filed on March 13, 2018.</w:t>
      </w:r>
    </w:p>
    <w:p>
      <w:pPr>
        <w:spacing w:after="0" w:line="184" w:lineRule="exact"/>
        <w:rPr>
          <w:rFonts w:ascii="Arial" w:cs="Arial" w:eastAsia="Arial" w:hAnsi="Arial"/>
          <w:sz w:val="18"/>
          <w:szCs w:val="18"/>
          <w:u w:val="single" w:color="auto"/>
          <w:color w:val="0000FF"/>
        </w:rPr>
      </w:pPr>
    </w:p>
    <w:p>
      <w:pPr>
        <w:ind w:right="120"/>
        <w:spacing w:after="0" w:line="277" w:lineRule="auto"/>
        <w:rPr>
          <w:sz w:val="20"/>
          <w:szCs w:val="20"/>
          <w:color w:val="auto"/>
        </w:rPr>
      </w:pPr>
      <w:r>
        <w:rPr>
          <w:rFonts w:ascii="Arial" w:cs="Arial" w:eastAsia="Arial" w:hAnsi="Arial"/>
          <w:sz w:val="18"/>
          <w:szCs w:val="18"/>
          <w:color w:val="auto"/>
        </w:rPr>
        <w:t>Exhibit 3.1 to the Current Report on Form 8-K filed on March 13, 2018.</w:t>
      </w:r>
    </w:p>
    <w:p>
      <w:pPr>
        <w:spacing w:after="0" w:line="184" w:lineRule="exact"/>
        <w:rPr>
          <w:rFonts w:ascii="Arial" w:cs="Arial" w:eastAsia="Arial" w:hAnsi="Arial"/>
          <w:sz w:val="18"/>
          <w:szCs w:val="18"/>
          <w:u w:val="single" w:color="auto"/>
          <w:color w:val="0000FF"/>
        </w:rPr>
      </w:pPr>
    </w:p>
    <w:p>
      <w:pPr>
        <w:ind w:right="120"/>
        <w:spacing w:after="0" w:line="277" w:lineRule="auto"/>
        <w:rPr>
          <w:sz w:val="20"/>
          <w:szCs w:val="20"/>
          <w:color w:val="auto"/>
        </w:rPr>
      </w:pPr>
      <w:r>
        <w:rPr>
          <w:rFonts w:ascii="Arial" w:cs="Arial" w:eastAsia="Arial" w:hAnsi="Arial"/>
          <w:sz w:val="18"/>
          <w:szCs w:val="18"/>
          <w:color w:val="auto"/>
        </w:rPr>
        <w:t>Exhibit 3.2 to the Current Report on Form 8-K filed on March 13, 2018.</w:t>
      </w:r>
    </w:p>
    <w:p>
      <w:pPr>
        <w:spacing w:after="0" w:line="184" w:lineRule="exact"/>
        <w:rPr>
          <w:rFonts w:ascii="Arial" w:cs="Arial" w:eastAsia="Arial" w:hAnsi="Arial"/>
          <w:sz w:val="18"/>
          <w:szCs w:val="18"/>
          <w:u w:val="single" w:color="auto"/>
          <w:color w:val="0000FF"/>
        </w:rPr>
      </w:pPr>
    </w:p>
    <w:p>
      <w:pPr>
        <w:ind w:right="120"/>
        <w:spacing w:after="0" w:line="277" w:lineRule="auto"/>
        <w:rPr>
          <w:sz w:val="20"/>
          <w:szCs w:val="20"/>
          <w:color w:val="auto"/>
        </w:rPr>
      </w:pPr>
      <w:r>
        <w:rPr>
          <w:rFonts w:ascii="Arial" w:cs="Arial" w:eastAsia="Arial" w:hAnsi="Arial"/>
          <w:sz w:val="18"/>
          <w:szCs w:val="18"/>
          <w:color w:val="auto"/>
        </w:rPr>
        <w:t>Exhibit 3.3 to the Current Report on Form 8-K filed on March 13, 2018.</w:t>
      </w:r>
    </w:p>
    <w:p>
      <w:pPr>
        <w:spacing w:after="0" w:line="184" w:lineRule="exact"/>
        <w:rPr>
          <w:rFonts w:ascii="Arial" w:cs="Arial" w:eastAsia="Arial" w:hAnsi="Arial"/>
          <w:sz w:val="18"/>
          <w:szCs w:val="18"/>
          <w:u w:val="single" w:color="auto"/>
          <w:color w:val="0000FF"/>
        </w:rPr>
      </w:pPr>
    </w:p>
    <w:p>
      <w:pPr>
        <w:ind w:right="120"/>
        <w:spacing w:after="0" w:line="277" w:lineRule="auto"/>
        <w:rPr>
          <w:sz w:val="20"/>
          <w:szCs w:val="20"/>
          <w:color w:val="auto"/>
        </w:rPr>
      </w:pPr>
      <w:r>
        <w:rPr>
          <w:rFonts w:ascii="Arial" w:cs="Arial" w:eastAsia="Arial" w:hAnsi="Arial"/>
          <w:sz w:val="18"/>
          <w:szCs w:val="18"/>
          <w:color w:val="auto"/>
        </w:rPr>
        <w:t>Exhibit 3.4 to the Current Report on Form 8-K filed on March 13, 2018.</w:t>
      </w:r>
    </w:p>
    <w:p>
      <w:pPr>
        <w:spacing w:after="0" w:line="18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654" w:lineRule="exact"/>
        <w:rPr>
          <w:rFonts w:ascii="Arial" w:cs="Arial" w:eastAsia="Arial" w:hAnsi="Arial"/>
          <w:sz w:val="18"/>
          <w:szCs w:val="18"/>
          <w:u w:val="single" w:color="auto"/>
          <w:color w:val="0000FF"/>
        </w:rPr>
      </w:pPr>
    </w:p>
    <w:p>
      <w:pPr>
        <w:sectPr>
          <w:pgSz w:w="11900" w:h="16838" w:orient="portrait"/>
          <w:cols w:equalWidth="0" w:num="2">
            <w:col w:w="6380" w:space="240"/>
            <w:col w:w="4600"/>
          </w:cols>
          <w:pgMar w:left="240" w:top="584" w:right="439" w:bottom="1440" w:gutter="0" w:footer="0" w:header="0"/>
          <w:type w:val="continuous"/>
        </w:sectPr>
      </w:pPr>
    </w:p>
    <w:tbl>
      <w:tblPr>
        <w:tblLayout w:type="fixed"/>
        <w:tblInd w:w="580" w:type="dxa"/>
        <w:tblCellMar>
          <w:top w:w="0" w:type="dxa"/>
          <w:left w:w="0" w:type="dxa"/>
          <w:bottom w:w="0" w:type="dxa"/>
          <w:right w:w="0" w:type="dxa"/>
        </w:tblCellMar>
      </w:tblPr>
      <w:tr>
        <w:trPr>
          <w:trHeight w:val="207"/>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1"/>
              </w:rPr>
              <w:t>31.1</w:t>
            </w:r>
          </w:p>
        </w:tc>
        <w:tc>
          <w:tcPr>
            <w:tcW w:w="46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Certification of principal executive officer pursuant to Rule 13a-</w:t>
              </w:r>
            </w:hyperlink>
          </w:p>
        </w:tc>
        <w:tc>
          <w:tcPr>
            <w:tcW w:w="560" w:type="dxa"/>
            <w:vAlign w:val="bottom"/>
            <w:gridSpan w:val="4"/>
          </w:tcPr>
          <w:p>
            <w:pPr>
              <w:spacing w:after="0"/>
              <w:rPr>
                <w:sz w:val="17"/>
                <w:szCs w:val="17"/>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96"/>
        </w:trPr>
        <w:tc>
          <w:tcPr>
            <w:tcW w:w="720" w:type="dxa"/>
            <w:vAlign w:val="bottom"/>
          </w:tcPr>
          <w:p>
            <w:pPr>
              <w:spacing w:after="0"/>
              <w:rPr>
                <w:sz w:val="17"/>
                <w:szCs w:val="17"/>
                <w:color w:val="auto"/>
              </w:rPr>
            </w:pPr>
          </w:p>
        </w:tc>
        <w:tc>
          <w:tcPr>
            <w:tcW w:w="114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14(a)/15d-14(a)</w:t>
              </w:r>
            </w:hyperlink>
          </w:p>
        </w:tc>
        <w:tc>
          <w:tcPr>
            <w:tcW w:w="406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r>
      <w:tr>
        <w:trPr>
          <w:trHeight w:val="4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1"/>
              </w:rPr>
              <w:t>31.2</w:t>
            </w:r>
          </w:p>
        </w:tc>
        <w:tc>
          <w:tcPr>
            <w:tcW w:w="45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7">
              <w:r>
                <w:rPr>
                  <w:rFonts w:ascii="Arial" w:cs="Arial" w:eastAsia="Arial" w:hAnsi="Arial"/>
                  <w:sz w:val="18"/>
                  <w:szCs w:val="18"/>
                  <w:color w:val="0000FF"/>
                  <w:w w:val="93"/>
                </w:rPr>
                <w:t>Certification of principal financial officer pursuant to Rule 13a-</w:t>
              </w:r>
            </w:hyperlink>
          </w:p>
        </w:tc>
        <w:tc>
          <w:tcPr>
            <w:tcW w:w="620" w:type="dxa"/>
            <w:vAlign w:val="bottom"/>
            <w:gridSpan w:val="5"/>
          </w:tcPr>
          <w:p>
            <w:pPr>
              <w:spacing w:after="0"/>
              <w:rPr>
                <w:sz w:val="24"/>
                <w:szCs w:val="24"/>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96"/>
        </w:trPr>
        <w:tc>
          <w:tcPr>
            <w:tcW w:w="720" w:type="dxa"/>
            <w:vAlign w:val="bottom"/>
          </w:tcPr>
          <w:p>
            <w:pPr>
              <w:spacing w:after="0"/>
              <w:rPr>
                <w:sz w:val="17"/>
                <w:szCs w:val="17"/>
                <w:color w:val="auto"/>
              </w:rPr>
            </w:pPr>
          </w:p>
        </w:tc>
        <w:tc>
          <w:tcPr>
            <w:tcW w:w="114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14(a)/15d-14(a)</w:t>
              </w:r>
            </w:hyperlink>
          </w:p>
        </w:tc>
        <w:tc>
          <w:tcPr>
            <w:tcW w:w="406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r>
      <w:tr>
        <w:trPr>
          <w:trHeight w:val="4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5"/>
              </w:rPr>
              <w:t>32.1*</w:t>
            </w:r>
          </w:p>
        </w:tc>
        <w:tc>
          <w:tcPr>
            <w:tcW w:w="51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of principal executive officer pursuant to 18 U.S.C. 1350,</w:t>
              </w:r>
            </w:hyperlink>
          </w:p>
        </w:tc>
        <w:tc>
          <w:tcPr>
            <w:tcW w:w="100" w:type="dxa"/>
            <w:vAlign w:val="bottom"/>
          </w:tcPr>
          <w:p>
            <w:pPr>
              <w:spacing w:after="0"/>
              <w:rPr>
                <w:sz w:val="24"/>
                <w:szCs w:val="24"/>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w w:val="88"/>
              </w:rPr>
              <w:t>Furnished herewith</w:t>
            </w:r>
          </w:p>
        </w:tc>
      </w:tr>
      <w:tr>
        <w:trPr>
          <w:trHeight w:val="196"/>
        </w:trPr>
        <w:tc>
          <w:tcPr>
            <w:tcW w:w="720" w:type="dxa"/>
            <w:vAlign w:val="bottom"/>
          </w:tcPr>
          <w:p>
            <w:pPr>
              <w:spacing w:after="0"/>
              <w:rPr>
                <w:sz w:val="17"/>
                <w:szCs w:val="17"/>
                <w:color w:val="auto"/>
              </w:rPr>
            </w:pPr>
          </w:p>
        </w:tc>
        <w:tc>
          <w:tcPr>
            <w:tcW w:w="5200" w:type="dxa"/>
            <w:vAlign w:val="bottom"/>
            <w:gridSpan w:val="7"/>
          </w:tcPr>
          <w:p>
            <w:pPr>
              <w:spacing w:after="0" w:line="196" w:lineRule="exact"/>
              <w:rPr>
                <w:rFonts w:ascii="Arial" w:cs="Arial" w:eastAsia="Arial" w:hAnsi="Arial"/>
                <w:sz w:val="18"/>
                <w:szCs w:val="18"/>
                <w:color w:val="0000FF"/>
                <w:w w:val="91"/>
              </w:rPr>
            </w:pPr>
            <w:hyperlink w:anchor="page38">
              <w:r>
                <w:rPr>
                  <w:rFonts w:ascii="Arial" w:cs="Arial" w:eastAsia="Arial" w:hAnsi="Arial"/>
                  <w:sz w:val="18"/>
                  <w:szCs w:val="18"/>
                  <w:color w:val="0000FF"/>
                  <w:w w:val="91"/>
                </w:rPr>
                <w:t>as adopted pursuant to Section 906 of the Sarbanes-Oxley Act of 2002</w:t>
              </w:r>
            </w:hyperlink>
          </w:p>
        </w:tc>
        <w:tc>
          <w:tcPr>
            <w:tcW w:w="1500" w:type="dxa"/>
            <w:vAlign w:val="bottom"/>
          </w:tcPr>
          <w:p>
            <w:pPr>
              <w:spacing w:after="0"/>
              <w:rPr>
                <w:sz w:val="17"/>
                <w:szCs w:val="17"/>
                <w:color w:val="auto"/>
              </w:rPr>
            </w:pPr>
          </w:p>
        </w:tc>
      </w:tr>
      <w:tr>
        <w:trPr>
          <w:trHeight w:val="426"/>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5"/>
              </w:rPr>
              <w:t>32.2*</w:t>
            </w:r>
          </w:p>
        </w:tc>
        <w:tc>
          <w:tcPr>
            <w:tcW w:w="50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Certification of principal financial officer pursuant to 18 U.S.C. 1350,</w:t>
              </w:r>
            </w:hyperlink>
          </w:p>
        </w:tc>
        <w:tc>
          <w:tcPr>
            <w:tcW w:w="20" w:type="dxa"/>
            <w:vAlign w:val="bottom"/>
            <w:tcBorders>
              <w:top w:val="single" w:sz="8" w:color="0000FF"/>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w w:val="88"/>
              </w:rPr>
              <w:t>Furnished herewith</w:t>
            </w:r>
          </w:p>
        </w:tc>
      </w:tr>
      <w:tr>
        <w:trPr>
          <w:trHeight w:val="196"/>
        </w:trPr>
        <w:tc>
          <w:tcPr>
            <w:tcW w:w="720" w:type="dxa"/>
            <w:vAlign w:val="bottom"/>
          </w:tcPr>
          <w:p>
            <w:pPr>
              <w:spacing w:after="0"/>
              <w:rPr>
                <w:sz w:val="17"/>
                <w:szCs w:val="17"/>
                <w:color w:val="auto"/>
              </w:rPr>
            </w:pPr>
          </w:p>
        </w:tc>
        <w:tc>
          <w:tcPr>
            <w:tcW w:w="5200" w:type="dxa"/>
            <w:vAlign w:val="bottom"/>
            <w:gridSpan w:val="7"/>
          </w:tcPr>
          <w:p>
            <w:pPr>
              <w:spacing w:after="0" w:line="196" w:lineRule="exact"/>
              <w:rPr>
                <w:rFonts w:ascii="Arial" w:cs="Arial" w:eastAsia="Arial" w:hAnsi="Arial"/>
                <w:sz w:val="18"/>
                <w:szCs w:val="18"/>
                <w:color w:val="0000FF"/>
                <w:w w:val="91"/>
              </w:rPr>
            </w:pPr>
            <w:hyperlink w:anchor="page39">
              <w:r>
                <w:rPr>
                  <w:rFonts w:ascii="Arial" w:cs="Arial" w:eastAsia="Arial" w:hAnsi="Arial"/>
                  <w:sz w:val="18"/>
                  <w:szCs w:val="18"/>
                  <w:color w:val="0000FF"/>
                  <w:w w:val="91"/>
                </w:rPr>
                <w:t>as adopted pursuant to Section 906 of the Sarbanes-Oxley Act of 2002</w:t>
              </w:r>
            </w:hyperlink>
          </w:p>
        </w:tc>
        <w:tc>
          <w:tcPr>
            <w:tcW w:w="1500" w:type="dxa"/>
            <w:vAlign w:val="bottom"/>
          </w:tcPr>
          <w:p>
            <w:pPr>
              <w:spacing w:after="0"/>
              <w:rPr>
                <w:sz w:val="17"/>
                <w:szCs w:val="17"/>
                <w:color w:val="auto"/>
              </w:rPr>
            </w:pPr>
          </w:p>
        </w:tc>
      </w:tr>
      <w:tr>
        <w:trPr>
          <w:trHeight w:val="466"/>
        </w:trPr>
        <w:tc>
          <w:tcPr>
            <w:tcW w:w="720" w:type="dxa"/>
            <w:vAlign w:val="bottom"/>
          </w:tcPr>
          <w:p>
            <w:pPr>
              <w:jc w:val="right"/>
              <w:ind w:right="350"/>
              <w:spacing w:after="0"/>
              <w:rPr>
                <w:sz w:val="20"/>
                <w:szCs w:val="20"/>
                <w:color w:val="auto"/>
              </w:rPr>
            </w:pPr>
            <w:r>
              <w:rPr>
                <w:rFonts w:ascii="Arial" w:cs="Arial" w:eastAsia="Arial" w:hAnsi="Arial"/>
                <w:sz w:val="18"/>
                <w:szCs w:val="18"/>
                <w:color w:val="auto"/>
                <w:w w:val="86"/>
              </w:rPr>
              <w:t>101</w:t>
            </w:r>
          </w:p>
        </w:tc>
        <w:tc>
          <w:tcPr>
            <w:tcW w:w="50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8"/>
              </w:rPr>
              <w:t>The following financial information from the Company’s quarterly</w:t>
            </w:r>
          </w:p>
        </w:tc>
        <w:tc>
          <w:tcPr>
            <w:tcW w:w="140" w:type="dxa"/>
            <w:vAlign w:val="bottom"/>
            <w:gridSpan w:val="2"/>
          </w:tcPr>
          <w:p>
            <w:pPr>
              <w:spacing w:after="0"/>
              <w:rPr>
                <w:sz w:val="24"/>
                <w:szCs w:val="24"/>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Filed herewith</w:t>
            </w:r>
          </w:p>
        </w:tc>
      </w:tr>
    </w:tbl>
    <w:p>
      <w:pPr>
        <w:ind w:left="1300"/>
        <w:spacing w:after="0"/>
        <w:rPr>
          <w:sz w:val="20"/>
          <w:szCs w:val="20"/>
          <w:color w:val="auto"/>
        </w:rPr>
      </w:pPr>
      <w:r>
        <w:rPr>
          <w:rFonts w:ascii="Arial" w:cs="Arial" w:eastAsia="Arial" w:hAnsi="Arial"/>
          <w:sz w:val="18"/>
          <w:szCs w:val="18"/>
          <w:color w:val="auto"/>
        </w:rPr>
        <w:t>report on Form 10-Q for the quarter ended March 31, 2018 formatted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XBRL (extensible Business Reporting Language): (i) Unaudited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Condensed Consolidated Balance Sheets at March 31, 2018 and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June 30, 2017; (ii) Unaudited Condensed Consolidated Statements of</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Operations and Other Comprehensive Income for the three and nine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months ended March 31, 2018 and 2017; (iii) Unaudited Condensed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 of Stockholders’ Equity for the nine months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ended March 31, 2018; (iv) Unaudited Condensed Consolidated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Statements of Cash Flows for the nine months ended March 31, 2018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2017; and (v) Notes to Unaudited Condensed Consolidated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Statements, tagged as blocks of text</w:t>
      </w:r>
    </w:p>
    <w:p>
      <w:pPr>
        <w:spacing w:after="0" w:line="319" w:lineRule="exact"/>
        <w:rPr>
          <w:sz w:val="20"/>
          <w:szCs w:val="20"/>
          <w:color w:val="auto"/>
        </w:rPr>
      </w:pPr>
    </w:p>
    <w:p>
      <w:pPr>
        <w:ind w:left="1220" w:hanging="717"/>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584" w:right="439" w:bottom="1440" w:gutter="0" w:footer="0" w:header="0"/>
          <w:type w:val="continuous"/>
        </w:sectPr>
      </w:pPr>
    </w:p>
    <w:bookmarkStart w:id="29" w:name="page30"/>
    <w:bookmarkEnd w:id="29"/>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May 9, 2018</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May 9, 2018</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580" w:right="37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22"/>
          <w:szCs w:val="22"/>
          <w:b w:val="1"/>
          <w:bCs w:val="1"/>
          <w:color w:val="auto"/>
        </w:rPr>
        <w:t>FIRST LOAN MODIFICATION AGREEMENT</w:t>
      </w:r>
    </w:p>
    <w:p>
      <w:pPr>
        <w:spacing w:after="0" w:line="185"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This First Loan Modification Agreement (the “Agreement”) is entered into as of May 4, 2018 (the “Signing Date”), but is effective retroactively to March 31, 2018 (the “First Loan Modification Effective Date”) by and between ZB, N.A., dba Zions First National Bank (“Lender”); LifeVantage Corporation, a Delaware corporation (“LifeVantage”), and Lifeline Nutraceuticals Corporation, a Colorado corporation (together with LifeVantage, the “Borrower”).</w:t>
      </w:r>
    </w:p>
    <w:p>
      <w:pPr>
        <w:spacing w:after="0" w:line="176" w:lineRule="exact"/>
        <w:rPr>
          <w:sz w:val="20"/>
          <w:szCs w:val="20"/>
          <w:color w:val="auto"/>
        </w:rPr>
      </w:pPr>
    </w:p>
    <w:p>
      <w:pPr>
        <w:ind w:firstLine="656"/>
        <w:spacing w:after="0" w:line="250" w:lineRule="auto"/>
        <w:tabs>
          <w:tab w:leader="none" w:pos="1038" w:val="left"/>
        </w:tabs>
        <w:numPr>
          <w:ilvl w:val="0"/>
          <w:numId w:val="9"/>
        </w:numPr>
        <w:rPr>
          <w:rFonts w:ascii="Arial" w:cs="Arial" w:eastAsia="Arial" w:hAnsi="Arial"/>
          <w:sz w:val="22"/>
          <w:szCs w:val="22"/>
          <w:color w:val="auto"/>
        </w:rPr>
      </w:pPr>
      <w:r>
        <w:rPr>
          <w:rFonts w:ascii="Arial" w:cs="Arial" w:eastAsia="Arial" w:hAnsi="Arial"/>
          <w:sz w:val="22"/>
          <w:szCs w:val="22"/>
          <w:color w:val="auto"/>
        </w:rPr>
        <w:t>Lender and Borrower entered into a Loan Agreement dated March 30, 2016, (the “Loan Agreement”), pursuant to which Lender agreed to make a loan to Borrower (the “Loan”), evidenced by a Facility 1 Promissory Note (RLOC) and a Facility 2 Promissory Note (Term Loan) (together the “Promissory Notes”). The Promissory Notes are secured by the Collateral described in that certain Security Agreement dated as of March 30, 2016 (the “Security Agreement”). The Loan Agreement, Promissory Notes, Security Agreement and all other documents defined as Loan Documents in the Loan Agreement are hereinafter collectively referred to as the “Loan Documents.”</w:t>
      </w:r>
    </w:p>
    <w:p>
      <w:pPr>
        <w:spacing w:after="0" w:line="188" w:lineRule="exact"/>
        <w:rPr>
          <w:rFonts w:ascii="Arial" w:cs="Arial" w:eastAsia="Arial" w:hAnsi="Arial"/>
          <w:sz w:val="22"/>
          <w:szCs w:val="22"/>
          <w:color w:val="auto"/>
        </w:rPr>
      </w:pPr>
    </w:p>
    <w:p>
      <w:pPr>
        <w:ind w:left="1040" w:hanging="384"/>
        <w:spacing w:after="0"/>
        <w:tabs>
          <w:tab w:leader="none" w:pos="1040" w:val="left"/>
        </w:tabs>
        <w:numPr>
          <w:ilvl w:val="0"/>
          <w:numId w:val="9"/>
        </w:numPr>
        <w:rPr>
          <w:rFonts w:ascii="Arial" w:cs="Arial" w:eastAsia="Arial" w:hAnsi="Arial"/>
          <w:sz w:val="22"/>
          <w:szCs w:val="22"/>
          <w:color w:val="auto"/>
        </w:rPr>
      </w:pPr>
      <w:r>
        <w:rPr>
          <w:rFonts w:ascii="Arial" w:cs="Arial" w:eastAsia="Arial" w:hAnsi="Arial"/>
          <w:sz w:val="22"/>
          <w:szCs w:val="22"/>
          <w:color w:val="auto"/>
        </w:rPr>
        <w:t>Lender and Borrower now desire to modify the Loan Documents on the terms set forth below.</w:t>
      </w:r>
    </w:p>
    <w:p>
      <w:pPr>
        <w:spacing w:after="0" w:line="23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In exchange for good and valuable consideration, the sufficiency and receipt of which are hereby acknowledged, Borrower and Lender agree as follows:</w:t>
      </w:r>
    </w:p>
    <w:p>
      <w:pPr>
        <w:spacing w:after="0" w:line="17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Amendment to Loan Agreement</w:t>
      </w:r>
      <w:r>
        <w:rPr>
          <w:rFonts w:ascii="Arial" w:cs="Arial" w:eastAsia="Arial" w:hAnsi="Arial"/>
          <w:sz w:val="22"/>
          <w:szCs w:val="22"/>
          <w:color w:val="auto"/>
        </w:rPr>
        <w:t>. The Loan Agreement shall be amended as follows:</w:t>
      </w:r>
    </w:p>
    <w:p>
      <w:pPr>
        <w:spacing w:after="0" w:line="260"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22"/>
          <w:szCs w:val="22"/>
          <w:color w:val="auto"/>
        </w:rPr>
        <w:t>1.1 Section 1.23 shall be deleted in its entirety and replaced with the following:</w:t>
      </w:r>
    </w:p>
    <w:p>
      <w:pPr>
        <w:spacing w:after="0" w:line="260" w:lineRule="exact"/>
        <w:rPr>
          <w:sz w:val="20"/>
          <w:szCs w:val="20"/>
          <w:color w:val="auto"/>
        </w:rPr>
      </w:pPr>
    </w:p>
    <w:p>
      <w:pPr>
        <w:ind w:left="820" w:right="80"/>
        <w:spacing w:after="0" w:line="248" w:lineRule="auto"/>
        <w:rPr>
          <w:sz w:val="20"/>
          <w:szCs w:val="20"/>
          <w:color w:val="auto"/>
        </w:rPr>
      </w:pPr>
      <w:r>
        <w:rPr>
          <w:rFonts w:ascii="Arial" w:cs="Arial" w:eastAsia="Arial" w:hAnsi="Arial"/>
          <w:sz w:val="22"/>
          <w:szCs w:val="22"/>
          <w:color w:val="auto"/>
        </w:rPr>
        <w:t>1.23 “Fixed Charge Coverage Ratio” shall be determined for Borrower and its Subsidiaries on a consolidated basis and without duplication and shall mean, with respect to any twelve-month period, the ratio of (i) EBITDA for such period, minus stock re-purchases, minus income tax expense, minus unfinanced Capital Expenditures, minus dividends or distributions paid in cash by the Borrower to its equity interest holders respectively, over (ii) current portion of long term debt and interest expense.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 Section 1.35 shall be deleted in its entirety and replaced with the following:</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1.35 “Maturity Date” means March 31, 2021.</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1.3 Section 2.4(a)(ii) shall be deleted in its entirety and replaced with the following:</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 xml:space="preserve">2.4(a)(ii) </w:t>
      </w:r>
      <w:r>
        <w:rPr>
          <w:rFonts w:ascii="Arial" w:cs="Arial" w:eastAsia="Arial" w:hAnsi="Arial"/>
          <w:sz w:val="19"/>
          <w:szCs w:val="19"/>
          <w:u w:val="single" w:color="auto"/>
          <w:color w:val="auto"/>
        </w:rPr>
        <w:t>Interest Rate on Facility 2 Loan</w:t>
      </w:r>
      <w:r>
        <w:rPr>
          <w:rFonts w:ascii="Arial" w:cs="Arial" w:eastAsia="Arial" w:hAnsi="Arial"/>
          <w:sz w:val="19"/>
          <w:szCs w:val="19"/>
          <w:color w:val="auto"/>
        </w:rPr>
        <w:t>. With respect to the Facility 2 Loan, interest shall accrue at a fixed rate of</w:t>
      </w:r>
    </w:p>
    <w:p>
      <w:pPr>
        <w:spacing w:after="0" w:line="5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5.68%.</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1.4 Section 6.3(a) shall be deleted in its entirety and replaced with the following:</w:t>
      </w:r>
    </w:p>
    <w:p>
      <w:pPr>
        <w:spacing w:after="0" w:line="260" w:lineRule="exact"/>
        <w:rPr>
          <w:sz w:val="20"/>
          <w:szCs w:val="20"/>
          <w:color w:val="auto"/>
        </w:rPr>
      </w:pPr>
    </w:p>
    <w:p>
      <w:pPr>
        <w:ind w:left="820" w:right="180"/>
        <w:spacing w:after="0" w:line="287" w:lineRule="auto"/>
        <w:rPr>
          <w:sz w:val="20"/>
          <w:szCs w:val="20"/>
          <w:color w:val="auto"/>
        </w:rPr>
      </w:pPr>
      <w:r>
        <w:rPr>
          <w:rFonts w:ascii="Arial" w:cs="Arial" w:eastAsia="Arial" w:hAnsi="Arial"/>
          <w:sz w:val="21"/>
          <w:szCs w:val="21"/>
          <w:color w:val="auto"/>
        </w:rPr>
        <w:t xml:space="preserve">6.3(a) </w:t>
      </w:r>
      <w:r>
        <w:rPr>
          <w:rFonts w:ascii="Arial" w:cs="Arial" w:eastAsia="Arial" w:hAnsi="Arial"/>
          <w:sz w:val="21"/>
          <w:szCs w:val="21"/>
          <w:u w:val="single" w:color="auto"/>
          <w:color w:val="auto"/>
        </w:rPr>
        <w:t>Fixed Charge Coverage Ratio</w:t>
      </w:r>
      <w:r>
        <w:rPr>
          <w:rFonts w:ascii="Arial" w:cs="Arial" w:eastAsia="Arial" w:hAnsi="Arial"/>
          <w:sz w:val="21"/>
          <w:szCs w:val="21"/>
          <w:color w:val="auto"/>
        </w:rPr>
        <w:t>. Borrower shall maintain a Fixed Charge Coverage Ratio of not less than 1.25: l, to be measured quarterly on the last day of each Fiscal Quarter on a trailing twelve months basis.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1.5 Section 6.3(b) shall be deleted in its entirety and replaced with the following:</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585" w:right="299" w:bottom="1440" w:gutter="0" w:footer="0" w:header="0"/>
        </w:sectPr>
      </w:pPr>
    </w:p>
    <w:bookmarkStart w:id="31" w:name="page32"/>
    <w:bookmarkEnd w:id="31"/>
    <w:p>
      <w:pPr>
        <w:ind w:left="812" w:right="260"/>
        <w:spacing w:after="0" w:line="250" w:lineRule="auto"/>
        <w:rPr>
          <w:sz w:val="20"/>
          <w:szCs w:val="20"/>
          <w:color w:val="auto"/>
        </w:rPr>
      </w:pPr>
      <w:r>
        <w:rPr>
          <w:rFonts w:ascii="Arial" w:cs="Arial" w:eastAsia="Arial" w:hAnsi="Arial"/>
          <w:sz w:val="22"/>
          <w:szCs w:val="22"/>
          <w:color w:val="auto"/>
        </w:rPr>
        <w:t xml:space="preserve">6.3(b) </w:t>
      </w:r>
      <w:r>
        <w:rPr>
          <w:rFonts w:ascii="Arial" w:cs="Arial" w:eastAsia="Arial" w:hAnsi="Arial"/>
          <w:sz w:val="22"/>
          <w:szCs w:val="22"/>
          <w:u w:val="single" w:color="auto"/>
          <w:color w:val="auto"/>
        </w:rPr>
        <w:t>Minimum Working Capital</w:t>
      </w:r>
      <w:r>
        <w:rPr>
          <w:rFonts w:ascii="Arial" w:cs="Arial" w:eastAsia="Arial" w:hAnsi="Arial"/>
          <w:sz w:val="22"/>
          <w:szCs w:val="22"/>
          <w:color w:val="auto"/>
        </w:rPr>
        <w:t>. Borrower shall maintain a minimum working capital each Fiscal Quarter of not less than Eight Million Dollars ($8,000,000), measured quarterly on the last day of each Fiscal Quarter. For purposes of this Section, working capital shall be defined as current assets minus current liabilities, in each case calculated on a consolidated basis for the Borrower and its Subsidiaries.</w:t>
      </w:r>
    </w:p>
    <w:p>
      <w:pPr>
        <w:spacing w:after="0" w:line="188" w:lineRule="exact"/>
        <w:rPr>
          <w:sz w:val="20"/>
          <w:szCs w:val="20"/>
          <w:color w:val="auto"/>
        </w:rPr>
      </w:pPr>
    </w:p>
    <w:p>
      <w:pPr>
        <w:ind w:left="332"/>
        <w:spacing w:after="0"/>
        <w:rPr>
          <w:sz w:val="20"/>
          <w:szCs w:val="20"/>
          <w:color w:val="auto"/>
        </w:rPr>
      </w:pPr>
      <w:r>
        <w:rPr>
          <w:rFonts w:ascii="Arial" w:cs="Arial" w:eastAsia="Arial" w:hAnsi="Arial"/>
          <w:sz w:val="22"/>
          <w:szCs w:val="22"/>
          <w:color w:val="auto"/>
        </w:rPr>
        <w:t>1.6 Section 6.3(c) shall be deleted in its entirety and replaced with the following:</w:t>
      </w:r>
    </w:p>
    <w:p>
      <w:pPr>
        <w:spacing w:after="0" w:line="260" w:lineRule="exact"/>
        <w:rPr>
          <w:sz w:val="20"/>
          <w:szCs w:val="20"/>
          <w:color w:val="auto"/>
        </w:rPr>
      </w:pPr>
    </w:p>
    <w:p>
      <w:pPr>
        <w:ind w:left="812" w:right="80"/>
        <w:spacing w:after="0" w:line="290" w:lineRule="auto"/>
        <w:rPr>
          <w:sz w:val="20"/>
          <w:szCs w:val="20"/>
          <w:color w:val="auto"/>
        </w:rPr>
      </w:pPr>
      <w:r>
        <w:rPr>
          <w:rFonts w:ascii="Arial" w:cs="Arial" w:eastAsia="Arial" w:hAnsi="Arial"/>
          <w:sz w:val="19"/>
          <w:szCs w:val="19"/>
          <w:color w:val="auto"/>
        </w:rPr>
        <w:t xml:space="preserve">6.3(c) </w:t>
      </w:r>
      <w:r>
        <w:rPr>
          <w:rFonts w:ascii="Arial" w:cs="Arial" w:eastAsia="Arial" w:hAnsi="Arial"/>
          <w:sz w:val="19"/>
          <w:szCs w:val="19"/>
          <w:u w:val="single" w:color="auto"/>
          <w:color w:val="auto"/>
        </w:rPr>
        <w:t>Maximum Total Liabilities to Tangible Net Worth Ratio</w:t>
      </w:r>
      <w:r>
        <w:rPr>
          <w:rFonts w:ascii="Arial" w:cs="Arial" w:eastAsia="Arial" w:hAnsi="Arial"/>
          <w:sz w:val="19"/>
          <w:szCs w:val="19"/>
          <w:color w:val="auto"/>
        </w:rPr>
        <w:t>. Borrower shall maintain a ratio of total liabilities to tangible net worth of not greater than 3.0:1, to be measured quarterly on the last day of each Fiscal Quarter. For purposes of this Section, total liabilities shall be defined as the consolidated total liabilities of Borrower and its Subsidiaries, including all short-term liabilities, long-term liabilities, and any off balance-sheet liabilities of Borrower and its Subsidiaries. For purposes of this Section, tangible net worth shall be defined, as of any date of determination, the sum of the amounts set forth on the consolidated balance sheet of the Borrower and its Subsidiaries as the sum of the common stock, preferred stock, additional paid in capital and retained earnings of the Borrower and its Subsidiaries (excluding treasury stock), less the book value of all intangible assets of the Borrower and its Subsidiaries.</w:t>
      </w:r>
    </w:p>
    <w:p>
      <w:pPr>
        <w:spacing w:after="0" w:line="157" w:lineRule="exact"/>
        <w:rPr>
          <w:sz w:val="20"/>
          <w:szCs w:val="20"/>
          <w:color w:val="auto"/>
        </w:rPr>
      </w:pPr>
    </w:p>
    <w:p>
      <w:pPr>
        <w:ind w:left="332"/>
        <w:spacing w:after="0"/>
        <w:rPr>
          <w:sz w:val="20"/>
          <w:szCs w:val="20"/>
          <w:color w:val="auto"/>
        </w:rPr>
      </w:pPr>
      <w:r>
        <w:rPr>
          <w:rFonts w:ascii="Arial" w:cs="Arial" w:eastAsia="Arial" w:hAnsi="Arial"/>
          <w:sz w:val="22"/>
          <w:szCs w:val="22"/>
          <w:color w:val="auto"/>
        </w:rPr>
        <w:t>1.7 Section 6.3(d) is hereby deleted in its entirety.</w:t>
      </w:r>
    </w:p>
    <w:p>
      <w:pPr>
        <w:spacing w:after="0" w:line="260" w:lineRule="exact"/>
        <w:rPr>
          <w:sz w:val="20"/>
          <w:szCs w:val="20"/>
          <w:color w:val="auto"/>
        </w:rPr>
      </w:pPr>
    </w:p>
    <w:p>
      <w:pPr>
        <w:ind w:left="332" w:right="40" w:hanging="332"/>
        <w:spacing w:after="0" w:line="263" w:lineRule="auto"/>
        <w:tabs>
          <w:tab w:leader="none" w:pos="33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Amendments to Promissory Notes</w:t>
      </w:r>
      <w:r>
        <w:rPr>
          <w:rFonts w:ascii="Arial" w:cs="Arial" w:eastAsia="Arial" w:hAnsi="Arial"/>
          <w:sz w:val="22"/>
          <w:szCs w:val="22"/>
          <w:color w:val="auto"/>
        </w:rPr>
        <w:t>. Each Promissory Note is hereby amended by deleting each reference to the date “March 30, 2019” as it appears therein and by substituting in lieu thereof the date “March 31, 2021”.</w:t>
      </w:r>
    </w:p>
    <w:p>
      <w:pPr>
        <w:spacing w:after="0" w:line="215" w:lineRule="exact"/>
        <w:rPr>
          <w:rFonts w:ascii="Arial" w:cs="Arial" w:eastAsia="Arial" w:hAnsi="Arial"/>
          <w:sz w:val="22"/>
          <w:szCs w:val="22"/>
          <w:color w:val="auto"/>
        </w:rPr>
      </w:pPr>
    </w:p>
    <w:p>
      <w:pPr>
        <w:ind w:left="332" w:right="480" w:hanging="332"/>
        <w:spacing w:after="0" w:line="250" w:lineRule="auto"/>
        <w:tabs>
          <w:tab w:leader="none" w:pos="33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Consent to Re-domestication</w:t>
      </w:r>
      <w:r>
        <w:rPr>
          <w:rFonts w:ascii="Arial" w:cs="Arial" w:eastAsia="Arial" w:hAnsi="Arial"/>
          <w:sz w:val="22"/>
          <w:szCs w:val="22"/>
          <w:color w:val="auto"/>
        </w:rPr>
        <w:t>. Lender hereby consents to the re-domestication of LifeVantage from Colorado to Delaware. Borrower hereby reaffirms its obligations under the Loan Documents, as amended hereby, including without limitation the Security Agreement, and reaffirms its grant of authority to Lender to perfect its liens in the jurisdiction of formation of Borrower.</w:t>
      </w:r>
    </w:p>
    <w:p>
      <w:pPr>
        <w:spacing w:after="0" w:line="228" w:lineRule="exact"/>
        <w:rPr>
          <w:rFonts w:ascii="Arial" w:cs="Arial" w:eastAsia="Arial" w:hAnsi="Arial"/>
          <w:sz w:val="22"/>
          <w:szCs w:val="22"/>
          <w:color w:val="auto"/>
        </w:rPr>
      </w:pPr>
    </w:p>
    <w:p>
      <w:pPr>
        <w:ind w:left="812" w:right="40" w:hanging="486"/>
        <w:spacing w:after="0" w:line="259" w:lineRule="auto"/>
        <w:rPr>
          <w:rFonts w:ascii="Arial" w:cs="Arial" w:eastAsia="Arial" w:hAnsi="Arial"/>
          <w:sz w:val="22"/>
          <w:szCs w:val="22"/>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Organization and Qualification of LifeVantage</w:t>
      </w:r>
      <w:r>
        <w:rPr>
          <w:rFonts w:ascii="Arial" w:cs="Arial" w:eastAsia="Arial" w:hAnsi="Arial"/>
          <w:sz w:val="21"/>
          <w:szCs w:val="21"/>
          <w:color w:val="auto"/>
        </w:rPr>
        <w:t>. LifeVantage represents and warrants to Lender that (a) it is a corporation duly organized and existing in good standing under the laws of the State of Delaware, (b) it is qualified and in good standing to do business in the State of Delaware, (c) it is duly qualified to do business in each jurisdiction where the conduct of its business requires qualification, except where the failure to be so qualified could not reasonably be expected to have Material Adverse Effect (d) it has the full power and authority to own its properties and to conduct the business in which it engages and to enter into and perform its obligations under the Loan Documents, and (e) it has delivered to Lender or its counsel accurate and complete copies of Borrower's Organizational Documents which are operative and in effect as of the Signing Date.</w:t>
      </w:r>
    </w:p>
    <w:p>
      <w:pPr>
        <w:spacing w:after="0" w:line="224" w:lineRule="exact"/>
        <w:rPr>
          <w:rFonts w:ascii="Arial" w:cs="Arial" w:eastAsia="Arial" w:hAnsi="Arial"/>
          <w:sz w:val="22"/>
          <w:szCs w:val="22"/>
          <w:color w:val="auto"/>
        </w:rPr>
      </w:pPr>
    </w:p>
    <w:p>
      <w:pPr>
        <w:ind w:left="332" w:hanging="332"/>
        <w:spacing w:after="0" w:line="297" w:lineRule="auto"/>
        <w:tabs>
          <w:tab w:leader="none" w:pos="332"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Participation in Foreign Exchange Transactions</w:t>
      </w:r>
      <w:r>
        <w:rPr>
          <w:rFonts w:ascii="Arial" w:cs="Arial" w:eastAsia="Arial" w:hAnsi="Arial"/>
          <w:sz w:val="19"/>
          <w:szCs w:val="19"/>
          <w:color w:val="auto"/>
        </w:rPr>
        <w:t>. Notwithstanding anything in the Loan Documents to the contrary, Borrower is authorized to participate in certain foreign exchange transactions from time to time with Lender or its affiliates, subject in each case to the terms of any agreements between Lender related thereto, as well as any conditions or limitations governing maximum credit exposure under the Facility 1 Loan (which limitations or conditions shall not exceed a reserve in the amount of $500,000) established by Lender in its sole discretion and upon notice thereof to Borrower.</w:t>
      </w: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591" w:right="259" w:bottom="1440" w:gutter="0" w:footer="0" w:header="0"/>
        </w:sectPr>
      </w:pPr>
    </w:p>
    <w:bookmarkStart w:id="32" w:name="page33"/>
    <w:bookmarkEnd w:id="32"/>
    <w:p>
      <w:pPr>
        <w:ind w:left="332" w:right="520" w:hanging="332"/>
        <w:spacing w:after="0" w:line="263"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Amendment to Loan Documents</w:t>
      </w:r>
      <w:r>
        <w:rPr>
          <w:rFonts w:ascii="Arial" w:cs="Arial" w:eastAsia="Arial" w:hAnsi="Arial"/>
          <w:sz w:val="22"/>
          <w:szCs w:val="22"/>
          <w:color w:val="auto"/>
        </w:rPr>
        <w:t>. To the extent not otherwise provided in this Agreement, the Loan Documents are hereby amended to be consistent with all of the terms and conditions of this Agreement</w:t>
      </w:r>
    </w:p>
    <w:p>
      <w:pPr>
        <w:spacing w:after="0" w:line="215" w:lineRule="exact"/>
        <w:rPr>
          <w:rFonts w:ascii="Arial" w:cs="Arial" w:eastAsia="Arial" w:hAnsi="Arial"/>
          <w:sz w:val="22"/>
          <w:szCs w:val="22"/>
          <w:color w:val="auto"/>
        </w:rPr>
      </w:pPr>
    </w:p>
    <w:p>
      <w:pPr>
        <w:ind w:left="332" w:right="860" w:hanging="332"/>
        <w:spacing w:after="0" w:line="263"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Conditions to Loan Modification</w:t>
      </w:r>
      <w:r>
        <w:rPr>
          <w:rFonts w:ascii="Arial" w:cs="Arial" w:eastAsia="Arial" w:hAnsi="Arial"/>
          <w:sz w:val="22"/>
          <w:szCs w:val="22"/>
          <w:color w:val="auto"/>
        </w:rPr>
        <w:t>. This Agreement shall become effective from and after the satisfaction of each of the following conditions to Lender’s satisfaction:</w:t>
      </w:r>
    </w:p>
    <w:p>
      <w:pPr>
        <w:spacing w:after="0" w:line="215" w:lineRule="exact"/>
        <w:rPr>
          <w:rFonts w:ascii="Arial" w:cs="Arial" w:eastAsia="Arial" w:hAnsi="Arial"/>
          <w:sz w:val="22"/>
          <w:szCs w:val="22"/>
          <w:color w:val="auto"/>
        </w:rPr>
      </w:pPr>
    </w:p>
    <w:p>
      <w:pPr>
        <w:ind w:left="332"/>
        <w:spacing w:after="0"/>
        <w:rPr>
          <w:rFonts w:ascii="Arial" w:cs="Arial" w:eastAsia="Arial" w:hAnsi="Arial"/>
          <w:sz w:val="22"/>
          <w:szCs w:val="22"/>
          <w:color w:val="auto"/>
        </w:rPr>
      </w:pPr>
      <w:r>
        <w:rPr>
          <w:rFonts w:ascii="Arial" w:cs="Arial" w:eastAsia="Arial" w:hAnsi="Arial"/>
          <w:sz w:val="22"/>
          <w:szCs w:val="22"/>
          <w:color w:val="auto"/>
        </w:rPr>
        <w:t>6.1 Borrower shall have paid to Lender a loan modification fee in the amount of $60,000; and</w:t>
      </w:r>
    </w:p>
    <w:p>
      <w:pPr>
        <w:spacing w:after="0" w:line="260" w:lineRule="exact"/>
        <w:rPr>
          <w:rFonts w:ascii="Arial" w:cs="Arial" w:eastAsia="Arial" w:hAnsi="Arial"/>
          <w:sz w:val="22"/>
          <w:szCs w:val="22"/>
          <w:color w:val="auto"/>
        </w:rPr>
      </w:pPr>
    </w:p>
    <w:p>
      <w:pPr>
        <w:ind w:left="332"/>
        <w:spacing w:after="0"/>
        <w:rPr>
          <w:rFonts w:ascii="Arial" w:cs="Arial" w:eastAsia="Arial" w:hAnsi="Arial"/>
          <w:sz w:val="22"/>
          <w:szCs w:val="22"/>
          <w:color w:val="auto"/>
        </w:rPr>
      </w:pPr>
      <w:r>
        <w:rPr>
          <w:rFonts w:ascii="Arial" w:cs="Arial" w:eastAsia="Arial" w:hAnsi="Arial"/>
          <w:sz w:val="22"/>
          <w:szCs w:val="22"/>
          <w:color w:val="auto"/>
        </w:rPr>
        <w:t>6.2 Borrower shall have executed and delivered such documents as Lender shall reasonably request.</w:t>
      </w:r>
    </w:p>
    <w:p>
      <w:pPr>
        <w:spacing w:after="0" w:line="260" w:lineRule="exact"/>
        <w:rPr>
          <w:rFonts w:ascii="Arial" w:cs="Arial" w:eastAsia="Arial" w:hAnsi="Arial"/>
          <w:sz w:val="22"/>
          <w:szCs w:val="22"/>
          <w:color w:val="auto"/>
        </w:rPr>
      </w:pPr>
    </w:p>
    <w:p>
      <w:pPr>
        <w:ind w:left="332" w:right="80" w:hanging="332"/>
        <w:spacing w:after="0" w:line="287" w:lineRule="auto"/>
        <w:tabs>
          <w:tab w:leader="none" w:pos="332"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No Offsets, Defenses and Releases</w:t>
      </w:r>
      <w:r>
        <w:rPr>
          <w:rFonts w:ascii="Arial" w:cs="Arial" w:eastAsia="Arial" w:hAnsi="Arial"/>
          <w:sz w:val="19"/>
          <w:szCs w:val="19"/>
          <w:color w:val="auto"/>
        </w:rPr>
        <w:t>. The undersigned hereby (i) represents that neither the undersigned nor any affiliate or principal of the undersigned has any defenses to or setoffs against any Indebtedness or other obligations owing by the undersigned, or by the undersigned's affiliates or principals, to Lender or Lender's affiliates (the "Obligations"), nor any claims against Lender or Lender's affiliates for any matter whatsoever, related to the Obligations, and (ii) releases Lender and Lender's affiliates, officers, directors, employees and agents from all claims, causes of action, and costs, in law or equity, known or unknown, whether or not matured or contingent, existing as of the date hereof that the undersigned has or may have by reason of any matter of any conceivable kind or character whatsoever, related to the Obligations, including the subject matter of this Agreement. The foregoing release does not apply, however, to claims for future performance of express contractual obligations that mature after the date hereof that are owing to the undersigned by Lender or Lender's affiliates. As used in this paragraph, the word "undersigned" does not include Lender or any individual signing on behalf of Lender. The undersigned acknowledges that Lender has been induced to enter into or continue the Obligations by, among other things, the waivers and releases in this paragraph.</w:t>
      </w:r>
    </w:p>
    <w:p>
      <w:pPr>
        <w:spacing w:after="0" w:line="200" w:lineRule="exact"/>
        <w:rPr>
          <w:rFonts w:ascii="Arial" w:cs="Arial" w:eastAsia="Arial" w:hAnsi="Arial"/>
          <w:sz w:val="19"/>
          <w:szCs w:val="19"/>
          <w:color w:val="auto"/>
        </w:rPr>
      </w:pPr>
    </w:p>
    <w:p>
      <w:pPr>
        <w:ind w:left="332" w:right="100" w:hanging="332"/>
        <w:spacing w:after="0" w:line="253"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Conflicts</w:t>
      </w:r>
      <w:r>
        <w:rPr>
          <w:rFonts w:ascii="Arial" w:cs="Arial" w:eastAsia="Arial" w:hAnsi="Arial"/>
          <w:sz w:val="22"/>
          <w:szCs w:val="22"/>
          <w:color w:val="auto"/>
        </w:rPr>
        <w:t>. In the event of any conflict between the provisions of this Agreement and the provisions of the Loan Documents, the provisions of this Agreement shall control. Except as expressly amended or modified by this Agreement, the Loan Documents remain in full force and effect.</w:t>
      </w:r>
    </w:p>
    <w:p>
      <w:pPr>
        <w:spacing w:after="0" w:line="226" w:lineRule="exact"/>
        <w:rPr>
          <w:rFonts w:ascii="Arial" w:cs="Arial" w:eastAsia="Arial" w:hAnsi="Arial"/>
          <w:sz w:val="22"/>
          <w:szCs w:val="22"/>
          <w:color w:val="auto"/>
        </w:rPr>
      </w:pPr>
    </w:p>
    <w:p>
      <w:pPr>
        <w:ind w:left="332" w:right="560" w:hanging="332"/>
        <w:spacing w:after="0" w:line="253"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Further Assurances and Documentation</w:t>
      </w:r>
      <w:r>
        <w:rPr>
          <w:rFonts w:ascii="Arial" w:cs="Arial" w:eastAsia="Arial" w:hAnsi="Arial"/>
          <w:sz w:val="22"/>
          <w:szCs w:val="22"/>
          <w:color w:val="auto"/>
        </w:rPr>
        <w:t>. Borrower hereby agrees to execute such further and additional documents and instruments as Lender may reasonably require that give full effect to this Agreement and comply with all other conditions Lender imposes.</w:t>
      </w:r>
    </w:p>
    <w:p>
      <w:pPr>
        <w:spacing w:after="0" w:line="226" w:lineRule="exact"/>
        <w:rPr>
          <w:rFonts w:ascii="Arial" w:cs="Arial" w:eastAsia="Arial" w:hAnsi="Arial"/>
          <w:sz w:val="22"/>
          <w:szCs w:val="22"/>
          <w:color w:val="auto"/>
        </w:rPr>
      </w:pPr>
    </w:p>
    <w:p>
      <w:pPr>
        <w:ind w:left="332" w:hanging="332"/>
        <w:spacing w:after="0" w:line="248"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Final Expression, Modification, Assignment</w:t>
      </w:r>
      <w:r>
        <w:rPr>
          <w:rFonts w:ascii="Arial" w:cs="Arial" w:eastAsia="Arial" w:hAnsi="Arial"/>
          <w:sz w:val="22"/>
          <w:szCs w:val="22"/>
          <w:color w:val="auto"/>
        </w:rPr>
        <w:t>. This Agreement is the final expression of the understanding of the parties concerning the subject matter of this Agreement and may not be altered or amended except with the written consent of the parties and may not be contradicted by evidence of any alleged prior or contemporaneous oral agreement. Borrower shall not assign any of their rights or delegate any of its obligations under this Agreement or under the Loan Documents without Lender's written consent.</w:t>
      </w:r>
    </w:p>
    <w:p>
      <w:pPr>
        <w:spacing w:after="0" w:line="232" w:lineRule="exact"/>
        <w:rPr>
          <w:rFonts w:ascii="Arial" w:cs="Arial" w:eastAsia="Arial" w:hAnsi="Arial"/>
          <w:sz w:val="22"/>
          <w:szCs w:val="22"/>
          <w:color w:val="auto"/>
        </w:rPr>
      </w:pPr>
    </w:p>
    <w:p>
      <w:pPr>
        <w:ind w:left="332" w:right="240" w:hanging="332"/>
        <w:spacing w:after="0" w:line="263"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failure of Lender to promptly enforce any right hereunder shall not operate as a waiver of such right or any other right. Any waiver by Lender must be in writing.</w:t>
      </w:r>
    </w:p>
    <w:p>
      <w:pPr>
        <w:spacing w:after="0" w:line="215" w:lineRule="exact"/>
        <w:rPr>
          <w:rFonts w:ascii="Arial" w:cs="Arial" w:eastAsia="Arial" w:hAnsi="Arial"/>
          <w:sz w:val="22"/>
          <w:szCs w:val="22"/>
          <w:color w:val="auto"/>
        </w:rPr>
      </w:pPr>
    </w:p>
    <w:p>
      <w:pPr>
        <w:ind w:left="332" w:right="60" w:hanging="332"/>
        <w:spacing w:after="0" w:line="253"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All agreements, representations, warranties, and covenants made herein by Borrower shall survive the execution and delivery of this Agreement and shall continue in effect so long as the Promissory Note or any portion thereof is outstanding and unpaid, notwithstanding any termination or substitution of this Agreement.</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847" w:right="239" w:bottom="1440" w:gutter="0" w:footer="0" w:header="0"/>
        </w:sectPr>
      </w:pPr>
    </w:p>
    <w:bookmarkStart w:id="33" w:name="page34"/>
    <w:bookmarkEnd w:id="33"/>
    <w:p>
      <w:pPr>
        <w:ind w:left="332" w:right="180" w:hanging="332"/>
        <w:spacing w:after="0" w:line="253" w:lineRule="auto"/>
        <w:tabs>
          <w:tab w:leader="none" w:pos="33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agreements, representations, warranties, and covenants in this Agreement shall bind each party making the same and their successors, assigns, heirs, and beneficiaries, and shall inure to the benefit of and be enforceable by each party for whom made and their respective successors and assigns.</w:t>
      </w:r>
    </w:p>
    <w:p>
      <w:pPr>
        <w:spacing w:after="0" w:line="226" w:lineRule="exact"/>
        <w:rPr>
          <w:rFonts w:ascii="Arial" w:cs="Arial" w:eastAsia="Arial" w:hAnsi="Arial"/>
          <w:sz w:val="22"/>
          <w:szCs w:val="22"/>
          <w:color w:val="auto"/>
        </w:rPr>
      </w:pPr>
    </w:p>
    <w:p>
      <w:pPr>
        <w:ind w:left="332" w:right="80" w:hanging="332"/>
        <w:spacing w:after="0" w:line="253" w:lineRule="auto"/>
        <w:tabs>
          <w:tab w:leader="none" w:pos="33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in any jurisdiction shall be ineffective to the extent of such prohibition or unenforceability in such jurisdiction only and shall not invalidate or render unenforceable any other provision of this Agreement.</w:t>
      </w:r>
    </w:p>
    <w:p>
      <w:pPr>
        <w:spacing w:after="0" w:line="226" w:lineRule="exact"/>
        <w:rPr>
          <w:rFonts w:ascii="Arial" w:cs="Arial" w:eastAsia="Arial" w:hAnsi="Arial"/>
          <w:sz w:val="22"/>
          <w:szCs w:val="22"/>
          <w:color w:val="auto"/>
        </w:rPr>
      </w:pPr>
    </w:p>
    <w:p>
      <w:pPr>
        <w:ind w:left="332" w:right="160" w:hanging="332"/>
        <w:spacing w:after="0" w:line="263" w:lineRule="auto"/>
        <w:tabs>
          <w:tab w:leader="none" w:pos="33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 Lender shall be entitled to its costs and expenses, including reasonable attorney's fees, incurred in taking any action to enforce any term or condition of this Agreement.</w:t>
      </w:r>
    </w:p>
    <w:p>
      <w:pPr>
        <w:spacing w:after="0" w:line="215" w:lineRule="exact"/>
        <w:rPr>
          <w:rFonts w:ascii="Arial" w:cs="Arial" w:eastAsia="Arial" w:hAnsi="Arial"/>
          <w:sz w:val="22"/>
          <w:szCs w:val="22"/>
          <w:color w:val="auto"/>
        </w:rPr>
      </w:pPr>
    </w:p>
    <w:p>
      <w:pPr>
        <w:ind w:left="332" w:right="700" w:hanging="332"/>
        <w:spacing w:after="0" w:line="343" w:lineRule="auto"/>
        <w:tabs>
          <w:tab w:leader="none" w:pos="33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will be governed by federal law applicable to Lender and, to the extent not preempted by federal law, the laws of the State of Utah without regard to its conflicts of law provisions.</w:t>
      </w:r>
    </w:p>
    <w:p>
      <w:pPr>
        <w:spacing w:after="0" w:line="145" w:lineRule="exact"/>
        <w:rPr>
          <w:rFonts w:ascii="Arial" w:cs="Arial" w:eastAsia="Arial" w:hAnsi="Arial"/>
          <w:sz w:val="19"/>
          <w:szCs w:val="19"/>
          <w:color w:val="auto"/>
        </w:rPr>
      </w:pPr>
    </w:p>
    <w:p>
      <w:pPr>
        <w:ind w:left="332" w:hanging="332"/>
        <w:spacing w:after="0" w:line="302" w:lineRule="auto"/>
        <w:tabs>
          <w:tab w:leader="none" w:pos="33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shall be deemed an original for all purposes, but all of which taken together shall constitute only one agreement. The production of any executed counterpart of this Agreement shall be sufficient for all purposes without producing or accounting for any other counterpart. Copies of this Agreement, and fax signatures thereon, shall have the same force, effect and legal status as an original.</w:t>
      </w:r>
    </w:p>
    <w:p>
      <w:pPr>
        <w:spacing w:after="0" w:line="183" w:lineRule="exact"/>
        <w:rPr>
          <w:rFonts w:ascii="Arial" w:cs="Arial" w:eastAsia="Arial" w:hAnsi="Arial"/>
          <w:sz w:val="19"/>
          <w:szCs w:val="19"/>
          <w:color w:val="auto"/>
        </w:rPr>
      </w:pPr>
    </w:p>
    <w:p>
      <w:pPr>
        <w:ind w:left="332" w:right="80" w:hanging="332"/>
        <w:spacing w:after="0" w:line="290" w:lineRule="auto"/>
        <w:tabs>
          <w:tab w:leader="none" w:pos="33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Document Imaging</w:t>
      </w:r>
      <w:r>
        <w:rPr>
          <w:rFonts w:ascii="Arial" w:cs="Arial" w:eastAsia="Arial" w:hAnsi="Arial"/>
          <w:sz w:val="19"/>
          <w:szCs w:val="19"/>
          <w:color w:val="auto"/>
        </w:rPr>
        <w:t>. Lender shall be entitled, in its sole discretion, to image or make copies of all or any selection of the agreements, instruments, documents, and items and records governing, arising from or relating to any of the Loan Documents, including, without limitation, this document and the Loan Documents, and Lender may destroy or archive the paper originals. The parties hereto (i) waive any right to insist or require that Lender produce paper originals, (ii) agree that such images shall be accorded the same force and effect as the paper originals, (iii) agree that Lender is entitled to use such images in lieu of destroyed or archived originals for any purpose, including as admissible evidence in any demand, presentment or other proceedings, and (iv) further agree that any executed facsimile (faxed), scanned, or other imaged copy of this document or any Related Document shall be deemed to be of the same force and effect as the original manually executed document.</w:t>
      </w:r>
    </w:p>
    <w:p>
      <w:pPr>
        <w:spacing w:after="0" w:line="197" w:lineRule="exact"/>
        <w:rPr>
          <w:rFonts w:ascii="Arial" w:cs="Arial" w:eastAsia="Arial" w:hAnsi="Arial"/>
          <w:sz w:val="19"/>
          <w:szCs w:val="19"/>
          <w:color w:val="auto"/>
        </w:rPr>
      </w:pPr>
    </w:p>
    <w:p>
      <w:pPr>
        <w:ind w:left="332" w:right="180" w:hanging="332"/>
        <w:spacing w:after="0" w:line="253" w:lineRule="auto"/>
        <w:tabs>
          <w:tab w:leader="none" w:pos="33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Legal Capacity and Authority</w:t>
      </w:r>
      <w:r>
        <w:rPr>
          <w:rFonts w:ascii="Arial" w:cs="Arial" w:eastAsia="Arial" w:hAnsi="Arial"/>
          <w:sz w:val="22"/>
          <w:szCs w:val="22"/>
          <w:color w:val="auto"/>
        </w:rPr>
        <w:t>. The parties warrant to each other that they have the legal capacity to enter into this Agreement and perform the obligations it creates; and the individuals signing below have the requisite legal authority to execute this Agreement on their behalf.</w:t>
      </w:r>
    </w:p>
    <w:p>
      <w:pPr>
        <w:spacing w:after="0" w:line="200" w:lineRule="exact"/>
        <w:rPr>
          <w:sz w:val="20"/>
          <w:szCs w:val="20"/>
          <w:color w:val="auto"/>
        </w:rPr>
      </w:pPr>
    </w:p>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847" w:right="29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Dated as of the Signing Date.</w:t>
      </w:r>
    </w:p>
    <w:p>
      <w:pPr>
        <w:spacing w:after="0" w:line="362"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LENDER</w:t>
      </w:r>
      <w:r>
        <w:rPr>
          <w:rFonts w:ascii="Arial" w:cs="Arial" w:eastAsia="Arial" w:hAnsi="Arial"/>
          <w:sz w:val="22"/>
          <w:szCs w:val="22"/>
          <w:color w:val="auto"/>
        </w:rPr>
        <w:t>:</w:t>
      </w:r>
    </w:p>
    <w:p>
      <w:pPr>
        <w:spacing w:after="0" w:line="14" w:lineRule="exact"/>
        <w:rPr>
          <w:sz w:val="20"/>
          <w:szCs w:val="20"/>
          <w:color w:val="auto"/>
        </w:rPr>
      </w:pPr>
    </w:p>
    <w:p>
      <w:pPr>
        <w:jc w:val="right"/>
        <w:ind w:right="1279"/>
        <w:spacing w:after="0"/>
        <w:rPr>
          <w:sz w:val="20"/>
          <w:szCs w:val="20"/>
          <w:color w:val="auto"/>
        </w:rPr>
      </w:pPr>
      <w:r>
        <w:rPr>
          <w:rFonts w:ascii="Arial" w:cs="Arial" w:eastAsia="Arial" w:hAnsi="Arial"/>
          <w:sz w:val="22"/>
          <w:szCs w:val="22"/>
          <w:color w:val="auto"/>
        </w:rPr>
        <w:t>ZB, N.A., dba Zions First National Bank</w:t>
      </w:r>
    </w:p>
    <w:p>
      <w:pPr>
        <w:spacing w:after="0" w:line="35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Scott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Scott Bramhall, Senior Vice President</w:t>
      </w:r>
    </w:p>
    <w:p>
      <w:pPr>
        <w:spacing w:after="0" w:line="374"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LifeVantage Corporation,</w:t>
      </w:r>
    </w:p>
    <w:p>
      <w:pPr>
        <w:ind w:left="5420"/>
        <w:spacing w:after="0"/>
        <w:rPr>
          <w:sz w:val="20"/>
          <w:szCs w:val="20"/>
          <w:color w:val="auto"/>
        </w:rPr>
      </w:pPr>
      <w:r>
        <w:rPr>
          <w:rFonts w:ascii="Arial" w:cs="Arial" w:eastAsia="Arial" w:hAnsi="Arial"/>
          <w:sz w:val="22"/>
          <w:szCs w:val="22"/>
          <w:color w:val="auto"/>
        </w:rPr>
        <w:t>a Delaware corporation</w:t>
      </w:r>
    </w:p>
    <w:p>
      <w:pPr>
        <w:spacing w:after="0" w:line="35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Steven R. Fife, Chief Financial Officer</w:t>
      </w:r>
    </w:p>
    <w:p>
      <w:pPr>
        <w:spacing w:after="0" w:line="38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Lifeline Nutraceuticals Corporation,</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 Colorado corporation</w:t>
      </w:r>
    </w:p>
    <w:p>
      <w:pPr>
        <w:spacing w:after="0" w:line="35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Darren Jensen,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591"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44"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connection with the filing of this quarterly report on Form 10-Q of LifeVantage Corporation (the “Company”) for the period ended March 31, 2018,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100"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connection with the filing of this quarterly report on Form 10-Q of LifeVantage Corporation (the “Company”) for the period ended March 31, 2018,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100" w:lineRule="exact"/>
        <w:rPr>
          <w:sz w:val="20"/>
          <w:szCs w:val="20"/>
          <w:color w:val="auto"/>
        </w:rPr>
      </w:pPr>
    </w:p>
    <w:p>
      <w:pPr>
        <w:ind w:left="820" w:hanging="407"/>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upperLetter"/>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0" Type="http://schemas.openxmlformats.org/officeDocument/2006/relationships/hyperlink" Target="http://www.sec.gov/Archives/edgar/data/849146/000084914618000046/ex21-planofconversion.htm" TargetMode="External"/><Relationship Id="rId11" Type="http://schemas.openxmlformats.org/officeDocument/2006/relationships/hyperlink" Target="http://www.sec.gov/Archives/edgar/data/849146/000084914618000046/ex31-certificateofincorpor.htm" TargetMode="External"/><Relationship Id="rId12" Type="http://schemas.openxmlformats.org/officeDocument/2006/relationships/hyperlink" Target="http://www.sec.gov/Archives/edgar/data/849146/000084914618000046/ex32-bylaws.htm" TargetMode="External"/><Relationship Id="rId13" Type="http://schemas.openxmlformats.org/officeDocument/2006/relationships/hyperlink" Target="http://www.sec.gov/Archives/edgar/data/849146/000084914618000046/ex33-certificateofconversi.htm" TargetMode="External"/><Relationship Id="rId14" Type="http://schemas.openxmlformats.org/officeDocument/2006/relationships/hyperlink" Target="http://www.sec.gov/Archives/edgar/data/849146/000084914618000046/ex34-statementofconver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2019-12-28T22:07:19Z</dcterms:created>
  <dcterms:modified xsi:type="dcterms:W3CDTF">2019-12-28T22:07:19Z</dcterms:modified>
</cp:coreProperties>
</file>