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12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UNDER SECTION 13 OR 15 (d) OF THE 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62"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 (d) OF THE SECURITIES EXCHANGE ACT OF 1934</w:t>
      </w:r>
    </w:p>
    <w:p>
      <w:pPr>
        <w:spacing w:after="0" w:line="132"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001-35647</w:t>
      </w:r>
    </w:p>
    <w:p>
      <w:pPr>
        <w:spacing w:after="0" w:line="3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LIFEVANTAGE CORPORATION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w:t>
      </w:r>
    </w:p>
    <w:p>
      <w:pPr>
        <w:sectPr>
          <w:pgSz w:w="11900" w:h="16838" w:orient="portrait"/>
          <w:cols w:equalWidth="0" w:num="1">
            <w:col w:w="11420"/>
          </w:cols>
          <w:pgMar w:left="240" w:top="727" w:right="239" w:bottom="1440" w:gutter="0" w:footer="0" w:header="0"/>
        </w:sectPr>
      </w:pPr>
    </w:p>
    <w:p>
      <w:pPr>
        <w:spacing w:after="0" w:line="151"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COLORADO</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90-0224471</w:t>
      </w:r>
    </w:p>
    <w:p>
      <w:pPr>
        <w:spacing w:after="0" w:line="72" w:lineRule="exact"/>
        <w:rPr>
          <w:sz w:val="24"/>
          <w:szCs w:val="24"/>
          <w:color w:val="auto"/>
        </w:rPr>
      </w:pPr>
    </w:p>
    <w:p>
      <w:pPr>
        <w:sectPr>
          <w:pgSz w:w="11900" w:h="16838" w:orient="portrait"/>
          <w:cols w:equalWidth="0" w:num="2">
            <w:col w:w="7540" w:space="720"/>
            <w:col w:w="3160"/>
          </w:cols>
          <w:pgMar w:left="240" w:top="727" w:right="2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7400" w:space="720"/>
            <w:col w:w="3300"/>
          </w:cols>
          <w:pgMar w:left="240" w:top="727"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9785 S. Monroe Street, Ste 300, Sandy, UT 84070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(801) 432-9000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p>
      <w:pPr>
        <w:spacing w:after="0" w:line="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w:t>
      </w:r>
    </w:p>
    <w:p>
      <w:pPr>
        <w:sectPr>
          <w:pgSz w:w="11900" w:h="16838" w:orient="portrait"/>
          <w:cols w:equalWidth="0" w:num="1">
            <w:col w:w="11420"/>
          </w:cols>
          <w:pgMar w:left="240" w:top="727" w:right="239" w:bottom="1440" w:gutter="0" w:footer="0" w:header="0"/>
          <w:type w:val="continuous"/>
        </w:sectPr>
      </w:pPr>
    </w:p>
    <w:p>
      <w:pPr>
        <w:spacing w:after="0" w:line="152"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issuer’s common stock, par value $0.001 per share, as of May 5, 2017 was 14,232,609.</w:t>
      </w:r>
    </w:p>
    <w:p>
      <w:pPr>
        <w:sectPr>
          <w:pgSz w:w="11900" w:h="16838" w:orient="portrait"/>
          <w:cols w:equalWidth="0" w:num="1">
            <w:col w:w="11420"/>
          </w:cols>
          <w:pgMar w:left="240" w:top="727" w:right="2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08"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are among those that may cause actual results to differ materially from our forward-looking statements:</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our audit committee's independent review into sales of our products in certain international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our independent distributors with applicable legal requirements or our policies and procedures;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our business and stock price due to ineffective internal controls;</w:t>
      </w:r>
    </w:p>
    <w:p>
      <w:pPr>
        <w:spacing w:after="0" w:line="103" w:lineRule="exact"/>
        <w:rPr>
          <w:rFonts w:ascii="Times New Roman" w:cs="Times New Roman" w:eastAsia="Times New Roman" w:hAnsi="Times New Roman"/>
          <w:sz w:val="18"/>
          <w:szCs w:val="18"/>
          <w:color w:val="auto"/>
        </w:rPr>
      </w:pPr>
    </w:p>
    <w:p>
      <w:pPr>
        <w:ind w:left="660" w:right="260" w:hanging="328"/>
        <w:spacing w:after="0" w:line="3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financial reporting and internal control systems and processes and maintain appropriate level of internal control over financial reporting;</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properly manage, motivate and retain our independent distributors or to attract new independent distributors on an ongoing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manage existing markets, open new international markets or expand our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new products and technological innovations to gain distributor or market acceptance;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our product launch process due to increased pressure on our supply chain, information systems and management;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appropriately manage our inventory;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information technology systems;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cyber security risks and to maintain the integrity of data;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comply with financial covenants imposed by our credit facility and the impact of debt service obligations and restrictive debt covenants;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or foreign exchange restrictions, increased tariffs, foreign currency exchange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global economic conditions;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environmental liabilities stemming from past operations and property ownership;</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a few products for revenue;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materials for our products may become difficult to obtain or expensive;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parties to manufacture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transportation channels used to distribute our products;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a product recall;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on our business or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selling program could be found to not be in compliance with current or newly adopted laws or regulations in various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may be expensive and time consuming;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government regulations on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the production or marketing of our skin care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investigatory and enforcement action by the Federal Trade Commission;</w:t>
      </w:r>
    </w:p>
    <w:p>
      <w:pPr>
        <w:spacing w:after="0" w:line="103" w:lineRule="exact"/>
        <w:rPr>
          <w:rFonts w:ascii="Times New Roman" w:cs="Times New Roman" w:eastAsia="Times New Roman" w:hAnsi="Times New Roman"/>
          <w:sz w:val="18"/>
          <w:szCs w:val="18"/>
          <w:color w:val="auto"/>
        </w:rPr>
      </w:pPr>
    </w:p>
    <w:p>
      <w:pPr>
        <w:ind w:left="660" w:right="80" w:hanging="328"/>
        <w:spacing w:after="0" w:line="3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authorities may question our tax positions or transfer pricing policies or change their laws in a manner that could increase our effective tax rate or otherwise harm our business;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laws;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build and integrate our management team could harm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inability to attract, key personnel;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responsible for certain taxes or assessments relating to the activity of our independent distributors;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dietary supplement market;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rights;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claims that we infringe on their intellectual property;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against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foreign exchange and other risks associated with international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of our common stock due to non-compliance with Nasdaq's continued listing requirements;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future capital when needed or complete desired acquisitions;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market price of our common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of shares may negatively impact the market price of our common stock; and</w:t>
      </w:r>
    </w:p>
    <w:p>
      <w:pPr>
        <w:spacing w:after="0" w:line="103" w:lineRule="exact"/>
        <w:rPr>
          <w:rFonts w:ascii="Times New Roman" w:cs="Times New Roman" w:eastAsia="Times New Roman" w:hAnsi="Times New Roman"/>
          <w:sz w:val="18"/>
          <w:szCs w:val="18"/>
          <w:color w:val="auto"/>
        </w:rPr>
      </w:pPr>
    </w:p>
    <w:p>
      <w:pPr>
        <w:ind w:left="660" w:right="120" w:hanging="328"/>
        <w:spacing w:after="0" w:line="39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outstanding voting shares if holders of our existing warrants and options exercise their securities for shares of common stock and future vesting of Performance Stock Units.</w:t>
      </w:r>
    </w:p>
    <w:p>
      <w:pPr>
        <w:spacing w:after="0" w:line="2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634" w:right="2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2460" w:type="dxa"/>
            <w:vAlign w:val="bottom"/>
            <w:tcBorders>
              <w:bottom w:val="single" w:sz="8" w:color="0000FF"/>
            </w:tcBorders>
            <w:gridSpan w:val="7"/>
          </w:tcPr>
          <w:p>
            <w:pPr>
              <w:spacing w:after="0" w:line="170"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PART I. Financial Information</w:t>
              </w:r>
            </w:hyperlink>
          </w:p>
        </w:tc>
        <w:tc>
          <w:tcPr>
            <w:tcW w:w="7900" w:type="dxa"/>
            <w:vAlign w:val="bottom"/>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17"/>
                <w:szCs w:val="17"/>
                <w:color w:val="auto"/>
              </w:rPr>
            </w:pPr>
          </w:p>
        </w:tc>
      </w:tr>
      <w:tr>
        <w:trPr>
          <w:trHeight w:val="25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Financial Statements:</w:t>
              </w:r>
            </w:hyperlink>
          </w:p>
        </w:tc>
        <w:tc>
          <w:tcPr>
            <w:tcW w:w="7660" w:type="dxa"/>
            <w:vAlign w:val="bottom"/>
            <w:gridSpan w:val="10"/>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2"/>
                <w:szCs w:val="22"/>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2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Balance Sheets (unaudited)</w:t>
              </w:r>
            </w:hyperlink>
          </w:p>
        </w:tc>
        <w:tc>
          <w:tcPr>
            <w:tcW w:w="5400" w:type="dxa"/>
            <w:vAlign w:val="bottom"/>
            <w:gridSpan w:val="7"/>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20" w:type="dxa"/>
            <w:vAlign w:val="bottom"/>
            <w:gridSpan w:val="16"/>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Operations and Comprehensive Income (unaudited)</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0" w:type="dxa"/>
            <w:vAlign w:val="bottom"/>
            <w:tcBorders>
              <w:top w:val="single" w:sz="8" w:color="0000FF"/>
            </w:tcBorders>
            <w:gridSpan w:val="15"/>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Condensed Consolidated Statement of Stockholders’ Equity (unaudited)</w:t>
              </w:r>
            </w:hyperlink>
          </w:p>
        </w:tc>
        <w:tc>
          <w:tcPr>
            <w:tcW w:w="26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8">
              <w:r>
                <w:rPr>
                  <w:rFonts w:ascii="Times New Roman" w:cs="Times New Roman" w:eastAsia="Times New Roman" w:hAnsi="Times New Roman"/>
                  <w:sz w:val="18"/>
                  <w:szCs w:val="18"/>
                  <w:color w:val="0000FF"/>
                  <w:w w:val="99"/>
                </w:rPr>
                <w:t>Condensed Consolidated Statements of Cash Flows (unaudited)</w:t>
              </w:r>
            </w:hyperlink>
          </w:p>
        </w:tc>
        <w:tc>
          <w:tcPr>
            <w:tcW w:w="600" w:type="dxa"/>
            <w:vAlign w:val="bottom"/>
            <w:tcBorders>
              <w:top w:val="single" w:sz="8" w:color="0000FF"/>
            </w:tcBorders>
            <w:gridSpan w:val="2"/>
          </w:tcPr>
          <w:p>
            <w:pPr>
              <w:spacing w:after="0"/>
              <w:rPr>
                <w:sz w:val="21"/>
                <w:szCs w:val="21"/>
                <w:color w:val="auto"/>
              </w:rPr>
            </w:pPr>
          </w:p>
        </w:tc>
        <w:tc>
          <w:tcPr>
            <w:tcW w:w="40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8</w:t>
              </w:r>
            </w:hyperlink>
          </w:p>
        </w:tc>
        <w:tc>
          <w:tcPr>
            <w:tcW w:w="2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9">
              <w:r>
                <w:rPr>
                  <w:rFonts w:ascii="Times New Roman" w:cs="Times New Roman" w:eastAsia="Times New Roman" w:hAnsi="Times New Roman"/>
                  <w:sz w:val="18"/>
                  <w:szCs w:val="18"/>
                  <w:color w:val="0000FF"/>
                  <w:w w:val="99"/>
                </w:rPr>
                <w:t>Notes to Condensed Consolidated Financial Statements (unaudited)</w:t>
              </w:r>
            </w:hyperlink>
          </w:p>
        </w:tc>
        <w:tc>
          <w:tcPr>
            <w:tcW w:w="43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9">
              <w:r>
                <w:rPr>
                  <w:rFonts w:ascii="Times New Roman" w:cs="Times New Roman" w:eastAsia="Times New Roman" w:hAnsi="Times New Roman"/>
                  <w:sz w:val="18"/>
                  <w:szCs w:val="18"/>
                  <w:color w:val="0000FF"/>
                  <w:w w:val="88"/>
                </w:rPr>
                <w:t>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6"/>
          </w:tcPr>
          <w:p>
            <w:pPr>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19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080" w:type="dxa"/>
            <w:vAlign w:val="bottom"/>
            <w:tcBorders>
              <w:left w:val="single" w:sz="8" w:color="0000FF"/>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rPr>
                <w:rFonts w:ascii="Times New Roman" w:cs="Times New Roman" w:eastAsia="Times New Roman" w:hAnsi="Times New Roman"/>
                <w:sz w:val="18"/>
                <w:szCs w:val="18"/>
                <w:color w:val="0000FF"/>
                <w:w w:val="99"/>
              </w:rPr>
            </w:pPr>
            <w:hyperlink w:anchor="page26">
              <w:r>
                <w:rPr>
                  <w:rFonts w:ascii="Times New Roman" w:cs="Times New Roman" w:eastAsia="Times New Roman" w:hAnsi="Times New Roman"/>
                  <w:sz w:val="18"/>
                  <w:szCs w:val="18"/>
                  <w:color w:val="0000FF"/>
                  <w:w w:val="99"/>
                </w:rPr>
                <w:t>Quantitative and Qualitative Disclosures About Market Risk</w:t>
              </w:r>
            </w:hyperlink>
          </w:p>
        </w:tc>
        <w:tc>
          <w:tcPr>
            <w:tcW w:w="2080" w:type="dxa"/>
            <w:vAlign w:val="bottom"/>
            <w:gridSpan w:val="4"/>
          </w:tcPr>
          <w:p>
            <w:pPr>
              <w:spacing w:after="0"/>
              <w:rPr>
                <w:sz w:val="21"/>
                <w:szCs w:val="21"/>
                <w:color w:val="auto"/>
              </w:rPr>
            </w:pPr>
          </w:p>
        </w:tc>
        <w:tc>
          <w:tcPr>
            <w:tcW w:w="278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rFonts w:ascii="Times New Roman" w:cs="Times New Roman" w:eastAsia="Times New Roman" w:hAnsi="Times New Roman"/>
                <w:sz w:val="18"/>
                <w:szCs w:val="18"/>
                <w:color w:val="0000FF"/>
                <w:w w:val="99"/>
              </w:rPr>
            </w:pPr>
            <w:hyperlink w:anchor="page27">
              <w:r>
                <w:rPr>
                  <w:rFonts w:ascii="Times New Roman" w:cs="Times New Roman" w:eastAsia="Times New Roman" w:hAnsi="Times New Roman"/>
                  <w:sz w:val="18"/>
                  <w:szCs w:val="18"/>
                  <w:color w:val="0000FF"/>
                  <w:w w:val="99"/>
                </w:rPr>
                <w:t>Controls and Procedures</w:t>
              </w:r>
            </w:hyperlink>
          </w:p>
        </w:tc>
        <w:tc>
          <w:tcPr>
            <w:tcW w:w="2580" w:type="dxa"/>
            <w:vAlign w:val="bottom"/>
            <w:gridSpan w:val="3"/>
          </w:tcPr>
          <w:p>
            <w:pPr>
              <w:spacing w:after="0"/>
              <w:rPr>
                <w:sz w:val="21"/>
                <w:szCs w:val="21"/>
                <w:color w:val="auto"/>
              </w:rPr>
            </w:pPr>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000" w:type="dxa"/>
            <w:vAlign w:val="bottom"/>
            <w:gridSpan w:val="4"/>
          </w:tcPr>
          <w:p>
            <w:pPr>
              <w:spacing w:after="0"/>
              <w:rPr>
                <w:rFonts w:ascii="Times New Roman" w:cs="Times New Roman" w:eastAsia="Times New Roman" w:hAnsi="Times New Roman"/>
                <w:sz w:val="18"/>
                <w:szCs w:val="18"/>
                <w:color w:val="0000FF"/>
                <w:w w:val="97"/>
              </w:rPr>
            </w:pPr>
            <w:hyperlink w:anchor="page29">
              <w:r>
                <w:rPr>
                  <w:rFonts w:ascii="Times New Roman" w:cs="Times New Roman" w:eastAsia="Times New Roman" w:hAnsi="Times New Roman"/>
                  <w:sz w:val="18"/>
                  <w:szCs w:val="18"/>
                  <w:color w:val="0000FF"/>
                  <w:w w:val="97"/>
                </w:rPr>
                <w:t>PART II. Other Information</w:t>
              </w:r>
            </w:hyperlink>
          </w:p>
        </w:tc>
        <w:tc>
          <w:tcPr>
            <w:tcW w:w="8360" w:type="dxa"/>
            <w:vAlign w:val="bottom"/>
            <w:gridSpan w:val="14"/>
          </w:tcPr>
          <w:p>
            <w:pPr>
              <w:spacing w:after="0"/>
              <w:rPr>
                <w:sz w:val="24"/>
                <w:szCs w:val="24"/>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rFonts w:ascii="Times New Roman" w:cs="Times New Roman" w:eastAsia="Times New Roman" w:hAnsi="Times New Roman"/>
                <w:sz w:val="18"/>
                <w:szCs w:val="18"/>
                <w:color w:val="0000FF"/>
                <w:w w:val="95"/>
              </w:rPr>
            </w:pPr>
            <w:hyperlink w:anchor="page29">
              <w:r>
                <w:rPr>
                  <w:rFonts w:ascii="Times New Roman" w:cs="Times New Roman" w:eastAsia="Times New Roman" w:hAnsi="Times New Roman"/>
                  <w:sz w:val="18"/>
                  <w:szCs w:val="18"/>
                  <w:color w:val="0000FF"/>
                  <w:w w:val="95"/>
                </w:rPr>
                <w:t>Legal Proceedings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Risk Factors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0"/>
          </w:tcPr>
          <w:p>
            <w:pPr>
              <w:spacing w:after="0"/>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Unregistered Sales of Equity Securities and Use of Proceeds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10"/>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Defaults Upon Senior Securities</w:t>
              </w:r>
            </w:hyperlink>
          </w:p>
        </w:tc>
        <w:tc>
          <w:tcPr>
            <w:tcW w:w="486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rFonts w:ascii="Times New Roman" w:cs="Times New Roman" w:eastAsia="Times New Roman" w:hAnsi="Times New Roman"/>
                <w:sz w:val="18"/>
                <w:szCs w:val="18"/>
                <w:color w:val="0000FF"/>
                <w:w w:val="99"/>
              </w:rPr>
            </w:pPr>
            <w:hyperlink w:anchor="page29">
              <w:r>
                <w:rPr>
                  <w:rFonts w:ascii="Times New Roman" w:cs="Times New Roman" w:eastAsia="Times New Roman" w:hAnsi="Times New Roman"/>
                  <w:sz w:val="18"/>
                  <w:szCs w:val="18"/>
                  <w:color w:val="0000FF"/>
                  <w:w w:val="99"/>
                </w:rPr>
                <w:t>Mine Safety Disclosures</w:t>
              </w:r>
            </w:hyperlink>
          </w:p>
        </w:tc>
        <w:tc>
          <w:tcPr>
            <w:tcW w:w="540" w:type="dxa"/>
            <w:vAlign w:val="bottom"/>
          </w:tcPr>
          <w:p>
            <w:pPr>
              <w:spacing w:after="0"/>
              <w:rPr>
                <w:sz w:val="21"/>
                <w:szCs w:val="21"/>
                <w:color w:val="auto"/>
              </w:rPr>
            </w:pPr>
          </w:p>
        </w:tc>
        <w:tc>
          <w:tcPr>
            <w:tcW w:w="690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rFonts w:ascii="Times New Roman" w:cs="Times New Roman" w:eastAsia="Times New Roman" w:hAnsi="Times New Roman"/>
                <w:sz w:val="18"/>
                <w:szCs w:val="18"/>
                <w:color w:val="0000FF"/>
                <w:w w:val="97"/>
              </w:rPr>
            </w:pPr>
            <w:hyperlink w:anchor="page29">
              <w:r>
                <w:rPr>
                  <w:rFonts w:ascii="Times New Roman" w:cs="Times New Roman" w:eastAsia="Times New Roman" w:hAnsi="Times New Roman"/>
                  <w:sz w:val="18"/>
                  <w:szCs w:val="18"/>
                  <w:color w:val="0000FF"/>
                  <w:w w:val="97"/>
                </w:rPr>
                <w:t>Other Information</w:t>
              </w:r>
            </w:hyperlink>
          </w:p>
        </w:tc>
        <w:tc>
          <w:tcPr>
            <w:tcW w:w="460" w:type="dxa"/>
            <w:vAlign w:val="bottom"/>
            <w:gridSpan w:val="2"/>
          </w:tcPr>
          <w:p>
            <w:pPr>
              <w:spacing w:after="0"/>
              <w:rPr>
                <w:sz w:val="21"/>
                <w:szCs w:val="21"/>
                <w:color w:val="auto"/>
              </w:rPr>
            </w:pPr>
          </w:p>
        </w:tc>
        <w:tc>
          <w:tcPr>
            <w:tcW w:w="74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5"/>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Exhibits</w:t>
              </w:r>
            </w:hyperlink>
          </w:p>
        </w:tc>
        <w:tc>
          <w:tcPr>
            <w:tcW w:w="790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Signatures</w:t>
              </w:r>
            </w:hyperlink>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2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30</w:t>
              </w:r>
            </w:hyperlink>
          </w:p>
        </w:tc>
      </w:tr>
      <w:tr>
        <w:trPr>
          <w:trHeight w:val="507"/>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gridSpan w:val="11"/>
          </w:tcPr>
          <w:p>
            <w:pPr>
              <w:ind w:left="44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20" w:type="dxa"/>
            <w:vAlign w:val="bottom"/>
          </w:tcPr>
          <w:p>
            <w:pPr>
              <w:spacing w:after="0"/>
              <w:rPr>
                <w:sz w:val="22"/>
                <w:szCs w:val="22"/>
                <w:color w:val="auto"/>
              </w:rPr>
            </w:pPr>
          </w:p>
        </w:tc>
        <w:tc>
          <w:tcPr>
            <w:tcW w:w="15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252"/>
        </w:trPr>
        <w:tc>
          <w:tcPr>
            <w:tcW w:w="76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deferred income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42,409</w:t>
            </w: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 deferred income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50,259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8,891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7,719</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8,734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28,550</w:t>
            </w:r>
          </w:p>
        </w:tc>
        <w:tc>
          <w:tcPr>
            <w:tcW w:w="0" w:type="dxa"/>
            <w:vAlign w:val="bottom"/>
          </w:tcPr>
          <w:p>
            <w:pPr>
              <w:spacing w:after="0"/>
              <w:rPr>
                <w:sz w:val="1"/>
                <w:szCs w:val="1"/>
                <w:color w:val="auto"/>
              </w:rPr>
            </w:pPr>
          </w:p>
        </w:tc>
      </w:tr>
      <w:tr>
        <w:trPr>
          <w:trHeight w:val="284"/>
        </w:trPr>
        <w:tc>
          <w:tcPr>
            <w:tcW w:w="7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Principal amount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unamortized discount and deferred offering costs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net of unamortized discount and deferred offering costs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32,848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38,128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 Note 6</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 par value $0.001 per share, 50,000 shares authorized, no shares issued or</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par value $0.001 per share, 250,000 shares authorized and 14,232 and 14,028</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 and outstanding as of March 31, 2017 and June 30, 2016, respectively</w:t>
            </w:r>
          </w:p>
        </w:tc>
        <w:tc>
          <w:tcPr>
            <w:tcW w:w="28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120,150</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13,895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12,131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50,259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ectPr>
          <w:pgSz w:w="11900" w:h="16838" w:orient="portrait"/>
          <w:cols w:equalWidth="0" w:num="1">
            <w:col w:w="11420"/>
          </w:cols>
          <w:pgMar w:left="240" w:top="576" w:right="239" w:bottom="114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144" w:gutter="0" w:footer="0" w:header="0"/>
          <w:type w:val="continuous"/>
        </w:sectPr>
      </w:pPr>
    </w:p>
    <w:bookmarkStart w:id="5" w:name="page6"/>
    <w:bookmarkEnd w:id="5"/>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STATEMENTS OF OPERATIONS AND COMPREHENSIVE INCOME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5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120" w:type="dxa"/>
            <w:vAlign w:val="bottom"/>
          </w:tcPr>
          <w:p>
            <w:pPr>
              <w:spacing w:after="0"/>
              <w:rPr>
                <w:sz w:val="13"/>
                <w:szCs w:val="13"/>
                <w:color w:val="auto"/>
              </w:rPr>
            </w:pPr>
          </w:p>
        </w:tc>
        <w:tc>
          <w:tcPr>
            <w:tcW w:w="226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Nine Months Ended March</w:t>
            </w:r>
          </w:p>
        </w:tc>
        <w:tc>
          <w:tcPr>
            <w:tcW w:w="0" w:type="dxa"/>
            <w:vAlign w:val="bottom"/>
          </w:tcPr>
          <w:p>
            <w:pPr>
              <w:spacing w:after="0"/>
              <w:rPr>
                <w:sz w:val="1"/>
                <w:szCs w:val="1"/>
                <w:color w:val="auto"/>
              </w:rPr>
            </w:pPr>
          </w:p>
        </w:tc>
      </w:tr>
      <w:tr>
        <w:trPr>
          <w:trHeight w:val="195"/>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2"/>
        </w:trPr>
        <w:tc>
          <w:tcPr>
            <w:tcW w:w="652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net</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56,160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148,848</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153,507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24,531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128,976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Commissions and incentives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77,525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42,117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119,642</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9,334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7"/>
        </w:trPr>
        <w:tc>
          <w:tcPr>
            <w:tcW w:w="6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14,072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line="275" w:lineRule="auto"/>
        <w:rPr>
          <w:sz w:val="20"/>
          <w:szCs w:val="20"/>
          <w:color w:val="auto"/>
        </w:rPr>
      </w:pPr>
      <w:r>
        <w:rPr>
          <w:rFonts w:ascii="Times New Roman" w:cs="Times New Roman" w:eastAsia="Times New Roman" w:hAnsi="Times New Roman"/>
          <w:sz w:val="18"/>
          <w:szCs w:val="18"/>
          <w:color w:val="auto"/>
        </w:rPr>
        <w:t>LIFEVANTAGE CORPORATION AND SUBSIDIARIES CONDENSED CONSOLIDATED STATEMENT OF STOCKHOLDERS’ EQUITY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320" w:type="dxa"/>
            <w:vAlign w:val="bottom"/>
            <w:gridSpan w:val="3"/>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0"/>
                <w:szCs w:val="10"/>
                <w:color w:val="auto"/>
              </w:rPr>
            </w:pPr>
          </w:p>
        </w:tc>
        <w:tc>
          <w:tcPr>
            <w:tcW w:w="12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300" w:type="dxa"/>
            <w:vAlign w:val="bottom"/>
          </w:tcPr>
          <w:p>
            <w:pPr>
              <w:spacing w:after="0"/>
              <w:rPr>
                <w:sz w:val="10"/>
                <w:szCs w:val="10"/>
                <w:color w:val="auto"/>
              </w:rPr>
            </w:pPr>
          </w:p>
        </w:tc>
        <w:tc>
          <w:tcPr>
            <w:tcW w:w="96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June 30, 2016</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14,028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120,150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12,131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5"/>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shares related to restricted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canceled or surrendered as payment</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tax withholding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March 31, 2017</w:t>
            </w:r>
          </w:p>
        </w:tc>
        <w:tc>
          <w:tcPr>
            <w:tcW w:w="12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14,232</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120,462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13,895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r>
      <w:tr>
        <w:trPr>
          <w:trHeight w:val="262"/>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1,577</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Write-off of capitalized debt transaction costs pursuant to debt refinance</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income tax</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in receivables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 (increase) in inventory</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 prepaid expenses and deposits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in long-term assets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 increase in accounts payable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737</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 increase in accrued expenses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 increase in other long-term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6,198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equipment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term loan</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 on term loan</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Effect on Cash</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13,905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060" w:type="dxa"/>
            <w:vAlign w:val="bottom"/>
            <w:tcBorders>
              <w:top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9,202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8,494</w:t>
            </w:r>
          </w:p>
        </w:tc>
      </w:tr>
      <w:tr>
        <w:trPr>
          <w:trHeight w:val="67"/>
        </w:trPr>
        <w:tc>
          <w:tcPr>
            <w:tcW w:w="79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Increase in property and equipment/other long-term liabilities</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1,216</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9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w:t>
            </w:r>
          </w:p>
        </w:tc>
      </w:tr>
      <w:tr>
        <w:trPr>
          <w:trHeight w:val="27"/>
        </w:trPr>
        <w:tc>
          <w:tcPr>
            <w:tcW w:w="7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LIFEVANTAGE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should be read in conjunction with the audited financial statements and notes of LifeVantage Corporation (the “Company”) as of and for the year ended June 30, 2016 included in our Annual Report on Form 10-K filed with the Securities and Exchange Commission (“SEC”) on December 12, 2016.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4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LifeVantage Corporation is a company dedicated to helping people achieve their health, wellness and financial independence goals. We provide quality, scientifically-validated products and a financially rewarding direct sales business opportunity to customers and independent distributors who seek a healthy lifestyle and financial freedom. We sell our products to preferred customers, retail customers and independent distributors located in the United States, Japan, Hong Kong, Australia, Canada, Philippines, Mexico, Thailand, the United Kingdom and the Netherlands.</w:t>
      </w:r>
    </w:p>
    <w:p>
      <w:pPr>
        <w:spacing w:after="0" w:line="99" w:lineRule="exact"/>
        <w:rPr>
          <w:sz w:val="20"/>
          <w:szCs w:val="20"/>
          <w:color w:val="auto"/>
        </w:rPr>
      </w:pPr>
    </w:p>
    <w:p>
      <w:pPr>
        <w:jc w:val="both"/>
        <w:ind w:firstLine="405"/>
        <w:spacing w:after="0" w:line="248" w:lineRule="auto"/>
        <w:rPr>
          <w:sz w:val="20"/>
          <w:szCs w:val="20"/>
          <w:color w:val="auto"/>
        </w:rPr>
      </w:pPr>
      <w:r>
        <w:rPr>
          <w:rFonts w:ascii="Times New Roman" w:cs="Times New Roman" w:eastAsia="Times New Roman" w:hAnsi="Times New Roman"/>
          <w:sz w:val="17"/>
          <w:szCs w:val="17"/>
          <w:color w:val="auto"/>
        </w:rPr>
        <w:t>We engage in the identification, research, development and distribution of advanced nutraceutical dietary supplements and skin care products, including Protandim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our scientifically-validated dietary supplement, LifeVantage TrueScience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our line of anti-aging skin care products, Petandim™, our companion pet supplement formulated to combat oxidative stress in dogs, Axio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our energy drink mixes, and PhysIQ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7"/>
          <w:szCs w:val="17"/>
          <w:color w:val="auto"/>
        </w:rPr>
        <w:t>, our smart weight management system.</w:t>
      </w:r>
    </w:p>
    <w:p>
      <w:pPr>
        <w:spacing w:after="0" w:line="11"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2017, and the results of operations for the three and nine months ended March 31, 2017 and 2016, respectively, and the cash flows for the nine months ended March 31, 2017 and 2016, respectively.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0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2016 pursuant to the rules and regulations of the SEC. For further information, refer to the financial statements and notes thereto as of and for the year ended June 30, 2016, and included in the Annual Report on Form 10-K on file with the SEC.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48"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significant intercompany accounts and transactions are eliminated in consolidation.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and related disclosures in conformity with accounting principles generally accepted in the United States of America (GAAP). In preparing these statements, we are required to use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materially from those estimates and assumptions. On an ongoing basis, we review our estimates, including those related to inventory valuation and obsolescence, sales returns, income taxes and tax valuation reserves, share-based compensation, and loss contingencies.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Statements</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 comprehensive income. Transaction gains and losses and currency translation gains and losses on intercompany balances denominated in a foreign currency are included in other expense, net in the condensed consolidated statements of operations and comprehensive income. For the three months ended March 31, 2017 and 2016, net foreign currency gains of $0.2 million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580" w:right="259" w:bottom="1440" w:gutter="0" w:footer="0" w:header="0"/>
        </w:sectPr>
      </w:pPr>
    </w:p>
    <w:bookmarkStart w:id="9" w:name="page10"/>
    <w:bookmarkEnd w:id="9"/>
    <w:p>
      <w:pPr>
        <w:ind w:right="280"/>
        <w:spacing w:after="0" w:line="282" w:lineRule="auto"/>
        <w:rPr>
          <w:sz w:val="20"/>
          <w:szCs w:val="20"/>
          <w:color w:val="auto"/>
        </w:rPr>
      </w:pPr>
      <w:r>
        <w:rPr>
          <w:rFonts w:ascii="Times New Roman" w:cs="Times New Roman" w:eastAsia="Times New Roman" w:hAnsi="Times New Roman"/>
          <w:sz w:val="18"/>
          <w:szCs w:val="18"/>
          <w:color w:val="auto"/>
        </w:rPr>
        <w:t>and $0.2 million, respectively, are recorded in other expense, net. For the nine months ended March 31, 2017 and 2016, net foreign currency losses of $0.2 million and $22,000, respectively, are recorded in other expense, net.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4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95"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To hedge risks associated with the foreign-currency-denominated intercompany transactions, the Company entered into forward foreign exchange contracts which were settled in March 2017 and were not designated for hedge accounting. For the three months ended March 31, 2017 and 2016, realized losses of $0.2 million and $0.2 million, respectively, related to forward contracts, are recorded in other expense, net. For the nine months ended March 31, 2017 and 2016, realized losses of $0.1 million and $0.2 million, respectively, related to forward contracts, are recorded in other expense, net. The Company did not hold any derivative instruments at March 31, 2017.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only its monetary liquid assets with original maturities of three months or less as cash and cash equivalents.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March 31, 2017, the Company had $5.7 million in cash accounts that were held primarily at one financial institution and $3.5 million in accounts at other financial institutions. As of March 31, 2017 and June 30, 2016, and during the periods then ended, the Company’s cash balances exceeded federally insured limits.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48" w:lineRule="exact"/>
        <w:rPr>
          <w:sz w:val="20"/>
          <w:szCs w:val="20"/>
          <w:color w:val="auto"/>
        </w:rPr>
      </w:pPr>
    </w:p>
    <w:p>
      <w:pPr>
        <w:ind w:right="260" w:firstLine="432"/>
        <w:spacing w:after="0" w:line="289" w:lineRule="auto"/>
        <w:rPr>
          <w:sz w:val="20"/>
          <w:szCs w:val="20"/>
          <w:color w:val="auto"/>
        </w:rPr>
      </w:pPr>
      <w:r>
        <w:rPr>
          <w:rFonts w:ascii="Times New Roman" w:cs="Times New Roman" w:eastAsia="Times New Roman" w:hAnsi="Times New Roman"/>
          <w:sz w:val="17"/>
          <w:szCs w:val="17"/>
          <w:color w:val="auto"/>
        </w:rPr>
        <w:t>The Company’s accounts receivable as of March 31, 2017 and June 30, 2016 consist primarily of credit card receivables. Based on the Company’s verification process for customer credit cards and historical information available, management has determined that an allowance for doubtful accounts on credit card sales as of March 31, 2017 is not necessary. No bad debt expense has been recorded for the periods ended March 31, 2017 and March 31, 2016.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2017 and June 30, 2016, inventory consisted of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4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14,852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10,264</w:t>
            </w:r>
          </w:p>
        </w:tc>
      </w:tr>
      <w:tr>
        <w:trPr>
          <w:trHeight w:val="27"/>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inventory</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25,116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Inventories are carried and depicted above at the lower of cost or net realizable value, using the first-in, first-out method, which includes a reduction in inventory values of $0.8 million and $0.4 million at March 31, 2017 and June 30, 2016, respectively, related to obsolete, discontinued and slow-moving inventory.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The Company ships the majority of its product directly to the consumer and receives substantially all payment for these sales in the form of credit card receipts. Revenue from direct product sales to customers is recognized upon shipment when passage of title and risk of loss occurs. Estimated returns are recorded when product is shipped. Subject to some exceptions based on local regulations, the Company’s return policy is to provide a full refund for product returned within 30 days if the returned product is unopened or defective. After 30 days, the Company generally does not issue refunds to direct sales customers for returned product. The Company allows terminating distributors to return up to 30% of unopened, unexpired product that they have purchased within the prior twelve months for a full refund, less a 10% restocking fee. The Company establishes the returns reserve based on historical experience. The returns reserve is evaluated on a quarterly basis. As of March 31, 2017 and June 30, 2016, the Company’s reserve balance for returns and allowances was approximately $0.5 million and $0.3 million, respectively.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Shipping and Handling</w:t>
      </w:r>
    </w:p>
    <w:p>
      <w:pPr>
        <w:spacing w:after="0" w:line="148"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associated with inbound freight and freight out to customers, including independent distributors, are included in cost of sales. Shipping and handling fees charged to customers are included in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48"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Company expenses all costs related to research and development activities as incurred. Research and development expenses for the nine months ended March 31, 2017 and 2016 were approximately $0.8 million and $0.7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9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Company utilizes a simplified method for estimating the expected life of the options. The Company uses this method because it believes that it provides a better estimate than the Company’s historical data as post vesting exercises have been limited. The risk-free interest rate assumption is based on observed interest rates appropriate for the expected terms of the stock options.</w:t>
      </w:r>
    </w:p>
    <w:p>
      <w:pPr>
        <w:spacing w:after="0" w:line="10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fair value of restricted stock grants is based on the closing market price of the Company's stock on the date of grant less the Company's expected dividend yield. The fair value of performance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48"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In October 2015, following approval of the Company's shareholders, the Company's board of directors approved the filing of an amendment to the Company's amended and restated articles of incorporation to effectuate a reverse split of the issued and outstanding shares of the Company's common stock on a one-for-seven basis. The reverse stock split was effective on October 19, 2015. The par value and authorized number of shares of common stock were not adjusted as a result of the reverse split. All fractional shares resulting from the reverse stock split were rounded up. All issued and outstanding common stock and per share amounts contained within the Company's consolidated financial statements and footnotes have been retroactively adjusted to reflect this reverse stock split for all periods presented.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from a change in tax rates is recognized in income in the period that includes the effective date of the change. As of March 31, 2017, the Company made certain reclassifications to its deferred tax, income tax payable, prepaid taxes and additional paid-in capital accounts to accurately reflect the timing differences between book and tax recognition of transactions and to account for the tax consequences of historical vesting of stock-based awards.</w:t>
      </w:r>
    </w:p>
    <w:p>
      <w:pPr>
        <w:spacing w:after="0" w:line="10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For the nine months ended March 31, 2017 and 2016 the Company recognized income tax expense of $0.6 million and $2.2 million, respectively, which is reflective of the Company’s current estimated federal, state and foreign effective tax rate. Realization of deferred tax assets is dependent upon future earnings in specific tax jurisdictions, the timing and amount of which are uncertain. The Company continues to evaluate the realizability of the deferred tax asset based upon achieved and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p>
      <w:pPr>
        <w:ind w:right="80"/>
        <w:spacing w:after="0" w:line="282" w:lineRule="auto"/>
        <w:rPr>
          <w:sz w:val="20"/>
          <w:szCs w:val="20"/>
          <w:color w:val="auto"/>
        </w:rPr>
      </w:pPr>
      <w:r>
        <w:rPr>
          <w:rFonts w:ascii="Times New Roman" w:cs="Times New Roman" w:eastAsia="Times New Roman" w:hAnsi="Times New Roman"/>
          <w:sz w:val="18"/>
          <w:szCs w:val="18"/>
          <w:color w:val="auto"/>
        </w:rPr>
        <w:t>estimated future results. The difference between the nine months ended March 31, 2017 effective rate of 29.1% and the Federal statutory rate of 35.0% is due primarily to the effect of discrete items, return to provision adjustments, permanent items and benefits from our permanent reinvestment assertion.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14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95" w:lineRule="exact"/>
        <w:rPr>
          <w:sz w:val="20"/>
          <w:szCs w:val="20"/>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March 31, 2017 the effects of approximately 0.2 million and 0.1 million common shares, respectively, issuable upon exercise of options and non-vested shares of restricted stock granted pursuant to the Company’s 2007, 2010 and 2017 Long-Term Incentive Plans are not included in computations because their effect was anti-dilutive. For the three and nine months ended March 31, 2016 the effects of approximately 0.1 million and 0.2 million common shares, respectively, issuable upon exercise of options granted pursuant to the Company’s 2007 and 2010 Long-Term Incentive Plans were not included in computations because their effect was anti-dilutive.</w:t>
      </w:r>
    </w:p>
    <w:p>
      <w:pPr>
        <w:spacing w:after="0" w:line="103"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Pr>
          <w:p>
            <w:pPr>
              <w:spacing w:after="0"/>
              <w:rPr>
                <w:sz w:val="16"/>
                <w:szCs w:val="16"/>
                <w:color w:val="auto"/>
              </w:rPr>
            </w:pPr>
          </w:p>
        </w:tc>
        <w:tc>
          <w:tcPr>
            <w:tcW w:w="26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awards and options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14,128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14,072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Net income per share,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4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 operates in a single operating segment by selling products to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does not use profitability reports on a regional or divisional basis for making business decisions. However, the Company does report revenue in two geographic regions: the Americas region and the Asia/Pacific &amp; Europe region. Revenues by geographic region are as follows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Pr>
          <w:p>
            <w:pPr>
              <w:spacing w:after="0"/>
              <w:rPr>
                <w:sz w:val="16"/>
                <w:szCs w:val="16"/>
                <w:color w:val="auto"/>
              </w:rPr>
            </w:pPr>
          </w:p>
        </w:tc>
        <w:tc>
          <w:tcPr>
            <w:tcW w:w="266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r>
      <w:tr>
        <w:trPr>
          <w:trHeight w:val="264"/>
        </w:trPr>
        <w:tc>
          <w:tcPr>
            <w:tcW w:w="56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34,379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112,127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118,793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2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36,721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34,714</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45,007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56,160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148,848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153,507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5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Additional information as to the Company’s revenue from operations in the most significant geographical areas is set forth below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Pr>
          <w:p>
            <w:pPr>
              <w:spacing w:after="0"/>
              <w:rPr>
                <w:sz w:val="16"/>
                <w:szCs w:val="16"/>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r>
      <w:tr>
        <w:trPr>
          <w:trHeight w:val="264"/>
        </w:trPr>
        <w:tc>
          <w:tcPr>
            <w:tcW w:w="56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114,822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29,246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26,836</w:t>
            </w:r>
          </w:p>
        </w:tc>
      </w:tr>
    </w:tbl>
    <w:p>
      <w:pPr>
        <w:spacing w:after="0" w:line="144"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long-lived assets were $5.8 million in the United States and $1.0 million in Japan. As of June 30, 2016, long-lived assets were $4.2 million in the United States and $1.3 million in Japan.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w:t>
      </w:r>
    </w:p>
    <w:p>
      <w:pPr>
        <w:spacing w:after="0" w:line="146"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Codification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which supersedes the revenue recognition requirements in ASC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The core principle of the new standard is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recognize revenue to depict the transfer of goods or services to customers in amounts that reflect the consideration it expects to receive in exchange for those goods or services. ASC 606 will be effective for the Company in the first quarter of fiscal 2019. The Company has performed a detailed analysis and does not anticipate that ASC 606 will have a significant impact on revenue recognition or its consolidated financial statements due to the types of revenue transactions that the Company enters into.</w:t>
      </w:r>
    </w:p>
    <w:p>
      <w:pPr>
        <w:spacing w:after="0" w:line="10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 xml:space="preserve">Subsequent to the release of the updated revenue recognition standard discussed above, FASB issued Accounting Standards Update (ASU)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 Revenue Gross versus Net)</w:t>
      </w:r>
      <w:r>
        <w:rPr>
          <w:rFonts w:ascii="Times New Roman" w:cs="Times New Roman" w:eastAsia="Times New Roman" w:hAnsi="Times New Roman"/>
          <w:sz w:val="18"/>
          <w:szCs w:val="18"/>
          <w:color w:val="auto"/>
        </w:rPr>
        <w:t>, ASU 2016-10,</w:t>
      </w:r>
      <w:r>
        <w:rPr>
          <w:rFonts w:ascii="Times New Roman" w:cs="Times New Roman" w:eastAsia="Times New Roman" w:hAnsi="Times New Roman"/>
          <w:sz w:val="18"/>
          <w:szCs w:val="18"/>
          <w:i w:val="1"/>
          <w:iCs w:val="1"/>
          <w:color w:val="auto"/>
        </w:rPr>
        <w:t xml:space="preserve"> Revenue from Contracts with Customers (Topic 606): Identifying Performance Obligations and Licensing</w:t>
      </w:r>
      <w:r>
        <w:rPr>
          <w:rFonts w:ascii="Times New Roman" w:cs="Times New Roman" w:eastAsia="Times New Roman" w:hAnsi="Times New Roman"/>
          <w:sz w:val="18"/>
          <w:szCs w:val="18"/>
          <w:color w:val="auto"/>
        </w:rPr>
        <w:t>, ASU 2016-11,</w:t>
      </w:r>
      <w:r>
        <w:rPr>
          <w:rFonts w:ascii="Times New Roman" w:cs="Times New Roman" w:eastAsia="Times New Roman" w:hAnsi="Times New Roman"/>
          <w:sz w:val="18"/>
          <w:szCs w:val="18"/>
          <w:i w:val="1"/>
          <w:iCs w:val="1"/>
          <w:color w:val="auto"/>
        </w:rPr>
        <w:t xml:space="preserve"> Revenue Recognition (Topic 605) and Derivatives and Hedging (Topic 815), </w:t>
      </w:r>
      <w:r>
        <w:rPr>
          <w:rFonts w:ascii="Times New Roman" w:cs="Times New Roman" w:eastAsia="Times New Roman" w:hAnsi="Times New Roman"/>
          <w:sz w:val="18"/>
          <w:szCs w:val="18"/>
          <w:color w:val="auto"/>
        </w:rPr>
        <w:t>ASU 2016-12,</w:t>
      </w:r>
      <w:r>
        <w:rPr>
          <w:rFonts w:ascii="Times New Roman" w:cs="Times New Roman" w:eastAsia="Times New Roman" w:hAnsi="Times New Roman"/>
          <w:sz w:val="18"/>
          <w:szCs w:val="18"/>
          <w:i w:val="1"/>
          <w:iCs w:val="1"/>
          <w:color w:val="auto"/>
        </w:rPr>
        <w:t xml:space="preserve"> Revenue from Contracts with Customers (Topic 606): Narrow-Scope Improvements and Practical Expedients </w:t>
      </w:r>
      <w:r>
        <w:rPr>
          <w:rFonts w:ascii="Times New Roman" w:cs="Times New Roman" w:eastAsia="Times New Roman" w:hAnsi="Times New Roman"/>
          <w:sz w:val="18"/>
          <w:szCs w:val="18"/>
          <w:color w:val="auto"/>
        </w:rPr>
        <w:t>and ASU 2016-20</w:t>
      </w:r>
      <w:r>
        <w:rPr>
          <w:rFonts w:ascii="Times New Roman" w:cs="Times New Roman" w:eastAsia="Times New Roman" w:hAnsi="Times New Roman"/>
          <w:sz w:val="18"/>
          <w:szCs w:val="18"/>
          <w:i w:val="1"/>
          <w:iCs w:val="1"/>
          <w:color w:val="auto"/>
        </w:rPr>
        <w:t xml:space="preserve">, Technical Corrections and Improvements to Topic 606, Revenue from Contracts with Customers. </w:t>
      </w:r>
      <w:r>
        <w:rPr>
          <w:rFonts w:ascii="Times New Roman" w:cs="Times New Roman" w:eastAsia="Times New Roman" w:hAnsi="Times New Roman"/>
          <w:sz w:val="18"/>
          <w:szCs w:val="18"/>
          <w:color w:val="auto"/>
        </w:rPr>
        <w:t>These updates are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the operability and understandability of the implementation guidance for the updated revenue standard as it relates to the subjects noted. The amendments in these updates have the same effective date as ASC 606 as noted above, and the Company does not anticipate that these updates will have a significant impact on its revenue recognition policy or its consolidated financial statements.</w:t>
      </w:r>
    </w:p>
    <w:p>
      <w:pPr>
        <w:spacing w:after="0" w:line="102"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FASB issued ASU No. 2015-17, </w:t>
      </w:r>
      <w:r>
        <w:rPr>
          <w:rFonts w:ascii="Times New Roman" w:cs="Times New Roman" w:eastAsia="Times New Roman" w:hAnsi="Times New Roman"/>
          <w:sz w:val="18"/>
          <w:szCs w:val="18"/>
          <w:i w:val="1"/>
          <w:iCs w:val="1"/>
          <w:color w:val="auto"/>
        </w:rPr>
        <w:t>Income Taxes (Topic 740): Balance Sheet Classification of Deferred Taxes.</w:t>
      </w:r>
      <w:r>
        <w:rPr>
          <w:rFonts w:ascii="Times New Roman" w:cs="Times New Roman" w:eastAsia="Times New Roman" w:hAnsi="Times New Roman"/>
          <w:sz w:val="18"/>
          <w:szCs w:val="18"/>
          <w:color w:val="auto"/>
        </w:rPr>
        <w:t xml:space="preserve"> Current GAAP requires an entity to separate deferred income tax liabilities and assets into current and noncurrent amounts in a classified statement of financial position. To simplify the presentation of deferred income taxes, the amendments in this update require that all deferred tax assets or liabilities be classified as noncurrent in the classified statement of financial position. The Company early adopted this update prospectively during the first quarter of fiscal 2017, which resulted in the reclassification of the deferred taxes from current to noncurrent on the balance sheet. Prior period balances were not retrospectively adjusted.</w:t>
      </w:r>
    </w:p>
    <w:p>
      <w:pPr>
        <w:spacing w:after="0" w:line="99" w:lineRule="exact"/>
        <w:rPr>
          <w:sz w:val="20"/>
          <w:szCs w:val="20"/>
          <w:color w:val="auto"/>
        </w:rPr>
      </w:pPr>
    </w:p>
    <w:p>
      <w:pPr>
        <w:ind w:right="30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 (Topic 841)</w:t>
      </w:r>
      <w:r>
        <w:rPr>
          <w:rFonts w:ascii="Times New Roman" w:cs="Times New Roman" w:eastAsia="Times New Roman" w:hAnsi="Times New Roman"/>
          <w:sz w:val="18"/>
          <w:szCs w:val="18"/>
          <w:color w:val="auto"/>
        </w:rPr>
        <w:t>. For lessees, the amendments in this update require that for all leases not considered to be short term, a company recognize both a lease liability and right-of-use asset on its balance sheet, representing the obligation to make payments and the right to use or control the use of a specified asset for the lease term. The amendments in this update are effective for annual periods beginning after December 15, 2018 and interim periods within those annual periods. The Company is currently evaluating the impact that this amendment will have on its consolidated financial statements.</w:t>
      </w:r>
    </w:p>
    <w:p>
      <w:pPr>
        <w:spacing w:after="0" w:line="9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March 2016, FASB issued ASU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The amendments in this update involve several aspects of the accounting for share-based compensation transactions, including the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forfeitures, statutory withholding requirements and cash flow classification for applicable transactions, in an effort to reduce costs and complexity associated with these transactions while maintaining the usefulness of financial information. Prior to this update, all excess tax benefits were recognized in additional paid in capital ("APIC") and accumulated in an APIC pool and any tax deficiencies realized were offset against the APIC pool to the extent available, with any excess amounts recognized in the income statement. Under this new amendment, any excess tax benefits or deficiencies resulting from the exercise, vesting or settlement of share-based payment transactions will be recognized in the income statement as tax benefits or expenses prospectively from the date of adoption. Estimating forfeitures as part of the recognition of compensation costs is no longer required, rather, an entity can make the election to account for forfeitures when they occur. The Company early adopted this update during the first quarter of</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ind w:right="160"/>
        <w:spacing w:after="0" w:line="282" w:lineRule="auto"/>
        <w:rPr>
          <w:sz w:val="20"/>
          <w:szCs w:val="20"/>
          <w:color w:val="auto"/>
        </w:rPr>
      </w:pPr>
      <w:r>
        <w:rPr>
          <w:rFonts w:ascii="Times New Roman" w:cs="Times New Roman" w:eastAsia="Times New Roman" w:hAnsi="Times New Roman"/>
          <w:sz w:val="18"/>
          <w:szCs w:val="18"/>
          <w:color w:val="auto"/>
        </w:rPr>
        <w:t>fiscal 2017 and began recording the excess tax benefits to the income statement. The Company elected to continue estimating forfeitures as part of its share-based compensation accounting policy.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Long-Term Debt</w:t>
      </w:r>
    </w:p>
    <w:p>
      <w:pPr>
        <w:spacing w:after="0" w:line="14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October 18, 2013, the Company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The Company did not borrow any amounts under the October 2013 Delayed Draw Term Loan.</w:t>
      </w:r>
    </w:p>
    <w:p>
      <w:pPr>
        <w:spacing w:after="0" w:line="103"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May 1, 2015, the Company entered into an Amendment No. 1 to Financing Agreement ("Amendment No. 1"). Amendment No. 1 revised the March 31, 2015 and June 30, 2015 consolidated EBITDA covenants from $20.6 million and $21.3 million, respectively, to $17.0 million for each quarter end. Amendment No. 1 also revised the minimum unrestricted cash and cash equivalents that the Company was required to hold from $10.0 million to $8.0 million for the reporting periods ended March 31, 2015 and June 30, 2015. In addition, Amendment No. 1 required that the Company make certain accelerated principal payments on the October 2013 Term Loan totaling $4.5 million during the fourth quarter of fiscal year 2016.</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27, 2015, the Company entered into an Amendment No. 2 to Financing Agreement ("Amendment No. 2" and collectively, with the October</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2013 Term Loan, as previously amended by Amendment No. 1, the "October 2013 Credit Facility"). Amendment No. 2 revised the covenants related to minimum consolidated EBITDA (as defined in the amended Financing Agreement) for the four consecutive fiscal quarters ending September 30, 2015, December 31, 2015, March 31, 2016 and June 30, 2016 from $22.2 million, $23.1 million, $24.4 million and $25.6 million, respectively, to $14.5 million, $15.0 million, $17.0 million and $17.5 million, respectively. In addition, Amendment No. 2 required that the Company make additional monthly accelerated principal payments on the October 2013 Term Loan in the amount of $0.5 million commencing on October 15, 2015 and continuing until the Term Loan was paid in full. Amendment No. 2 also required that the Company make additional accelerated payments at the end of each fiscal quarter in the amount of all unrestricted cash on hand as of the close of business on the last day of the quarter in excess of $12.5 million.</w:t>
      </w:r>
    </w:p>
    <w:p>
      <w:pPr>
        <w:spacing w:after="0" w:line="108"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The principal amount of the October 2013 Term Loan was payable in consecutive quarterly installments beginning with the calendar quarter ended March 31, 2014 and matured on the earlier of October 18, 2018 or such date as the outstanding loans became payable in accordance with the terms of the Financing Agreement (the “Final Maturity Date”). The October 2013 Term loan bore interest at a rate equal to 7.5% per annum plus the greater of (i) 1.25% or (ii) LIBOR, or at the Company’s option, a reference rate (as defined in the Financing Agreement) plus 6.5% per annum, with such interest payable monthly. On March 30, 2016, the Company repaid the full amount outstanding under the October 2013 Term Loan and terminated the October 2013 Credit Facility.</w:t>
      </w:r>
    </w:p>
    <w:p>
      <w:pPr>
        <w:spacing w:after="0" w:line="107" w:lineRule="exact"/>
        <w:rPr>
          <w:sz w:val="20"/>
          <w:szCs w:val="20"/>
          <w:color w:val="auto"/>
        </w:rPr>
      </w:pPr>
    </w:p>
    <w:p>
      <w:pPr>
        <w:ind w:right="100" w:firstLine="432"/>
        <w:spacing w:after="0" w:line="277" w:lineRule="auto"/>
        <w:rPr>
          <w:sz w:val="20"/>
          <w:szCs w:val="20"/>
          <w:color w:val="auto"/>
        </w:rPr>
      </w:pPr>
      <w:r>
        <w:rPr>
          <w:rFonts w:ascii="Times New Roman" w:cs="Times New Roman" w:eastAsia="Times New Roman" w:hAnsi="Times New Roman"/>
          <w:sz w:val="17"/>
          <w:szCs w:val="17"/>
          <w:color w:val="auto"/>
        </w:rPr>
        <w:t>On March 30, 2016, the Company entered into a Loan Agreement (the “March 2016 Loan Agreement”) to refinance its outstanding debt under the October 2013 Term Loan. In connection with the March 2016 Loan Agreement and on the same date, the Company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87"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the Company borrows under the March 2016 Revolving Loan, interest will be payable quarterly in arrears on the last day of each fiscal quarter at a variable rate equal to the 30 day LIBOR Rate plus 3.50%.</w:t>
      </w:r>
    </w:p>
    <w:p>
      <w:pPr>
        <w:spacing w:after="0" w:line="99"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March 2016 Credit Facility are secured by a security interest in substantially all of the Company’s assets. Loans outstanding under the March 2016 Credit Facility may be prepaid in whole or in part at any time without premium or penalty. In addition, if, at any time, the aggregate principal amount outstanding under the March 2016 Revolving Loan exceeds $2.0 million, the Company must prepay an amount equal to such excess. Any principal amount of the March 2016 Term Loan which is prepaid or repaid may not be re-borrowed.</w:t>
      </w:r>
    </w:p>
    <w:p>
      <w:pPr>
        <w:spacing w:after="0" w:line="9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March 2016 Credit Facility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ind w:right="20"/>
        <w:spacing w:after="0" w:line="254" w:lineRule="auto"/>
        <w:rPr>
          <w:sz w:val="20"/>
          <w:szCs w:val="20"/>
          <w:color w:val="auto"/>
        </w:rPr>
      </w:pPr>
      <w:r>
        <w:rPr>
          <w:rFonts w:ascii="Times New Roman" w:cs="Times New Roman" w:eastAsia="Times New Roman" w:hAnsi="Times New Roman"/>
          <w:sz w:val="18"/>
          <w:szCs w:val="18"/>
          <w:color w:val="auto"/>
        </w:rPr>
        <w:t>enter into consolidations, mergers or transfers of all or any substantial part of the Company’s assets. The March 2016 Credit Facility also contains various financial covenants that require the Company to maintain a certain consolidated minimum tangible net worth, minimum working capital amounts, and debt to EBITDA and fixed charge coverage ratios. Additionally, the March 2016 Credit Facility contains cross-default provisions, whereby a default under the terms of certain indebtedness or an uncured default of a payment or other material obligation of the Company under a material contract of the Company will cause a default on the remaining indebtedness under the March 2016 Credit Facility. As of March 31, 2017, the Company was in compliance with all applicable covenants under the March 2016 Credit Facility; provided, however, that on October 24, 2016, the Company was granted a waiver and extension to covenants requiring the Company to provide the lender with audited financial statements for the Company's 2016 fiscal year on or before October 28, 2016. Under the limited waiver and extension, the lender agreed to waive compliance with this requirement if the Company delivered such audited financial statements prior to December 31, 2016. In connection with the filing of the Company's Form 10-K on December 12, 2016, the Company delivered all required information to the lender to satisfy the requirement.</w:t>
      </w:r>
    </w:p>
    <w:p>
      <w:pPr>
        <w:spacing w:after="0" w:line="10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31, 2017, the Company recorded interest expense of $24,000 related to the normal amortization of transaction costs associated with the March 2016 Credit Facility. At March 31, 2017, the Company had unamortized transaction costs totaling $0.1 million included in the consolidated balance sheet related to the March 2016 Credit Facility. This balance will be amortized to interest expense using the effective interest method over the term of the loan.</w:t>
      </w:r>
    </w:p>
    <w:p>
      <w:pPr>
        <w:spacing w:after="0" w:line="99"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Company’s book value for the March 2016 Credit Facility approximates the fair value. Aggregate future principal payments required in accordance with the terms of the March 2016 Credit Facility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 (remaining three months ending June 30,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10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10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5,500</w:t>
            </w:r>
          </w:p>
        </w:tc>
      </w:tr>
      <w:tr>
        <w:trPr>
          <w:trHeight w:val="237"/>
        </w:trPr>
        <w:tc>
          <w:tcPr>
            <w:tcW w:w="104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8,000</w:t>
            </w:r>
          </w:p>
        </w:tc>
      </w:tr>
      <w:tr>
        <w:trPr>
          <w:trHeight w:val="27"/>
        </w:trPr>
        <w:tc>
          <w:tcPr>
            <w:tcW w:w="10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10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Stockholders’ Equity</w:t>
      </w:r>
    </w:p>
    <w:p>
      <w:pPr>
        <w:spacing w:after="0" w:line="148"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31, 2017, the Company issued 0.1 million and 0.2 million shares, respectively, of restricted stock and 46,000 and 0.1 million shares, respectively, of common stock upon the exercise of warrants and options. During the three and nine months ended March 31, 2017, 15,000 and 37,000 shares, respectively, of restricted stock were canceled or surrendered as payment of tax withholding upon vesting.</w:t>
      </w:r>
    </w:p>
    <w:p>
      <w:pPr>
        <w:spacing w:after="0" w:line="95"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authorize the issuance of preferred shares. However, as of March 31, 2017, none have been issued and no rights or preferences have been assigned to the preferred shares by the Company’s Board of Directors.</w:t>
      </w:r>
    </w:p>
    <w:p>
      <w:pPr>
        <w:spacing w:after="0" w:line="77" w:lineRule="exact"/>
        <w:rPr>
          <w:sz w:val="20"/>
          <w:szCs w:val="20"/>
          <w:color w:val="auto"/>
        </w:rPr>
      </w:pPr>
    </w:p>
    <w:p>
      <w:pPr>
        <w:jc w:val="center"/>
        <w:ind w:right="8560"/>
        <w:spacing w:after="0"/>
        <w:rPr>
          <w:sz w:val="20"/>
          <w:szCs w:val="20"/>
          <w:color w:val="auto"/>
        </w:rPr>
      </w:pPr>
      <w:r>
        <w:rPr>
          <w:rFonts w:ascii="Times New Roman" w:cs="Times New Roman" w:eastAsia="Times New Roman" w:hAnsi="Times New Roman"/>
          <w:sz w:val="18"/>
          <w:szCs w:val="18"/>
          <w:b w:val="1"/>
          <w:bCs w:val="1"/>
          <w:color w:val="auto"/>
        </w:rPr>
        <w:t>Note 5 — Stock-based Compensation</w:t>
      </w:r>
    </w:p>
    <w:p>
      <w:pPr>
        <w:spacing w:after="0" w:line="148"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u w:val="single" w:color="auto"/>
          <w:color w:val="auto"/>
        </w:rPr>
        <w:t>Long-Term Incentive Plans</w:t>
      </w:r>
    </w:p>
    <w:p>
      <w:pPr>
        <w:spacing w:after="0" w:line="144"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and the shareholders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$1.47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w:t>
      </w:r>
    </w:p>
    <w:p>
      <w:pPr>
        <w:spacing w:after="0" w:line="108"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adopted and the shareholders approved the 2010 Long-Term Incentive Plan (the “2010 Plan”), effective September 27, 2010, as amended on August 21, 2014, to provide incentives to eligible employees, directors and consultants. A maximum of 1.5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$24.71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will be added to the 2017 Plan pool as described below.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 adopted a Performance Incentive Plan effective July 1, 2014 (the "Fiscal 2015 Performance Plan"). The Fiscal 2015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2015 Performance Plan seeks to achieve this purpose by providing for awards in the form of performance share units (the “Units”). No shares will be issued under the Fiscal 2015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 The Company adopted separate Performance Incentive Plans effective July 1, 2015 (the "Fiscal 2016 Performance Plan") and July 1, 2016 (the "Fiscal 2017 Performance Plan"). The Fiscal 2016 and 2017 Performance Plans include performance-based and service-based vesting requirements and payment terms that are substantially the same as described above the Fiscal 2015 Performance Plan.</w:t>
      </w:r>
    </w:p>
    <w:p>
      <w:pPr>
        <w:spacing w:after="0" w:line="10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 adopted and the shareholders approved the 2017 Long-Term Incentive Plan (the “2017 Plan”), effective February 16, 2017 to provide incentives to eligible employees, directors and consultants. The maximum number of shares that can be issued under the 2017 Plan is not to exceed 1,125,000 shares, calculated as the sum of (i) 650,000 shares and (ii) up to 475,000 shares previously reserved for issuance under the 2010 Plan, including shares returned upon cancellation, termination or forfeiture of awards that were previously granted under that plan. Awards expire in accordance with the terms of each award and the shares subject to the award are added back to the 2017 Plan upon expiration of the award.</w:t>
      </w:r>
    </w:p>
    <w:p>
      <w:pPr>
        <w:spacing w:after="0" w:line="1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accounting guidance for stock-based compensation, payments in equity instruments for goods or services are accounted for under the fair value method. For the three and nine months ended March 31, 2017, stock-based compensation of $0.6 million and $1.7 million, respectively, was reflected as an increase to additional paid-in capital and an increase of $12,000 and $0.2 million, respectively, was included in other accrued expenses, all of which was employee related. For the three and nine months ended March 31, 2016, stock-based compensation of $0.7 million and $1.2 million, respectively, was reflected as an increase to additional paid-in capital, all of which was employee related.</w:t>
      </w:r>
    </w:p>
    <w:p>
      <w:pPr>
        <w:spacing w:after="0" w:line="103"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January 4, 2016, the Company awarded Performance Stock Units under the 2010 Long-Term Incentive Plan to its executive officers (the "Recipients") and, in March 2016, the Company and each Recipient entered into an amended and restated stock unit agreement (the "Restated Stock Unit Agreement") amending the terms of the January 2016 awards. Under the Restated Stock Unit Agreements, vesting for the Performance Stock Units occurs at the end of a three year performance period beginning January 1, 2016 (the "Performance Period") and is subject to achievement of both service-based and market-based performance vesting requirements. Subject generally to the Recipient's continued service with the Company (the service based requirement) and limitations otherwise set forth in the 2010 Long-Term Incentive Plan, each Performance Stock Unit represents a contingent right for the Recipient to receive, within thirty days after the end of the performance period, a distribution of shares of common stock of the Company equal to 0% to 200% of the target number of Performance Stock Units subject to the award. The actual number of shares distributed will be based on the Company's total stockholder return ("TSR") performance during the Performance Period, subject to acceleration upon a change in control of the Company. The vesting for 50% of the Performance Stock Units is based upon the Company's absolute TSR for the performance period compared to a matrix of fixed numeric values and the vesting for the other 50% of the Performance Stock Units is based upon the relative comparison of the Company's TSR to the Vanguard Russell 2000 exchange traded fund TSR. The fair value of the Performance Stock Units will be recognized on a straight-line basis over the requisite service period of the awards, regardless of when, if ever, the market-based performance conditions are satisfied. On March 28, 2017, the Company awarded new Performance Stock Units under the 2017 Long-Term Incentive Plan to its executive officers. These awards have a three year performance period beginning on January 1, 2017 and otherwise include the same performance-based and service-based vesting requirements as the previous awards.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4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contingent liabilities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right="160"/>
        <w:spacing w:after="0" w:line="258" w:lineRule="auto"/>
        <w:rPr>
          <w:sz w:val="20"/>
          <w:szCs w:val="20"/>
          <w:color w:val="auto"/>
        </w:rPr>
      </w:pPr>
      <w:r>
        <w:rPr>
          <w:rFonts w:ascii="Times New Roman" w:cs="Times New Roman" w:eastAsia="Times New Roman" w:hAnsi="Times New Roman"/>
          <w:sz w:val="18"/>
          <w:szCs w:val="18"/>
          <w:color w:val="auto"/>
        </w:rPr>
        <w:t>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2017, and based on the assessment there are no probable loss contingencies requiring accrual or disclosures within these financial statements and footnotes.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Accruals</w:t>
      </w:r>
    </w:p>
    <w:p>
      <w:pPr>
        <w:spacing w:after="0" w:line="146"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our business. Management assesses contingencies to determine the degree of probability and range of possible loss for potential accrual in our consolidated financial statements. An estimated loss contingency is accrued in our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any such losses, damages or remedies may have on our consolidated financial statements; and the unique facts and circumstances of the particular matter that may give rise to additional factors.</w:t>
      </w:r>
    </w:p>
    <w:p>
      <w:pPr>
        <w:spacing w:after="0" w:line="1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Former Distributor Lawsuit: </w:t>
      </w:r>
      <w:r>
        <w:rPr>
          <w:rFonts w:ascii="Times New Roman" w:cs="Times New Roman" w:eastAsia="Times New Roman" w:hAnsi="Times New Roman"/>
          <w:sz w:val="18"/>
          <w:szCs w:val="18"/>
          <w:color w:val="auto"/>
        </w:rPr>
        <w:t>On November 20, 2013, the Company filed a complaint in the United States District Court, District of Utah, Central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Division naming Jason Domingo and Ovation Marketing Group, Inc. as defendants. Ovation Marketing Group, Inc. is a former distributor of the company. In the complaint, the Company alleges that the defendants breached a contract and misappropriated the Company's trade secrets. On January 21, 2014, the defendants filed an answer and counterclaim in response to the complaint. The defendants' answer and counterclaims allege defamation and tortious interference with economic relations, which the defendants claim resulted in damages of not less than $20 million. On December 14, 2015, the Company filed a motion for summary judgment seeking judgment in its favor on the Company's breach of contract claim and dismissal of all defendants’ counterclaims. Also on December 14, 2015, defendants filed a motion for summary judgment seeking dismissal of the Company's claim for misappropriation of trade secrets and to dismiss the Company's judicial proceedings privilege defense against the defamation claim. The Court heard oral argument on the motions for summary judgment on May 17, 2016. The court granted summary judgment in favor of the Company on its breach of contract claims and dismissed the Company's trade secret claim for lack of proof of damages. Subsequently, on February 10, 2017, the Company entered into a confidential settlement agreement with the defendants and all claims and counter claims have now been dismissed with prejudice.</w:t>
      </w:r>
    </w:p>
    <w:p>
      <w:pPr>
        <w:spacing w:after="0" w:line="10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Class Action Lawsuit: </w:t>
      </w:r>
      <w:r>
        <w:rPr>
          <w:rFonts w:ascii="Times New Roman" w:cs="Times New Roman" w:eastAsia="Times New Roman" w:hAnsi="Times New Roman"/>
          <w:sz w:val="18"/>
          <w:szCs w:val="18"/>
          <w:color w:val="auto"/>
        </w:rPr>
        <w:t>On September 15, 2016, a purported securities class action was filed in the United States District Court for the District of Utah,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Zhang v. LifeVantage Corp., Case No. 2:16-cv-00965-BCW (D. Utah filed Sept. 15, 2016). In this action (now recaptioned as In re LifeVantage Corp. Securities Litigation), plaintiff alleges that the Company, its Chief Executive Officer and now-former Chief Financial Officer violated Sections 10(b) and/or 20(a) of the Securities Exchange Act of 1934, 15 U.S.C. §§ 78j(b), 78t(a), and Rule 10b-5, 17 C.F.R. § 240.10b-5, promulgated thereunder, by making false or misleading statements or omissions in public filings with the Securities and Exchange Commission regarding the Company's internal controls and financial results for the first, second and third quarters of fiscal year 2016. The initial complaint sought unspecified damages against the defendants on behalf of a class of purchasers of the Company’s stock between November 4, 2015 and September 13, 2016. By stipulation filed October 7, 2016, the parties agreed that defendants need not respond to the initial complaint in the action until after a lead plaintiff is appointed pursuant to the Private Securities Litigation Reform Act of 1995 (“PSLRA”), at which time the parties will meet and confer regarding the timing of the filing of an amended complaint and responses thereto. On November 14, 2016, three motions for appointment as lead plaintiff were filed. On December 13, 2016, the Court appointed Dale Blanch and Yvonne Cohen as lead plaintiffs and approved their selection of lead plaintiffs’ counsel. On January 27, 2017, lead plaintiffs filed an amended complaint. On March 13, 2017, defendants filed a motion to dismiss the amended complaint for failure to state a claim for relief and a motion to strike certain irrelevant matters from the amended complaint. Lead plaintiffs filed their opposition to defendants’ motions on April 19, 2017.</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40"/>
        <w:spacing w:after="0" w:line="261" w:lineRule="auto"/>
        <w:rPr>
          <w:sz w:val="20"/>
          <w:szCs w:val="20"/>
          <w:color w:val="auto"/>
        </w:rPr>
      </w:pPr>
      <w:r>
        <w:rPr>
          <w:rFonts w:ascii="Times New Roman" w:cs="Times New Roman" w:eastAsia="Times New Roman" w:hAnsi="Times New Roman"/>
          <w:sz w:val="18"/>
          <w:szCs w:val="18"/>
          <w:color w:val="auto"/>
        </w:rPr>
        <w:t>Defendants filed their reply on May 10, 2017. The Court has not set a hearing date for the motion. By operation of the PSLRA, all discovery and other proceedings are stayed in this action pending a ruling on defendants’ motion to dismiss.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10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Derivative Action Lawsuits: </w:t>
      </w:r>
      <w:r>
        <w:rPr>
          <w:rFonts w:ascii="Times New Roman" w:cs="Times New Roman" w:eastAsia="Times New Roman" w:hAnsi="Times New Roman"/>
          <w:sz w:val="18"/>
          <w:szCs w:val="18"/>
          <w:color w:val="auto"/>
        </w:rPr>
        <w:t>On October 11, 2016, two purported shareholder derivative actions were filed in the Third District Court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Utah, Salt Lake County, entitled </w:t>
      </w:r>
      <w:r>
        <w:rPr>
          <w:rFonts w:ascii="Times New Roman" w:cs="Times New Roman" w:eastAsia="Times New Roman" w:hAnsi="Times New Roman"/>
          <w:sz w:val="18"/>
          <w:szCs w:val="18"/>
          <w:i w:val="1"/>
          <w:iCs w:val="1"/>
          <w:color w:val="auto"/>
        </w:rPr>
        <w:t>Johnson v. Jensen</w:t>
      </w:r>
      <w:r>
        <w:rPr>
          <w:rFonts w:ascii="Times New Roman" w:cs="Times New Roman" w:eastAsia="Times New Roman" w:hAnsi="Times New Roman"/>
          <w:sz w:val="18"/>
          <w:szCs w:val="18"/>
          <w:color w:val="auto"/>
        </w:rPr>
        <w:t xml:space="preserve">, Case No. 160906320 MI (Utah Dist. filed Oct. 11, 2016), and </w:t>
      </w:r>
      <w:r>
        <w:rPr>
          <w:rFonts w:ascii="Times New Roman" w:cs="Times New Roman" w:eastAsia="Times New Roman" w:hAnsi="Times New Roman"/>
          <w:sz w:val="18"/>
          <w:szCs w:val="18"/>
          <w:i w:val="1"/>
          <w:iCs w:val="1"/>
          <w:color w:val="auto"/>
        </w:rPr>
        <w:t>Rupp v. Jensen</w:t>
      </w:r>
      <w:r>
        <w:rPr>
          <w:rFonts w:ascii="Times New Roman" w:cs="Times New Roman" w:eastAsia="Times New Roman" w:hAnsi="Times New Roman"/>
          <w:sz w:val="18"/>
          <w:szCs w:val="18"/>
          <w:color w:val="auto"/>
        </w:rPr>
        <w:t xml:space="preserve">, Case No. 160906321 MI (Utah Dist. filed Oct. 11, 2016). In these actions (which are substantively identical), plaintiffs, purportedly on behalf of the Company, allege that the Company's Chief Executive Officer, now-former Chief Financial Officer and members of the Board of Directors breached their fiduciary duties owed to the Company by, among other things, causing or permitting the Company to issue false and misleading statements or omissions in public filings with the Securities and Exchange Commission, as alleged in the class action lawsuit noted above. On October 19, 2016, the Court entered an order consolidating the two actions under the Johnson case number, with the new caption </w:t>
      </w:r>
      <w:r>
        <w:rPr>
          <w:rFonts w:ascii="Times New Roman" w:cs="Times New Roman" w:eastAsia="Times New Roman" w:hAnsi="Times New Roman"/>
          <w:sz w:val="18"/>
          <w:szCs w:val="18"/>
          <w:i w:val="1"/>
          <w:iCs w:val="1"/>
          <w:color w:val="auto"/>
        </w:rPr>
        <w:t>In re LifeVantage Corp. Derivative Litigation</w:t>
      </w:r>
      <w:r>
        <w:rPr>
          <w:rFonts w:ascii="Times New Roman" w:cs="Times New Roman" w:eastAsia="Times New Roman" w:hAnsi="Times New Roman"/>
          <w:sz w:val="18"/>
          <w:szCs w:val="18"/>
          <w:color w:val="auto"/>
        </w:rPr>
        <w:t>, providing that defendants and nominal defendant need not respond to the initial complaints and directing the parties to meet and confer within thirty days on a schedule for further proceedings in this action. On November 21, 2016, the Court approved a stipulation between the parties providing that (a) defendants and nominal defendant need not respond to the initial complaints and (b) within thirty days from the earlier of (i) the Company’s filing of its Form 10-K for fiscal year 2016 and (ii) plaintiffs’ filing of a consolidated amended complaint, the parties will meet and confer on a schedule regarding further proceedings in this action. On January 10, 2017, the Court approved a stipulation between the parties providing that this action would be deferred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stayed) pending a ruling on defendants’ then-anticipated motion to dismiss the amended complaint in the Class Action Lawsuit. On March 13, 2017, plaintiffs filed a consolidated amended complaint.</w:t>
      </w:r>
    </w:p>
    <w:p>
      <w:pPr>
        <w:spacing w:after="0" w:line="67"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30, 2017, another purported shareholder derivative action was filed in the United States District Court for the District of Utah, entitled </w:t>
      </w:r>
      <w:r>
        <w:rPr>
          <w:rFonts w:ascii="Times New Roman" w:cs="Times New Roman" w:eastAsia="Times New Roman" w:hAnsi="Times New Roman"/>
          <w:sz w:val="18"/>
          <w:szCs w:val="18"/>
          <w:i w:val="1"/>
          <w:iCs w:val="1"/>
          <w:color w:val="auto"/>
        </w:rPr>
        <w:t>Hansen v. Jensen</w:t>
      </w:r>
      <w:r>
        <w:rPr>
          <w:rFonts w:ascii="Times New Roman" w:cs="Times New Roman" w:eastAsia="Times New Roman" w:hAnsi="Times New Roman"/>
          <w:sz w:val="18"/>
          <w:szCs w:val="18"/>
          <w:color w:val="auto"/>
        </w:rPr>
        <w:t>, Case No. 2:17-cv-00075-DN (D. Utah filed Jan. 30, 2017). In this action, plaintiff, purportedly on behalf of the Company, alleges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Chief Executive Officer, now-former Chief Financial Officer and members of the Board of Directors violated Section 14(a) of the Securities Exchange Act of 1934, 15 U.S.C. § 78n(a), and breached their fiduciary duties owed to the Com-pany by, among other things, causing or permitting the Company to issue false and misleading statements or omissions in public filings with the SEC, as alleged in the class action lawsuit noted above. On March 30, 2017, the parties entered into a stipulation providing that this action would be stayed pending a ruling on defendants’ motion to dismiss the amended complaint in the Class Action Lawsuit. On February 27, 2017, another purported shareholder derivative action was filed in the United States District Court for the District of Utah, entitled </w:t>
      </w:r>
      <w:r>
        <w:rPr>
          <w:rFonts w:ascii="Times New Roman" w:cs="Times New Roman" w:eastAsia="Times New Roman" w:hAnsi="Times New Roman"/>
          <w:sz w:val="18"/>
          <w:szCs w:val="18"/>
          <w:i w:val="1"/>
          <w:iCs w:val="1"/>
          <w:color w:val="auto"/>
        </w:rPr>
        <w:t>Baker v. Jensen</w:t>
      </w:r>
      <w:r>
        <w:rPr>
          <w:rFonts w:ascii="Times New Roman" w:cs="Times New Roman" w:eastAsia="Times New Roman" w:hAnsi="Times New Roman"/>
          <w:sz w:val="18"/>
          <w:szCs w:val="18"/>
          <w:color w:val="auto"/>
        </w:rPr>
        <w:t xml:space="preserve">, Case No. 2:17-cv-00141-PMW (D. Utah filed Feb. 27, 2017). Also, on April 24, 2017, another purported shareholder derivative action was filed in the United States District Court for the District of Utah, entitled </w:t>
      </w:r>
      <w:r>
        <w:rPr>
          <w:rFonts w:ascii="Times New Roman" w:cs="Times New Roman" w:eastAsia="Times New Roman" w:hAnsi="Times New Roman"/>
          <w:sz w:val="18"/>
          <w:szCs w:val="18"/>
          <w:i w:val="1"/>
          <w:iCs w:val="1"/>
          <w:color w:val="auto"/>
        </w:rPr>
        <w:t>Inforzato v. Jensen</w:t>
      </w:r>
      <w:r>
        <w:rPr>
          <w:rFonts w:ascii="Times New Roman" w:cs="Times New Roman" w:eastAsia="Times New Roman" w:hAnsi="Times New Roman"/>
          <w:sz w:val="18"/>
          <w:szCs w:val="18"/>
          <w:color w:val="auto"/>
        </w:rPr>
        <w:t xml:space="preserve">, Case No. 2:17-cv-00317-JNP (D. Utah filed Apr. 24, 2017). In these actions, plaintiffs, also purportedly on behalf of the Company, make similar allegations as the plaintiff in </w:t>
      </w:r>
      <w:r>
        <w:rPr>
          <w:rFonts w:ascii="Times New Roman" w:cs="Times New Roman" w:eastAsia="Times New Roman" w:hAnsi="Times New Roman"/>
          <w:sz w:val="18"/>
          <w:szCs w:val="18"/>
          <w:i w:val="1"/>
          <w:iCs w:val="1"/>
          <w:color w:val="auto"/>
        </w:rPr>
        <w:t>Hansen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Jensen</w:t>
      </w:r>
      <w:r>
        <w:rPr>
          <w:rFonts w:ascii="Times New Roman" w:cs="Times New Roman" w:eastAsia="Times New Roman" w:hAnsi="Times New Roman"/>
          <w:sz w:val="18"/>
          <w:szCs w:val="18"/>
          <w:color w:val="auto"/>
        </w:rPr>
        <w:t>, described above. The deadline for defendants and nominal defendant to respond to the</w:t>
      </w:r>
      <w:r>
        <w:rPr>
          <w:rFonts w:ascii="Times New Roman" w:cs="Times New Roman" w:eastAsia="Times New Roman" w:hAnsi="Times New Roman"/>
          <w:sz w:val="18"/>
          <w:szCs w:val="18"/>
          <w:i w:val="1"/>
          <w:iCs w:val="1"/>
          <w:color w:val="auto"/>
        </w:rPr>
        <w:t xml:space="preserve"> Baker </w:t>
      </w:r>
      <w:r>
        <w:rPr>
          <w:rFonts w:ascii="Times New Roman" w:cs="Times New Roman" w:eastAsia="Times New Roman" w:hAnsi="Times New Roman"/>
          <w:sz w:val="18"/>
          <w:szCs w:val="18"/>
          <w:color w:val="auto"/>
        </w:rPr>
        <w:t>complaint is June 12, 2017. The</w:t>
      </w:r>
      <w:r>
        <w:rPr>
          <w:rFonts w:ascii="Times New Roman" w:cs="Times New Roman" w:eastAsia="Times New Roman" w:hAnsi="Times New Roman"/>
          <w:sz w:val="18"/>
          <w:szCs w:val="18"/>
          <w:i w:val="1"/>
          <w:iCs w:val="1"/>
          <w:color w:val="auto"/>
        </w:rPr>
        <w:t xml:space="preserve"> Inforzato </w:t>
      </w:r>
      <w:r>
        <w:rPr>
          <w:rFonts w:ascii="Times New Roman" w:cs="Times New Roman" w:eastAsia="Times New Roman" w:hAnsi="Times New Roman"/>
          <w:sz w:val="18"/>
          <w:szCs w:val="18"/>
          <w:color w:val="auto"/>
        </w:rPr>
        <w:t>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not yet been served.</w:t>
      </w:r>
    </w:p>
    <w:p>
      <w:pPr>
        <w:spacing w:after="0" w:line="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notes that although the plaintiffs in the Derivative Action Lawsuits purport to seek unspecified damages against the individual defendants on behalf of the Company, the Company owes certain indemnification obligations to these individual defendants under Colorado law and existing indemnification agreements. The Company has not established a loss contingency accrual for this lawsuit as it believes liability is not probable or estimable, and the defendants plan to vigorously defend against this lawsuit. Nonetheless, an unfavorable resolution of this matter could have a material adverse effect on the Company's business, results of operations or financial condition.</w:t>
      </w:r>
    </w:p>
    <w:p>
      <w:pPr>
        <w:spacing w:after="0" w:line="72"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Matters. </w:t>
      </w:r>
      <w:r>
        <w:rPr>
          <w:rFonts w:ascii="Times New Roman" w:cs="Times New Roman" w:eastAsia="Times New Roman" w:hAnsi="Times New Roman"/>
          <w:sz w:val="18"/>
          <w:szCs w:val="18"/>
          <w:color w:val="auto"/>
        </w:rPr>
        <w:t>In addition to the matters described above, the Company also may become involved in other litigation and regulatory matters incidental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14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During the current fiscal year, there are three transactions or series of similar transactions to which the Company was or is to be a party in which the amount involved will exceed $120,000 and in which any director, executive officer, holder of more than 5% of the Company's common stock or any member of the immediate family of any of the foregoing persons had or will have a direct or indirect material interest.</w:t>
      </w:r>
    </w:p>
    <w:p>
      <w:pPr>
        <w:spacing w:after="0" w:line="95"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2017, Dinng, a brand and digital brand studio, provided branding and marketing services to the Company pursuant to an Agreement for Services dated August 18, 2015 between the Company and Dinng, in the</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580" w:right="279" w:bottom="1440" w:gutter="0" w:footer="0" w:header="0"/>
        </w:sectPr>
      </w:pPr>
    </w:p>
    <w:bookmarkStart w:id="18" w:name="page19"/>
    <w:bookmarkEnd w:id="18"/>
    <w:p>
      <w:pPr>
        <w:ind w:right="440"/>
        <w:spacing w:after="0" w:line="282" w:lineRule="auto"/>
        <w:rPr>
          <w:sz w:val="20"/>
          <w:szCs w:val="20"/>
          <w:color w:val="auto"/>
        </w:rPr>
      </w:pPr>
      <w:r>
        <w:rPr>
          <w:rFonts w:ascii="Times New Roman" w:cs="Times New Roman" w:eastAsia="Times New Roman" w:hAnsi="Times New Roman"/>
          <w:sz w:val="18"/>
          <w:szCs w:val="18"/>
          <w:color w:val="auto"/>
        </w:rPr>
        <w:t>amount of $0.3 million. The Company's Chief Marketing Officer, Ryan Goodwin, is the founder of Dinng and currently serves as Dinng’s President and Creative Director. Mr. Goodwin and his wife are both salaried employees at Dinng.</w:t>
      </w:r>
    </w:p>
    <w:p>
      <w:pPr>
        <w:spacing w:after="0" w:line="8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2017, Outhink Inc., a digital media and application development company, provided consulting services to the Company pursuant to an Agreement for Services dated October 20, 2016 between the Company and Outhink Inc. in the amount of $0.1 million. David Toole, a member of the Company's board of directors, is a majority owner and serves as the Chief Executive Officer of Outhink Inc.</w:t>
      </w:r>
    </w:p>
    <w:p>
      <w:pPr>
        <w:spacing w:after="0" w:line="95"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2017 the Company entered into a memorandum of understanding with Gig Economy Group ("GEG") for outsourced software application development services. Pursuant to the memorandum, the Company paid $0.1 million and expects to pay a total of $1.2 million under the expected contract terms. David Toole, a member of the Company's board of directors, is a majority owner of GEG.</w:t>
      </w:r>
    </w:p>
    <w:p>
      <w:pPr>
        <w:spacing w:after="0" w:line="95"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Effective January 2014, the Company commenced a partnership with Real Salt Lake of Major League Soccer, which includes the placement of the Company's logo on the front of the team’s jersey as well as strategic placement of the Company's logo around the stadium and on televised broadcasts of the games. In July 2015, Dell Loy Hansen, the sole owner of Real Salt Lake and Real Monarchs SLC, became a 5% stockholder of the Company. During fiscal year 2017, the Company will pay $2.7 million to Real Salt Lake pursuant to the terms of this partnership, and other various amounts for the endorsement of Real Monarchs SLC and product marketing expenses.</w:t>
      </w:r>
    </w:p>
    <w:p>
      <w:pPr>
        <w:spacing w:after="0" w:line="99" w:lineRule="exact"/>
        <w:rPr>
          <w:sz w:val="20"/>
          <w:szCs w:val="20"/>
          <w:color w:val="auto"/>
        </w:rPr>
      </w:pPr>
    </w:p>
    <w:p>
      <w:pPr>
        <w:ind w:right="3980"/>
        <w:spacing w:after="0" w:line="40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We are a company focused on nutrigenomics, the study of how nutrition and naturally occurring compounds affect human genes. We are dedicated to helping people achieve their health, wellness and financial independence goals. We provide quality, scientifically validated products and a financially rewarding direct sales business opportunity to preferred customers, retail customers, and independent distributors who seek a healthy lifestyle and financial freedom. We engage in the identification, research, development and distribution of advanced nutraceutical dietary supplements and skin care products. We currently sell our products to preferred customers, retail customers and independent distributors in two geographic regions that we have classified as the Americas region and the Asia/Pacific &amp; Europe region.</w:t>
      </w:r>
    </w:p>
    <w:p>
      <w:pPr>
        <w:spacing w:after="0" w:line="10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revenue depends on the number and productivity of our independent distributors and the number of our retail and preferred customers. When we are successful in attracting and retaining independent distributors and preferred customers, it is largely because of:</w:t>
      </w:r>
    </w:p>
    <w:p>
      <w:pPr>
        <w:spacing w:after="0" w:line="81" w:lineRule="exact"/>
        <w:rPr>
          <w:sz w:val="20"/>
          <w:szCs w:val="20"/>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scientifically-validated products, including our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Petandim™,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PhysIQ™;</w:t>
      </w:r>
    </w:p>
    <w:p>
      <w:pPr>
        <w:spacing w:after="0" w:line="90"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plan and other sales initiatives; and</w:t>
      </w:r>
    </w:p>
    <w:p>
      <w:pPr>
        <w:spacing w:after="0" w:line="184"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delivery of superior customer service.</w:t>
      </w:r>
    </w:p>
    <w:p>
      <w:pPr>
        <w:spacing w:after="0" w:line="15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As a result, it is vital to our success that we leverage our product development resources to develop and introduce compelling and innovative products and provide opportunities for our independent distributors to sell these products in a variety of markets.</w:t>
      </w:r>
    </w:p>
    <w:p>
      <w:pPr>
        <w:spacing w:after="0" w:line="8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have begun selling our products and attracting new independent distributors, retail customers and preferred customers in several new markets since the beginning of our direct selling activities in 2009, including Japan, Australia, Canada, Mexico, Hong Kong, Thailand, the United Kingdom, the Netherlands and, on a limited basis, the Philippines. Entering new markets requires a considerable amount of time, resources and continued support. If we are unable to properly support an existing or new market, our revenue growth will be negatively impacted.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48" w:lineRule="exact"/>
        <w:rPr>
          <w:sz w:val="20"/>
          <w:szCs w:val="20"/>
          <w:color w:val="auto"/>
        </w:rPr>
      </w:pPr>
    </w:p>
    <w:p>
      <w:pPr>
        <w:ind w:right="40" w:firstLine="405"/>
        <w:spacing w:after="0" w:line="211" w:lineRule="auto"/>
        <w:rPr>
          <w:sz w:val="20"/>
          <w:szCs w:val="20"/>
          <w:color w:val="auto"/>
        </w:rPr>
      </w:pPr>
      <w:r>
        <w:rPr>
          <w:rFonts w:ascii="Times New Roman" w:cs="Times New Roman" w:eastAsia="Times New Roman" w:hAnsi="Times New Roman"/>
          <w:sz w:val="18"/>
          <w:szCs w:val="18"/>
          <w:color w:val="auto"/>
        </w:rPr>
        <w:t>Our products are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the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regimen, Axio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and Petandim™.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line includes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and Nrf2 synergizers.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is formulated to increase cellular energy and performance by boosting mitochondria production to improve cellular repair and slow cellular aging.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Nrf2 synergizer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Our LifeVantage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skin care regimen includes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Ultra Gentle Facial Cleanser,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Perfecting Lotion,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Eye Corrector Serum, TrueScience</w:t>
      </w:r>
      <w:r>
        <w:rPr>
          <w:rFonts w:ascii="Times New Roman" w:cs="Times New Roman" w:eastAsia="Times New Roman" w:hAnsi="Times New Roman"/>
          <w:sz w:val="25"/>
          <w:szCs w:val="25"/>
          <w:color w:val="auto"/>
          <w:vertAlign w:val="superscript"/>
        </w:rPr>
        <w:t>®</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580" w:right="259" w:bottom="1440" w:gutter="0" w:footer="0" w:header="0"/>
        </w:sectPr>
      </w:pPr>
    </w:p>
    <w:bookmarkStart w:id="19" w:name="page20"/>
    <w:bookmarkEnd w:id="19"/>
    <w:p>
      <w:pPr>
        <w:ind w:right="20"/>
        <w:spacing w:after="0" w:line="198" w:lineRule="auto"/>
        <w:rPr>
          <w:sz w:val="20"/>
          <w:szCs w:val="20"/>
          <w:color w:val="auto"/>
        </w:rPr>
      </w:pPr>
      <w:r>
        <w:rPr>
          <w:rFonts w:ascii="Times New Roman" w:cs="Times New Roman" w:eastAsia="Times New Roman" w:hAnsi="Times New Roman"/>
          <w:sz w:val="18"/>
          <w:szCs w:val="18"/>
          <w:color w:val="auto"/>
        </w:rPr>
        <w:t>Micro-Lift Serum and our enhanced TrueScience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Anti-Aging Cream, Axio</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8"/>
          <w:szCs w:val="18"/>
          <w:color w:val="auto"/>
        </w:rPr>
        <w:t xml:space="preserve"> is our line of energy drink mixes formulated to promote alertness and support mental performance. Petandim™ is a supplement specially formulated to combat oxidative stress in dogs through Nrf2 activation.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our smart weight management system which includes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Fat Burn,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ProBio,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Cleanse and the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Protein Shake mix, all formulated to aid in weight management.</w:t>
      </w:r>
    </w:p>
    <w:p>
      <w:pPr>
        <w:spacing w:after="0" w:line="119"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We currently have additional products in development. Any delays or difficulties in introducing compelling products or attractive initiatives or sales tools into our markets may have a negative impact on our revenue and our ability to attract new independent distributors, retail customers and preferred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Because we utilize a direct selling model for the distribution of our products, the success and growth of our business is primarily based on the effectiveness of our independent distributors in selling our products and on our ability to attract new and retain existing independent distributors. Changes in our product sales are typically the result of variations in product sales volume relating to fluctuations in the number of active independent distributors and preferred customers purchasing our products. The number of active independent distributors and preferred customers is, therefore, used by management as a key non-financial measure.</w:t>
      </w:r>
    </w:p>
    <w:p>
      <w:pPr>
        <w:spacing w:after="0" w:line="10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changes in our active customer base by geographic region. These numbers have been rounded to the nearest thousand as of the dates indicated. For purposes of this report, we only count as active customers those independent distributors and preferred customers who have purchased from us at any time during the most recent three-month period, either for personal use or for resale.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Active Preferred Customers By Region</w:t>
            </w:r>
          </w:p>
        </w:tc>
        <w:tc>
          <w:tcPr>
            <w:tcW w:w="9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15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Change from Prior</w:t>
            </w:r>
          </w:p>
        </w:tc>
        <w:tc>
          <w:tcPr>
            <w:tcW w:w="13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89,000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97,000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21,000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111,000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118,000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4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Active Independent Distributors By Region</w:t>
            </w:r>
          </w:p>
        </w:tc>
        <w:tc>
          <w:tcPr>
            <w:tcW w:w="9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15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Change from Prior</w:t>
            </w:r>
          </w:p>
        </w:tc>
        <w:tc>
          <w:tcPr>
            <w:tcW w:w="13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46,000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49,000</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 &amp; Europe</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63,000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71,000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March 31, 2017 compared to the Three and Nine months ended March 31, 2016</w:t>
      </w:r>
    </w:p>
    <w:p>
      <w:pPr>
        <w:spacing w:after="0" w:line="146"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generated net revenue of $45.0 million and $56.2 million during the three months ended March 31, 2017 and 2016, respectively.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net revenue of $148.8 million and $153.5 million during the nine months ended March 31, 2017 and 2016, respectively. Foreign currency fluctuations positively impacted our revenue $0.1 million or 0.2% and $3.5 million or 2.3% during the three and nine months ended March 31, 2017. During the three and nine months ended March 31, 2017, revenues in our United States and Hong Kong markets decreased as compared to the prior year periods as we took steps, following the completion of the independent review conducted by the audit committee of the board of directors, to help ensure that our products are not distributed or sold into countries without complying with applicable customs, tax and other regulatory requirements and to appropriately verify the residency of individuals who want to become our independent distributors. Consistent with these regulatory requirements, in the future our independent distributors may be able to purchase a limited quantity of such products for personal consumption in one or more of these countries. Nevertheless, we expect that our revenue in future periods from sales of our products that are carried or shipped into these countries will be significantly lower than in fiscal 2016.</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8" w:right="23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The following table sets forth revenue for the three and nine months ended March 31, 2017 and 2016 for the Americas region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60" w:type="dxa"/>
            <w:vAlign w:val="bottom"/>
          </w:tcPr>
          <w:p>
            <w:pPr>
              <w:spacing w:after="0"/>
              <w:rPr>
                <w:sz w:val="13"/>
                <w:szCs w:val="13"/>
                <w:color w:val="auto"/>
              </w:rPr>
            </w:pPr>
          </w:p>
        </w:tc>
      </w:tr>
      <w:tr>
        <w:trPr>
          <w:trHeight w:val="195"/>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22"/>
                <w:szCs w:val="22"/>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33,681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42,565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114,822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7"/>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Americas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34,379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44,012</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112,127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118,793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Revenue in the Americas region for the three and nine months ended March 31, 2017 decreased $9.6 million or 21.9% and $6.7 million or 5.6%, respectively, from the prior year same periods. The decrease in revenue for the three and nine months ended March 31, 2017 is due to an overall decrease in the number of active preferred customers and active distributors during the periods, lower revenues associated with our elite academy events held during the current period as compared to the prior year events, which include one additional elite academy and our October 2015 global convention. The more restrictive policies that we implemented in connection with the audit committee review as discussed above also contributed to the decline in revenue in the current year periods.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Asia/Pacific &amp; Europe</w:t>
      </w:r>
      <w:r>
        <w:rPr>
          <w:rFonts w:ascii="Times New Roman" w:cs="Times New Roman" w:eastAsia="Times New Roman" w:hAnsi="Times New Roman"/>
          <w:sz w:val="18"/>
          <w:szCs w:val="18"/>
          <w:color w:val="auto"/>
        </w:rPr>
        <w:t>. The following table sets forth revenue for the three and nine months ended March 31, 2017 and 2016 for the Asia/Pacific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region and its principal markets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60" w:type="dxa"/>
            <w:vAlign w:val="bottom"/>
          </w:tcPr>
          <w:p>
            <w:pPr>
              <w:spacing w:after="0"/>
              <w:rPr>
                <w:sz w:val="13"/>
                <w:szCs w:val="13"/>
                <w:color w:val="auto"/>
              </w:rPr>
            </w:pPr>
          </w:p>
        </w:tc>
      </w:tr>
      <w:tr>
        <w:trPr>
          <w:trHeight w:val="195"/>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22"/>
                <w:szCs w:val="22"/>
                <w:color w:val="auto"/>
              </w:rPr>
            </w:pP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14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r>
      <w:tr>
        <w:trPr>
          <w:trHeight w:val="257"/>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Asia/Pacific &amp; Europe 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12,148</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36,721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34,714</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Revenue in the Asia/Pacific &amp; Europe region was positively impacted approximately $0.1 million or 1.1% and $3.6 million or 10.3% during the three and nine months ended March 31, 2017, respectively, by foreign currency exchange rate fluctuations.</w:t>
      </w:r>
    </w:p>
    <w:p>
      <w:pPr>
        <w:spacing w:after="0" w:line="8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31, 2017 the Japanese yen continued to strengthen against the U.S. dollar, positively impacting our revenue in this market by $0.1 million or 1.4% and $2.8 million or 10.4%, respectively. Excluding the impact of foreign currency fluctuations, local currency revenues in Japan decreased slightly during the three and nine months ended March 31, 2017 due to lower product sales volume and an overall decrease in the number of active distributors in Japan compared to the prior year periods.</w:t>
      </w:r>
    </w:p>
    <w:p>
      <w:pPr>
        <w:spacing w:after="0" w:line="99" w:lineRule="exact"/>
        <w:rPr>
          <w:sz w:val="20"/>
          <w:szCs w:val="20"/>
          <w:color w:val="auto"/>
        </w:rPr>
      </w:pPr>
    </w:p>
    <w:p>
      <w:pPr>
        <w:ind w:right="60" w:firstLine="405"/>
        <w:spacing w:after="0" w:line="228" w:lineRule="auto"/>
        <w:rPr>
          <w:sz w:val="20"/>
          <w:szCs w:val="20"/>
          <w:color w:val="auto"/>
        </w:rPr>
      </w:pPr>
      <w:r>
        <w:rPr>
          <w:rFonts w:ascii="Times New Roman" w:cs="Times New Roman" w:eastAsia="Times New Roman" w:hAnsi="Times New Roman"/>
          <w:sz w:val="18"/>
          <w:szCs w:val="18"/>
          <w:color w:val="auto"/>
        </w:rPr>
        <w:t>All of our sales and marketing efforts continue to be directed toward building our worldwide sales. We expect increased revenue in the Americas region as we focus on our growth initiatives, specifically the development and expansion of new distributor tools, training and technology and the continued scientific research and introduction of new products. During the prior fiscal year we held cyber launches for both our PhysIQ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smart weight management system and the Protandim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NRF1 synergizer, both of which expanded our product offerings. We expect revenue in the Asia/Pacific and Europe region to increase moderately as we focus on strengthening our sales and marketing efforts, including the global expansion of our product lines, the strengthening of our international management team, creating alignment among all of our markets and expanding our geographic reach while seeking to ensure that our products are not distributed or sold into countries without complying with applicable customs, duties and other regulatory requirements.</w:t>
      </w:r>
    </w:p>
    <w:p>
      <w:pPr>
        <w:spacing w:after="0" w:line="116" w:lineRule="exact"/>
        <w:rPr>
          <w:sz w:val="20"/>
          <w:szCs w:val="20"/>
          <w:color w:val="auto"/>
        </w:rPr>
      </w:pPr>
    </w:p>
    <w:p>
      <w:pPr>
        <w:ind w:right="2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gross profit percentage for the three months ended March 31, 2017 and 2016 was 81.7% and 82.7%, respectively. Our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for the nine months ended March 31, 2017 and 2016 was 83.5% and 84.0%, respectively.</w:t>
      </w:r>
    </w:p>
    <w:p>
      <w:pPr>
        <w:spacing w:after="0" w:line="7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total revenues, cost of sales for the three months ended March 31, 2017 increased to 18.3% compared to 17.3% for the three months ended March 31, 2016 and increased for the nine months ended March 31, 2017 to 16.5% from 16.0% for the nine months ended March 31, 2016. The increase in cost of sales as a percentage of revenue for the three and nine months ended March 31, 2017, as compared to the prior year same periods, is due primarily to increased costs associated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with the obsolescence, storage, handling and shipment of inventory, along with changes in product sales mix, due in part to the launch of several new products during the preceding year, resulting in higher costs of goods sold as a percentage of revenue.</w:t>
      </w:r>
    </w:p>
    <w:p>
      <w:pPr>
        <w:spacing w:after="0" w:line="79" w:lineRule="exact"/>
        <w:rPr>
          <w:sz w:val="20"/>
          <w:szCs w:val="20"/>
          <w:color w:val="auto"/>
        </w:rPr>
      </w:pPr>
    </w:p>
    <w:p>
      <w:pPr>
        <w:ind w:right="22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during the three months ended March 31, 2017 increased to $36.6 million or 81.2% of revenues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operating expenses of $42.8 million or 76.2% of revenues during the three months ended March 31, 2016. Total operating expenses during the nine months ended March 31, 2017 increased to $121.4 million or 81.5% of revenues as compared to operating expenses of $119.6 million or 77.9% of revenues during the nine months ended March 31, 2016. Operating expenses consist of commission and incentives expenses and selling, general and administrative expenses.</w:t>
      </w:r>
    </w:p>
    <w:p>
      <w:pPr>
        <w:spacing w:after="0" w:line="9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Commissions and Incentives. </w:t>
      </w:r>
      <w:r>
        <w:rPr>
          <w:rFonts w:ascii="Times New Roman" w:cs="Times New Roman" w:eastAsia="Times New Roman" w:hAnsi="Times New Roman"/>
          <w:sz w:val="18"/>
          <w:szCs w:val="18"/>
          <w:color w:val="auto"/>
        </w:rPr>
        <w:t>Commissions and incentives expenses during the three months ended March 31, 2017 were $22.8 million or 50.8%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as compared to commissions and incentives expenses of $28.2 million or 50.2% of revenues for the three months ended March 31, 2016. Commissions and incentives expenses during the nine months ended March 31, 2017 were $72.7 million or 48.8% of revenues as compared to commissions and incentives expenses of $77.5 million or 50.5% of revenues for the nine months ended March 31, 2016.</w:t>
      </w:r>
    </w:p>
    <w:p>
      <w:pPr>
        <w:spacing w:after="0" w:line="101"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The increase in commissions and incentives expenses as a percentage of revenues for the three months ended March 31, 2017 as compared to the prior year period primarily was driven by an overall decrease in sales compared to the prior year period and an increase in expenses associated with the Company's various incentive programs.</w:t>
      </w:r>
    </w:p>
    <w:p>
      <w:pPr>
        <w:spacing w:after="0" w:line="9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decrease in commissions and incentives expenses as a percentage of revenues for the nine months ended March 31, 2017 primarily was driven by refinements made to the Company's commission and incentive programs during the current year period to align the programs with current growth and expansion initiatives.</w:t>
      </w:r>
    </w:p>
    <w:p>
      <w:pPr>
        <w:spacing w:after="0" w:line="95"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expect our commissions and incentives expenses to remain fairly consistent with the year-to-date results during the remainder of fiscal 2017 as we continue to focus our efforts on increasing revenue through growth and retention of our distributors and preferred customers, both domestically and internationally.</w:t>
      </w:r>
    </w:p>
    <w:p>
      <w:pPr>
        <w:spacing w:after="0" w:line="93"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during the three months ended March 31, 2017 were $13.7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selling, general and administrative expenses of $14.6 million for the three months ended March 31, 2016. Selling, general and administrative expenses during the nine months ended March 31, 2017 were $48.7 million as compared to selling, general and administrative expenses of $42.1 million for the nine months ended March 31, 2016.</w:t>
      </w:r>
    </w:p>
    <w:p>
      <w:pPr>
        <w:spacing w:after="0" w:line="10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during the three months ended March 31, 2017 compared to the prior year same period was primarily due to decreased event expenses. During the prior year period we held our February 2016 elite academy and during the current year period no large meetings were held in anticipation of our April 2017 global convention. Additionally, expenses associated with stock compensation and employee salaries and benefits decreased due to changes to our management team as well as decreases in bank fees realized during the current period as a result of the decrease in revenues. These decreases were partially offset by increases in severance and recruiting and expenses associated with the search for new executive officers and increased professional fees related to branding and information technology services.</w:t>
      </w:r>
    </w:p>
    <w:p>
      <w:pPr>
        <w:spacing w:after="0" w:line="10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during the nine months ended March 31, 2017 compared to the prior year same period was due primarily to increased legal and accounting expenses associated with the independent review conducted by the Audit Committee, which was completed during the quarter ended December 31, 2016. Additionally, expenses associated with employee salaries, benefits, stock compensation and travel increased as a result of increased head count compared to the prior year period, partially offset by a decrease in total event expenses as compared to the prior year period due to fewer events being held during the current year period.</w:t>
      </w:r>
    </w:p>
    <w:p>
      <w:pPr>
        <w:spacing w:after="0" w:line="103"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We expect our selling, general and administrative expenses as a percentage of revenue to decrease slightly during the remainder of fiscal year 2017 as the Audit Committee has completed its independent review and as we continue to refine our strategic initiatives and coordinate our spending with timing of events, sales trends, and geographic expansion.</w:t>
      </w:r>
    </w:p>
    <w:p>
      <w:pPr>
        <w:spacing w:after="0" w:line="93"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Total Other Expense. </w:t>
      </w:r>
      <w:r>
        <w:rPr>
          <w:rFonts w:ascii="Times New Roman" w:cs="Times New Roman" w:eastAsia="Times New Roman" w:hAnsi="Times New Roman"/>
          <w:sz w:val="18"/>
          <w:szCs w:val="18"/>
          <w:color w:val="auto"/>
        </w:rPr>
        <w:t>During the three and nine months ended March 31, 2017, we recognized net other expenses of $0.2 million and $0.8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net other expenses of $1.9 million and $3.4 million for the three and nine months ended March 31, 2016, respectively. The decrease in expenses for the three and nine months ended March 31, 2017 was due to the refinancing of our October 2013 term loan during the prior year period which resulted in the remaining $1.5 million of capitalized debt transaction costs associated with the loan being charged to interest expense and due to the overall decrease in outstanding principal balances accruing interest during the current year periods.</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other expense for the three and nine months ended March 31, 2017 consisted primarily of interest expense and net currency losses.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t>The following table sets forth interest expense for the three and nine months ended March 31, 2017 and 2016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9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Pr>
          <w:p>
            <w:pPr>
              <w:spacing w:after="0"/>
              <w:rPr>
                <w:sz w:val="16"/>
                <w:szCs w:val="16"/>
                <w:color w:val="auto"/>
              </w:rPr>
            </w:pPr>
          </w:p>
        </w:tc>
        <w:tc>
          <w:tcPr>
            <w:tcW w:w="266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For the Nine Months Ended March 31,</w:t>
            </w:r>
          </w:p>
        </w:tc>
      </w:tr>
      <w:tr>
        <w:trPr>
          <w:trHeight w:val="264"/>
        </w:trPr>
        <w:tc>
          <w:tcPr>
            <w:tcW w:w="56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 Term Loan</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1,216</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 Term Loan</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1,098</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 Term Loan</w:t>
            </w:r>
          </w:p>
        </w:tc>
        <w:tc>
          <w:tcPr>
            <w:tcW w:w="9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854</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 Term Loan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3,176</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right="60" w:firstLine="432"/>
        <w:spacing w:after="0" w:line="315" w:lineRule="auto"/>
        <w:rPr>
          <w:sz w:val="20"/>
          <w:szCs w:val="20"/>
          <w:color w:val="auto"/>
        </w:rPr>
      </w:pPr>
      <w:r>
        <w:rPr>
          <w:rFonts w:ascii="Times New Roman" w:cs="Times New Roman" w:eastAsia="Times New Roman" w:hAnsi="Times New Roman"/>
          <w:sz w:val="17"/>
          <w:szCs w:val="17"/>
          <w:i w:val="1"/>
          <w:iCs w:val="1"/>
          <w:color w:val="auto"/>
        </w:rPr>
        <w:t>Income Tax (Expense) Benefit</w:t>
      </w:r>
      <w:r>
        <w:rPr>
          <w:rFonts w:ascii="Times New Roman" w:cs="Times New Roman" w:eastAsia="Times New Roman" w:hAnsi="Times New Roman"/>
          <w:sz w:val="17"/>
          <w:szCs w:val="17"/>
          <w:color w:val="auto"/>
        </w:rPr>
        <w:t>. We recognized an income tax benefit of $1,000 and expense $0.6 million for the three and nine months ended March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2017, respectively, as compared to income tax expense of $0.8 million and $2.2 million for the three and nine months ended March 31, 2016, respectively.</w:t>
      </w:r>
    </w:p>
    <w:p>
      <w:pPr>
        <w:spacing w:after="0" w:line="56" w:lineRule="exact"/>
        <w:rPr>
          <w:sz w:val="20"/>
          <w:szCs w:val="20"/>
          <w:color w:val="auto"/>
        </w:rPr>
      </w:pPr>
    </w:p>
    <w:p>
      <w:pPr>
        <w:jc w:val="both"/>
        <w:ind w:right="320" w:firstLine="432"/>
        <w:spacing w:after="0" w:line="261" w:lineRule="auto"/>
        <w:rPr>
          <w:sz w:val="20"/>
          <w:szCs w:val="20"/>
          <w:color w:val="auto"/>
        </w:rPr>
      </w:pPr>
      <w:r>
        <w:rPr>
          <w:rFonts w:ascii="Times New Roman" w:cs="Times New Roman" w:eastAsia="Times New Roman" w:hAnsi="Times New Roman"/>
          <w:sz w:val="18"/>
          <w:szCs w:val="18"/>
          <w:color w:val="auto"/>
        </w:rPr>
        <w:t>The effective tax rate was (1.7)% and 29.1%, respectively, of pre-tax income during the three and nine months ended March 31, 2017, compared to 43.6% and 37.8%, respectively, for the same prior year periods. The decrease in the effective tax rate for the three and nine months ended March 31, 2017 compared to the prior year periods is due to a decreased federal tax rate due to the level of current year income, changes in certain discrete and permanent items, return to provision adjustments and benefits related to foreign tax rate differences due to our permanent reinvestment assertion.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144"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Our primary liquidity and capital resource requirements are to service our debt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9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2017, our available liquidity was $9.2 million, including available cash and cash equivalents. This represents an increase of $1.3 million from the $7.9 million in cash and cash equivalents as of June 30, 2016.</w:t>
      </w:r>
    </w:p>
    <w:p>
      <w:pPr>
        <w:spacing w:after="0" w:line="81"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2017, our net cash provided by operating activities was $4.6 million as compared to net cash provided by operating activities of $6.2 million during the nine months ended March 31, 2016. The decrease in cash provided by operating activities during the current year period is due primarily to the decrease in net income during the current year and the overall decrease in accounts payable and accrued expenses.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nine months ended March 31, 2017, our net cash used in investing activities was $0.5 million, as a result of the purchase of fixed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March 31, 2016, our net cash used in investing activities was $0.5 million, as a result of the purchase of fixed assets.</w:t>
      </w:r>
    </w:p>
    <w:p>
      <w:pPr>
        <w:spacing w:after="0" w:line="12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March 31, 2017 was $2.8 million, which was comprised of $1.5 million in principal payments on the March 2016 Term Loan and $1.4 million in stock compensation tax related adjustments made during the period. Cash used in financing activities during the nine months ended March 31, 2016 was $11.3 million, which was comprised primarily of $21.6 million in principal payments on the October 2013 Term Loan, partially offset by the proceeds from the March 2016 Term loan of $10.0 million and benefits related to the vesting of and exercise of equity awards during the prior year period.</w:t>
      </w:r>
    </w:p>
    <w:p>
      <w:pPr>
        <w:spacing w:after="0" w:line="103"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At March 31, 2017 and June 30, 2016, the total amount of our foreign subsidiary cash was $5.7 million and $5.1 million, respectively. For earnings considered to be indefinitely reinvested, we have not accrued taxes. If we were to remit the cash and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cash equivalents from our foreign subsidiaries to our U.S. consolidated group for the purpose of repatriation of undistributed earnings, we would need to accrue and pay taxes. As of March 31, 2017, our U.S. consolidated group had approximately $1.3 million of permanently reinvested unremitted earnings from our subsidiaries, and if these earnings were remitted, the impact of any tax consequences on our overall liquidity position would not be material. We do not have any plans to repatriate these unremitted earnings to our parent; therefore, we do not have any liquidity concerns relating to these unremitted earnings and related cash and cash equivalents.</w:t>
      </w:r>
    </w:p>
    <w:p>
      <w:pPr>
        <w:spacing w:after="0" w:line="103"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At March 31, 2017, we had working capital (current assets minus current liabilities) of $12.9 million, compared to working capital of $13.9 million at June 30, 2016.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we would consider realigning our strategic plans including a reduction in capital spending and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4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On October 18, 2013, we entered into a Financing Agreement providing for a term loan facility in an aggregate principal amount of $47 million (the “October 2013 Term Loan”) and a delayed draw term loan facility in an aggregate principal amount not to exceed $20 million (the “October 2013 Delayed Draw Term Loan”). The October 2013 Delayed Draw Term Loan was available for borrowing in specified minimum amounts from time to time beginning after the effective date of the Financing Agreement until October 18, 2014 or until the October 2013 Delayed Draw Term Loan was reduced to zero, if earlier. We did not borrow any amounts under the October 2013 Delayed Draw Term Loan.</w:t>
      </w:r>
    </w:p>
    <w:p>
      <w:pPr>
        <w:spacing w:after="0" w:line="103"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May 1, 2015, we entered into an Amendment No. 1 to Financing Agreement ("Amendment No. 1"). Amendment No. 1 revised the covenants relating to minimum consolidated EBITDA (as defined in the Financing Agreement) for the four consecutive fiscal quarters ending March 31, 2015 and June 30, 2015 from $20.6 million and $21.3 million, respectively, to $17.0 million for each quarter end. Amendment No. 1 also revised the minimum unrestricted cash and cash equivalents that we were required to hold from $10.0 million to $8.0 million for the reporting periods ended March 31, 2015 and June 30, 2015. In addition, Amendment No. 1 required that we make certain accelerated principal payments on the October 2013 Term Loan totaling $4.5 million during our fourth quarter of fiscal year 2016.</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August 27, 2015, we entered into an Amendment No. 2 to Financing Agreement ("Amendment No. 2" and collectively with the October 2013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as previously amended by Amendment No. 1, the "October 2013 Credit Facility"). Amendment No. 2 revised the covenants related to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(as defined in the amended Financing Agreement) for the four consecutive fiscal quarters ending September 30, 2015,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March 31, 2016 and June 30, 2016 from $22.2 million, $23.1 million, $24.4 million and $25.6 million, respectively, to $14.5 million, $15.0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 million and $17.5 million, respectively. In addition, Amendment No. 2 required that we make additional monthly accelerated principal payments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2013 Term Loan in the amount of $0.5 million commencing on October 15, 2015 and continuing until the October 2013 Term Loan was paid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No. 2 also required that we make additional accelerated payments at the end of each fiscal quarter in the amount of all unrestricted cash on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close of business on the last day of the quarter in excess of $12.5 million. On March 30, 2016, we repaid the full amount outstanding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2013 Term Loan and terminated the October 2013 Credit Facility.</w:t>
      </w:r>
    </w:p>
    <w:p>
      <w:pPr>
        <w:spacing w:after="0" w:line="12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March 30, 2016, we entered into a Loan Agreement (the “March 2016 Loan Agreement”) to refinance our outstanding debt under the October 2013 Term Loan. In connection with the March 2016 Loan Agreement and on the same date, we entered into a Security Agreement (the “March 2016 Security Agreement”). The March 2016 Loan Agreement provides for a term loan in an aggregate principal amount of $10.0 million (the “March 2016 Term Loan") and a revolving loan facility in an aggregate principal amount not to exceed $2.0 million (the “March 2016 Revolving Loan,” and collectively with the March 2016 Term Loan, the March 2016 Loan Agreement and the March 2016 Security Agreement, the “March 2016 Credit Facility”).</w:t>
      </w:r>
    </w:p>
    <w:p>
      <w:pPr>
        <w:spacing w:after="0" w:line="103"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The principal amount of the March 2016 Term Loan is payable in consecutive quarterly installments in the amount of $0.5 million plus accrued interest beginning with the fiscal quarter ended June 30, 2016 and maturing on March 30, 2019 (the “Maturity Date”). The March 2016 Term Loan bears interest at a fixed rate of 4.93%. If we borrow under the March 2016 Revolving Loan, interest will be payable quarterly in arrears on the last day of each fiscal quarter at a variable rate equal to the 30 day LIBOR Rate plus 3.50%.</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March 2016 Credit Facility contains customary covenants, including affirmative and negative covenants that, among other things, restrict our ability to create certain types of liens, incur additional indebtedness, declare or pay dividends on or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ind w:right="40"/>
        <w:spacing w:after="0" w:line="255" w:lineRule="auto"/>
        <w:rPr>
          <w:sz w:val="20"/>
          <w:szCs w:val="20"/>
          <w:color w:val="auto"/>
        </w:rPr>
      </w:pPr>
      <w:r>
        <w:rPr>
          <w:rFonts w:ascii="Times New Roman" w:cs="Times New Roman" w:eastAsia="Times New Roman" w:hAnsi="Times New Roman"/>
          <w:sz w:val="18"/>
          <w:szCs w:val="18"/>
          <w:color w:val="auto"/>
        </w:rPr>
        <w:t>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March 31, 2017, we were in compliance with all applicable non-financial and restrictive covenants under the March 2016 Credit Facility; provided, however, that on October 24, 2016, we were granted a waiver and extension to covenants requiring us to provide the lender with audited financial statements for our 2016 fiscal year on or before October 28, 2016. Under the limited waiver and extension, the lender agreed to waive compliance with this requirement if we delivered such audited financial statements prior to December 31, 2016. In connection with the filing of our Form 10-K on December 12, 2016, we delivered all required information to the lender to satisfy the requirement. Additionally, management anticipates that in the normal course of operations, we will be in compliance with the non-financial and restrictive covenants during the ensuing year.</w:t>
      </w:r>
    </w:p>
    <w:p>
      <w:pPr>
        <w:spacing w:after="0" w:line="10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March 2016 Credit Facility also contains various financial covenants that require us to maintain certain consolidated minimum tangible net worth, minimum consolidated working capital amounts, and certain consolidated debt to EBITDA and fixed charge coverage ratios. Specifically, we must:</w:t>
      </w:r>
    </w:p>
    <w:p>
      <w:pPr>
        <w:spacing w:after="0" w:line="81" w:lineRule="exact"/>
        <w:rPr>
          <w:sz w:val="20"/>
          <w:szCs w:val="20"/>
          <w:color w:val="auto"/>
        </w:rPr>
      </w:pPr>
    </w:p>
    <w:p>
      <w:pPr>
        <w:ind w:left="660" w:right="28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minimum fixed charge coverage ratio (as defined in the March 2016 Loan Agreement) of at least 1.50 to 1.00 at the end of each fiscal quarter, measured on a trailing twelve month basis;</w:t>
      </w:r>
    </w:p>
    <w:p>
      <w:pPr>
        <w:spacing w:after="0" w:line="80" w:lineRule="exact"/>
        <w:rPr>
          <w:rFonts w:ascii="Times New Roman" w:cs="Times New Roman" w:eastAsia="Times New Roman" w:hAnsi="Times New Roman"/>
          <w:sz w:val="18"/>
          <w:szCs w:val="18"/>
          <w:color w:val="auto"/>
        </w:rPr>
      </w:pPr>
    </w:p>
    <w:p>
      <w:pPr>
        <w:ind w:left="660" w:right="26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consolidated working capital (as defined in the March 2016 Loan Agreement) at the end of each fiscal quarter of at least $5.0 million;</w:t>
      </w:r>
    </w:p>
    <w:p>
      <w:pPr>
        <w:spacing w:after="0" w:line="80" w:lineRule="exact"/>
        <w:rPr>
          <w:rFonts w:ascii="Times New Roman" w:cs="Times New Roman" w:eastAsia="Times New Roman" w:hAnsi="Times New Roman"/>
          <w:sz w:val="18"/>
          <w:szCs w:val="18"/>
          <w:color w:val="auto"/>
        </w:rPr>
      </w:pPr>
    </w:p>
    <w:p>
      <w:pPr>
        <w:ind w:left="660" w:right="48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ratio of funded debt to EBITDA (as defined in the March 2016 Loan Agreement) of not greater than 2.00 to 1.00 at the end of each quarter, measured on a trailing twelve month basis; and</w:t>
      </w:r>
    </w:p>
    <w:p>
      <w:pPr>
        <w:spacing w:after="0" w:line="80"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tangible net worth (as defined in the March 2016 Loan Agreement) of at least $4.0 million by the end of our 2016 fiscal year and maintain that minimum tangible net worth thereafter, measured annually at fiscal year-end.</w:t>
      </w:r>
    </w:p>
    <w:p>
      <w:pPr>
        <w:spacing w:after="0" w:line="8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of March 31, 2017, we were in compliance with all applicable financial covenants under the March 2016 Credit Facility. Additionally, management anticipates that in the normal course of operations we will be in compliance with the financial covenants during the ensuing year.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2017, we did not have any off-balance sheet arrangements.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could differ from these estimates. Our significant accounting policies are described in Note 2 to our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0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Allowances for Product Returns</w:t>
      </w:r>
    </w:p>
    <w:p>
      <w:pPr>
        <w:spacing w:after="0" w:line="14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record allowances for product returns at the time we ship the product based on estimated return rates. Subject to some exceptions based on local regulations, customers may return unopened product to us within 30 days of purchase for a refund of the purchase price less shipping and handling. As of March 31, 2017, our shipment of products sold totaling $15.7 million were subject to the return policy. In addition, we allow terminating distributors to return up to 30% of unopened, unexpired product they purchased within the prior 12 months.</w:t>
      </w:r>
    </w:p>
    <w:p>
      <w:pPr>
        <w:spacing w:after="0" w:line="99"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monitor our return estimate on an ongoing basis and may revise the allowances to reflect our experience. Our allowance for product returns was $0.5 million at March 31, 2017, compared with $0.3 million at June 30, 2016. To date,</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580" w:right="279" w:bottom="1440" w:gutter="0" w:footer="0" w:header="0"/>
        </w:sectPr>
      </w:pPr>
    </w:p>
    <w:bookmarkStart w:id="25" w:name="page26"/>
    <w:bookmarkEnd w:id="25"/>
    <w:p>
      <w:pPr>
        <w:ind w:right="20"/>
        <w:spacing w:after="0" w:line="282" w:lineRule="auto"/>
        <w:rPr>
          <w:sz w:val="20"/>
          <w:szCs w:val="20"/>
          <w:color w:val="auto"/>
        </w:rPr>
      </w:pPr>
      <w:r>
        <w:rPr>
          <w:rFonts w:ascii="Times New Roman" w:cs="Times New Roman" w:eastAsia="Times New Roman" w:hAnsi="Times New Roman"/>
          <w:sz w:val="18"/>
          <w:szCs w:val="18"/>
          <w:color w:val="auto"/>
        </w:rPr>
        <w:t>product expiration dates have not played any role in product returns, and we do not expect that they will in the future as it is unlikely that we will ship product with an expiration date earlier than the latest allowable product return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Valuation</w:t>
      </w:r>
    </w:p>
    <w:p>
      <w:pPr>
        <w:spacing w:after="0" w:line="14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market value. Factors utilized in the determination of estimated market value include (i) current sales data and historical return rates, (ii) estimates of future demand, (iii) competitive pricing pressures, (iv) new production introductions, (v) product expiration dates, and (vi) component and packaging obsolescence. We have recorded $0.4 million of obsolescence costs for the three months ended March 31, 2017.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ship the majority of our product directly to the consumer and receive substantially all payment for these sales in the form of credit card receipts.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direct product sales to customers is recognized upon shipment when passage of title and risk of loss occurs.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44"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employees, regardless of when, if ever, the market-based performance conditions are satisfied.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expense all of our payments related to research and development activities as incurred.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Accruals</w:t>
      </w:r>
    </w:p>
    <w:p>
      <w:pPr>
        <w:spacing w:after="0" w:line="14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Obligations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contractual payment obligations and commitments as of March 31, 2017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00" w:type="dxa"/>
            <w:vAlign w:val="bottom"/>
          </w:tcPr>
          <w:p>
            <w:pPr>
              <w:spacing w:after="0"/>
              <w:rPr>
                <w:sz w:val="12"/>
                <w:szCs w:val="12"/>
                <w:color w:val="auto"/>
              </w:rPr>
            </w:pP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2"/>
                <w:szCs w:val="12"/>
                <w:color w:val="auto"/>
              </w:rPr>
            </w:pPr>
          </w:p>
        </w:tc>
        <w:tc>
          <w:tcPr>
            <w:tcW w:w="10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long-term debt obligations</w:t>
            </w:r>
          </w:p>
        </w:tc>
        <w:tc>
          <w:tcPr>
            <w:tcW w:w="3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18,349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2 to our unaudited condensed consolidated financial statements for a discussion of recently issued accounting standards.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ind w:right="560"/>
        <w:spacing w:after="0" w:line="282" w:lineRule="auto"/>
        <w:rPr>
          <w:sz w:val="20"/>
          <w:szCs w:val="20"/>
          <w:color w:val="auto"/>
        </w:rPr>
      </w:pPr>
      <w:r>
        <w:rPr>
          <w:rFonts w:ascii="Times New Roman" w:cs="Times New Roman" w:eastAsia="Times New Roman" w:hAnsi="Times New Roman"/>
          <w:sz w:val="18"/>
          <w:szCs w:val="18"/>
          <w:color w:val="auto"/>
        </w:rPr>
        <w:t>policies that govern international investment in countries where we have operations, as well as, to a lesser extent, changes in U.S. laws and regulations relating to international trade and investment.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4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During the nine months ended March 31, 2017, approximately 27.6% of our net revenue was realized outside of the United States. The local currency of each international subsidiary is generally the functional currency. All revenues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March 31, 2017, we did not have any derivative instruments. A 10% strengthening of the U.S. dollar compared to all of the foreign currencies in which we transact business would have resulted in a 2.5% decrease of our nine months ended March 31, 2017 revenue, in the amount of $3.7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Based on that evaluation, our management identified certain design deficiencies in our internal control over financial reporting related to the lack of sufficient controls surrounding our international business policies, practices, monitoring and training as described below. Based on the evaluation of our disclosure controls and procedures as of March 31, 2017, our Chief Executive Officer and Chief Financial Officer concluded that, as a result of a material weakness in our internal control over financial reporting, our disclosure controls and procedures were not effective as of March 31, 2017.</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Independent Review</w:t>
      </w:r>
    </w:p>
    <w:p>
      <w:pPr>
        <w:spacing w:after="0" w:line="14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As we have previously disclosed in Item 9A of our Annual Report on Form 10-K for the year ended June 30, 2016, the Audit Committee of our Board of Directors conducted an independent review related to the distribution of our products into countries outside the U.S. in which those products are not registered or that otherwise impose stringent restrictions on our direct selling model, and the associated revenue and tax and other accruals associated with such sales.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independent review was initiated following internal reviews by Company personnel, which were further informed by the content of employee complaints. The Audit Committee retained independent counsel to assist it in conducting the review. Based on its independent review, the Audit Committee determined that (i) we had sold our products to independent distributors who carried or shipped such products primarily into four countries outside the U.S. in which those products are not registered or that otherwise impose stringent restrictions on our direct selling model; (ii) we allowed individuals who were resident in countries that impose stringent restrictions on our direct selling model to enroll as independent distributors; and (iii) we did not have in place sufficient controls governing our international business policies, practices, monitoring and training to provide reasonable assurance that such distribution of our products complied with applicable customs, duties and other regulatory requirements. The inadequate controls and processes related to the lack of documented country-specific policies and procedures governing the (i) distributor enrollment policies and procedures; (ii) approved distributor payment and collection methods; (iii) methods for shipping and order fulfillment; (iv) approval requirements for transactions with distributors outside of our approved compensation plans; and (v) lack of change controls related to changes to existing country-specific policies and procedures. In addition, we had inadequate controls in place related to the training, monitoring and oversight of our personnel who were involved with our international business operations. Accordingly, we identified a material weakness in our internal controls over financial reporting.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Notwithstanding this material weakness, our management and Audit Committee concluded that the revenue related to the sales that were the subject of the Audit Committee’s independent review was properly recognized and that no tax or other accruals relating to such sales were necessary. In making this determination, we obtained international tax and legal advice from external accounting and law firms that have relevant country-specific expertise regarding our potential obligations and liabilities associated with the import and distribution of our products into the countries described above.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Material Weakness</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remediate the material weakness in our internal controls over financial reporting described above, we are developing and implementing new control policies and procedures regarding the international business policies, practices, monitoring and training for each country outside the U.S. in which we do business. As an initial step, we implemented changes to our systems and distributor enrollment requirements intended to stop or restrict the processes used by independent distributors to purchase and carry or ship our products into countries in which those products are not registered or that otherwise impose stringent restrictions on our direct selling model. We are in the process of developing appropriate country-specific policies and procedures to help ensure that our products are not distributed or sold into countries without complying with applicable customs, tax and other regulatory requirements. Additional steps we have taken and are taking to remediate the material weakness in our internal controls over financial reporting include creating market-specific policy manuals documenting the following:</w:t>
      </w:r>
    </w:p>
    <w:p>
      <w:pPr>
        <w:spacing w:after="0" w:line="104" w:lineRule="exact"/>
        <w:rPr>
          <w:sz w:val="20"/>
          <w:szCs w:val="20"/>
          <w:color w:val="auto"/>
        </w:rPr>
      </w:pPr>
    </w:p>
    <w:p>
      <w:pPr>
        <w:ind w:left="980" w:right="140" w:hanging="648"/>
        <w:spacing w:after="0" w:line="282"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enrollment requirements by country, including the requirement of sufficient and appropriate oversight and senior management approvals for any changes to such country-specific policies;</w:t>
      </w:r>
    </w:p>
    <w:p>
      <w:pPr>
        <w:spacing w:after="0" w:line="80" w:lineRule="exact"/>
        <w:rPr>
          <w:rFonts w:ascii="Times New Roman" w:cs="Times New Roman" w:eastAsia="Times New Roman" w:hAnsi="Times New Roman"/>
          <w:sz w:val="18"/>
          <w:szCs w:val="18"/>
          <w:color w:val="auto"/>
        </w:rPr>
      </w:pPr>
    </w:p>
    <w:p>
      <w:pPr>
        <w:ind w:left="980" w:right="620" w:hanging="648"/>
        <w:spacing w:after="0" w:line="282"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distributor payment and collection policies by country, including the requirement of sufficient and appropriate oversight and senior management approvals for any changes to such country-specific policies;</w:t>
      </w:r>
    </w:p>
    <w:p>
      <w:pPr>
        <w:spacing w:after="0" w:line="80" w:lineRule="exact"/>
        <w:rPr>
          <w:rFonts w:ascii="Times New Roman" w:cs="Times New Roman" w:eastAsia="Times New Roman" w:hAnsi="Times New Roman"/>
          <w:sz w:val="18"/>
          <w:szCs w:val="18"/>
          <w:color w:val="auto"/>
        </w:rPr>
      </w:pPr>
    </w:p>
    <w:p>
      <w:pPr>
        <w:ind w:left="980" w:right="220" w:hanging="648"/>
        <w:spacing w:after="0" w:line="282" w:lineRule="auto"/>
        <w:tabs>
          <w:tab w:leader="none" w:pos="6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shipping, order fulfillment and customs import policies by country, including the requirement of sufficient and appropriate oversight and senior management approvals for any changes to such country-specific policies;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requirements for transactions between us and independent distributors outside of our approved compensation plans.</w:t>
      </w:r>
    </w:p>
    <w:p>
      <w:pPr>
        <w:spacing w:after="0" w:line="144"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as we implement country-specific policies, we are requiring that we obtain international tax and legal advice from external accounting and law firms that have relevant country-specific expertise to help ensure that potential international tax and legal issues are appropriately identified and addressed. We have also started the process of evaluating and re-allocating personnel resources to ensure that each market has adequate resources to support our remediation efforts and our new processes and controls. We are also in the process of establishing and conducting company-wide training programs on our new policies and controls.</w:t>
      </w:r>
    </w:p>
    <w:p>
      <w:pPr>
        <w:spacing w:after="0" w:line="10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These actions are subject to ongoing review by our management, including our Chief Executive Officer and Chief Financial Officer, as well as oversight by our Audit Committee. Although we plan to complete this remediation process as quickly as possible, the material weakness in our internal control over financial reporting will not be considered remediated until the applicable remedial processes and controls operate for a sufficient period of time and management has concluded, through testing, that these controls are operating effectively. As a result, we cannot, at this time, estimate when such remediation will be completed. In addition, the remediation steps we have taken, are taking and expect to take may not effectively remediate the material weakness, in which case our internal control over financial reporting would continue to be ineffective.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controls over financial reporting during the quarter ended March 31, 2017 that have materially affected or are reasonably likely to materially affect our internal controls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4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right="120"/>
        <w:spacing w:after="0" w:line="258" w:lineRule="auto"/>
        <w:rPr>
          <w:sz w:val="20"/>
          <w:szCs w:val="20"/>
          <w:color w:val="auto"/>
        </w:rPr>
      </w:pPr>
      <w:r>
        <w:rPr>
          <w:rFonts w:ascii="Times New Roman" w:cs="Times New Roman" w:eastAsia="Times New Roman" w:hAnsi="Times New Roman"/>
          <w:sz w:val="18"/>
          <w:szCs w:val="18"/>
          <w:color w:val="auto"/>
        </w:rPr>
        <w:t>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Note 6 of the Notes to the Condensed Consolidated Financial Statements contained within this Quarterly Report on Form 10-Q for a discussion of the Company's 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 Risk Factors” in our Annual Report on Form 10-K for the fiscal year ended June 30, 2016, filed on December 12, 2016. The risks and uncertainties described in such risk factors and elsewhere in this report have the potential to materially affect our business, financial condition, results of operations, cash flows, projected results and future prospects. As of the date of this report, we do not believe that there have been any material changes to the risk factors previously disclosed in our recent SEC filings, including the risk factors discussed in “Part I. Item 1A — Risk Factors” in our Annual Report on Form 10-K for the fiscal year ended June 30, 2016, filed on December 12, 2016.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44,679 shares of our common stock issued during the three months ended March 31, 2017 due to the exercise of warrants.</w:t>
      </w:r>
    </w:p>
    <w:p>
      <w:pPr>
        <w:spacing w:after="0" w:line="144" w:lineRule="exact"/>
        <w:rPr>
          <w:sz w:val="20"/>
          <w:szCs w:val="20"/>
          <w:color w:val="auto"/>
        </w:rPr>
      </w:pPr>
    </w:p>
    <w:p>
      <w:pPr>
        <w:ind w:left="60" w:right="400" w:firstLine="40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2017, we withheld 3,711 shares to satisfy tax withholding obligations in connection with the partial vesting of restricted stock awards.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report.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LIFEVANTAGE CORPORATION</w:t>
      </w:r>
    </w:p>
    <w:p>
      <w:pPr>
        <w:spacing w:after="0" w:line="385"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May 10, 2017</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35560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Darren Jensen</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7"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May 10, 2017</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35560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Steven R. Fife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80"/>
          </w:cols>
          <w:pgMar w:left="240" w:top="576" w:right="379" w:bottom="1440" w:gutter="0" w:footer="0" w:header="0"/>
        </w:sectPr>
      </w:pPr>
    </w:p>
    <w:bookmarkStart w:id="30" w:name="page31"/>
    <w:bookmarkEnd w:id="3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54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100" w:type="dxa"/>
            <w:vAlign w:val="bottom"/>
          </w:tcPr>
          <w:p>
            <w:pPr>
              <w:spacing w:after="0"/>
              <w:rPr>
                <w:sz w:val="16"/>
                <w:szCs w:val="16"/>
                <w:color w:val="auto"/>
              </w:rPr>
            </w:pPr>
          </w:p>
        </w:tc>
        <w:tc>
          <w:tcPr>
            <w:tcW w:w="47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Filed Herewith or Incorporate by Reference From</w:t>
            </w:r>
          </w:p>
        </w:tc>
      </w:tr>
      <w:tr>
        <w:trPr>
          <w:trHeight w:val="399"/>
        </w:trPr>
        <w:tc>
          <w:tcPr>
            <w:tcW w:w="9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Separation Agreement and General Release between Mark Jaggi and the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Agreement, by and between Cerius Interim Executive Solutions</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to Form 8-K filed on January 18, 2017</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the Company, dated January 18, 2017</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Offer Letter, by and between Charles J. Wach and the Company, dated</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10.1 to Form 8-K filed on March 9, 2017</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22, 2017</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 Employee Benefits Package by and between Charles J. Wach and the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 to Form 8-K filed on March 9, 2017</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dated February 27, 2017</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Offer Letter, by and between Steven R. Fife and the Company, dated</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6, 2017</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 Employee Benefits Package by and between Steven R. Fife and the</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dated March 6, 2017</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14(a)/15d-14(a)</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13a-14(a)/15d-</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14(a)</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 as</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780" w:type="dxa"/>
            <w:vAlign w:val="bottom"/>
          </w:tcPr>
          <w:p>
            <w:pPr>
              <w:spacing w:after="0"/>
              <w:rPr>
                <w:sz w:val="20"/>
                <w:szCs w:val="20"/>
                <w:color w:val="auto"/>
              </w:rPr>
            </w:pPr>
          </w:p>
        </w:tc>
      </w:tr>
      <w:tr>
        <w:trPr>
          <w:trHeight w:val="427"/>
        </w:trPr>
        <w:tc>
          <w:tcPr>
            <w:tcW w:w="92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 as</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780" w:type="dxa"/>
            <w:vAlign w:val="bottom"/>
          </w:tcPr>
          <w:p>
            <w:pPr>
              <w:spacing w:after="0"/>
              <w:rPr>
                <w:sz w:val="20"/>
                <w:szCs w:val="20"/>
                <w:color w:val="auto"/>
              </w:rPr>
            </w:pPr>
          </w:p>
        </w:tc>
      </w:tr>
      <w:tr>
        <w:trPr>
          <w:trHeight w:val="427"/>
        </w:trPr>
        <w:tc>
          <w:tcPr>
            <w:tcW w:w="92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the Company’s Quarterly Report</w:t>
            </w:r>
          </w:p>
        </w:tc>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 Form 10-Q for the quarter ended March 31, 2017 formatted in XBRL</w:t>
            </w:r>
          </w:p>
        </w:tc>
        <w:tc>
          <w:tcPr>
            <w:tcW w:w="47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(extensible Business Reporting Language): (i) Unaudited Condensed</w:t>
            </w:r>
          </w:p>
        </w:tc>
        <w:tc>
          <w:tcPr>
            <w:tcW w:w="47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at March 31, 2017 and June 30, 2016; (ii)</w:t>
            </w:r>
          </w:p>
        </w:tc>
        <w:tc>
          <w:tcPr>
            <w:tcW w:w="47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and Other</w:t>
            </w:r>
          </w:p>
        </w:tc>
        <w:tc>
          <w:tcPr>
            <w:tcW w:w="47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for the three and nine months ended March 31,</w:t>
            </w:r>
          </w:p>
        </w:tc>
        <w:tc>
          <w:tcPr>
            <w:tcW w:w="47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2017 and 2016; (iii) Unaudited Condensed Consolidated Statement of</w:t>
            </w:r>
          </w:p>
        </w:tc>
        <w:tc>
          <w:tcPr>
            <w:tcW w:w="478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 for the nine months ended March 31, 2017; (iv)</w:t>
            </w:r>
          </w:p>
        </w:tc>
        <w:tc>
          <w:tcPr>
            <w:tcW w:w="4780" w:type="dxa"/>
            <w:vAlign w:val="bottom"/>
          </w:tcPr>
          <w:p>
            <w:pPr>
              <w:spacing w:after="0"/>
              <w:rPr>
                <w:sz w:val="20"/>
                <w:szCs w:val="20"/>
                <w:color w:val="auto"/>
              </w:rPr>
            </w:pPr>
          </w:p>
        </w:tc>
      </w:tr>
    </w:tbl>
    <w:p>
      <w:pPr>
        <w:ind w:left="106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 for the nine</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months ended March 31, 2017 and 2016; and (v) Notes to Unaudited</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Condensed Consolidated Financial Statements, tagged as blocks of text</w:t>
      </w:r>
    </w:p>
    <w:p>
      <w:pPr>
        <w:spacing w:after="0" w:line="315" w:lineRule="exact"/>
        <w:rPr>
          <w:sz w:val="20"/>
          <w:szCs w:val="20"/>
          <w:color w:val="auto"/>
        </w:rPr>
      </w:pPr>
    </w:p>
    <w:p>
      <w:pPr>
        <w:ind w:left="1140" w:right="200" w:hanging="697"/>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4" w:lineRule="exact"/>
        <w:rPr>
          <w:sz w:val="20"/>
          <w:szCs w:val="20"/>
          <w:color w:val="auto"/>
        </w:rPr>
      </w:pPr>
    </w:p>
    <w:p>
      <w:pPr>
        <w:ind w:left="1140" w:hanging="70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80" w:top="576" w:right="2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SEPARATION AGREEMENT AND GENERAL RELEASE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18"/>
          <w:szCs w:val="18"/>
          <w:color w:val="auto"/>
        </w:rPr>
        <w:t>This Separation Agreement and General Release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Mark Jaggi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LifeVantage Corporation, a Colorado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in consideration for and as condition precedent to Employer providing the separation benefits to Employee as set forth below. Notwithstanding the terms of the Key Executive Benefit Package, if applicable, which are superseded in total in this Agreement, Employer is not obligated to provide any such separation benefits and that Employer is providing such separation benefits as a direct result of Employee’s willingness to agree to the terms hereof.</w:t>
      </w:r>
    </w:p>
    <w:p>
      <w:pPr>
        <w:spacing w:after="0" w:line="185"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18"/>
          <w:szCs w:val="18"/>
          <w:color w:val="auto"/>
        </w:rPr>
        <w:t>In order for this Agreement to become effective, Employee must deliver to Employer (to the attention of Michelle Oborn, VP Human Resources at 9785 S. Monroe Street, Suite 300, Sandy, UT 84070) this properly signed and dated Agreement before 10 a.m. Mountain Time 22 days from the Termination Date (as defined below). Failure to deliver an executed Agreement on or before 22 days after the Termination Date shall constitute irrevocable evidence that Employee has voluntarily decided to not execute this Agreement and this Agreement shall be of no force or effect. This Agreement will become effective only if it has been timely executed by the Employee and the revocation period has expired without revocation by Employee as set forth below. By signing below and timely delivering a signed Agreement to Employer, Employee acknowledges and agrees to each of the following terms and conditions: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70" w:lineRule="exact"/>
        <w:rPr>
          <w:sz w:val="20"/>
          <w:szCs w:val="20"/>
          <w:color w:val="auto"/>
        </w:rPr>
      </w:pPr>
    </w:p>
    <w:p>
      <w:pPr>
        <w:ind w:left="1480" w:hanging="824"/>
        <w:spacing w:after="0"/>
        <w:tabs>
          <w:tab w:leader="none" w:pos="1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was an employee of the Company and most recently served as its Chief Financial Officer.</w:t>
      </w:r>
    </w:p>
    <w:p>
      <w:pPr>
        <w:spacing w:after="0" w:line="333" w:lineRule="exact"/>
        <w:rPr>
          <w:rFonts w:ascii="Times New Roman" w:cs="Times New Roman" w:eastAsia="Times New Roman" w:hAnsi="Times New Roman"/>
          <w:sz w:val="18"/>
          <w:szCs w:val="18"/>
          <w:color w:val="auto"/>
        </w:rPr>
      </w:pPr>
    </w:p>
    <w:p>
      <w:pPr>
        <w:ind w:right="280" w:firstLine="656"/>
        <w:spacing w:after="0" w:line="376" w:lineRule="auto"/>
        <w:tabs>
          <w:tab w:leader="none" w:pos="14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Employer agreed to terminate Employee’s employment with Employer, which termination was effective on January 18, 2017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39" w:lineRule="exact"/>
        <w:rPr>
          <w:sz w:val="20"/>
          <w:szCs w:val="20"/>
          <w:color w:val="auto"/>
        </w:rPr>
      </w:pPr>
    </w:p>
    <w:p>
      <w:pPr>
        <w:ind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Recitals which are incorporated herein, the mutual covenants and conditions set forth below,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thereby, Employer and Employee covenant and agree as follows:</w:t>
      </w:r>
    </w:p>
    <w:p>
      <w:pPr>
        <w:spacing w:after="0" w:line="185" w:lineRule="exact"/>
        <w:rPr>
          <w:sz w:val="20"/>
          <w:szCs w:val="20"/>
          <w:color w:val="auto"/>
        </w:rPr>
      </w:pPr>
    </w:p>
    <w:p>
      <w:pPr>
        <w:ind w:right="20" w:firstLine="656"/>
        <w:spacing w:after="0" w:line="352" w:lineRule="auto"/>
        <w:tabs>
          <w:tab w:leader="none" w:pos="14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Employee and Employer acknowledge and agree that the employment of Employee has been terminated as of the Termination Date, and as a result Employee shall be deemed to have immediately resigned from all positions as an officer and/or director with the Employer and with any of Employer’s affiliates or subsidiaries. Employee acknowledges and agrees that as of the Termination Date, Employee has been paid everything due and owing by the Company to Employee, including but not limited to wages/salary, benefits and any outstanding equity and that no further wages, benefits or any other amounts are due to Employee.</w:t>
      </w:r>
    </w:p>
    <w:p>
      <w:pPr>
        <w:spacing w:after="0" w:line="156" w:lineRule="exact"/>
        <w:rPr>
          <w:rFonts w:ascii="Times New Roman" w:cs="Times New Roman" w:eastAsia="Times New Roman" w:hAnsi="Times New Roman"/>
          <w:sz w:val="18"/>
          <w:szCs w:val="18"/>
          <w:color w:val="auto"/>
        </w:rPr>
      </w:pPr>
    </w:p>
    <w:p>
      <w:pPr>
        <w:ind w:right="60" w:firstLine="656"/>
        <w:spacing w:after="0" w:line="289" w:lineRule="auto"/>
        <w:tabs>
          <w:tab w:leader="none" w:pos="9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w:t>
      </w:r>
      <w:r>
        <w:rPr>
          <w:rFonts w:ascii="Times New Roman" w:cs="Times New Roman" w:eastAsia="Times New Roman" w:hAnsi="Times New Roman"/>
          <w:sz w:val="18"/>
          <w:szCs w:val="18"/>
          <w:color w:val="auto"/>
        </w:rPr>
        <w:t>. In consideration for Employee entering into this Agreement, Employee shall receive severance compensation in the total amount of $174,687.58 (the “</w:t>
      </w:r>
      <w:r>
        <w:rPr>
          <w:rFonts w:ascii="Times New Roman" w:cs="Times New Roman" w:eastAsia="Times New Roman" w:hAnsi="Times New Roman"/>
          <w:sz w:val="18"/>
          <w:szCs w:val="18"/>
          <w:b w:val="1"/>
          <w:bCs w:val="1"/>
          <w:color w:val="auto"/>
        </w:rPr>
        <w:t>Severance Pay</w:t>
      </w:r>
      <w:r>
        <w:rPr>
          <w:rFonts w:ascii="Times New Roman" w:cs="Times New Roman" w:eastAsia="Times New Roman" w:hAnsi="Times New Roman"/>
          <w:sz w:val="18"/>
          <w:szCs w:val="18"/>
          <w:color w:val="auto"/>
        </w:rPr>
        <w:t>”), less all applicable withholdings. The Severance Pay shall be paid to Employee in equal bi-monthly installments payable over the six (6) month period following the Termination Date, provided, however, the first payment shall be made on the first pay period following the revocation period or on February 5, 2017, if this Agreement is signed and the revocation date has past. As a condition to receiving (and continuing to receive) the payments provided in this section,</w:t>
      </w:r>
    </w:p>
    <w:p>
      <w:pPr>
        <w:sectPr>
          <w:pgSz w:w="11900" w:h="16838" w:orient="portrait"/>
          <w:cols w:equalWidth="0" w:num="1">
            <w:col w:w="11420"/>
          </w:cols>
          <w:pgMar w:left="240" w:top="365" w:right="239" w:bottom="1440" w:gutter="0" w:footer="0" w:header="0"/>
        </w:sectPr>
      </w:pPr>
    </w:p>
    <w:bookmarkStart w:id="32" w:name="page33"/>
    <w:bookmarkEnd w:id="32"/>
    <w:p>
      <w:pPr>
        <w:jc w:val="both"/>
        <w:ind w:right="40"/>
        <w:spacing w:after="0" w:line="297" w:lineRule="auto"/>
        <w:rPr>
          <w:sz w:val="20"/>
          <w:szCs w:val="20"/>
          <w:color w:val="auto"/>
        </w:rPr>
      </w:pPr>
      <w:r>
        <w:rPr>
          <w:rFonts w:ascii="Times New Roman" w:cs="Times New Roman" w:eastAsia="Times New Roman" w:hAnsi="Times New Roman"/>
          <w:sz w:val="18"/>
          <w:szCs w:val="18"/>
          <w:color w:val="auto"/>
        </w:rPr>
        <w:t>Employee must: (a) within not later than twenty-two (22) days after the Termination Date, execute (and not revoke seven days later) and deliver to Employer this Agreement and (b) remain in full compliance with this Agreement. Employee shall not be entitled to accrue any additional employee benefits besides the Severance Pay subsequent to the Termination Date.</w:t>
      </w:r>
    </w:p>
    <w:p>
      <w:pPr>
        <w:spacing w:after="0" w:line="17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Moreover, Employer makes no representations or warranties, express or implied, concerning tax implications of any payment made pursuant to this Agreement. Any tax obligations of Employee arising from the foregoing Severance Pay will be Employee’s sole responsibility; consequently Employee agrees to indemnify Employer for any tax liabilities or penalties arising from the Severance Pay that are or may be imposed upon Employee that would or should be Employee’s responsibility</w:t>
      </w:r>
    </w:p>
    <w:p>
      <w:pPr>
        <w:spacing w:after="0" w:line="181" w:lineRule="exact"/>
        <w:rPr>
          <w:sz w:val="20"/>
          <w:szCs w:val="20"/>
          <w:color w:val="auto"/>
        </w:rPr>
      </w:pPr>
    </w:p>
    <w:p>
      <w:pPr>
        <w:ind w:right="20" w:firstLine="656"/>
        <w:spacing w:after="0" w:line="285" w:lineRule="auto"/>
        <w:tabs>
          <w:tab w:leader="none" w:pos="9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 Relationship</w:t>
      </w:r>
      <w:r>
        <w:rPr>
          <w:rFonts w:ascii="Times New Roman" w:cs="Times New Roman" w:eastAsia="Times New Roman" w:hAnsi="Times New Roman"/>
          <w:sz w:val="18"/>
          <w:szCs w:val="18"/>
          <w:color w:val="auto"/>
        </w:rPr>
        <w:t>. In consideration of the Severance Pay, Employee hereby agrees to provide consulting services on an as needed basis for up to six (6) months following the Termination Date (such six-month period, the “</w:t>
      </w:r>
      <w:r>
        <w:rPr>
          <w:rFonts w:ascii="Times New Roman" w:cs="Times New Roman" w:eastAsia="Times New Roman" w:hAnsi="Times New Roman"/>
          <w:sz w:val="18"/>
          <w:szCs w:val="18"/>
          <w:b w:val="1"/>
          <w:bCs w:val="1"/>
          <w:color w:val="auto"/>
        </w:rPr>
        <w:t>Consulting Term</w:t>
      </w:r>
      <w:r>
        <w:rPr>
          <w:rFonts w:ascii="Times New Roman" w:cs="Times New Roman" w:eastAsia="Times New Roman" w:hAnsi="Times New Roman"/>
          <w:sz w:val="18"/>
          <w:szCs w:val="18"/>
          <w:color w:val="auto"/>
        </w:rPr>
        <w:t>”) in order to assist in promoting a smooth transition of Employee’s duties to employees designated by Employer’s Chief Executive Officer. Employee agrees and understands that Employee will provide consulting services as an independent contractor. Employee may provide these consulting services from his/her residence, unless requested by Employer’s Chief Executive Officer (or designee), to travel within the United States, or appear in the Employer's offices, in the ordinary course of completing requested assignments, which the Employer may request with reasonable notice, and expectations consistent with Employee's experience and expertise. Employer will reimburse Employee for all reasonable expenses incurred by Employee’s for Employee’s independent contractor work, provided that Employee has obtained prior approval from Employer’s Chief Executive Officer (or designee) for such expenses. For work performed during the Consulting Term, Employee shall be paid the pro-rated equivalent of his/her regular rate of pay while employed, unless a different amount is agreed to by the Chief Executive Officer.</w:t>
      </w:r>
    </w:p>
    <w:p>
      <w:pPr>
        <w:spacing w:after="0" w:line="191" w:lineRule="exact"/>
        <w:rPr>
          <w:rFonts w:ascii="Times New Roman" w:cs="Times New Roman" w:eastAsia="Times New Roman" w:hAnsi="Times New Roman"/>
          <w:sz w:val="18"/>
          <w:szCs w:val="18"/>
          <w:color w:val="auto"/>
        </w:rPr>
      </w:pPr>
    </w:p>
    <w:p>
      <w:pPr>
        <w:ind w:right="60" w:firstLine="656"/>
        <w:spacing w:after="0" w:line="284" w:lineRule="auto"/>
        <w:tabs>
          <w:tab w:leader="none" w:pos="9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Support</w:t>
      </w:r>
      <w:r>
        <w:rPr>
          <w:rFonts w:ascii="Times New Roman" w:cs="Times New Roman" w:eastAsia="Times New Roman" w:hAnsi="Times New Roman"/>
          <w:sz w:val="18"/>
          <w:szCs w:val="18"/>
          <w:color w:val="auto"/>
        </w:rPr>
        <w:t>. Employee hereby agrees to cooperate voluntarily, as requested, in any of the Employer’s legal matters, not involving a governmental agency or enforcement action now pending or that may be filed in the future. Employee’s cooperation includes but is not limited to Employee being available for interviews with attorneys and for depositions, searching for, identifying and producing documents, electronic media and information, providing truthful testimony as a witness or in affidavits and participating in legal discovery at the request of Employer or its attorneys without the necessity of subpoenas or formal legal process. Employee agrees that, as requested by Employer’s Chief Executive Officer (or the designee), Employee will travel within the United States to perform these duties. Employer shall give reasonable notice for any such travel. Employer will reimburse Employee for all reasonable expenses incurred in performing the duties under this paragraph; provided that Employee has obtained prior approval from Employer’s Chief Executive Officer or the designee for such expenses. Employee shall retain and shall not destroy or delete any documents, including electronic documents, text messages, e-mails, letters and other communications related to any pending or future legal matter until Employer notifies Employee that the legal matters have terminated and that Employee is then free to destroy such documents. Nothing in this Agreement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Employee does not need the prior authorization of the Employer to make any such reports or disclosures and Employee is not required to notify the Company of such reports or disclosures.</w:t>
      </w:r>
    </w:p>
    <w:p>
      <w:pPr>
        <w:sectPr>
          <w:pgSz w:w="11900" w:h="16838" w:orient="portrait"/>
          <w:cols w:equalWidth="0" w:num="1">
            <w:col w:w="11420"/>
          </w:cols>
          <w:pgMar w:left="240" w:top="378" w:right="239" w:bottom="1440" w:gutter="0" w:footer="0" w:header="0"/>
        </w:sectPr>
      </w:pPr>
    </w:p>
    <w:bookmarkStart w:id="33" w:name="page34"/>
    <w:bookmarkEnd w:id="33"/>
    <w:p>
      <w:pPr>
        <w:ind w:firstLine="656"/>
        <w:spacing w:after="0" w:line="313" w:lineRule="auto"/>
        <w:tabs>
          <w:tab w:leader="none" w:pos="9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Counsel for Employee.</w:t>
      </w:r>
      <w:r>
        <w:rPr>
          <w:rFonts w:ascii="Times New Roman" w:cs="Times New Roman" w:eastAsia="Times New Roman" w:hAnsi="Times New Roman"/>
          <w:sz w:val="18"/>
          <w:szCs w:val="18"/>
          <w:color w:val="auto"/>
        </w:rPr>
        <w:t xml:space="preserve"> To the extent Employer determines in Employer’s sole discretion that Employee should be represented by counsel in any legal matter related to Employer, Employer shall provide to Employee at Employer’s expense counsel of Employer’s choosing, to represent Employee.</w:t>
      </w:r>
    </w:p>
    <w:p>
      <w:pPr>
        <w:spacing w:after="0" w:line="162" w:lineRule="exact"/>
        <w:rPr>
          <w:rFonts w:ascii="Times New Roman" w:cs="Times New Roman" w:eastAsia="Times New Roman" w:hAnsi="Times New Roman"/>
          <w:sz w:val="18"/>
          <w:szCs w:val="18"/>
          <w:color w:val="auto"/>
        </w:rPr>
      </w:pPr>
    </w:p>
    <w:p>
      <w:pPr>
        <w:jc w:val="both"/>
        <w:ind w:right="200" w:firstLine="656"/>
        <w:spacing w:after="0" w:line="292" w:lineRule="auto"/>
        <w:tabs>
          <w:tab w:leader="none" w:pos="9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Employee hereby agrees that Employee will not engage in any communications, written or oral, regarding Employee’s employment or termination from Employer prior to Employer announcing the departure. Any communication after that announcement shall be wholly consistent with messaging provided by Employer. Employee agrees to not proactively communicate with investors, employees or distributors regarding the departure prior to the announcement.</w:t>
      </w:r>
    </w:p>
    <w:p>
      <w:pPr>
        <w:spacing w:after="0" w:line="181" w:lineRule="exact"/>
        <w:rPr>
          <w:rFonts w:ascii="Times New Roman" w:cs="Times New Roman" w:eastAsia="Times New Roman" w:hAnsi="Times New Roman"/>
          <w:sz w:val="18"/>
          <w:szCs w:val="18"/>
          <w:color w:val="auto"/>
        </w:rPr>
      </w:pPr>
    </w:p>
    <w:p>
      <w:pPr>
        <w:ind w:firstLine="656"/>
        <w:spacing w:after="0" w:line="284" w:lineRule="auto"/>
        <w:tabs>
          <w:tab w:leader="none" w:pos="9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and Covenant Not to Sue</w:t>
      </w:r>
      <w:r>
        <w:rPr>
          <w:rFonts w:ascii="Times New Roman" w:cs="Times New Roman" w:eastAsia="Times New Roman" w:hAnsi="Times New Roman"/>
          <w:sz w:val="18"/>
          <w:szCs w:val="18"/>
          <w:color w:val="auto"/>
        </w:rPr>
        <w:t>. In exchange for the Severance Pay described above, to the fullest extent permitted by applicable law, Employee hereby fully and forever unconditionally releases and discharges Employer, all of its past, present and future parent, subsidiary, affiliated and related corporations, their predecessors, successors and assigns, together with their divisions and departments, and all past or present officers, directors, employees, insurers, attorneys and agents of any of them (hereinafter referred to collectively as "</w:t>
      </w:r>
      <w:r>
        <w:rPr>
          <w:rFonts w:ascii="Times New Roman" w:cs="Times New Roman" w:eastAsia="Times New Roman" w:hAnsi="Times New Roman"/>
          <w:sz w:val="18"/>
          <w:szCs w:val="18"/>
          <w:b w:val="1"/>
          <w:bCs w:val="1"/>
          <w:color w:val="auto"/>
        </w:rPr>
        <w:t>Releasees</w:t>
      </w:r>
      <w:r>
        <w:rPr>
          <w:rFonts w:ascii="Times New Roman" w:cs="Times New Roman" w:eastAsia="Times New Roman" w:hAnsi="Times New Roman"/>
          <w:sz w:val="18"/>
          <w:szCs w:val="18"/>
          <w:color w:val="auto"/>
        </w:rPr>
        <w:t xml:space="preserve">"), and Employee covenants not to sue or assert against Releasees in any forum, for any purpose, any or all claims, administrative complaints, demands, actions and causes of action, of every kind and nature whatsoever, whether at law or in equity, and both negligent and intentional, arising from or in any way related to Employee's employment or separation from Employer, based in whole or in part upon any act or omission, occurring on or before the date of this general release, without regard to Employee's present actual knowledge of the act or omission, which Employee may now have, or which Employee, or any person acting on Employee's behalf may at any future time have or claim to have, including specifically, but not by way of limitation, matters which may arise at common law or under federal, state or local laws, including but not limited to the Fair Labor Standards Act, the Employee Retirement Income Security Act, the National Labor Relations Act, Title VII of the Civil Rights Act of 1964, the Age Discrimination in Employment Act, the Americans with Disabilities Act, the Equal Pay Act, the Family and Medical Leave Act, the Utah Labor Code and any other state or federal laws, </w:t>
      </w:r>
      <w:r>
        <w:rPr>
          <w:rFonts w:ascii="Times New Roman" w:cs="Times New Roman" w:eastAsia="Times New Roman" w:hAnsi="Times New Roman"/>
          <w:sz w:val="18"/>
          <w:szCs w:val="18"/>
          <w:u w:val="single" w:color="auto"/>
          <w:color w:val="auto"/>
        </w:rPr>
        <w:t>excepting</w:t>
      </w:r>
      <w:r>
        <w:rPr>
          <w:rFonts w:ascii="Times New Roman" w:cs="Times New Roman" w:eastAsia="Times New Roman" w:hAnsi="Times New Roman"/>
          <w:sz w:val="18"/>
          <w:szCs w:val="18"/>
          <w:color w:val="auto"/>
        </w:rPr>
        <w:t xml:space="preserve"> only any claim for worker's compensation, unemployment compensation, COBRA rights, and any vested rights under any ERISA benefit plan. Employee does not waive or release any rights arising after the date of execution of this Agreement.</w:t>
      </w:r>
    </w:p>
    <w:p>
      <w:pPr>
        <w:spacing w:after="0" w:line="190" w:lineRule="exact"/>
        <w:rPr>
          <w:sz w:val="20"/>
          <w:szCs w:val="20"/>
          <w:color w:val="auto"/>
        </w:rPr>
      </w:pPr>
    </w:p>
    <w:p>
      <w:pPr>
        <w:jc w:val="both"/>
        <w:ind w:right="140" w:firstLine="648"/>
        <w:spacing w:after="0" w:line="281" w:lineRule="auto"/>
        <w:rPr>
          <w:sz w:val="20"/>
          <w:szCs w:val="20"/>
          <w:color w:val="auto"/>
        </w:rPr>
      </w:pPr>
      <w:r>
        <w:rPr>
          <w:rFonts w:ascii="Times New Roman" w:cs="Times New Roman" w:eastAsia="Times New Roman" w:hAnsi="Times New Roman"/>
          <w:sz w:val="18"/>
          <w:szCs w:val="18"/>
          <w:color w:val="auto"/>
        </w:rPr>
        <w:t>Employee further agrees that Employee will not in any manner encourage, counsel, participate in or otherwise assist any non-governmental third-party in the presentation or prosecution of any disputes, differences, grievances, claims, charges or complaints by any non-governmental third party against any of the Releasees unless Employee is legally required to participate in any such matter pursuant to an enforceable subpoena or other court order to do so.</w:t>
      </w:r>
    </w:p>
    <w:p>
      <w:pPr>
        <w:spacing w:after="0" w:line="2" w:lineRule="exact"/>
        <w:rPr>
          <w:sz w:val="20"/>
          <w:szCs w:val="20"/>
          <w:color w:val="auto"/>
        </w:rPr>
      </w:pPr>
    </w:p>
    <w:p>
      <w:pPr>
        <w:spacing w:after="0" w:line="346" w:lineRule="auto"/>
        <w:rPr>
          <w:sz w:val="20"/>
          <w:szCs w:val="20"/>
          <w:color w:val="auto"/>
        </w:rPr>
      </w:pPr>
      <w:r>
        <w:rPr>
          <w:rFonts w:ascii="Times New Roman" w:cs="Times New Roman" w:eastAsia="Times New Roman" w:hAnsi="Times New Roman"/>
          <w:sz w:val="17"/>
          <w:szCs w:val="17"/>
          <w:color w:val="auto"/>
        </w:rPr>
        <w:t>Employee also agrees to immediately notify in writing the Company (c/o Vice President of Legal Affairs) and the Company’s Board of Directors upon receipt of any non-governmental subpoena or court order, and to furnish, within three (3) business days of its receipt, a copy of such subpoena or other court order.</w:t>
      </w:r>
    </w:p>
    <w:p>
      <w:pPr>
        <w:spacing w:after="0" w:line="139" w:lineRule="exact"/>
        <w:rPr>
          <w:sz w:val="20"/>
          <w:szCs w:val="20"/>
          <w:color w:val="auto"/>
        </w:rPr>
      </w:pPr>
    </w:p>
    <w:p>
      <w:pPr>
        <w:ind w:right="20" w:firstLine="656"/>
        <w:spacing w:after="0" w:line="288" w:lineRule="auto"/>
        <w:tabs>
          <w:tab w:leader="none" w:pos="9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Employee understands that nothing contained in this Agreement limits Employee’s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Employee further understands that this Agreement does not limit Employee’s ability to communicate with any Government Agencies or otherwise participate in any investigation or proceeding that may be conducted by any Government Agency, including providing documents or other information, without notice to the Company. This Agreement does not limit Employee’s right to receive an award for information provided to any Government Agencies.</w:t>
      </w:r>
    </w:p>
    <w:p>
      <w:pPr>
        <w:sectPr>
          <w:pgSz w:w="11900" w:h="16838" w:orient="portrait"/>
          <w:cols w:equalWidth="0" w:num="1">
            <w:col w:w="11380"/>
          </w:cols>
          <w:pgMar w:left="240" w:top="378" w:right="279" w:bottom="1440" w:gutter="0" w:footer="0" w:header="0"/>
        </w:sectPr>
      </w:pPr>
    </w:p>
    <w:bookmarkStart w:id="34" w:name="page35"/>
    <w:bookmarkEnd w:id="34"/>
    <w:p>
      <w:pPr>
        <w:ind w:left="-656" w:right="20" w:firstLine="656"/>
        <w:spacing w:after="0" w:line="285" w:lineRule="auto"/>
        <w:tabs>
          <w:tab w:leader="none" w:pos="3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Confidential Information</w:t>
      </w:r>
      <w:r>
        <w:rPr>
          <w:rFonts w:ascii="Times New Roman" w:cs="Times New Roman" w:eastAsia="Times New Roman" w:hAnsi="Times New Roman"/>
          <w:sz w:val="18"/>
          <w:szCs w:val="18"/>
          <w:color w:val="auto"/>
        </w:rPr>
        <w:t xml:space="preserve">. (a) Employee acknowledges that any Proprietary Information (defined below) disclosed or made available to Employee or obtained, observed or known by Employee as a direct or indirect consequence of Employee’s employment with Employer or performance of services for the Employer or any of its subsidiaries, (whether or not compensated for such services), are the sole property of the Company and its subsidiaries. Therefore, Employee agrees that he/she will not at any time disclose or permit to be disclosed to any Person or, directly or indirectly, utilize for Employee’s own account or permit to be utilized by any person any Proprietary Information for any reason whatsoever without the Company’s consent, unless and to the extent that (except as otherwise provided in the definition of Proprietary Information) the aforementioned matters become generally known to and available for use by the public other than as a direct or indirect result of Employee's acts or omissions to act. Employee agrees that by the Termination Date Employee has delivered to the Company, as a condition to receipt of Severance Pay all records pertaining to the Company, its subsidiaries and their respective business which Employee possessed or had under Employee’s control.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shall be construed to prevent Employee from using Employee’s general knowledge and experience in future employment so long as Employee complies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and the other restrictions contained in this Agreement.</w:t>
      </w:r>
    </w:p>
    <w:p>
      <w:pPr>
        <w:spacing w:after="0" w:line="186" w:lineRule="exact"/>
        <w:rPr>
          <w:rFonts w:ascii="Times New Roman" w:cs="Times New Roman" w:eastAsia="Times New Roman" w:hAnsi="Times New Roman"/>
          <w:sz w:val="18"/>
          <w:szCs w:val="18"/>
          <w:color w:val="auto"/>
        </w:rPr>
      </w:pPr>
    </w:p>
    <w:p>
      <w:pPr>
        <w:ind w:left="-656" w:firstLine="1305"/>
        <w:spacing w:after="0" w:line="284"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xml:space="preserve">. Employee acknowledges that all inventions, innovations, improvements, developments, methods, processes, programs, designs, analyses, drawings, reports and all similar or related information (whether or not patentable) that relate to the Company's or any of its subsidiaries' actual or anticipated business, research and development, or existing or future products or services and that were conceived, developed, contributed to, made, or reduced to practice by Employee (either solely or jointly with others) while employed by the Company or any of its subsidiaries (including any of the foregoing that constitutes any Proprietary Information or records) ("Work Product") belong to the Company or such subsidiary and Employee hereby assigns all of the above Work Product to the Company or such subsidiary. Any copyrightable work prepared in whole or in part by Employee in the course of Employee’s work for any of the foregoing entities is deemed a "work made for hire" under the copyright laws, and the Company or such subsidiary owns all rights therein. To the extent that any such copyrightable work is not a "work made for hire," Employee hereby assigns to Company all right, title and interest, including without limitation, copyright in and to such copyrightable work. Employee has disclosed such Work Product and copyrightable work to the Chief Executive Officer and performed all actions reasonably requested by the Chief Executive Officer (whether during or after Employee's term of employment) to establish and confirm the Company's or its subsidiary's ownership (including, without limitation, execution of assignments, consents, powers of attorney and other instruments). Notwithstanding anything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to the contrary, the Company's ownership of Work Product does not apply to any invention that Employee developed entirely on Employee’s own time without using the equipment, supplies or facilities of the Company or subsidiaries or any Proprietary Information (including trade secrets business; or (ii) result from any work that Employee performed for the Company or its subsidiaries.</w:t>
      </w:r>
    </w:p>
    <w:p>
      <w:pPr>
        <w:spacing w:after="0" w:line="188" w:lineRule="exact"/>
        <w:rPr>
          <w:rFonts w:ascii="Times New Roman" w:cs="Times New Roman" w:eastAsia="Times New Roman" w:hAnsi="Times New Roman"/>
          <w:sz w:val="18"/>
          <w:szCs w:val="18"/>
          <w:color w:val="auto"/>
        </w:rPr>
      </w:pPr>
    </w:p>
    <w:p>
      <w:pPr>
        <w:ind w:left="-656" w:right="20" w:firstLine="1305"/>
        <w:spacing w:after="0" w:line="288" w:lineRule="auto"/>
        <w:tabs>
          <w:tab w:leader="none" w:pos="103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Employee understands that the Company and its subsidiaries have received from third parties confidential or proprietary information ("Third Party Information") subject to a duty on the Company's and its subsidiaries' part to maintain the confidentiality of such information and to use it only for certain limited purposes. Without in any way limiting the provisions of the sections above, Employee agrees to hold Third Party Information in the strictest confidence and shall not disclose to anyone (other than personnel of the Company or its subsidiaries who need to know such information in connection with their work for the Company or its subsidiaries) or use, except in connection with Employee’s work for the Company or its subsidiaries, Third Party Information unless expressly authorized by the Chief Executive Officer in writing.</w:t>
      </w:r>
    </w:p>
    <w:p>
      <w:pPr>
        <w:sectPr>
          <w:pgSz w:w="11900" w:h="16838" w:orient="portrait"/>
          <w:cols w:equalWidth="0" w:num="1">
            <w:col w:w="10744"/>
          </w:cols>
          <w:pgMar w:left="896" w:top="378" w:right="259" w:bottom="1440" w:gutter="0" w:footer="0" w:header="0"/>
        </w:sectPr>
      </w:pPr>
    </w:p>
    <w:bookmarkStart w:id="35" w:name="page36"/>
    <w:bookmarkEnd w:id="35"/>
    <w:p>
      <w:pPr>
        <w:ind w:right="40" w:firstLine="1305"/>
        <w:spacing w:after="0" w:line="284" w:lineRule="auto"/>
        <w:tabs>
          <w:tab w:leader="none" w:pos="16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Information" means any and all data and information concerning the business affairs of the Company or any of its subsidiaries and not generally known in the industry in which the Company or any of its subsidiaries is or may become engaged, and any other information concerning any matters affecting or relating to the Company's or its subsidiaries businesses, but in any event Proprietary Information shall include, any of the Company's and its subsidiaries' past, present or prospective business opportunities, including information concerning acquisition opportunities in or reasonably related to the Company's or its subsidiaries businesses or industries, customers and/or distributors, customer and/or distributor lists, clients, distributors, client and/or distributor lists, investors, the prices the Company and its subsidiaries obtain or have obtained from the sale of, or at which they sell or have sold, their products, unit volume of sales to past or present customers and clients, or any other information concerning the business of the Company and its subsidiaries, their manner of operation, their plans, processes, figures, sales figures, projections, estimates, tax records, personnel history, accounting procedures, promotions, supply sources, contracts, know-how, trade secrets, information relating to research, development, inventions, technology, manufacture, purchasing, engineering, marketing, merchandising or selling, or other data without regard to whether all of the foregoing matters will be deemed confidential, material or important. Proprietary Information does not include any information that Employee has obtained from a person other than an employee of the Company or a subsidiary, which was disclosed to Employee without a breach of a duty of confidentiality.</w:t>
      </w:r>
    </w:p>
    <w:p>
      <w:pPr>
        <w:spacing w:after="0" w:line="19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Notwithstanding the foregoing, Employee understands that, in accordance with the Defend Trade Secrets Act of 2016, an individual cannot be held criminally or civilly liable under any federal or state trade secret law for the disclosure of a trade secret that: (1) is made in confidence to a federal, state, or local government official (either directly or indirectly), or to an attorney, solely for the purpose of reporting or investigating a suspected violation of law, or</w:t>
      </w:r>
    </w:p>
    <w:p>
      <w:pPr>
        <w:spacing w:after="0" w:line="2" w:lineRule="exact"/>
        <w:rPr>
          <w:sz w:val="20"/>
          <w:szCs w:val="20"/>
          <w:color w:val="auto"/>
        </w:rPr>
      </w:pPr>
    </w:p>
    <w:p>
      <w:pPr>
        <w:jc w:val="both"/>
        <w:ind w:firstLine="8"/>
        <w:spacing w:after="0" w:line="289" w:lineRule="auto"/>
        <w:tabs>
          <w:tab w:leader="none" w:pos="2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in a complaint or other document filed in a lawsuit or other proceeding, if such filing is made under seal. Employee understands that an individual who files a lawsuit for retaliation by an employer for reporting a suspected violation of law may disclose the trade secret to the attorney of the individual and use the trade secret information in a court proceeding, if the individual files any document containing the trade secret under seal, and does not disclose the trade secret, except pursuant to a court order. Finally, Employee understands that this provision also applies to any individual performing work as a contractor or consultant for an employer.</w:t>
      </w:r>
    </w:p>
    <w:p>
      <w:pPr>
        <w:spacing w:after="0" w:line="185" w:lineRule="exact"/>
        <w:rPr>
          <w:rFonts w:ascii="Times New Roman" w:cs="Times New Roman" w:eastAsia="Times New Roman" w:hAnsi="Times New Roman"/>
          <w:sz w:val="18"/>
          <w:szCs w:val="18"/>
          <w:color w:val="auto"/>
        </w:rPr>
      </w:pPr>
    </w:p>
    <w:p>
      <w:pPr>
        <w:ind w:right="100" w:firstLine="656"/>
        <w:spacing w:after="0" w:line="297" w:lineRule="auto"/>
        <w:tabs>
          <w:tab w:leader="none" w:pos="10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of Agreement</w:t>
      </w:r>
      <w:r>
        <w:rPr>
          <w:rFonts w:ascii="Times New Roman" w:cs="Times New Roman" w:eastAsia="Times New Roman" w:hAnsi="Times New Roman"/>
          <w:sz w:val="18"/>
          <w:szCs w:val="18"/>
          <w:color w:val="auto"/>
        </w:rPr>
        <w:t>. Employee agrees to keep the facts and terms of this Agreement confidential, except Employee may disclose the substance of this Agreement to Employee’s spouse, legal counsel, and financial or tax advisor, upon condition that such persons be advised by Employee of employee's confidentiality obligations hereunder and advise such persons that any disclosure by them will be deemed a disclosure by Employee.</w:t>
      </w:r>
    </w:p>
    <w:p>
      <w:pPr>
        <w:spacing w:after="0" w:line="176" w:lineRule="exact"/>
        <w:rPr>
          <w:rFonts w:ascii="Times New Roman" w:cs="Times New Roman" w:eastAsia="Times New Roman" w:hAnsi="Times New Roman"/>
          <w:sz w:val="18"/>
          <w:szCs w:val="18"/>
          <w:color w:val="auto"/>
        </w:rPr>
      </w:pPr>
    </w:p>
    <w:p>
      <w:pPr>
        <w:ind w:right="100" w:firstLine="656"/>
        <w:spacing w:after="0" w:line="287" w:lineRule="auto"/>
        <w:tabs>
          <w:tab w:leader="none" w:pos="10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Employee represents that he/she has returned to Employer, and has not retained, all of Employer's property, including documents, data (and any copies thereof), equipment, computer equipment, video equipment, audio equipment and cameras of any nature and in whatever medium, including all Employer data, files and images that are stored on Employee’s personal computers and equipment. Employee also represents that she/he has returned to Employer any building key(s), security cards, credit cards and any information regarding Employer's practices, procedures, trade secrets, customer or distributor lists or employee lists. Employee understands and agrees that any outstanding expense reports that Employee intends to complete must be submitted to Employer within thirty (30) days of the Termination Date. If the expense report is not submitted to Employer within thirty days of the Termination Date, Employee shall not be entitled to reimbursement.</w:t>
      </w:r>
    </w:p>
    <w:p>
      <w:pPr>
        <w:sectPr>
          <w:pgSz w:w="11900" w:h="16838" w:orient="portrait"/>
          <w:cols w:equalWidth="0" w:num="1">
            <w:col w:w="11420"/>
          </w:cols>
          <w:pgMar w:left="240" w:top="378" w:right="239" w:bottom="1440" w:gutter="0" w:footer="0" w:header="0"/>
        </w:sectPr>
      </w:pPr>
    </w:p>
    <w:bookmarkStart w:id="36" w:name="page37"/>
    <w:bookmarkEnd w:id="36"/>
    <w:p>
      <w:pPr>
        <w:ind w:right="200" w:firstLine="656"/>
        <w:spacing w:after="0" w:line="292" w:lineRule="auto"/>
        <w:tabs>
          <w:tab w:leader="none" w:pos="10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hereby acknowledges and agrees to not make, say or publish any negative or disparaging comments whatsoever to any non-governmental third-parties about Employer its products or services, or any of its directors, officers, employees, or agents, except as expressly required by applicable law. This obligation includes verbal or written statements made by or caused to be published by Employee in any forum or through any medium, including every electronic media.</w:t>
      </w:r>
    </w:p>
    <w:p>
      <w:pPr>
        <w:spacing w:after="0" w:line="181" w:lineRule="exact"/>
        <w:rPr>
          <w:rFonts w:ascii="Times New Roman" w:cs="Times New Roman" w:eastAsia="Times New Roman" w:hAnsi="Times New Roman"/>
          <w:sz w:val="18"/>
          <w:szCs w:val="18"/>
          <w:color w:val="auto"/>
        </w:rPr>
      </w:pPr>
    </w:p>
    <w:p>
      <w:pPr>
        <w:ind w:right="120" w:firstLine="656"/>
        <w:spacing w:after="0" w:line="313" w:lineRule="auto"/>
        <w:tabs>
          <w:tab w:leader="none" w:pos="105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 In consideration of the Severance Pay, Employee agrees to the following terms. The below provisions expressly and exclusively supersedes any non-competition and non-solicitation obligation Employee may previously been subject to:</w:t>
      </w:r>
    </w:p>
    <w:p>
      <w:pPr>
        <w:spacing w:after="0" w:line="158" w:lineRule="exact"/>
        <w:rPr>
          <w:rFonts w:ascii="Times New Roman" w:cs="Times New Roman" w:eastAsia="Times New Roman" w:hAnsi="Times New Roman"/>
          <w:sz w:val="18"/>
          <w:szCs w:val="18"/>
          <w:color w:val="auto"/>
        </w:rPr>
      </w:pPr>
    </w:p>
    <w:p>
      <w:pPr>
        <w:ind w:right="160" w:firstLine="1305"/>
        <w:spacing w:after="0" w:line="300" w:lineRule="auto"/>
        <w:tabs>
          <w:tab w:leader="none" w:pos="16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Distributors/Employees/Consultants</w:t>
      </w:r>
      <w:r>
        <w:rPr>
          <w:rFonts w:ascii="Times New Roman" w:cs="Times New Roman" w:eastAsia="Times New Roman" w:hAnsi="Times New Roman"/>
          <w:sz w:val="18"/>
          <w:szCs w:val="18"/>
          <w:color w:val="auto"/>
        </w:rPr>
        <w:t>. For a period of two years after Employee’s Termination Date,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directly or indirectly, solicit, influence, encourage, entice, or induce, or attempt to solicit, influence, encourage, entice, or induce, any employee, independent distributor or other consultant of the Company to:</w:t>
      </w:r>
    </w:p>
    <w:p>
      <w:pPr>
        <w:spacing w:after="0" w:line="173" w:lineRule="exact"/>
        <w:rPr>
          <w:rFonts w:ascii="Times New Roman" w:cs="Times New Roman" w:eastAsia="Times New Roman" w:hAnsi="Times New Roman"/>
          <w:sz w:val="18"/>
          <w:szCs w:val="18"/>
          <w:color w:val="auto"/>
        </w:rPr>
      </w:pPr>
    </w:p>
    <w:p>
      <w:pPr>
        <w:ind w:left="2300" w:hanging="347"/>
        <w:spacing w:after="0"/>
        <w:tabs>
          <w:tab w:leader="none" w:pos="23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quit their employment or cease rendering services to the Company;</w:t>
      </w:r>
    </w:p>
    <w:p>
      <w:pPr>
        <w:spacing w:after="0" w:line="36" w:lineRule="exact"/>
        <w:rPr>
          <w:rFonts w:ascii="Times New Roman" w:cs="Times New Roman" w:eastAsia="Times New Roman" w:hAnsi="Times New Roman"/>
          <w:sz w:val="18"/>
          <w:szCs w:val="18"/>
          <w:color w:val="auto"/>
        </w:rPr>
      </w:pPr>
    </w:p>
    <w:p>
      <w:pPr>
        <w:ind w:firstLine="1953"/>
        <w:spacing w:after="0" w:line="281" w:lineRule="auto"/>
        <w:tabs>
          <w:tab w:leader="none" w:pos="2345"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 about, enroll for or into a direct selling, network marking company/opportunity or multi-level marketing company/opportunity. This includes, but is not limited to, presenting or assisting in the presentation of another direct selling, network marketing or multi-level marketing opportunity to Company’s employees, distributors or consultants;</w:t>
      </w:r>
    </w:p>
    <w:p>
      <w:pPr>
        <w:spacing w:after="0" w:line="2"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with another direct selling, network marking company/opportunity or multi-level marketing company;</w:t>
      </w:r>
    </w:p>
    <w:p>
      <w:pPr>
        <w:spacing w:after="0" w:line="36"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distributor with a direct selling, network marking company/opportunity or multi-level marketing company or</w:t>
      </w:r>
    </w:p>
    <w:p>
      <w:pPr>
        <w:spacing w:after="0" w:line="36"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their time between Company and a direct selling, network marking company/opportunity or multi-level marketing</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52"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The above terms and conditions apply regardless of who initiates such contact and regardless of whether the employee, independent distributor or other consultant actually leaves Company’s employment or ceases rendering services to the Company.</w:t>
      </w:r>
    </w:p>
    <w:p>
      <w:pPr>
        <w:spacing w:after="0" w:line="185" w:lineRule="exact"/>
        <w:rPr>
          <w:sz w:val="20"/>
          <w:szCs w:val="20"/>
          <w:color w:val="auto"/>
        </w:rPr>
      </w:pPr>
    </w:p>
    <w:p>
      <w:pPr>
        <w:ind w:right="100" w:firstLine="1305"/>
        <w:spacing w:after="0" w:line="289" w:lineRule="auto"/>
        <w:tabs>
          <w:tab w:leader="none" w:pos="168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Non-Solicitation. </w:t>
      </w:r>
      <w:r>
        <w:rPr>
          <w:rFonts w:ascii="Times New Roman" w:cs="Times New Roman" w:eastAsia="Times New Roman" w:hAnsi="Times New Roman"/>
          <w:sz w:val="18"/>
          <w:szCs w:val="18"/>
          <w:color w:val="auto"/>
        </w:rPr>
        <w:t>In consideration of this Agreement and to the extent permitted under applicable law, and in order to protect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and preserve the Company’s relationships with its prospects and customers, Employee agrees that for a period of two (2) years after Employee’s Termination Date, Employee will not directly or indirectly, solicit business, divert business, or accept business, or attempt to solicit business, divert business or accept business, related to nutritional, health or wellness supplements or any other product or service of the Company, from any person or entity that was a prospect or customer of the Company at the time of Employee’s termination regardless of who initiates such contact between Employee and regardless of whether the prospect or customer actually ceases doing business with the Company.</w:t>
      </w:r>
    </w:p>
    <w:p>
      <w:pPr>
        <w:spacing w:after="0" w:line="179" w:lineRule="exact"/>
        <w:rPr>
          <w:rFonts w:ascii="Times New Roman" w:cs="Times New Roman" w:eastAsia="Times New Roman" w:hAnsi="Times New Roman"/>
          <w:sz w:val="18"/>
          <w:szCs w:val="18"/>
          <w:color w:val="auto"/>
        </w:rPr>
      </w:pPr>
    </w:p>
    <w:p>
      <w:pPr>
        <w:ind w:right="340" w:firstLine="1305"/>
        <w:spacing w:after="0" w:line="300" w:lineRule="auto"/>
        <w:tabs>
          <w:tab w:leader="none" w:pos="16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Non-Competition. </w:t>
      </w:r>
      <w:r>
        <w:rPr>
          <w:rFonts w:ascii="Times New Roman" w:cs="Times New Roman" w:eastAsia="Times New Roman" w:hAnsi="Times New Roman"/>
          <w:sz w:val="18"/>
          <w:szCs w:val="18"/>
          <w:color w:val="auto"/>
        </w:rPr>
        <w:t>In consideration of this Agreement, Employee shall not, for a period of one (1) year after the 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 in, advise or consult with, or accept employment with any company, business or any entity, or contribute Employee’s knowledge to any work or activity, that:</w:t>
      </w:r>
    </w:p>
    <w:p>
      <w:pPr>
        <w:spacing w:after="0" w:line="173"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 distribution channel, network marketing or multi-level marketing company or opportunity;</w:t>
      </w:r>
    </w:p>
    <w:p>
      <w:pPr>
        <w:spacing w:after="0" w:line="36" w:lineRule="exact"/>
        <w:rPr>
          <w:rFonts w:ascii="Times New Roman" w:cs="Times New Roman" w:eastAsia="Times New Roman" w:hAnsi="Times New Roman"/>
          <w:sz w:val="18"/>
          <w:szCs w:val="18"/>
          <w:color w:val="auto"/>
        </w:rPr>
      </w:pPr>
    </w:p>
    <w:p>
      <w:pPr>
        <w:ind w:right="760" w:firstLine="656"/>
        <w:spacing w:after="0" w:line="313" w:lineRule="auto"/>
        <w:tabs>
          <w:tab w:leader="none" w:pos="9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process, provision of services or distribution channel (network marketing) that is similar to, offered by or competitive with the Company; or</w:t>
      </w:r>
    </w:p>
    <w:p>
      <w:pPr>
        <w:sectPr>
          <w:pgSz w:w="11900" w:h="16838" w:orient="portrait"/>
          <w:cols w:equalWidth="0" w:num="1">
            <w:col w:w="11420"/>
          </w:cols>
          <w:pgMar w:left="240" w:top="378" w:right="239" w:bottom="1440" w:gutter="0" w:footer="0" w:header="0"/>
        </w:sectPr>
      </w:pPr>
    </w:p>
    <w:bookmarkStart w:id="37" w:name="page38"/>
    <w:bookmarkEnd w:id="37"/>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development and/or sales of nutritional/health/wellness supplements, or any other product or service provided or offered by the</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52" w:lineRule="exact"/>
        <w:rPr>
          <w:sz w:val="20"/>
          <w:szCs w:val="20"/>
          <w:color w:val="auto"/>
        </w:rPr>
      </w:pPr>
    </w:p>
    <w:p>
      <w:pPr>
        <w:ind w:right="120" w:firstLine="648"/>
        <w:spacing w:after="0" w:line="310" w:lineRule="auto"/>
        <w:rPr>
          <w:sz w:val="20"/>
          <w:szCs w:val="20"/>
          <w:color w:val="auto"/>
        </w:rPr>
      </w:pPr>
      <w:r>
        <w:rPr>
          <w:rFonts w:ascii="Times New Roman" w:cs="Times New Roman" w:eastAsia="Times New Roman" w:hAnsi="Times New Roman"/>
          <w:sz w:val="17"/>
          <w:szCs w:val="17"/>
          <w:color w:val="auto"/>
        </w:rPr>
        <w:t>Employee acknowledges and expressly agrees that this restraint is reasonable as to time and geographic limits and is necessary to protect the Company’s Proprietary Information and good-will, and that it will not unduly restrict Employee’s ability to secure suitable employment after leaving the Company. Employee acknowledges and agrees that the Company’s direct selling, network marketing and distribution is both nationwide in the United States and international through the world. Employee agrees that geographic area means anywhere throughout the United States and the world where Company operated, provided services or products, or has had business relationships and that such scope is reasonable and necessary for the protection of the Company.</w:t>
      </w:r>
    </w:p>
    <w:p>
      <w:pPr>
        <w:spacing w:after="0" w:line="165" w:lineRule="exact"/>
        <w:rPr>
          <w:sz w:val="20"/>
          <w:szCs w:val="20"/>
          <w:color w:val="auto"/>
        </w:rPr>
      </w:pPr>
    </w:p>
    <w:p>
      <w:pPr>
        <w:ind w:right="140" w:firstLine="1305"/>
        <w:spacing w:after="0" w:line="300" w:lineRule="auto"/>
        <w:tabs>
          <w:tab w:leader="none" w:pos="16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Modification By Court. </w:t>
      </w:r>
      <w:r>
        <w:rPr>
          <w:rFonts w:ascii="Times New Roman" w:cs="Times New Roman" w:eastAsia="Times New Roman" w:hAnsi="Times New Roman"/>
          <w:sz w:val="18"/>
          <w:szCs w:val="18"/>
          <w:color w:val="auto"/>
        </w:rPr>
        <w:t>If any court determines that any post-employment restrictive covenant is unreasonable in any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the Court shall modify any term found to be unreasonable and shall revise such term to be enforceable to the broadest extent permitted by law and consistent with the intent of this Agreement.</w:t>
      </w:r>
    </w:p>
    <w:p>
      <w:pPr>
        <w:spacing w:after="0" w:line="169" w:lineRule="exact"/>
        <w:rPr>
          <w:rFonts w:ascii="Times New Roman" w:cs="Times New Roman" w:eastAsia="Times New Roman" w:hAnsi="Times New Roman"/>
          <w:sz w:val="18"/>
          <w:szCs w:val="18"/>
          <w:color w:val="auto"/>
        </w:rPr>
      </w:pPr>
    </w:p>
    <w:p>
      <w:pPr>
        <w:ind w:right="200" w:firstLine="1305"/>
        <w:spacing w:after="0" w:line="318" w:lineRule="auto"/>
        <w:tabs>
          <w:tab w:leader="none" w:pos="167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of Non-Compete</w:t>
      </w:r>
      <w:r>
        <w:rPr>
          <w:rFonts w:ascii="Times New Roman" w:cs="Times New Roman" w:eastAsia="Times New Roman" w:hAnsi="Times New Roman"/>
          <w:sz w:val="18"/>
          <w:szCs w:val="18"/>
          <w:color w:val="auto"/>
        </w:rPr>
        <w:t>. For any period of time in which Employee is found to be in violation of any of the above non-compete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non-solicitation covenants, that period of time shall be added on to the length of the restriction or period of protection for the Company.</w:t>
      </w:r>
    </w:p>
    <w:p>
      <w:pPr>
        <w:spacing w:after="0" w:line="153" w:lineRule="exact"/>
        <w:rPr>
          <w:rFonts w:ascii="Times New Roman" w:cs="Times New Roman" w:eastAsia="Times New Roman" w:hAnsi="Times New Roman"/>
          <w:sz w:val="18"/>
          <w:szCs w:val="18"/>
          <w:color w:val="auto"/>
        </w:rPr>
      </w:pPr>
    </w:p>
    <w:p>
      <w:pPr>
        <w:ind w:right="480" w:firstLine="1305"/>
        <w:spacing w:after="0" w:line="300" w:lineRule="auto"/>
        <w:tabs>
          <w:tab w:leader="none" w:pos="16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to Subsequent Employers</w:t>
      </w:r>
      <w:r>
        <w:rPr>
          <w:rFonts w:ascii="Times New Roman" w:cs="Times New Roman" w:eastAsia="Times New Roman" w:hAnsi="Times New Roman"/>
          <w:sz w:val="18"/>
          <w:szCs w:val="18"/>
          <w:color w:val="auto"/>
        </w:rPr>
        <w:t>. Employee agrees that the Company may provide notice of Employee’s obligations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Agreement to any company or future employer of Employee should the Company consider it necessary for the enforcement of those obligations.</w:t>
      </w:r>
    </w:p>
    <w:p>
      <w:pPr>
        <w:spacing w:after="0" w:line="169" w:lineRule="exact"/>
        <w:rPr>
          <w:rFonts w:ascii="Times New Roman" w:cs="Times New Roman" w:eastAsia="Times New Roman" w:hAnsi="Times New Roman"/>
          <w:sz w:val="18"/>
          <w:szCs w:val="18"/>
          <w:color w:val="auto"/>
        </w:rPr>
      </w:pPr>
    </w:p>
    <w:p>
      <w:pPr>
        <w:ind w:firstLine="1305"/>
        <w:spacing w:after="0" w:line="294" w:lineRule="auto"/>
        <w:tabs>
          <w:tab w:leader="none" w:pos="16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Relief from Further Payments</w:t>
      </w:r>
      <w:r>
        <w:rPr>
          <w:rFonts w:ascii="Times New Roman" w:cs="Times New Roman" w:eastAsia="Times New Roman" w:hAnsi="Times New Roman"/>
          <w:sz w:val="18"/>
          <w:szCs w:val="18"/>
          <w:color w:val="auto"/>
        </w:rPr>
        <w:t>. As solely determined by Employer, Employee agrees that if Employee violates, breaches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challenges the validity of any of the provisions of this Agreement, that Company may immediately cease any further payments that may be forthcoming under the provisions of this Agreement, and Company shall be immediately relieved from any further payment obligations whatsoever under this Agreement. This remedy is in addition to any other rights or damages that Company may seek related to such breach.</w:t>
      </w:r>
    </w:p>
    <w:p>
      <w:pPr>
        <w:spacing w:after="0" w:line="174" w:lineRule="exact"/>
        <w:rPr>
          <w:rFonts w:ascii="Times New Roman" w:cs="Times New Roman" w:eastAsia="Times New Roman" w:hAnsi="Times New Roman"/>
          <w:sz w:val="18"/>
          <w:szCs w:val="18"/>
          <w:color w:val="auto"/>
        </w:rPr>
      </w:pPr>
    </w:p>
    <w:p>
      <w:pPr>
        <w:ind w:right="20" w:firstLine="1305"/>
        <w:spacing w:after="0" w:line="294" w:lineRule="auto"/>
        <w:tabs>
          <w:tab w:leader="none" w:pos="16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 Employee acknowledges that any breach, willfully or otherwise, of the restrictive covenants will cause continuing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irreparable injury to the Company for which monetary damages would not be an adequate remedy. In the event of any such breach or threatened breach of any of the restrictive covenants, the Company shall be entitled to injunctive or other similar equitable relief in any court, without any requirement that a bond or other security be posted, and this Agreement shall not in any way limit remedies of law or in equity otherwise available to the Company.</w:t>
      </w:r>
    </w:p>
    <w:p>
      <w:pPr>
        <w:spacing w:after="0" w:line="17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Older Workers Benefits Protections Act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160" w:firstLine="1305"/>
        <w:spacing w:after="0" w:line="288" w:lineRule="auto"/>
        <w:tabs>
          <w:tab w:leader="none" w:pos="167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hereby advises Employee and Employee acknowledges and represents that: Employee is hereby advised to consult with an attorney of Employee’s own choice prior to executing this Agreement; Employee has had the opportunity to consult with an attorney before signing this Agreement, and Employee either has done so, or has voluntarily chosen not to consult with an attorney; this Agreement is written in a manner which is understandable; this Agreement is entered into under Employee’s own free will and without duress or coercion from any person or entity; the release of claims under the Age Discrimination in Employment Act contained in this Agreement is given by Employee in exchange for consideration provided by this Agreement which</w:t>
      </w:r>
    </w:p>
    <w:p>
      <w:pPr>
        <w:sectPr>
          <w:pgSz w:w="11900" w:h="16838" w:orient="portrait"/>
          <w:cols w:equalWidth="0" w:num="1">
            <w:col w:w="11420"/>
          </w:cols>
          <w:pgMar w:left="240" w:top="378" w:right="239" w:bottom="1440" w:gutter="0" w:footer="0" w:header="0"/>
        </w:sectPr>
      </w:pPr>
    </w:p>
    <w:bookmarkStart w:id="38" w:name="page39"/>
    <w:bookmarkEnd w:id="38"/>
    <w:p>
      <w:pPr>
        <w:ind w:right="140"/>
        <w:spacing w:after="0" w:line="313" w:lineRule="auto"/>
        <w:rPr>
          <w:sz w:val="20"/>
          <w:szCs w:val="20"/>
          <w:color w:val="auto"/>
        </w:rPr>
      </w:pPr>
      <w:r>
        <w:rPr>
          <w:rFonts w:ascii="Times New Roman" w:cs="Times New Roman" w:eastAsia="Times New Roman" w:hAnsi="Times New Roman"/>
          <w:sz w:val="18"/>
          <w:szCs w:val="18"/>
          <w:color w:val="auto"/>
        </w:rPr>
        <w:t>is in addition to anything of value to which Employee would otherwise be entitled without this Agreement; and that Employee does not waive any rights or claims that may arise after the execution date of this Agreement.</w:t>
      </w:r>
    </w:p>
    <w:p>
      <w:pPr>
        <w:spacing w:after="0" w:line="162" w:lineRule="exact"/>
        <w:rPr>
          <w:sz w:val="20"/>
          <w:szCs w:val="20"/>
          <w:color w:val="auto"/>
        </w:rPr>
      </w:pPr>
    </w:p>
    <w:p>
      <w:pPr>
        <w:ind w:right="80" w:firstLine="1305"/>
        <w:spacing w:after="0" w:line="289" w:lineRule="auto"/>
        <w:tabs>
          <w:tab w:leader="none" w:pos="16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represents that Employee has been informed that Employee has twenty-one (21) days within which to consider this Agreement and that this Agreement will remain available for acceptance by Employee for this twenty-one day period, commencing on the date this Agreement is provided to Employee, as indicated in the first paragraph of this Agreement. Employee may accept this Agreement by signing the Agreement and returning it to the attention of Michelle Oborn, VP Human Resources, at 9785 S. Monroe Street, Suite 300, Sandy, UT 84070 by 10 a.m. Mountain time on the twenty-second day.</w:t>
      </w:r>
    </w:p>
    <w:p>
      <w:pPr>
        <w:spacing w:after="0" w:line="185" w:lineRule="exact"/>
        <w:rPr>
          <w:rFonts w:ascii="Times New Roman" w:cs="Times New Roman" w:eastAsia="Times New Roman" w:hAnsi="Times New Roman"/>
          <w:sz w:val="18"/>
          <w:szCs w:val="18"/>
          <w:color w:val="auto"/>
        </w:rPr>
      </w:pPr>
    </w:p>
    <w:p>
      <w:pPr>
        <w:ind w:firstLine="1305"/>
        <w:spacing w:after="0" w:line="289" w:lineRule="auto"/>
        <w:tabs>
          <w:tab w:leader="none" w:pos="16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represents that Employee has been informed that Employee has the right to rescind this Agreement for a period of seven (7) days following the date upon which Employee executes this Agreement. Should Employee choose to exercise this right, Employee agrees that any such notice must be provided to and received by Employer in writing on or prior to lapse of the seven-day revocation period. Any such revocation must be in writing and delivered to Michelle Oborn, VP Human Resources, at 9785 S. Monroe Street, Suite 300, Sandy, UT 84070 on or prior to the seventh day.</w:t>
      </w:r>
    </w:p>
    <w:p>
      <w:pPr>
        <w:spacing w:after="0" w:line="185" w:lineRule="exact"/>
        <w:rPr>
          <w:rFonts w:ascii="Times New Roman" w:cs="Times New Roman" w:eastAsia="Times New Roman" w:hAnsi="Times New Roman"/>
          <w:sz w:val="18"/>
          <w:szCs w:val="18"/>
          <w:color w:val="auto"/>
        </w:rPr>
      </w:pPr>
    </w:p>
    <w:p>
      <w:pPr>
        <w:ind w:right="160" w:firstLine="1305"/>
        <w:spacing w:after="0" w:line="297" w:lineRule="auto"/>
        <w:tabs>
          <w:tab w:leader="none" w:pos="168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by the Parties hereto that if Employee timely exercises Employee’s right of revocation, Employer shall have no obligations to Employee whatsoever under this Agreement and that all of the obligations, representations and warranties made by Employer in this Agreement shall be null and void.</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43" w:lineRule="exact"/>
        <w:rPr>
          <w:sz w:val="20"/>
          <w:szCs w:val="20"/>
          <w:color w:val="auto"/>
        </w:rPr>
      </w:pPr>
    </w:p>
    <w:p>
      <w:pPr>
        <w:ind w:right="20" w:firstLine="656"/>
        <w:spacing w:after="0" w:line="285" w:lineRule="auto"/>
        <w:tabs>
          <w:tab w:leader="none" w:pos="10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26 U.S.,C.Code Section 409A</w:t>
      </w:r>
      <w:r>
        <w:rPr>
          <w:rFonts w:ascii="Times New Roman" w:cs="Times New Roman" w:eastAsia="Times New Roman" w:hAnsi="Times New Roman"/>
          <w:sz w:val="18"/>
          <w:szCs w:val="18"/>
          <w:color w:val="auto"/>
        </w:rPr>
        <w:t>. This Agreement is intended to comply with the applicable requirements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shall be limited, construed and interpreted in a manner so as to comply therewith. Each payment made pursuant to any provision of this Agreement shall be considered a separate payment and not one of a series of payments for purposes of Code Section 409A. While it is intended that all payments and benefits provided under this Agreement to Employee will be exempt from or comply with Code Section 409A, Employer makes no representation or covenant to ensure that the payments under this Agreement are exempt from or compliant with Code Section 409A. Employer will have no liability to Employee or any other party if a payment or benefit under this Agreement is challenged by any taxing authority or is ultimately determined not to be exempt or compliant. In addition, if upon the Termination Date, Employee is then a “specified employee” (as defined in Code Section 409A), then solely to the extent necessary to comply with Code Section 409A and avoid the imposition of taxes under Code Section 409A, Employer shall defer payment of “nonqualified deferred compensation” subject to Code Section 409A payable as a result of and within six (6) months following the Termination Date until the earlier of (i) the first business day of the seventh (7th) month following the Termination Date or (ii) ten (10) days after Employer receives written confirmation of Employee’s death. Any such delayed payments shall be made without interest.</w:t>
      </w:r>
    </w:p>
    <w:p>
      <w:pPr>
        <w:spacing w:after="0" w:line="186" w:lineRule="exact"/>
        <w:rPr>
          <w:rFonts w:ascii="Times New Roman" w:cs="Times New Roman" w:eastAsia="Times New Roman" w:hAnsi="Times New Roman"/>
          <w:sz w:val="18"/>
          <w:szCs w:val="18"/>
          <w:color w:val="auto"/>
        </w:rPr>
      </w:pPr>
    </w:p>
    <w:p>
      <w:pPr>
        <w:ind w:right="100" w:firstLine="656"/>
        <w:spacing w:after="0" w:line="297" w:lineRule="auto"/>
        <w:tabs>
          <w:tab w:leader="none" w:pos="10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r>
        <w:rPr>
          <w:rFonts w:ascii="Times New Roman" w:cs="Times New Roman" w:eastAsia="Times New Roman" w:hAnsi="Times New Roman"/>
          <w:sz w:val="18"/>
          <w:szCs w:val="18"/>
          <w:color w:val="auto"/>
        </w:rPr>
        <w:t>. The Parties expressly agree and acknowledge that this Agreement cannot be construed as an admission of or evidence of wrongdoing with respect to the termination of Employee, nor is it an admission of or evidence that Employee or any employee of Employer is other than an at-will employee.</w:t>
      </w:r>
    </w:p>
    <w:p>
      <w:pPr>
        <w:spacing w:after="0" w:line="176"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Non-Assignment of Rights</w:t>
      </w:r>
      <w:r>
        <w:rPr>
          <w:rFonts w:ascii="Times New Roman" w:cs="Times New Roman" w:eastAsia="Times New Roman" w:hAnsi="Times New Roman"/>
          <w:sz w:val="18"/>
          <w:szCs w:val="18"/>
          <w:color w:val="auto"/>
        </w:rPr>
        <w:t>. Employee warrants that Employee has not assigned or transferred any right or claim described in the general</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above.</w:t>
      </w:r>
    </w:p>
    <w:p>
      <w:pPr>
        <w:sectPr>
          <w:pgSz w:w="11900" w:h="16838" w:orient="portrait"/>
          <w:cols w:equalWidth="0" w:num="1">
            <w:col w:w="11340"/>
          </w:cols>
          <w:pgMar w:left="240" w:top="378" w:right="319" w:bottom="1440" w:gutter="0" w:footer="0" w:header="0"/>
        </w:sectPr>
      </w:pPr>
    </w:p>
    <w:bookmarkStart w:id="39" w:name="page40"/>
    <w:bookmarkEnd w:id="39"/>
    <w:p>
      <w:pPr>
        <w:ind w:right="60" w:firstLine="656"/>
        <w:spacing w:after="0" w:line="313"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 on Extraneous Information</w:t>
      </w:r>
      <w:r>
        <w:rPr>
          <w:rFonts w:ascii="Times New Roman" w:cs="Times New Roman" w:eastAsia="Times New Roman" w:hAnsi="Times New Roman"/>
          <w:sz w:val="18"/>
          <w:szCs w:val="18"/>
          <w:color w:val="auto"/>
        </w:rPr>
        <w:t>. Employee acknowledges that, in signing this Agreement, Employee is not relying on any information provided to Employee by Employer, nor is Employee relying upon Employer to provide any information other than as contained in this Agreement.</w:t>
      </w:r>
    </w:p>
    <w:p>
      <w:pPr>
        <w:spacing w:after="0" w:line="162" w:lineRule="exact"/>
        <w:rPr>
          <w:rFonts w:ascii="Times New Roman" w:cs="Times New Roman" w:eastAsia="Times New Roman" w:hAnsi="Times New Roman"/>
          <w:sz w:val="18"/>
          <w:szCs w:val="18"/>
          <w:color w:val="auto"/>
        </w:rPr>
      </w:pPr>
    </w:p>
    <w:p>
      <w:pPr>
        <w:jc w:val="both"/>
        <w:ind w:right="220" w:firstLine="656"/>
        <w:spacing w:after="0" w:line="297"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illegal, or unenforceable by any court of competent jurisdiction for any reason, the invalid or unenforceable portion shall be deemed severed from this Agreement and the balance of this Agreement shall remain in full force and effect and be enforceable in accordance with the non-severed provisions of this Agreement.</w:t>
      </w:r>
    </w:p>
    <w:p>
      <w:pPr>
        <w:spacing w:after="0" w:line="176" w:lineRule="exact"/>
        <w:rPr>
          <w:rFonts w:ascii="Times New Roman" w:cs="Times New Roman" w:eastAsia="Times New Roman" w:hAnsi="Times New Roman"/>
          <w:sz w:val="18"/>
          <w:szCs w:val="18"/>
          <w:color w:val="auto"/>
        </w:rPr>
      </w:pPr>
    </w:p>
    <w:p>
      <w:pPr>
        <w:ind w:firstLine="656"/>
        <w:spacing w:after="0" w:line="292"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contains the entire agreement between the Parties and supersedes all prior discussions and agreements between the Parties including but not limited to the provisions in the Key Executive Benefit Package, if applicable. This Agreement shall not be amended or otherwise modified in any manner except in a writing executed by the Parties hereto. The Parties further acknowledge that they are not relying on any information or representations other than those recited in this Agreement.</w:t>
      </w:r>
    </w:p>
    <w:p>
      <w:pPr>
        <w:spacing w:after="0" w:line="177" w:lineRule="exact"/>
        <w:rPr>
          <w:rFonts w:ascii="Times New Roman" w:cs="Times New Roman" w:eastAsia="Times New Roman" w:hAnsi="Times New Roman"/>
          <w:sz w:val="18"/>
          <w:szCs w:val="18"/>
          <w:color w:val="auto"/>
        </w:rPr>
      </w:pPr>
    </w:p>
    <w:p>
      <w:pPr>
        <w:ind w:firstLine="656"/>
        <w:spacing w:after="0" w:line="287"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 Choice of Forum and 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of the Parties to this Agreement hereby waives to the fullest extent permitted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applicable law any right it may have to a trial by jury with respect to any controversy, claim, dispute or litigation related to or arising out of, directly or indirectly, this Agreement. Each Party understands and has considered the implication of this waiver, makes this waiver voluntarily and knowingly, and has had an opportunity to consult legal counsel with respect to this waiver. The Parties agree that any controversy, claim, dispute or litigation related to or arising out of, directly or indirectly, this Agreement shall be governed by the laws of the State of Utah, without regard to conflict of law provisions and agree to exclusive personal jurisdiction and venue in the state and federal courts of the United States located in Salt Lake County, State of Utah.</w:t>
      </w:r>
    </w:p>
    <w:p>
      <w:pPr>
        <w:spacing w:after="0" w:line="189" w:lineRule="exact"/>
        <w:rPr>
          <w:rFonts w:ascii="Times New Roman" w:cs="Times New Roman" w:eastAsia="Times New Roman" w:hAnsi="Times New Roman"/>
          <w:sz w:val="18"/>
          <w:szCs w:val="18"/>
          <w:color w:val="auto"/>
        </w:rPr>
      </w:pPr>
    </w:p>
    <w:p>
      <w:pPr>
        <w:ind w:right="380" w:firstLine="656"/>
        <w:spacing w:after="0" w:line="313"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any action to interpret or enforce the terms of this Agreement, the prevailing Party shall be entitled to recover its costs, including reasonable attorney's fees, in addition to any other relief to which such Party may be entitled.</w:t>
      </w:r>
    </w:p>
    <w:p>
      <w:pPr>
        <w:spacing w:after="0" w:line="162"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Against Heirs</w:t>
      </w:r>
      <w:r>
        <w:rPr>
          <w:rFonts w:ascii="Times New Roman" w:cs="Times New Roman" w:eastAsia="Times New Roman" w:hAnsi="Times New Roman"/>
          <w:sz w:val="18"/>
          <w:szCs w:val="18"/>
          <w:color w:val="auto"/>
        </w:rPr>
        <w:t>. This Agreement is binding upon the Parties hereto and their heirs, successors and assigns.</w:t>
      </w:r>
    </w:p>
    <w:p>
      <w:pPr>
        <w:spacing w:after="0" w:line="252" w:lineRule="exact"/>
        <w:rPr>
          <w:rFonts w:ascii="Times New Roman" w:cs="Times New Roman" w:eastAsia="Times New Roman" w:hAnsi="Times New Roman"/>
          <w:sz w:val="18"/>
          <w:szCs w:val="18"/>
          <w:color w:val="auto"/>
        </w:rPr>
      </w:pPr>
    </w:p>
    <w:p>
      <w:pPr>
        <w:jc w:val="both"/>
        <w:ind w:right="40" w:firstLine="656"/>
        <w:spacing w:after="0" w:line="297"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No failure to exercise or enforce or delay in exercising or enforcing, or partial exercise or enforcement of, any right, obligation or commitment under this Agreement shall constitute a waiver thereof, nor shall it preclude any other or further exercise or enforcement of any right, obligation or commitment under this Agreement.</w:t>
      </w:r>
    </w:p>
    <w:p>
      <w:pPr>
        <w:spacing w:after="0" w:line="176" w:lineRule="exact"/>
        <w:rPr>
          <w:rFonts w:ascii="Times New Roman" w:cs="Times New Roman" w:eastAsia="Times New Roman" w:hAnsi="Times New Roman"/>
          <w:sz w:val="18"/>
          <w:szCs w:val="18"/>
          <w:color w:val="auto"/>
        </w:rPr>
      </w:pPr>
    </w:p>
    <w:p>
      <w:pPr>
        <w:ind w:right="80" w:firstLine="656"/>
        <w:spacing w:after="0" w:line="313"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by Counterparts</w:t>
      </w:r>
      <w:r>
        <w:rPr>
          <w:rFonts w:ascii="Times New Roman" w:cs="Times New Roman" w:eastAsia="Times New Roman" w:hAnsi="Times New Roman"/>
          <w:sz w:val="18"/>
          <w:szCs w:val="18"/>
          <w:color w:val="auto"/>
        </w:rPr>
        <w:t>. This Agreement may be executed in one or more counterpart(s), each of which shall be valid and enforceable as an original signature as though all original signatures had been obtained on the signature page of this Agreement.</w:t>
      </w:r>
    </w:p>
    <w:p>
      <w:pPr>
        <w:spacing w:after="0" w:line="162" w:lineRule="exact"/>
        <w:rPr>
          <w:rFonts w:ascii="Times New Roman" w:cs="Times New Roman" w:eastAsia="Times New Roman" w:hAnsi="Times New Roman"/>
          <w:sz w:val="18"/>
          <w:szCs w:val="18"/>
          <w:color w:val="auto"/>
        </w:rPr>
      </w:pPr>
    </w:p>
    <w:p>
      <w:pPr>
        <w:ind w:right="280" w:firstLine="656"/>
        <w:spacing w:after="0" w:line="313" w:lineRule="auto"/>
        <w:tabs>
          <w:tab w:leader="none" w:pos="10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Facsimile or Electronic Signatures</w:t>
      </w:r>
      <w:r>
        <w:rPr>
          <w:rFonts w:ascii="Times New Roman" w:cs="Times New Roman" w:eastAsia="Times New Roman" w:hAnsi="Times New Roman"/>
          <w:sz w:val="18"/>
          <w:szCs w:val="18"/>
          <w:color w:val="auto"/>
        </w:rPr>
        <w:t>. A fully executed facsimile or electronic copy and/or photocopy of this Agreement is legally enforceable and binding the same as the original Agreement.</w:t>
      </w:r>
    </w:p>
    <w:p>
      <w:pPr>
        <w:spacing w:after="0" w:line="162"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Recitals</w:t>
      </w:r>
      <w:r>
        <w:rPr>
          <w:rFonts w:ascii="Times New Roman" w:cs="Times New Roman" w:eastAsia="Times New Roman" w:hAnsi="Times New Roman"/>
          <w:sz w:val="18"/>
          <w:szCs w:val="18"/>
          <w:color w:val="auto"/>
        </w:rPr>
        <w:t>. The recitals set forth on page 1 hereof are hereby made a part of this Agreement and are incorporated by this</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ectPr>
          <w:pgSz w:w="11900" w:h="16838" w:orient="portrait"/>
          <w:cols w:equalWidth="0" w:num="1">
            <w:col w:w="11400"/>
          </w:cols>
          <w:pgMar w:left="240" w:top="378" w:right="259" w:bottom="1440" w:gutter="0" w:footer="0" w:header="0"/>
        </w:sectPr>
      </w:pPr>
    </w:p>
    <w:bookmarkStart w:id="40" w:name="page41"/>
    <w:bookmarkEnd w:id="40"/>
    <w:p>
      <w:pPr>
        <w:jc w:val="right"/>
        <w:ind w:right="2339"/>
        <w:spacing w:after="0"/>
        <w:rPr>
          <w:sz w:val="20"/>
          <w:szCs w:val="20"/>
          <w:color w:val="auto"/>
        </w:rPr>
      </w:pPr>
      <w:r>
        <w:rPr>
          <w:rFonts w:ascii="Times New Roman" w:cs="Times New Roman" w:eastAsia="Times New Roman" w:hAnsi="Times New Roman"/>
          <w:sz w:val="18"/>
          <w:szCs w:val="18"/>
          <w:b w:val="1"/>
          <w:bCs w:val="1"/>
          <w:color w:val="auto"/>
        </w:rPr>
        <w:t>--This section intentionally left blank, signatures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Jaggi</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LIFEVANTAGE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Jensen,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w:t>
      </w:r>
    </w:p>
    <w:p>
      <w:pPr>
        <w:sectPr>
          <w:pgSz w:w="11900" w:h="16838" w:orient="portrait"/>
          <w:cols w:equalWidth="0" w:num="1">
            <w:col w:w="10219"/>
          </w:cols>
          <w:pgMar w:left="240" w:top="1225" w:right="1440" w:bottom="1440" w:gutter="0" w:footer="0" w:header="0"/>
        </w:sectPr>
      </w:pPr>
    </w:p>
    <w:bookmarkStart w:id="41" w:name="page42"/>
    <w:bookmarkEnd w:id="41"/>
    <w:p>
      <w:pPr>
        <w:jc w:val="center"/>
        <w:ind w:right="-1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18080" cy="497205"/>
                    </a:xfrm>
                    <a:prstGeom prst="rect">
                      <a:avLst/>
                    </a:prstGeom>
                    <a:noFill/>
                  </pic:spPr>
                </pic:pic>
              </a:graphicData>
            </a:graphic>
          </wp:anchor>
        </w:drawing>
        <w:t>March 6, 2017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Steven Fife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stevefife22@yahoo.com</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Dear Steve,</w:t>
      </w:r>
    </w:p>
    <w:p>
      <w:pPr>
        <w:spacing w:after="0" w:line="275" w:lineRule="exact"/>
        <w:rPr>
          <w:sz w:val="20"/>
          <w:szCs w:val="20"/>
          <w:color w:val="auto"/>
        </w:rPr>
      </w:pPr>
    </w:p>
    <w:p>
      <w:pPr>
        <w:ind w:right="100"/>
        <w:spacing w:after="0" w:line="344" w:lineRule="auto"/>
        <w:rPr>
          <w:sz w:val="20"/>
          <w:szCs w:val="20"/>
          <w:color w:val="auto"/>
        </w:rPr>
      </w:pPr>
      <w:r>
        <w:rPr>
          <w:rFonts w:ascii="Arial" w:cs="Arial" w:eastAsia="Arial" w:hAnsi="Arial"/>
          <w:sz w:val="16"/>
          <w:szCs w:val="16"/>
          <w:color w:val="auto"/>
        </w:rPr>
        <w:t>LifeVantage Corporation (the “Company”), is pleased to offer you a position as Chief Financial Officer reporting directly to our President and Chief Executive Officer. We trust that your knowledge, skills and experience will be among our most valuable assets.</w:t>
      </w:r>
    </w:p>
    <w:p>
      <w:pPr>
        <w:spacing w:after="0" w:line="20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Salary: </w:t>
      </w:r>
      <w:r>
        <w:rPr>
          <w:rFonts w:ascii="Arial" w:cs="Arial" w:eastAsia="Arial" w:hAnsi="Arial"/>
          <w:sz w:val="16"/>
          <w:szCs w:val="16"/>
          <w:color w:val="auto"/>
        </w:rPr>
        <w:t>Annual gross starting salary of $330,000 paid in installments by direct deposit.</w:t>
      </w:r>
    </w:p>
    <w:p>
      <w:pPr>
        <w:spacing w:after="0" w:line="72" w:lineRule="exact"/>
        <w:rPr>
          <w:rFonts w:ascii="Arial" w:cs="Arial" w:eastAsia="Arial" w:hAnsi="Arial"/>
          <w:sz w:val="16"/>
          <w:szCs w:val="16"/>
          <w:color w:val="auto"/>
        </w:rPr>
      </w:pPr>
    </w:p>
    <w:p>
      <w:pPr>
        <w:ind w:left="660" w:right="40" w:hanging="328"/>
        <w:spacing w:after="0" w:line="33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Performance Bonuses: </w:t>
      </w:r>
      <w:r>
        <w:rPr>
          <w:rFonts w:ascii="Arial" w:cs="Arial" w:eastAsia="Arial" w:hAnsi="Arial"/>
          <w:sz w:val="16"/>
          <w:szCs w:val="16"/>
          <w:color w:val="auto"/>
        </w:rPr>
        <w:t>Subject to approval by the Board of Directors each fiscal year and beginning in FY18, participation in the Employee Bonus</w:t>
      </w:r>
      <w:r>
        <w:rPr>
          <w:rFonts w:ascii="Arial" w:cs="Arial" w:eastAsia="Arial" w:hAnsi="Arial"/>
          <w:sz w:val="16"/>
          <w:szCs w:val="16"/>
          <w:b w:val="1"/>
          <w:bCs w:val="1"/>
          <w:color w:val="auto"/>
        </w:rPr>
        <w:t xml:space="preserve"> </w:t>
      </w:r>
      <w:r>
        <w:rPr>
          <w:rFonts w:ascii="Arial" w:cs="Arial" w:eastAsia="Arial" w:hAnsi="Arial"/>
          <w:sz w:val="16"/>
          <w:szCs w:val="16"/>
          <w:color w:val="auto"/>
        </w:rPr>
        <w:t>Plan at the Executive level with a target bonus of 50% of your annual base pay. If your start date is in March 2017, you will also be eligible for the FY17 Q4 personal goal.</w:t>
      </w:r>
    </w:p>
    <w:p>
      <w:pPr>
        <w:spacing w:after="0" w:line="1" w:lineRule="exact"/>
        <w:rPr>
          <w:rFonts w:ascii="Arial" w:cs="Arial" w:eastAsia="Arial" w:hAnsi="Arial"/>
          <w:sz w:val="16"/>
          <w:szCs w:val="16"/>
          <w:color w:val="auto"/>
        </w:rPr>
      </w:pPr>
    </w:p>
    <w:p>
      <w:pPr>
        <w:ind w:left="660" w:right="560" w:hanging="328"/>
        <w:spacing w:after="0" w:line="33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Signing Bonus: </w:t>
      </w:r>
      <w:r>
        <w:rPr>
          <w:rFonts w:ascii="Arial" w:cs="Arial" w:eastAsia="Arial" w:hAnsi="Arial"/>
          <w:sz w:val="16"/>
          <w:szCs w:val="16"/>
          <w:color w:val="auto"/>
        </w:rPr>
        <w:t>On your first regular paycheck, you will receive an additional $25,000 as a signing bonus. Should you voluntarily leave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LifeVantage within your first year of employment, you will be responsible to repay this to LifeVantage.</w:t>
      </w:r>
    </w:p>
    <w:p>
      <w:pPr>
        <w:spacing w:after="0" w:line="1" w:lineRule="exact"/>
        <w:rPr>
          <w:rFonts w:ascii="Arial" w:cs="Arial" w:eastAsia="Arial" w:hAnsi="Arial"/>
          <w:sz w:val="16"/>
          <w:szCs w:val="16"/>
          <w:color w:val="auto"/>
        </w:rPr>
      </w:pPr>
    </w:p>
    <w:p>
      <w:pPr>
        <w:ind w:left="660" w:hanging="328"/>
        <w:spacing w:after="0" w:line="334"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Upon approval of the Board of Directors, an equity grant in the amount of 90,000 restricted stock units vesting 30,000 at year one, 30,000 at</w:t>
      </w:r>
      <w:r>
        <w:rPr>
          <w:rFonts w:ascii="Arial" w:cs="Arial" w:eastAsia="Arial" w:hAnsi="Arial"/>
          <w:sz w:val="16"/>
          <w:szCs w:val="16"/>
          <w:b w:val="1"/>
          <w:bCs w:val="1"/>
          <w:color w:val="auto"/>
        </w:rPr>
        <w:t xml:space="preserve"> </w:t>
      </w:r>
      <w:r>
        <w:rPr>
          <w:rFonts w:ascii="Arial" w:cs="Arial" w:eastAsia="Arial" w:hAnsi="Arial"/>
          <w:sz w:val="16"/>
          <w:szCs w:val="16"/>
          <w:color w:val="auto"/>
        </w:rPr>
        <w:t>year two and 30,000 at year three. After the initial new hire grant, participation annually in the executive equity plan beginning in FY18.</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Benefits: </w:t>
      </w:r>
      <w:r>
        <w:rPr>
          <w:rFonts w:ascii="Arial" w:cs="Arial" w:eastAsia="Arial" w:hAnsi="Arial"/>
          <w:sz w:val="16"/>
          <w:szCs w:val="16"/>
          <w:color w:val="auto"/>
        </w:rPr>
        <w:t>Executive benefits as described in the attached Key Executive Benefits Agreement.</w:t>
      </w:r>
    </w:p>
    <w:p>
      <w:pPr>
        <w:spacing w:after="0" w:line="72"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Moving Expenses: </w:t>
      </w:r>
      <w:r>
        <w:rPr>
          <w:rFonts w:ascii="Arial" w:cs="Arial" w:eastAsia="Arial" w:hAnsi="Arial"/>
          <w:sz w:val="16"/>
          <w:szCs w:val="16"/>
          <w:color w:val="auto"/>
        </w:rPr>
        <w:t>The Company will assist you with relocation expenses:</w:t>
      </w:r>
    </w:p>
    <w:p>
      <w:pPr>
        <w:spacing w:after="0" w:line="75"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Reasonable moving costs as outlined in the relocation package with receipts;</w:t>
      </w:r>
    </w:p>
    <w:p>
      <w:pPr>
        <w:spacing w:after="0" w:line="72"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Closing and associated realtor costs on your home in Texas and on a new home in Utah;</w:t>
      </w:r>
    </w:p>
    <w:p>
      <w:pPr>
        <w:spacing w:after="0" w:line="59"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Temporary living expenses up to six months;</w:t>
      </w:r>
    </w:p>
    <w:p>
      <w:pPr>
        <w:spacing w:after="0" w:line="45"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Commutation expenses during the interim- we prefer you use our travel agency to book travel; and</w:t>
      </w:r>
    </w:p>
    <w:p>
      <w:pPr>
        <w:spacing w:after="0" w:line="45" w:lineRule="exact"/>
        <w:rPr>
          <w:rFonts w:ascii="Arial" w:cs="Arial" w:eastAsia="Arial" w:hAnsi="Arial"/>
          <w:sz w:val="16"/>
          <w:szCs w:val="16"/>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Two house hunting trips with your wife.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 accept this job offer: </w:t>
      </w:r>
      <w:r>
        <w:rPr>
          <w:rFonts w:ascii="Arial" w:cs="Arial" w:eastAsia="Arial" w:hAnsi="Arial"/>
          <w:sz w:val="16"/>
          <w:szCs w:val="16"/>
          <w:color w:val="auto"/>
        </w:rPr>
        <w:t>Sign and date this job offer letter where indicated below.</w:t>
      </w:r>
    </w:p>
    <w:p>
      <w:pPr>
        <w:spacing w:after="0" w:line="277" w:lineRule="exact"/>
        <w:rPr>
          <w:sz w:val="20"/>
          <w:szCs w:val="20"/>
          <w:color w:val="auto"/>
        </w:rPr>
      </w:pPr>
    </w:p>
    <w:p>
      <w:pPr>
        <w:ind w:right="340"/>
        <w:spacing w:after="0" w:line="344" w:lineRule="auto"/>
        <w:rPr>
          <w:sz w:val="20"/>
          <w:szCs w:val="20"/>
          <w:color w:val="auto"/>
        </w:rPr>
      </w:pPr>
      <w:r>
        <w:rPr>
          <w:rFonts w:ascii="Arial" w:cs="Arial" w:eastAsia="Arial" w:hAnsi="Arial"/>
          <w:sz w:val="16"/>
          <w:szCs w:val="16"/>
          <w:color w:val="auto"/>
        </w:rPr>
        <w:t>If you accept this job offer, your hire date will be no later than April 1, 2017, as we would very much like you to be part of our strategic planning effort and participate in our upcoming April global convention.</w:t>
      </w:r>
    </w:p>
    <w:p>
      <w:pPr>
        <w:spacing w:after="0" w:line="161"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Please be aware that this offer of employment is contingent upon your passing a drug screening and background check. LifeVantage is strongly committed to maintaining a drug-free workplace, and providing a safe and productive work environment for you. To maintain this environment, LifeVantage requires all new employees to pass a drug-screening test as a condition of employment, the results of which remain confidential. Upon your acceptance, we will send paperwork for both.</w:t>
      </w:r>
    </w:p>
    <w:p>
      <w:pPr>
        <w:spacing w:after="0" w:line="200" w:lineRule="exact"/>
        <w:rPr>
          <w:sz w:val="20"/>
          <w:szCs w:val="20"/>
          <w:color w:val="auto"/>
        </w:rPr>
      </w:pP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3720" w:type="dxa"/>
            <w:vAlign w:val="bottom"/>
          </w:tcPr>
          <w:p>
            <w:pPr>
              <w:spacing w:after="0"/>
              <w:rPr>
                <w:sz w:val="20"/>
                <w:szCs w:val="20"/>
                <w:color w:val="auto"/>
              </w:rPr>
            </w:pPr>
            <w:r>
              <w:rPr>
                <w:rFonts w:ascii="Arial" w:cs="Arial" w:eastAsia="Arial" w:hAnsi="Arial"/>
                <w:sz w:val="16"/>
                <w:szCs w:val="16"/>
                <w:color w:val="auto"/>
              </w:rPr>
              <w:t>Sincerely,</w:t>
            </w:r>
          </w:p>
        </w:tc>
        <w:tc>
          <w:tcPr>
            <w:tcW w:w="5320" w:type="dxa"/>
            <w:vAlign w:val="bottom"/>
          </w:tcPr>
          <w:p>
            <w:pPr>
              <w:ind w:left="1300"/>
              <w:spacing w:after="0"/>
              <w:rPr>
                <w:sz w:val="20"/>
                <w:szCs w:val="20"/>
                <w:color w:val="auto"/>
              </w:rPr>
            </w:pPr>
            <w:r>
              <w:rPr>
                <w:rFonts w:ascii="Arial" w:cs="Arial" w:eastAsia="Arial" w:hAnsi="Arial"/>
                <w:sz w:val="16"/>
                <w:szCs w:val="16"/>
                <w:b w:val="1"/>
                <w:bCs w:val="1"/>
                <w:color w:val="auto"/>
              </w:rPr>
              <w:t>Agreed to and accepted this ___ day of March, 2017.</w:t>
            </w:r>
          </w:p>
        </w:tc>
      </w:tr>
      <w:tr>
        <w:trPr>
          <w:trHeight w:val="557"/>
        </w:trPr>
        <w:tc>
          <w:tcPr>
            <w:tcW w:w="3720" w:type="dxa"/>
            <w:vAlign w:val="bottom"/>
          </w:tcPr>
          <w:p>
            <w:pPr>
              <w:spacing w:after="0"/>
              <w:rPr>
                <w:sz w:val="20"/>
                <w:szCs w:val="20"/>
                <w:color w:val="auto"/>
              </w:rPr>
            </w:pPr>
            <w:r>
              <w:rPr>
                <w:rFonts w:ascii="Arial" w:cs="Arial" w:eastAsia="Arial" w:hAnsi="Arial"/>
                <w:sz w:val="16"/>
                <w:szCs w:val="16"/>
                <w:color w:val="auto"/>
              </w:rPr>
              <w:t>Michelle Oborn</w:t>
            </w:r>
          </w:p>
        </w:tc>
        <w:tc>
          <w:tcPr>
            <w:tcW w:w="5320" w:type="dxa"/>
            <w:vAlign w:val="bottom"/>
          </w:tcPr>
          <w:p>
            <w:pPr>
              <w:spacing w:after="0"/>
              <w:rPr>
                <w:sz w:val="24"/>
                <w:szCs w:val="24"/>
                <w:color w:val="auto"/>
              </w:rPr>
            </w:pPr>
          </w:p>
        </w:tc>
      </w:tr>
      <w:tr>
        <w:trPr>
          <w:trHeight w:val="246"/>
        </w:trPr>
        <w:tc>
          <w:tcPr>
            <w:tcW w:w="3720" w:type="dxa"/>
            <w:vAlign w:val="bottom"/>
          </w:tcPr>
          <w:p>
            <w:pPr>
              <w:spacing w:after="0"/>
              <w:rPr>
                <w:sz w:val="20"/>
                <w:szCs w:val="20"/>
                <w:color w:val="auto"/>
              </w:rPr>
            </w:pPr>
            <w:r>
              <w:rPr>
                <w:rFonts w:ascii="Arial" w:cs="Arial" w:eastAsia="Arial" w:hAnsi="Arial"/>
                <w:sz w:val="16"/>
                <w:szCs w:val="16"/>
                <w:color w:val="auto"/>
              </w:rPr>
              <w:t>Vice President Human Resources</w:t>
            </w:r>
          </w:p>
        </w:tc>
        <w:tc>
          <w:tcPr>
            <w:tcW w:w="5320" w:type="dxa"/>
            <w:vAlign w:val="bottom"/>
          </w:tcPr>
          <w:p>
            <w:pPr>
              <w:ind w:left="1300"/>
              <w:spacing w:after="0"/>
              <w:rPr>
                <w:sz w:val="20"/>
                <w:szCs w:val="20"/>
                <w:color w:val="auto"/>
              </w:rPr>
            </w:pPr>
            <w:r>
              <w:rPr>
                <w:rFonts w:ascii="Arial" w:cs="Arial" w:eastAsia="Arial" w:hAnsi="Arial"/>
                <w:sz w:val="16"/>
                <w:szCs w:val="16"/>
                <w:color w:val="auto"/>
              </w:rPr>
              <w:t>Steven Fife</w:t>
            </w:r>
          </w:p>
        </w:tc>
      </w:tr>
    </w:tbl>
    <w:p>
      <w:pPr>
        <w:sectPr>
          <w:pgSz w:w="11900" w:h="16838" w:orient="portrait"/>
          <w:cols w:equalWidth="0" w:num="1">
            <w:col w:w="11260"/>
          </w:cols>
          <w:pgMar w:left="240" w:top="1161" w:right="39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EXECUTIVE BENEFIT PACKAGE</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LifeVantage has established this Key Executive Benefit Package to attract, motivate and retain certain key executives of the company. An employee is considered a Key Executive upon the recommendation of the CEO and approval by the Company’s Compensation Committee. The components of the Key Executive Benefit Package are included below.</w:t>
      </w:r>
    </w:p>
    <w:p>
      <w:pPr>
        <w:spacing w:after="0" w:line="199" w:lineRule="exact"/>
        <w:rPr>
          <w:sz w:val="20"/>
          <w:szCs w:val="20"/>
          <w:color w:val="auto"/>
        </w:rPr>
      </w:pPr>
    </w:p>
    <w:p>
      <w:pPr>
        <w:ind w:right="20" w:firstLine="656"/>
        <w:spacing w:after="0" w:line="302" w:lineRule="auto"/>
        <w:tabs>
          <w:tab w:leader="none" w:pos="14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Position and Responsibilities. </w:t>
      </w:r>
      <w:r>
        <w:rPr>
          <w:rFonts w:ascii="Times New Roman" w:cs="Times New Roman" w:eastAsia="Times New Roman" w:hAnsi="Times New Roman"/>
          <w:sz w:val="18"/>
          <w:szCs w:val="18"/>
          <w:color w:val="auto"/>
        </w:rPr>
        <w:t>As of the Effective Date, you will commence serving as a key management executive of the Company.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have the duties, responsibilities and authority that are customarily associated with such position and such other senior management duties as may reasonably be assigned. You will devote your full time, efforts, abilities, and energies to promote the general welfare and interests of the Company and any related enterprises of the Company. Unless otherwise approved in writing by the Company’s Chief Executive Office and the Chairman of the Company’s Board of Directors, your primary workplace will be located at the Company’s headquarters located in Sandy, Utah. Nothing herein shall preclude you from (i) serving, with the prior consent of the President and CEO, as a member of the board of directors or advisory boards (or their equivalents in the case of a non-corporate entity) of non-competing businesses and charitable organizations, (ii) engaging in charitable activities and community affairs, and (iii) managing your personal investments and affairs; provided, however, that the activities set out in clauses (i), (ii) and (iii) shall be limited by you so as not to materially interfere, individually or in the aggregate, with the performance of your duties and responsibilities hereunder.</w:t>
      </w:r>
    </w:p>
    <w:p>
      <w:pPr>
        <w:spacing w:after="0" w:line="154" w:lineRule="exact"/>
        <w:rPr>
          <w:rFonts w:ascii="Times New Roman" w:cs="Times New Roman" w:eastAsia="Times New Roman" w:hAnsi="Times New Roman"/>
          <w:sz w:val="18"/>
          <w:szCs w:val="18"/>
          <w:color w:val="auto"/>
        </w:rPr>
      </w:pPr>
    </w:p>
    <w:p>
      <w:pPr>
        <w:ind w:right="120" w:firstLine="656"/>
        <w:spacing w:after="0" w:line="259" w:lineRule="auto"/>
        <w:tabs>
          <w:tab w:leader="none" w:pos="9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Incentive Plan. </w:t>
      </w:r>
      <w:r>
        <w:rPr>
          <w:rFonts w:ascii="Times New Roman" w:cs="Times New Roman" w:eastAsia="Times New Roman" w:hAnsi="Times New Roman"/>
          <w:sz w:val="18"/>
          <w:szCs w:val="18"/>
          <w:color w:val="auto"/>
        </w:rPr>
        <w:t>As a key executive and during your continued employment as a key executive, you will be eligible to participate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Annual Incentive Plan at the level indicated in Exhibit A pursuant to the details of Board of Directors’ approved Annual Incentive Plan. Any Annual Incentive Award shall be paid to you during the first three months of the fiscal year that follows the applicable performance fiscal year. The Annual Incentive Award will be deemed to have been earned on the date of payment of such bonus and you must remain an employee of the Company through the date of payment in order to receive the Award.</w:t>
      </w:r>
    </w:p>
    <w:p>
      <w:pPr>
        <w:spacing w:after="0" w:line="179" w:lineRule="exact"/>
        <w:rPr>
          <w:rFonts w:ascii="Times New Roman" w:cs="Times New Roman" w:eastAsia="Times New Roman" w:hAnsi="Times New Roman"/>
          <w:sz w:val="18"/>
          <w:szCs w:val="18"/>
          <w:color w:val="auto"/>
        </w:rPr>
      </w:pPr>
    </w:p>
    <w:p>
      <w:pPr>
        <w:ind w:firstLine="656"/>
        <w:spacing w:after="0" w:line="255" w:lineRule="auto"/>
        <w:tabs>
          <w:tab w:leader="none" w:pos="9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Term Incentive Compensation Plan. </w:t>
      </w:r>
      <w:r>
        <w:rPr>
          <w:rFonts w:ascii="Times New Roman" w:cs="Times New Roman" w:eastAsia="Times New Roman" w:hAnsi="Times New Roman"/>
          <w:sz w:val="18"/>
          <w:szCs w:val="18"/>
          <w:color w:val="auto"/>
        </w:rPr>
        <w:t>As a key executive and during your continued employment as a key executive, you will be eligible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participate in the Board of Directors’ approved Employee Equity Plan pursuant to the plan details. Such equity grants, if any, will be made in the sole discretion of the Board of Directors and will be subject to the terms and conditions specified by the Board of Directors, the Company’s stock plan, the award agreement that you must execute as a condition of any grant and the Company’s insider trading policy. If required by applicable law with respect to transactions involving Company equity securities, you agree that you shall use your best efforts to comply with any duty that you may have to (i) timely report any such transactions and (ii) to refrain from engaging in certain transactions from time to time. The Company has no duty to register under (or otherwise obtain an exemption from) the Securities Act of 1933 (or applicable state securities laws) with respect to any Company equity securities that may be issued to you.</w:t>
      </w:r>
    </w:p>
    <w:p>
      <w:pPr>
        <w:spacing w:after="0" w:line="185" w:lineRule="exact"/>
        <w:rPr>
          <w:rFonts w:ascii="Times New Roman" w:cs="Times New Roman" w:eastAsia="Times New Roman" w:hAnsi="Times New Roman"/>
          <w:sz w:val="18"/>
          <w:szCs w:val="18"/>
          <w:color w:val="auto"/>
        </w:rPr>
      </w:pPr>
    </w:p>
    <w:p>
      <w:pPr>
        <w:ind w:right="160" w:firstLine="656"/>
        <w:spacing w:after="0" w:line="256" w:lineRule="auto"/>
        <w:tabs>
          <w:tab w:leader="none" w:pos="9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Employee Benefit Programs. </w:t>
      </w:r>
      <w:r>
        <w:rPr>
          <w:rFonts w:ascii="Times New Roman" w:cs="Times New Roman" w:eastAsia="Times New Roman" w:hAnsi="Times New Roman"/>
          <w:sz w:val="18"/>
          <w:szCs w:val="18"/>
          <w:color w:val="auto"/>
        </w:rPr>
        <w:t>During your employment with the Company, and except as may be provided under an employee stock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you will be entitled to participate, in all Company employee benefit plans and programs at the time or thereafter made available to Key Executives including, without limitation, any savings or profit sharing plans, deferred compensation plans, stock option incentive plans, group life insurance, accidental death and dismemberment insurance, hospitalization, surgical, major medical and dental coverage, vacation, sick leave (including salary continuation arrangements), long-term disability, holidays and other employee benefit programs sponsored by the Company. The Company may amend, modify or terminate these benefits at any time and for any reason. Any change in any employee benefit program or programs applicable to all covered key executive employees or all covered employees shall not constitute a material breach of the terms of the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LifeVantage will pay all or a portion of the costs associated with the following company employee benefit plans:</w:t>
      </w:r>
    </w:p>
    <w:p>
      <w:pPr>
        <w:spacing w:after="0" w:line="27" w:lineRule="exact"/>
        <w:rPr>
          <w:sz w:val="20"/>
          <w:szCs w:val="20"/>
          <w:color w:val="auto"/>
        </w:rPr>
      </w:pPr>
    </w:p>
    <w:p>
      <w:pPr>
        <w:ind w:left="1960" w:hanging="331"/>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Disability</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Term Disability</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Dental Insurance</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 Insurance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60" w:right="239" w:bottom="1440" w:gutter="0" w:footer="0" w:header="0"/>
        </w:sectPr>
      </w:pPr>
    </w:p>
    <w:bookmarkStart w:id="43" w:name="page44"/>
    <w:bookmarkEnd w:id="43"/>
    <w:p>
      <w:pPr>
        <w:ind w:right="140" w:firstLine="656"/>
        <w:spacing w:after="0" w:line="255" w:lineRule="auto"/>
        <w:tabs>
          <w:tab w:leader="none" w:pos="9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Termination of Employment. </w:t>
      </w:r>
      <w:r>
        <w:rPr>
          <w:rFonts w:ascii="Times New Roman" w:cs="Times New Roman" w:eastAsia="Times New Roman" w:hAnsi="Times New Roman"/>
          <w:sz w:val="18"/>
          <w:szCs w:val="18"/>
          <w:color w:val="auto"/>
        </w:rPr>
        <w:t>Unless the Company requests otherwise in writing, upon termination of your employment for any reason,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 and agree that you shall be deemed to have also immediately resigned from all positions as a key executive with the Company (and its affiliates) as of your last day of employment (the “Termination Date”). Upon termination of your employment for any reason, you shall receive payment or benefits from the Company covering the following: (i) all unpaid salary and unpaid vacation accrued pursuant to the paid time off policy through the Termination Date, (ii) any payments/benefits to which you are entitled under the express terms of any applicable Company employee benefit plan, (iii) any unreimbursed valid business expenses for which you have submitted properly documented reimbursement requests, and (iv) your then outstanding equity compensation awards as governed by their applicable terms (collectively, (i) through (iv) are the “Accrued Pay”). You may also be eligible for other post-employment payments and benefits as provided in this Agreement. Termination shall not be made until on or after the date of a “separation from service” within the meaning of Code Section 409A.</w:t>
      </w:r>
    </w:p>
    <w:p>
      <w:pPr>
        <w:spacing w:after="0" w:line="181" w:lineRule="exact"/>
        <w:rPr>
          <w:rFonts w:ascii="Times New Roman" w:cs="Times New Roman" w:eastAsia="Times New Roman" w:hAnsi="Times New Roman"/>
          <w:sz w:val="18"/>
          <w:szCs w:val="18"/>
          <w:color w:val="auto"/>
        </w:rPr>
      </w:pPr>
    </w:p>
    <w:p>
      <w:pPr>
        <w:ind w:firstLine="1305"/>
        <w:spacing w:after="0" w:line="317" w:lineRule="auto"/>
        <w:tabs>
          <w:tab w:leader="none" w:pos="167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At-Will Employment. </w:t>
      </w:r>
      <w:r>
        <w:rPr>
          <w:rFonts w:ascii="Times New Roman" w:cs="Times New Roman" w:eastAsia="Times New Roman" w:hAnsi="Times New Roman"/>
          <w:sz w:val="17"/>
          <w:szCs w:val="17"/>
          <w:color w:val="auto"/>
        </w:rPr>
        <w:t>Your employment with the Company is at-will and either you or the Company may terminate your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any time and for any reason (or no reason), with or without Cause (as defined below), in each case subject to the terms and provisions of this Agreement.</w:t>
      </w:r>
    </w:p>
    <w:p>
      <w:pPr>
        <w:spacing w:after="0" w:line="131" w:lineRule="exact"/>
        <w:rPr>
          <w:rFonts w:ascii="Times New Roman" w:cs="Times New Roman" w:eastAsia="Times New Roman" w:hAnsi="Times New Roman"/>
          <w:sz w:val="17"/>
          <w:szCs w:val="17"/>
          <w:color w:val="auto"/>
        </w:rPr>
      </w:pPr>
    </w:p>
    <w:p>
      <w:pPr>
        <w:ind w:right="40" w:firstLine="1305"/>
        <w:spacing w:after="0" w:line="262" w:lineRule="auto"/>
        <w:tabs>
          <w:tab w:leader="none" w:pos="16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Cause. </w:t>
      </w:r>
      <w:r>
        <w:rPr>
          <w:rFonts w:ascii="Times New Roman" w:cs="Times New Roman" w:eastAsia="Times New Roman" w:hAnsi="Times New Roman"/>
          <w:sz w:val="18"/>
          <w:szCs w:val="18"/>
          <w:color w:val="auto"/>
        </w:rPr>
        <w:t>For purposes of this Agreement, your employment may be terminated by the Company for “Cause”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of one or more of the following: a charge, through indictment or criminal complaint, entry of pretrial diversion or sentencing agreement, or your conviction of, or a plea of guilty or nolo contendere to, a felony or other crime involving moral turpitude, dishonesty or fraud, or any other criminal arrest (for example D.U.I.) which the Company, in its discretion considers inappropriate or harmful to its interests;</w:t>
      </w:r>
    </w:p>
    <w:p>
      <w:pPr>
        <w:spacing w:after="0" w:line="180" w:lineRule="exact"/>
        <w:rPr>
          <w:rFonts w:ascii="Times New Roman" w:cs="Times New Roman" w:eastAsia="Times New Roman" w:hAnsi="Times New Roman"/>
          <w:sz w:val="18"/>
          <w:szCs w:val="18"/>
          <w:color w:val="auto"/>
        </w:rPr>
      </w:pPr>
    </w:p>
    <w:p>
      <w:pPr>
        <w:ind w:right="140" w:firstLine="1953"/>
        <w:spacing w:after="0" w:line="266" w:lineRule="auto"/>
        <w:tabs>
          <w:tab w:leader="none" w:pos="229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refusal, or inability to satisfactorily, in the judgment or your supervisor, perform in any material respect your duties and responsibilities for the Company or your failure to comply in any material respect with the terms of this Agreement and the Confidentiality Agreement and the policies and procedures of the Company;</w:t>
      </w:r>
    </w:p>
    <w:p>
      <w:pPr>
        <w:spacing w:after="0" w:line="176"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or deceptive or illegal conduct in your performance of duties for the Company;</w:t>
      </w:r>
    </w:p>
    <w:p>
      <w:pPr>
        <w:spacing w:after="0" w:line="225" w:lineRule="exact"/>
        <w:rPr>
          <w:rFonts w:ascii="Times New Roman" w:cs="Times New Roman" w:eastAsia="Times New Roman" w:hAnsi="Times New Roman"/>
          <w:sz w:val="18"/>
          <w:szCs w:val="18"/>
          <w:color w:val="auto"/>
        </w:rPr>
      </w:pPr>
    </w:p>
    <w:p>
      <w:pPr>
        <w:ind w:left="2400" w:hanging="447"/>
        <w:spacing w:after="0"/>
        <w:tabs>
          <w:tab w:leader="none" w:pos="24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material breach of any material term of this Agreement; or</w:t>
      </w:r>
    </w:p>
    <w:p>
      <w:pPr>
        <w:spacing w:after="0" w:line="225" w:lineRule="exact"/>
        <w:rPr>
          <w:rFonts w:ascii="Times New Roman" w:cs="Times New Roman" w:eastAsia="Times New Roman" w:hAnsi="Times New Roman"/>
          <w:sz w:val="18"/>
          <w:szCs w:val="18"/>
          <w:color w:val="auto"/>
        </w:rPr>
      </w:pPr>
    </w:p>
    <w:p>
      <w:pPr>
        <w:ind w:right="320" w:firstLine="1953"/>
        <w:spacing w:after="0" w:line="282" w:lineRule="auto"/>
        <w:tabs>
          <w:tab w:leader="none" w:pos="238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conduct by you which is materially injurious to the Company or materially injurious to the business reputation of the Company or a Company affiliate.</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the event your employment is terminated by the Company for Cause you will be entitled only to your Accrued Pay and you will be entitled to no other compensation from the Company.</w:t>
      </w:r>
    </w:p>
    <w:p>
      <w:pPr>
        <w:spacing w:after="0" w:line="158" w:lineRule="exact"/>
        <w:rPr>
          <w:sz w:val="20"/>
          <w:szCs w:val="20"/>
          <w:color w:val="auto"/>
        </w:rPr>
      </w:pPr>
    </w:p>
    <w:p>
      <w:pPr>
        <w:ind w:right="20" w:firstLine="1305"/>
        <w:spacing w:after="0" w:line="255" w:lineRule="auto"/>
        <w:tabs>
          <w:tab w:leader="none" w:pos="16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Without Cause. </w:t>
      </w:r>
      <w:r>
        <w:rPr>
          <w:rFonts w:ascii="Times New Roman" w:cs="Times New Roman" w:eastAsia="Times New Roman" w:hAnsi="Times New Roman"/>
          <w:sz w:val="18"/>
          <w:szCs w:val="18"/>
          <w:color w:val="auto"/>
        </w:rPr>
        <w:t>The Company may terminate your employment Without Cause at any time and for any reason with notice. If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is terminated Without Cause then, in addition to your Accrued Pay, you will be eligible to receive payments equal, in the aggregate amount, to six months of your base salary as of the Termination Date. Such payments shall be paid to you in cash, in substantially equal monthly installments payable over the six (6) month period following your Termination Date; provided, however, the first payment (in an amount equal to two (2) months of Base Salary) shall be made on the sixtieth (60th) day following the Termination Date. As a condition to receiving (and continuing to receive) the payments provided in this Section you must: (i) within not later than forty-five (45) days after your Termination Date, execute (and not revoke) and deliver to the Company a Separation Agreement in a form prescribed by the Company and such Separation Agreement shall include without limitation a release of all claims against the Company and its affiliates along with a covenant not to sue and (ii) remain in full compliance with such Separation Agreement and this Key Executive Benefit Package.</w:t>
      </w:r>
    </w:p>
    <w:p>
      <w:pPr>
        <w:spacing w:after="0" w:line="185" w:lineRule="exact"/>
        <w:rPr>
          <w:rFonts w:ascii="Times New Roman" w:cs="Times New Roman" w:eastAsia="Times New Roman" w:hAnsi="Times New Roman"/>
          <w:sz w:val="18"/>
          <w:szCs w:val="18"/>
          <w:color w:val="auto"/>
        </w:rPr>
      </w:pPr>
    </w:p>
    <w:p>
      <w:pPr>
        <w:ind w:right="220" w:firstLine="1305"/>
        <w:spacing w:after="0" w:line="286" w:lineRule="auto"/>
        <w:tabs>
          <w:tab w:leader="none" w:pos="16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Voluntary Termination. </w:t>
      </w:r>
      <w:r>
        <w:rPr>
          <w:rFonts w:ascii="Times New Roman" w:cs="Times New Roman" w:eastAsia="Times New Roman" w:hAnsi="Times New Roman"/>
          <w:sz w:val="18"/>
          <w:szCs w:val="18"/>
          <w:color w:val="auto"/>
        </w:rPr>
        <w:t>In the event you voluntarily terminate your employment with the Company, you will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your Accrued Pay. You will be entitled to no other compensation from the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0" w:right="239" w:bottom="1440" w:gutter="0" w:footer="0" w:header="0"/>
        </w:sectPr>
      </w:pPr>
    </w:p>
    <w:bookmarkStart w:id="44" w:name="page45"/>
    <w:bookmarkEnd w:id="44"/>
    <w:p>
      <w:pPr>
        <w:ind w:left="-20" w:right="60" w:firstLine="1305"/>
        <w:spacing w:after="0" w:line="262" w:lineRule="auto"/>
        <w:tabs>
          <w:tab w:leader="none" w:pos="165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or Disability. </w:t>
      </w:r>
      <w:r>
        <w:rPr>
          <w:rFonts w:ascii="Times New Roman" w:cs="Times New Roman" w:eastAsia="Times New Roman" w:hAnsi="Times New Roman"/>
          <w:sz w:val="18"/>
          <w:szCs w:val="18"/>
          <w:color w:val="auto"/>
        </w:rPr>
        <w:t>In the event your employment with the Company is terminated due to your Disability, death or presumed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you or your estate will be entitled to receive your Accrued Pay. For purposes of this plan, “Disability” is defined to occur when you are unable to engage in any substantial gainful activity by reason of any medically determinable physical or mental impairment which can be expected to result in death or which has lasted or can be expected to last for a continuous period of not less than twelve (12) months.</w:t>
      </w:r>
    </w:p>
    <w:p>
      <w:pPr>
        <w:spacing w:after="0" w:line="176" w:lineRule="exact"/>
        <w:rPr>
          <w:rFonts w:ascii="Times New Roman" w:cs="Times New Roman" w:eastAsia="Times New Roman" w:hAnsi="Times New Roman"/>
          <w:sz w:val="18"/>
          <w:szCs w:val="18"/>
          <w:color w:val="auto"/>
        </w:rPr>
      </w:pPr>
    </w:p>
    <w:p>
      <w:pPr>
        <w:ind w:left="-20" w:right="40" w:firstLine="656"/>
        <w:spacing w:after="0" w:line="268" w:lineRule="auto"/>
        <w:tabs>
          <w:tab w:leader="none" w:pos="9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Information and Inventions Agreement; Confidentiality. </w:t>
      </w:r>
      <w:r>
        <w:rPr>
          <w:rFonts w:ascii="Times New Roman" w:cs="Times New Roman" w:eastAsia="Times New Roman" w:hAnsi="Times New Roman"/>
          <w:sz w:val="18"/>
          <w:szCs w:val="18"/>
          <w:color w:val="auto"/>
        </w:rPr>
        <w:t>You will be required, as a condition of your employment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timely execute the Company’s form of proprietary information and inventions agreement as may be amended from time to time by the Company (“Confidentiality Agreement”).</w:t>
      </w:r>
    </w:p>
    <w:p>
      <w:pPr>
        <w:spacing w:after="0" w:line="170" w:lineRule="exact"/>
        <w:rPr>
          <w:rFonts w:ascii="Times New Roman" w:cs="Times New Roman" w:eastAsia="Times New Roman" w:hAnsi="Times New Roman"/>
          <w:sz w:val="18"/>
          <w:szCs w:val="18"/>
          <w:color w:val="auto"/>
        </w:rPr>
      </w:pPr>
    </w:p>
    <w:p>
      <w:pPr>
        <w:ind w:left="-20" w:right="80" w:firstLine="656"/>
        <w:spacing w:after="0" w:line="257" w:lineRule="auto"/>
        <w:tabs>
          <w:tab w:leader="none" w:pos="9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Governing Law; Arbitration. </w:t>
      </w:r>
      <w:r>
        <w:rPr>
          <w:rFonts w:ascii="Times New Roman" w:cs="Times New Roman" w:eastAsia="Times New Roman" w:hAnsi="Times New Roman"/>
          <w:sz w:val="18"/>
          <w:szCs w:val="18"/>
          <w:color w:val="auto"/>
        </w:rPr>
        <w:t>To the extent not preempted by federal law, this Agreement will be deemed a contract made under, and for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purposes shall be construed in accordance with, the laws of Utah. Any controversy or claim relating to this Agreement or any breach thereof, and any claims you may have arising from or relating to your employment with the Company, will be settled solely and finally by arbitration in Salt Lake City, Utah before a single arbitrator and judgment upon such award rendered by the arbitrator may be entered in any court having jurisdiction thereof, provided that this Section shall not be construed to eliminate or reduce any right the Company or you may otherwise have to obtain a temporary restraining order or a preliminary or permanent injunction to enforce any of the covenants contained in this Agreement before the matter can be heard in arbitration.</w:t>
      </w:r>
    </w:p>
    <w:p>
      <w:pPr>
        <w:spacing w:after="0" w:line="182" w:lineRule="exact"/>
        <w:rPr>
          <w:rFonts w:ascii="Times New Roman" w:cs="Times New Roman" w:eastAsia="Times New Roman" w:hAnsi="Times New Roman"/>
          <w:sz w:val="18"/>
          <w:szCs w:val="18"/>
          <w:color w:val="auto"/>
        </w:rPr>
      </w:pPr>
    </w:p>
    <w:p>
      <w:pPr>
        <w:ind w:left="-20" w:right="20" w:firstLine="656"/>
        <w:spacing w:after="0" w:line="252" w:lineRule="auto"/>
        <w:tabs>
          <w:tab w:leader="none" w:pos="9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Taxes. </w:t>
      </w:r>
      <w:r>
        <w:rPr>
          <w:rFonts w:ascii="Times New Roman" w:cs="Times New Roman" w:eastAsia="Times New Roman" w:hAnsi="Times New Roman"/>
          <w:sz w:val="18"/>
          <w:szCs w:val="18"/>
          <w:color w:val="auto"/>
        </w:rPr>
        <w:t>The Company shall have the right to withhold and deduct from any payment hereunder any federal, state or local taxes of any 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to be withheld with respect to any such payment. The Company shall not be liable to you or other persons as to any unexpected or adverse tax consequence realized by you and you shall be solely responsible for the timely payment of all taxes arising from this Agreement that are imposed on you. This Agreement is intended to comply with the applicable requirements of Code Section 409A and shall be limited, construed and interpreted in a manner so as to comply therewith. Each payment made pursuant to any provision of this Agreement shall be considered a separate payment and not one of a series of payments for purposes of Code Section 409A. While it is intended that all payments and benefits provided under this Agreement to you will be exempt from or comply with Code Section 409A, the Company makes no representation or covenant to ensure that the payments under this Agreement are exempt from or compliant with Code Section 409A. The Company will have no liability to you or any other party if a payment or benefit under this Agreement is challenged by any taxing authority or is ultimately determined not to be exempt or compliant. In addition, if upon your Termination Date, you are then a “specified employee” (as defined in Code Section 409A), then solely to the extent necessary to comply with Code Section 409A and avoid the imposition of taxes under Code Section 409A, the Company shall defer payment of “nonqualified deferred compensation” subject to Code Section 409A payable as a result of and within six (6) months following your Termination Date until the earlier of (i) the first business day of the seventh (7th) month following your Termination Date or (ii) ten (10) days after the Company receives written confirmation of your death. Any such delayed payments shall be made without interest. Additionally, the reimbursement of expenses or in-kind benefits provided pursuant to this Agreement shall be subject to the following conditions: (1) the expenses eligible for reimbursement or in-kind benefits in one taxable year shall not affect the expenses eligible for reimbursement or in-kind benefits in any other taxable year; (2) the reimbursement of eligible expenses or in-kind benefits shall be made promptly, subject to the Company’s applicable policies, but in no event later than the end of the year after the year in which such expense was incurred; and (3) the right to reimbursement or in-kind benefits shall not be subject to liquidation or exchange for another benefit.</w:t>
      </w:r>
    </w:p>
    <w:p>
      <w:pPr>
        <w:spacing w:after="0" w:line="193" w:lineRule="exact"/>
        <w:rPr>
          <w:rFonts w:ascii="Times New Roman" w:cs="Times New Roman" w:eastAsia="Times New Roman" w:hAnsi="Times New Roman"/>
          <w:sz w:val="18"/>
          <w:szCs w:val="18"/>
          <w:color w:val="auto"/>
        </w:rPr>
      </w:pPr>
    </w:p>
    <w:p>
      <w:pPr>
        <w:ind w:left="-20" w:firstLine="656"/>
        <w:spacing w:after="0" w:line="255" w:lineRule="auto"/>
        <w:tabs>
          <w:tab w:leader="none" w:pos="9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Entire Agreement. </w:t>
      </w:r>
      <w:r>
        <w:rPr>
          <w:rFonts w:ascii="Times New Roman" w:cs="Times New Roman" w:eastAsia="Times New Roman" w:hAnsi="Times New Roman"/>
          <w:sz w:val="18"/>
          <w:szCs w:val="18"/>
          <w:color w:val="auto"/>
        </w:rPr>
        <w:t>Except as otherwise specifically provided in this Agreement, this Agreement (and the agreements referenced herein) contains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the legally binding understandings and agreements between you and the Company pertaining to the subject matter of this Agreement and supersedes all such agreements, whether oral or in writing, previously discussed or entered into between the parties including without limitation any term sheets regarding your potential employment with the Company. As a material condition of this Agreement, you represent that by entering into this Agreement or by becoming a Company employee you are not violating the terms of any other contract or agreement or other legal obligations that would prohibit you from performing your duties for the Company. You further agree and represent that in providing your services to the Company you will not utilize or disclose any other entity's trade secrets or confidential information or proprietary information. You represent that you are not resigning employment or relocating any residence in reliance on any promise or representation by the Company regarding the kind, character, or existence of such work, or the length of time such work will last, or the compensation therefor.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00"/>
          </w:cols>
          <w:pgMar w:left="260" w:top="360" w:right="239" w:bottom="1440" w:gutter="0" w:footer="0" w:header="0"/>
        </w:sectPr>
      </w:pPr>
    </w:p>
    <w:bookmarkStart w:id="45" w:name="page46"/>
    <w:bookmarkEnd w:id="45"/>
    <w:p>
      <w:pPr>
        <w:ind w:left="1020" w:hanging="404"/>
        <w:spacing w:after="0"/>
        <w:tabs>
          <w:tab w:leader="none" w:pos="102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Non-Competition and Non-Solicitation.</w:t>
      </w:r>
    </w:p>
    <w:p>
      <w:pPr>
        <w:spacing w:after="0" w:line="225" w:lineRule="exact"/>
        <w:rPr>
          <w:rFonts w:ascii="Times New Roman" w:cs="Times New Roman" w:eastAsia="Times New Roman" w:hAnsi="Times New Roman"/>
          <w:sz w:val="18"/>
          <w:szCs w:val="18"/>
          <w:b w:val="1"/>
          <w:bCs w:val="1"/>
          <w:i w:val="1"/>
          <w:iCs w:val="1"/>
          <w:color w:val="auto"/>
        </w:rPr>
      </w:pPr>
    </w:p>
    <w:p>
      <w:pPr>
        <w:ind w:left="-40" w:right="40" w:firstLine="1305"/>
        <w:spacing w:after="0" w:line="262" w:lineRule="auto"/>
        <w:tabs>
          <w:tab w:leader="none" w:pos="16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Non-solicitation of employees and consultants. </w:t>
      </w:r>
      <w:r>
        <w:rPr>
          <w:rFonts w:ascii="Times New Roman" w:cs="Times New Roman" w:eastAsia="Times New Roman" w:hAnsi="Times New Roman"/>
          <w:sz w:val="18"/>
          <w:szCs w:val="18"/>
          <w:color w:val="auto"/>
        </w:rPr>
        <w:t>During your employment and for a period of two years after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you will not directly or indirectly solicit or induce, or attempt to solicit or induce, any employee or consultant, to include independent contractors, of the Company to quit their employment or cease rendering services to the Company, unless you are specifically authorized to do so by the Company in writing.</w:t>
      </w:r>
    </w:p>
    <w:p>
      <w:pPr>
        <w:spacing w:after="0" w:line="176" w:lineRule="exact"/>
        <w:rPr>
          <w:rFonts w:ascii="Times New Roman" w:cs="Times New Roman" w:eastAsia="Times New Roman" w:hAnsi="Times New Roman"/>
          <w:sz w:val="18"/>
          <w:szCs w:val="18"/>
          <w:color w:val="auto"/>
        </w:rPr>
      </w:pPr>
    </w:p>
    <w:p>
      <w:pPr>
        <w:ind w:left="-40" w:right="60" w:firstLine="1305"/>
        <w:spacing w:after="0" w:line="255" w:lineRule="auto"/>
        <w:tabs>
          <w:tab w:leader="none" w:pos="16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Non-solicitation of Independent Distributors or Customers. </w:t>
      </w:r>
      <w:r>
        <w:rPr>
          <w:rFonts w:ascii="Times New Roman" w:cs="Times New Roman" w:eastAsia="Times New Roman" w:hAnsi="Times New Roman"/>
          <w:sz w:val="18"/>
          <w:szCs w:val="18"/>
          <w:color w:val="auto"/>
        </w:rPr>
        <w:t>To the extent permitted under applicable law, and in order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Confidential Information and preserve the Company’s relationships with its prospects and customers, you agree that for a period of two (2) years after your employment with the Company ends for any reason, you will not directly or indirectly solicit any Independent Distributor, Preferred Customer or Direct Retail Customer for another competing Network Marketing Venture consisting of nutritional supplements or any other product (any product in the same generic product category as a Company product is deemed to be competing (e.g., any nutritional supplement is in the same generic category as Company’s nutritional supplements, and is therefore a competing product, regardless of differences in cost, quality, ingredients or nutrient content) or service of the Company at the time of your termination with any prospect or customer of the Company. By signing the Agreement, you acknowledge and agree that the Company is trying to protect legitimate business interests by this prohibition and such prohibition is reasonable in its scope and duration.</w:t>
      </w:r>
    </w:p>
    <w:p>
      <w:pPr>
        <w:spacing w:after="0" w:line="185" w:lineRule="exact"/>
        <w:rPr>
          <w:rFonts w:ascii="Times New Roman" w:cs="Times New Roman" w:eastAsia="Times New Roman" w:hAnsi="Times New Roman"/>
          <w:sz w:val="18"/>
          <w:szCs w:val="18"/>
          <w:color w:val="auto"/>
        </w:rPr>
      </w:pPr>
    </w:p>
    <w:p>
      <w:pPr>
        <w:ind w:left="-40" w:firstLine="1305"/>
        <w:spacing w:after="0" w:line="255" w:lineRule="auto"/>
        <w:tabs>
          <w:tab w:leader="none" w:pos="16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Non-Competition. </w:t>
      </w:r>
      <w:r>
        <w:rPr>
          <w:rFonts w:ascii="Times New Roman" w:cs="Times New Roman" w:eastAsia="Times New Roman" w:hAnsi="Times New Roman"/>
          <w:sz w:val="18"/>
          <w:szCs w:val="18"/>
          <w:color w:val="auto"/>
        </w:rPr>
        <w:t>You shall not, for a period of one (1) year after your employment with the Company ends for any reason, engage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advise or consult with, or accept employment with any company, business or any entity, or contribute your knowledge to any work or activity that involves a product, process, provision of services or distribution channel (network marketing) as offered by the company, the development and/or sales of nutritional supplements, or any other product or service of the Company which is competitive with and the same as or similar to a product, process, or provision of services or distribution channel (network marketing) on which you worked or with respect to which you had access to confidential information while with the Company. Following expiration of said one-year period, you shall continue to be obligated under the confidential provisions of this Agreement and of your proprietary information and inventions agreement not to disclose and/or use confidential information so long as it shall remain proprietary or protectable as confidential or trade secret information. You acknowledge that this restraint is reasonable as to time and geographic limits and is necessary to protect the Company’s Confidential Information, and that it will not unduly restrict your ability to secure suitable employment after leaving the Company.</w:t>
      </w:r>
    </w:p>
    <w:p>
      <w:pPr>
        <w:spacing w:after="0" w:line="181" w:lineRule="exact"/>
        <w:rPr>
          <w:rFonts w:ascii="Times New Roman" w:cs="Times New Roman" w:eastAsia="Times New Roman" w:hAnsi="Times New Roman"/>
          <w:sz w:val="18"/>
          <w:szCs w:val="18"/>
          <w:color w:val="auto"/>
        </w:rPr>
      </w:pPr>
    </w:p>
    <w:p>
      <w:pPr>
        <w:ind w:left="-40" w:right="240" w:firstLine="1305"/>
        <w:spacing w:after="0" w:line="286" w:lineRule="auto"/>
        <w:tabs>
          <w:tab w:leader="none" w:pos="16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Modification By Court. </w:t>
      </w:r>
      <w:r>
        <w:rPr>
          <w:rFonts w:ascii="Times New Roman" w:cs="Times New Roman" w:eastAsia="Times New Roman" w:hAnsi="Times New Roman"/>
          <w:sz w:val="18"/>
          <w:szCs w:val="18"/>
          <w:color w:val="auto"/>
        </w:rPr>
        <w:t>If any court or arbitrator determines that any post-employment restrictive covenant is unreasonable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you agree that the Court may modify any unreasonable terms and enforce the agreement as modified.</w:t>
      </w:r>
    </w:p>
    <w:p>
      <w:pPr>
        <w:spacing w:after="0" w:line="154" w:lineRule="exact"/>
        <w:rPr>
          <w:rFonts w:ascii="Times New Roman" w:cs="Times New Roman" w:eastAsia="Times New Roman" w:hAnsi="Times New Roman"/>
          <w:sz w:val="18"/>
          <w:szCs w:val="18"/>
          <w:color w:val="auto"/>
        </w:rPr>
      </w:pPr>
    </w:p>
    <w:p>
      <w:pPr>
        <w:ind w:left="-40" w:right="340" w:firstLine="1305"/>
        <w:spacing w:after="0" w:line="286" w:lineRule="auto"/>
        <w:tabs>
          <w:tab w:leader="none" w:pos="16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of Non-Compete. </w:t>
      </w:r>
      <w:r>
        <w:rPr>
          <w:rFonts w:ascii="Times New Roman" w:cs="Times New Roman" w:eastAsia="Times New Roman" w:hAnsi="Times New Roman"/>
          <w:sz w:val="18"/>
          <w:szCs w:val="18"/>
          <w:color w:val="auto"/>
        </w:rPr>
        <w:t>For any period of time in which you are found to be in violation of any of the above non-compete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non-solicitation agreements, that period of time shall be added on to the length of the restriction or period of protection for the Company.</w:t>
      </w:r>
    </w:p>
    <w:p>
      <w:pPr>
        <w:spacing w:after="0" w:line="154" w:lineRule="exact"/>
        <w:rPr>
          <w:rFonts w:ascii="Times New Roman" w:cs="Times New Roman" w:eastAsia="Times New Roman" w:hAnsi="Times New Roman"/>
          <w:sz w:val="18"/>
          <w:szCs w:val="18"/>
          <w:color w:val="auto"/>
        </w:rPr>
      </w:pPr>
    </w:p>
    <w:p>
      <w:pPr>
        <w:ind w:left="-40" w:right="260" w:firstLine="1305"/>
        <w:spacing w:after="0" w:line="286" w:lineRule="auto"/>
        <w:tabs>
          <w:tab w:leader="none" w:pos="161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Subsequent Employers. </w:t>
      </w:r>
      <w:r>
        <w:rPr>
          <w:rFonts w:ascii="Times New Roman" w:cs="Times New Roman" w:eastAsia="Times New Roman" w:hAnsi="Times New Roman"/>
          <w:sz w:val="18"/>
          <w:szCs w:val="18"/>
          <w:color w:val="auto"/>
        </w:rPr>
        <w:t>You agree that the Company may provide notice of your obligations under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any company or future employer of yours should the Company consider it necessary for the enforcement of those obligations.</w:t>
      </w:r>
    </w:p>
    <w:p>
      <w:pPr>
        <w:spacing w:after="0" w:line="154" w:lineRule="exact"/>
        <w:rPr>
          <w:rFonts w:ascii="Times New Roman" w:cs="Times New Roman" w:eastAsia="Times New Roman" w:hAnsi="Times New Roman"/>
          <w:sz w:val="18"/>
          <w:szCs w:val="18"/>
          <w:color w:val="auto"/>
        </w:rPr>
      </w:pPr>
    </w:p>
    <w:p>
      <w:pPr>
        <w:ind w:left="-40" w:right="320" w:firstLine="656"/>
        <w:spacing w:after="0" w:line="268" w:lineRule="auto"/>
        <w:tabs>
          <w:tab w:leader="none" w:pos="10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Covenants. </w:t>
      </w:r>
      <w:r>
        <w:rPr>
          <w:rFonts w:ascii="Times New Roman" w:cs="Times New Roman" w:eastAsia="Times New Roman" w:hAnsi="Times New Roman"/>
          <w:sz w:val="18"/>
          <w:szCs w:val="18"/>
          <w:color w:val="auto"/>
        </w:rPr>
        <w:t>As a condition of this Agreement and to your receipt of any post-employment benefits, you agree that you will fully and timely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comply with all of the covenants set forth in this subsection (which shall survive your termination of employment and termination or expiration of this Agreement):</w:t>
      </w:r>
    </w:p>
    <w:p>
      <w:pPr>
        <w:spacing w:after="0" w:line="174" w:lineRule="exact"/>
        <w:rPr>
          <w:rFonts w:ascii="Times New Roman" w:cs="Times New Roman" w:eastAsia="Times New Roman" w:hAnsi="Times New Roman"/>
          <w:sz w:val="18"/>
          <w:szCs w:val="18"/>
          <w:color w:val="auto"/>
        </w:rPr>
      </w:pPr>
    </w:p>
    <w:p>
      <w:pPr>
        <w:ind w:left="620" w:right="420" w:firstLine="645"/>
        <w:spacing w:after="0" w:line="266" w:lineRule="auto"/>
        <w:tabs>
          <w:tab w:leader="none" w:pos="16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fully comply with all obligations under the Confidentiality Agreement and further agree that the provisions of the Confidentiality Agreement shall survive any termination or expiration of this Agreement or termination of your employment or any subsequent service relationship with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60"/>
          </w:cols>
          <w:pgMar w:left="280" w:top="360" w:right="259" w:bottom="1440" w:gutter="0" w:footer="0" w:header="0"/>
        </w:sectPr>
      </w:pPr>
    </w:p>
    <w:bookmarkStart w:id="46" w:name="page47"/>
    <w:bookmarkEnd w:id="46"/>
    <w:p>
      <w:pPr>
        <w:ind w:left="-60" w:firstLine="1953"/>
        <w:spacing w:after="0" w:line="313" w:lineRule="auto"/>
        <w:tabs>
          <w:tab w:leader="none" w:pos="2231"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five (5) days of the Termination Date, you shall return to the Company all Company confidential information including, but not limited to, intellectual property, etc., and you shall not retain any copies, facsimiles or summaries of any Company proprietary information;</w:t>
      </w:r>
    </w:p>
    <w:p>
      <w:pPr>
        <w:spacing w:after="0" w:line="138" w:lineRule="exact"/>
        <w:rPr>
          <w:rFonts w:ascii="Times New Roman" w:cs="Times New Roman" w:eastAsia="Times New Roman" w:hAnsi="Times New Roman"/>
          <w:sz w:val="17"/>
          <w:szCs w:val="17"/>
          <w:color w:val="auto"/>
        </w:rPr>
      </w:pPr>
    </w:p>
    <w:p>
      <w:pPr>
        <w:ind w:left="-60" w:right="20" w:firstLine="1953"/>
        <w:spacing w:after="0" w:line="266" w:lineRule="auto"/>
        <w:tabs>
          <w:tab w:leader="none" w:pos="227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at any time make (or direct anyone to make) any disparaging statements (oral or written) about the Company, or any of its affiliated entities, officers, directors, employees, stockholders, representatives or agents, or any of the Company’s products or services or work-in-progress, that are harmful to their businesses, business reputations or personal reputations.;</w:t>
      </w:r>
    </w:p>
    <w:p>
      <w:pPr>
        <w:spacing w:after="0" w:line="176" w:lineRule="exact"/>
        <w:rPr>
          <w:rFonts w:ascii="Times New Roman" w:cs="Times New Roman" w:eastAsia="Times New Roman" w:hAnsi="Times New Roman"/>
          <w:sz w:val="18"/>
          <w:szCs w:val="18"/>
          <w:color w:val="auto"/>
        </w:rPr>
      </w:pPr>
    </w:p>
    <w:p>
      <w:pPr>
        <w:ind w:left="-60" w:right="20" w:firstLine="1953"/>
        <w:spacing w:after="0" w:line="254" w:lineRule="auto"/>
        <w:tabs>
          <w:tab w:leader="none" w:pos="232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during the period of your employment with the Company and thereafter, you will not utilize any trade secrets of the Company in order to solicit, either on behalf of yourself or any other person or entity, the business of any client or customer of the Company, whether past, present or prospective. The Company considers the following, without limitation, to be its trade secrets: Financial information, administrative and business records, analysis, studies, governmental licenses, employee records (including but not limited to counts and goals), prices, discounts, financials, electronic and written files of Company policies, procedures, training, and forms, written or electronic work product that was authored, developed, edited, reviewed or received from or on behalf of the Company during period of employment, Company developed technology, software, or computer programs, process manuals, products, business and marketing plans and or projections, Company sales and marketing data, Company technical information, Company strategic plans, Company financials, vendor affiliations, proprietary information, technical data, trade secrets, know-how, copyrights, patents, trademarks, intellectual property, and all documentation related to or including any of the foregoing; and</w:t>
      </w:r>
    </w:p>
    <w:p>
      <w:pPr>
        <w:spacing w:after="0" w:line="189" w:lineRule="exact"/>
        <w:rPr>
          <w:rFonts w:ascii="Times New Roman" w:cs="Times New Roman" w:eastAsia="Times New Roman" w:hAnsi="Times New Roman"/>
          <w:sz w:val="18"/>
          <w:szCs w:val="18"/>
          <w:color w:val="auto"/>
        </w:rPr>
      </w:pPr>
    </w:p>
    <w:p>
      <w:pPr>
        <w:ind w:left="-60" w:right="280" w:firstLine="1953"/>
        <w:spacing w:after="0" w:line="266" w:lineRule="auto"/>
        <w:tabs>
          <w:tab w:leader="none" w:pos="231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upon the Company’s request and without any payment therefore, you shall reasonably cooperate with the Company (and be available as necessary) after the Termination Date in connection with any matters involving events that occurred during your period of employment with the Company.</w:t>
      </w:r>
    </w:p>
    <w:p>
      <w:pPr>
        <w:spacing w:after="0" w:line="176" w:lineRule="exact"/>
        <w:rPr>
          <w:rFonts w:ascii="Times New Roman" w:cs="Times New Roman" w:eastAsia="Times New Roman" w:hAnsi="Times New Roman"/>
          <w:sz w:val="18"/>
          <w:szCs w:val="18"/>
          <w:color w:val="auto"/>
        </w:rPr>
      </w:pPr>
    </w:p>
    <w:p>
      <w:pPr>
        <w:ind w:left="-60" w:right="240" w:firstLine="1305"/>
        <w:spacing w:after="0" w:line="282"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also agree that you will fully and timely comply with all of the covenants set forth in this subsection (which shall survive your termination of employment and termination or expiration of this Agreement):</w:t>
      </w:r>
    </w:p>
    <w:p>
      <w:pPr>
        <w:spacing w:after="0" w:line="161" w:lineRule="exact"/>
        <w:rPr>
          <w:rFonts w:ascii="Times New Roman" w:cs="Times New Roman" w:eastAsia="Times New Roman" w:hAnsi="Times New Roman"/>
          <w:sz w:val="18"/>
          <w:szCs w:val="18"/>
          <w:color w:val="auto"/>
        </w:rPr>
      </w:pPr>
    </w:p>
    <w:p>
      <w:pPr>
        <w:ind w:left="-60" w:right="140" w:firstLine="1953"/>
        <w:spacing w:after="0" w:line="282" w:lineRule="auto"/>
        <w:tabs>
          <w:tab w:leader="none" w:pos="2228"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fully pay off any outstanding amounts owed to the Company no later than their applicable due date or within thirty days of your Termination Date (if no other due date has been previously established);</w:t>
      </w:r>
    </w:p>
    <w:p>
      <w:pPr>
        <w:spacing w:after="0" w:line="161" w:lineRule="exact"/>
        <w:rPr>
          <w:rFonts w:ascii="Times New Roman" w:cs="Times New Roman" w:eastAsia="Times New Roman" w:hAnsi="Times New Roman"/>
          <w:sz w:val="18"/>
          <w:szCs w:val="18"/>
          <w:color w:val="auto"/>
        </w:rPr>
      </w:pPr>
    </w:p>
    <w:p>
      <w:pPr>
        <w:ind w:left="-60" w:right="440" w:firstLine="1953"/>
        <w:spacing w:after="0" w:line="282" w:lineRule="auto"/>
        <w:tabs>
          <w:tab w:leader="none" w:pos="2281"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of the Termination Date, you shall return to the Company all Company property including, but not limited to, computers, cell phones, pagers, keys, business cards, etc.;</w:t>
      </w:r>
    </w:p>
    <w:p>
      <w:pPr>
        <w:spacing w:after="0" w:line="161" w:lineRule="exact"/>
        <w:rPr>
          <w:rFonts w:ascii="Times New Roman" w:cs="Times New Roman" w:eastAsia="Times New Roman" w:hAnsi="Times New Roman"/>
          <w:sz w:val="18"/>
          <w:szCs w:val="18"/>
          <w:color w:val="auto"/>
        </w:rPr>
      </w:pPr>
    </w:p>
    <w:p>
      <w:pPr>
        <w:ind w:left="-60" w:right="520" w:firstLine="1953"/>
        <w:spacing w:after="0" w:line="282" w:lineRule="auto"/>
        <w:tabs>
          <w:tab w:leader="none" w:pos="2331"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the Termination Date, you will submit any outstanding expense reports to the Company for expenses incurred prior to the Termination Date; and</w:t>
      </w:r>
    </w:p>
    <w:p>
      <w:pPr>
        <w:spacing w:after="0" w:line="161" w:lineRule="exact"/>
        <w:rPr>
          <w:rFonts w:ascii="Times New Roman" w:cs="Times New Roman" w:eastAsia="Times New Roman" w:hAnsi="Times New Roman"/>
          <w:sz w:val="18"/>
          <w:szCs w:val="18"/>
          <w:color w:val="auto"/>
        </w:rPr>
      </w:pPr>
    </w:p>
    <w:p>
      <w:pPr>
        <w:ind w:left="-60" w:right="160" w:firstLine="1953"/>
        <w:spacing w:after="0" w:line="282" w:lineRule="auto"/>
        <w:tabs>
          <w:tab w:leader="none" w:pos="231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Termination Date, you will no longer represent that you are an officer, director or employee of the Company and you will immediately discontinue using your Company mailing address, telephone, facsimile machines, voice mail and e-mail;</w:t>
      </w:r>
    </w:p>
    <w:p>
      <w:pPr>
        <w:spacing w:after="0" w:line="161" w:lineRule="exact"/>
        <w:rPr>
          <w:rFonts w:ascii="Times New Roman" w:cs="Times New Roman" w:eastAsia="Times New Roman" w:hAnsi="Times New Roman"/>
          <w:sz w:val="18"/>
          <w:szCs w:val="18"/>
          <w:color w:val="auto"/>
        </w:rPr>
      </w:pPr>
    </w:p>
    <w:p>
      <w:pPr>
        <w:ind w:left="-60" w:right="120" w:firstLine="1305"/>
        <w:spacing w:after="0" w:line="266" w:lineRule="auto"/>
        <w:tabs>
          <w:tab w:leader="none" w:pos="16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will strictly adhere to and obey all Company rules, policies, procedures, regulations and guidelines, including but not limited to those contained in the Company’s employee handbook, as well any others that the Company may establish including without limitation any policy the Company adopts on the recoupment of compensation (“Clawback Policy”).</w:t>
      </w:r>
    </w:p>
    <w:p>
      <w:pPr>
        <w:spacing w:after="0" w:line="172" w:lineRule="exact"/>
        <w:rPr>
          <w:rFonts w:ascii="Times New Roman" w:cs="Times New Roman" w:eastAsia="Times New Roman" w:hAnsi="Times New Roman"/>
          <w:sz w:val="18"/>
          <w:szCs w:val="18"/>
          <w:color w:val="auto"/>
        </w:rPr>
      </w:pPr>
    </w:p>
    <w:p>
      <w:pPr>
        <w:ind w:left="-60" w:right="140" w:firstLine="656"/>
        <w:spacing w:after="0" w:line="286" w:lineRule="auto"/>
        <w:tabs>
          <w:tab w:leader="none" w:pos="9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Offset. </w:t>
      </w:r>
      <w:r>
        <w:rPr>
          <w:rFonts w:ascii="Times New Roman" w:cs="Times New Roman" w:eastAsia="Times New Roman" w:hAnsi="Times New Roman"/>
          <w:sz w:val="18"/>
          <w:szCs w:val="18"/>
          <w:color w:val="auto"/>
        </w:rPr>
        <w:t>Any severance or other payments or benefits made to you under this Agreement may be reduced, in the Company’s discretion, by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you owe to the Company provided that any such offsets do not violate Code Section 409A.</w:t>
      </w:r>
    </w:p>
    <w:p>
      <w:pPr>
        <w:spacing w:after="0" w:line="154" w:lineRule="exact"/>
        <w:rPr>
          <w:rFonts w:ascii="Times New Roman" w:cs="Times New Roman" w:eastAsia="Times New Roman" w:hAnsi="Times New Roman"/>
          <w:sz w:val="18"/>
          <w:szCs w:val="18"/>
          <w:color w:val="auto"/>
        </w:rPr>
      </w:pPr>
    </w:p>
    <w:p>
      <w:pPr>
        <w:jc w:val="both"/>
        <w:ind w:left="-60" w:firstLine="656"/>
        <w:spacing w:after="0" w:line="268" w:lineRule="auto"/>
        <w:tabs>
          <w:tab w:leader="none" w:pos="9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 </w:t>
      </w:r>
      <w:r>
        <w:rPr>
          <w:rFonts w:ascii="Times New Roman" w:cs="Times New Roman" w:eastAsia="Times New Roman" w:hAnsi="Times New Roman"/>
          <w:sz w:val="18"/>
          <w:szCs w:val="18"/>
          <w:color w:val="auto"/>
        </w:rPr>
        <w:t>Any notice that the Company is required to or may desire to give you shall be given by personal delivery, recognized overnight courier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email, telecopy or registered or certified mail, return receipt requested, addressed to you at your address of record with the Company, or at such other place as you may from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00"/>
          </w:cols>
          <w:pgMar w:left="300" w:top="364" w:right="299" w:bottom="1440" w:gutter="0" w:footer="0" w:header="0"/>
        </w:sectPr>
      </w:pPr>
    </w:p>
    <w:bookmarkStart w:id="47" w:name="page48"/>
    <w:bookmarkEnd w:id="47"/>
    <w:p>
      <w:pPr>
        <w:ind w:right="60"/>
        <w:spacing w:after="0" w:line="261" w:lineRule="auto"/>
        <w:rPr>
          <w:sz w:val="20"/>
          <w:szCs w:val="20"/>
          <w:color w:val="auto"/>
        </w:rPr>
      </w:pPr>
      <w:r>
        <w:rPr>
          <w:rFonts w:ascii="Times New Roman" w:cs="Times New Roman" w:eastAsia="Times New Roman" w:hAnsi="Times New Roman"/>
          <w:sz w:val="18"/>
          <w:szCs w:val="18"/>
          <w:color w:val="auto"/>
        </w:rPr>
        <w:t>time to time designate in writing. Any notice that you are required or may desire to give to the Company hereunder shall be given by personal delivery, recognized overnight courier service, email, telecopy or by registered or certified mail, return receipt requested, addressed to the Company’s General Counsel at its principal office, or at such other office as the Company may from time to time designate in writing. The date of actual delivery of any notice under this Section shall be deemed to be the date of delivery thereof.</w:t>
      </w:r>
    </w:p>
    <w:p>
      <w:pPr>
        <w:spacing w:after="0" w:line="176" w:lineRule="exact"/>
        <w:rPr>
          <w:sz w:val="20"/>
          <w:szCs w:val="20"/>
          <w:color w:val="auto"/>
        </w:rPr>
      </w:pPr>
    </w:p>
    <w:p>
      <w:pPr>
        <w:ind w:firstLine="656"/>
        <w:spacing w:after="0" w:line="257" w:lineRule="auto"/>
        <w:tabs>
          <w:tab w:leader="none" w:pos="10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Waiver; Severability. </w:t>
      </w:r>
      <w:r>
        <w:rPr>
          <w:rFonts w:ascii="Times New Roman" w:cs="Times New Roman" w:eastAsia="Times New Roman" w:hAnsi="Times New Roman"/>
          <w:sz w:val="18"/>
          <w:szCs w:val="18"/>
          <w:color w:val="auto"/>
        </w:rPr>
        <w:t>No provision of this Agreement may be amended or waived unless such amendment or waiver is agreed to by you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writing and such amendment or waiver expressly references this Section. No waiver by you or the Company of the breach of any condition or provision of this Agreement will be deemed a waiver of a similar or dissimilar provision or condition at the same or any prior or subsequent time. Except as expressly provided herein to the contrary, failure or delay on the part of either party hereto to enforce any right, power, or privilege hereunder will not be deemed to constitute a waiver thereof. In the event any portion of this Agreement is determined to be invalid or unenforceable for any reason, the remaining portions shall be unaffected thereby and will remain in full force and effect to the fullest extent permitted by law.</w:t>
      </w:r>
    </w:p>
    <w:p>
      <w:pPr>
        <w:spacing w:after="0" w:line="182" w:lineRule="exact"/>
        <w:rPr>
          <w:rFonts w:ascii="Times New Roman" w:cs="Times New Roman" w:eastAsia="Times New Roman" w:hAnsi="Times New Roman"/>
          <w:sz w:val="18"/>
          <w:szCs w:val="18"/>
          <w:color w:val="auto"/>
        </w:rPr>
      </w:pPr>
    </w:p>
    <w:p>
      <w:pPr>
        <w:jc w:val="both"/>
        <w:ind w:right="80" w:firstLine="656"/>
        <w:spacing w:after="0" w:line="259" w:lineRule="auto"/>
        <w:tabs>
          <w:tab w:leader="none" w:pos="10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Voluntary Agreement. </w:t>
      </w:r>
      <w:r>
        <w:rPr>
          <w:rFonts w:ascii="Times New Roman" w:cs="Times New Roman" w:eastAsia="Times New Roman" w:hAnsi="Times New Roman"/>
          <w:sz w:val="18"/>
          <w:szCs w:val="18"/>
          <w:color w:val="auto"/>
        </w:rPr>
        <w:t>You acknowledge that you have been advised to review this Agreement with your own legal counsel and other advisors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your choosing and that prior to entering into this Agreement, you have had the opportunity to review this Agreement with your attorney and other advisors and have not asked (or relied upon) the Company or its counsel to represent you or your counsel in this matter. You further represent that you have carefully read and understand the scope and effect of the provisions of this Agreement and that you are fully aware of the legal and binding effect of this Agreement. This Agreement is executed voluntarily by you and without any duress or undue influence on the part or behalf of the Company.</w:t>
      </w:r>
    </w:p>
    <w:p>
      <w:pPr>
        <w:spacing w:after="0" w:line="179" w:lineRule="exact"/>
        <w:rPr>
          <w:rFonts w:ascii="Times New Roman" w:cs="Times New Roman" w:eastAsia="Times New Roman" w:hAnsi="Times New Roman"/>
          <w:sz w:val="18"/>
          <w:szCs w:val="18"/>
          <w:color w:val="auto"/>
        </w:rPr>
      </w:pPr>
    </w:p>
    <w:p>
      <w:pPr>
        <w:jc w:val="both"/>
        <w:ind w:right="40" w:firstLine="656"/>
        <w:spacing w:after="0" w:line="262" w:lineRule="auto"/>
        <w:tabs>
          <w:tab w:leader="none" w:pos="10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Key-Man Insurance. </w:t>
      </w:r>
      <w:r>
        <w:rPr>
          <w:rFonts w:ascii="Times New Roman" w:cs="Times New Roman" w:eastAsia="Times New Roman" w:hAnsi="Times New Roman"/>
          <w:sz w:val="18"/>
          <w:szCs w:val="18"/>
          <w:color w:val="auto"/>
        </w:rPr>
        <w:t>The Company shall have the right to insure your life for the sole benefit of the Company, in such amounts, and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as it may determine. All premiums payable thereon shall be the obligation of the Company. You shall have no interest in any such policy, but you agree to cooperate with the Company in taking out such insurance by submitting to physical examinations, supplying all information required by the insurance company, and executing all necessary documents, provided that no financial obligation is imposed on you by any such documents.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29"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color w:val="auto"/>
        </w:rPr>
        <w:t>This ____ day of ______________, 2017.</w:t>
      </w:r>
      <w:r>
        <w:rPr>
          <w:sz w:val="20"/>
          <w:szCs w:val="20"/>
          <w:color w:val="auto"/>
        </w:rPr>
        <w:tab/>
      </w:r>
      <w:r>
        <w:rPr>
          <w:rFonts w:ascii="Times New Roman" w:cs="Times New Roman" w:eastAsia="Times New Roman" w:hAnsi="Times New Roman"/>
          <w:sz w:val="18"/>
          <w:szCs w:val="18"/>
          <w:color w:val="auto"/>
        </w:rPr>
        <w:t>This ____ day of ______________, 2017.</w:t>
      </w:r>
    </w:p>
    <w:p>
      <w:pPr>
        <w:spacing w:after="0" w:line="221"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LIFEVANTAGE CORPORATION</w:t>
      </w:r>
      <w:r>
        <w:rPr>
          <w:sz w:val="20"/>
          <w:szCs w:val="20"/>
          <w:color w:val="auto"/>
        </w:rPr>
        <w:tab/>
      </w:r>
      <w:r>
        <w:rPr>
          <w:rFonts w:ascii="Times New Roman" w:cs="Times New Roman" w:eastAsia="Times New Roman" w:hAnsi="Times New Roman"/>
          <w:sz w:val="17"/>
          <w:szCs w:val="17"/>
          <w:b w:val="1"/>
          <w:bCs w:val="1"/>
          <w:color w:val="auto"/>
        </w:rPr>
        <w:t>KEY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405765</wp:posOffset>
            </wp:positionV>
            <wp:extent cx="1485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color w:val="auto"/>
        </w:rPr>
        <w:t>BY: Darren Jensen</w:t>
      </w:r>
      <w:r>
        <w:rPr>
          <w:sz w:val="20"/>
          <w:szCs w:val="20"/>
          <w:color w:val="auto"/>
        </w:rPr>
        <w:tab/>
      </w:r>
      <w:r>
        <w:rPr>
          <w:rFonts w:ascii="Times New Roman" w:cs="Times New Roman" w:eastAsia="Times New Roman" w:hAnsi="Times New Roman"/>
          <w:sz w:val="18"/>
          <w:szCs w:val="18"/>
          <w:color w:val="auto"/>
        </w:rPr>
        <w:t>Name: Steven Fife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4" w:right="2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TARGET ANNUAL INCENTIVE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Target Annual Incentive</w:t>
            </w:r>
          </w:p>
        </w:tc>
      </w:tr>
      <w:tr>
        <w:trPr>
          <w:trHeight w:val="27"/>
        </w:trPr>
        <w:tc>
          <w:tcPr>
            <w:tcW w:w="1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Steve Fife</w:t>
            </w: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00"/>
          </w:cols>
          <w:pgMar w:left="240" w:top="576" w:right="2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Darren Jensen, certify that:</w:t>
      </w:r>
    </w:p>
    <w:p>
      <w:pPr>
        <w:spacing w:after="0" w:line="144"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4"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820" w:right="380" w:hanging="407"/>
        <w:spacing w:after="0" w:line="266" w:lineRule="auto"/>
        <w:tabs>
          <w:tab w:leader="none" w:pos="8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820" w:right="880" w:hanging="407"/>
        <w:spacing w:after="0" w:line="313" w:lineRule="auto"/>
        <w:tabs>
          <w:tab w:leader="none" w:pos="8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820" w:right="100" w:hanging="407"/>
        <w:spacing w:after="0" w:line="266" w:lineRule="auto"/>
        <w:tabs>
          <w:tab w:leader="none" w:pos="8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2017</w:t>
      </w:r>
    </w:p>
    <w:p>
      <w:pPr>
        <w:spacing w:after="0" w:line="30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35560</wp:posOffset>
            </wp:positionV>
            <wp:extent cx="302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R. Fife, certify that:</w:t>
      </w:r>
    </w:p>
    <w:p>
      <w:pPr>
        <w:spacing w:after="0" w:line="144" w:lineRule="exact"/>
        <w:rPr>
          <w:sz w:val="20"/>
          <w:szCs w:val="20"/>
          <w:color w:val="auto"/>
        </w:rPr>
      </w:pPr>
    </w:p>
    <w:p>
      <w:pPr>
        <w:ind w:left="420" w:hanging="412"/>
        <w:spacing w:after="0"/>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LifeVantage Corporation;</w:t>
      </w:r>
    </w:p>
    <w:p>
      <w:pPr>
        <w:spacing w:after="0" w:line="144" w:lineRule="exact"/>
        <w:rPr>
          <w:rFonts w:ascii="Times New Roman" w:cs="Times New Roman" w:eastAsia="Times New Roman" w:hAnsi="Times New Roman"/>
          <w:sz w:val="18"/>
          <w:szCs w:val="18"/>
          <w:color w:val="auto"/>
        </w:rPr>
      </w:pPr>
    </w:p>
    <w:p>
      <w:pPr>
        <w:ind w:left="420" w:right="40" w:hanging="412"/>
        <w:spacing w:after="0" w:line="313" w:lineRule="auto"/>
        <w:tabs>
          <w:tab w:leader="none" w:pos="4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420" w:right="500" w:hanging="412"/>
        <w:spacing w:after="0" w:line="282" w:lineRule="auto"/>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420" w:right="120" w:hanging="412"/>
        <w:spacing w:after="0" w:line="266" w:lineRule="auto"/>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820" w:right="380" w:hanging="407"/>
        <w:spacing w:after="0" w:line="266" w:lineRule="auto"/>
        <w:tabs>
          <w:tab w:leader="none" w:pos="8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ind w:left="820" w:right="80" w:hanging="407"/>
        <w:spacing w:after="0" w:line="266" w:lineRule="auto"/>
        <w:tabs>
          <w:tab w:leader="none" w:pos="8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jc w:val="both"/>
        <w:ind w:left="820" w:right="880" w:hanging="407"/>
        <w:spacing w:after="0" w:line="313" w:lineRule="auto"/>
        <w:tabs>
          <w:tab w:leader="none" w:pos="8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820" w:right="100" w:hanging="407"/>
        <w:spacing w:after="0" w:line="266" w:lineRule="auto"/>
        <w:tabs>
          <w:tab w:leader="none" w:pos="8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420" w:right="420" w:hanging="412"/>
        <w:spacing w:after="0" w:line="282" w:lineRule="auto"/>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820" w:right="300" w:hanging="407"/>
        <w:spacing w:after="0" w:line="282" w:lineRule="auto"/>
        <w:tabs>
          <w:tab w:leader="none" w:pos="8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820" w:right="240" w:hanging="407"/>
        <w:spacing w:after="0" w:line="282" w:lineRule="auto"/>
        <w:tabs>
          <w:tab w:leader="none" w:pos="8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2017</w:t>
      </w:r>
    </w:p>
    <w:p>
      <w:pPr>
        <w:spacing w:after="0" w:line="30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March 31, 2017, with the Securities and Exchange Commission on the date hereof (the “report”), I, Darren Jensen, Principal Executive Officer of the Company, certify, pursuant to 18 U.S.C. Section 1350, as adopted pursuant to Section 906 of the Sarbanes-Oxley Act of 2002, that:</w:t>
      </w:r>
    </w:p>
    <w:p>
      <w:pPr>
        <w:spacing w:after="0" w:line="95" w:lineRule="exact"/>
        <w:rPr>
          <w:sz w:val="20"/>
          <w:szCs w:val="20"/>
          <w:color w:val="auto"/>
        </w:rPr>
      </w:pPr>
    </w:p>
    <w:p>
      <w:pPr>
        <w:ind w:left="820" w:hanging="407"/>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2017</w:t>
      </w:r>
    </w:p>
    <w:p>
      <w:pPr>
        <w:spacing w:after="0" w:line="30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Darren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35560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Darren Jensen</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w:t>
      </w:r>
    </w:p>
    <w:p>
      <w:pPr>
        <w:spacing w:after="0" w:line="2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12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this quarterly report on Form 10-Q of LifeVantage Corporation (the “Company”) for the period ended March 31, 2017,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95" w:lineRule="exact"/>
        <w:rPr>
          <w:sz w:val="20"/>
          <w:szCs w:val="20"/>
          <w:color w:val="auto"/>
        </w:rPr>
      </w:pPr>
    </w:p>
    <w:p>
      <w:pPr>
        <w:ind w:left="820" w:hanging="407"/>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2017</w:t>
      </w:r>
    </w:p>
    <w:p>
      <w:pPr>
        <w:spacing w:after="0" w:line="30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35560</wp:posOffset>
            </wp:positionV>
            <wp:extent cx="3027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Steven R. Fife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upperLetter"/>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3"/>
    </w:lvl>
  </w:abstractNum>
  <w:abstractNum w:abstractNumId="12">
    <w:nsid w:val="2CA88611"/>
    <w:multiLevelType w:val="hybridMultilevel"/>
    <w:lvl w:ilvl="0">
      <w:lvlJc w:val="left"/>
      <w:lvlText w:val="%1."/>
      <w:numFmt w:val="decimal"/>
      <w:start w:val="5"/>
    </w:lvl>
  </w:abstractNum>
  <w:abstractNum w:abstractNumId="13">
    <w:nsid w:val="836C40E"/>
    <w:multiLevelType w:val="hybridMultilevel"/>
    <w:lvl w:ilvl="0">
      <w:lvlJc w:val="left"/>
      <w:lvlText w:val="%1."/>
      <w:numFmt w:val="decimal"/>
      <w:start w:val="8"/>
    </w:lvl>
  </w:abstractNum>
  <w:abstractNum w:abstractNumId="14">
    <w:nsid w:val="2901D82"/>
    <w:multiLevelType w:val="hybridMultilevel"/>
    <w:lvl w:ilvl="0">
      <w:lvlJc w:val="left"/>
      <w:lvlText w:val="%1."/>
      <w:numFmt w:val="decimal"/>
      <w:start w:val="9"/>
    </w:lvl>
    <w:lvl w:ilvl="1">
      <w:lvlJc w:val="left"/>
      <w:lvlText w:val="(%2)"/>
      <w:numFmt w:val="lowerLetter"/>
      <w:start w:val="1"/>
    </w:lvl>
  </w:abstractNum>
  <w:abstractNum w:abstractNumId="15">
    <w:nsid w:val="3A95F874"/>
    <w:multiLevelType w:val="hybridMultilevel"/>
    <w:lvl w:ilvl="0">
      <w:lvlJc w:val="left"/>
      <w:lvlText w:val="(%1)"/>
      <w:numFmt w:val="lowerLetter"/>
      <w:start w:val="3"/>
    </w:lvl>
  </w:abstractNum>
  <w:abstractNum w:abstractNumId="16">
    <w:nsid w:val="8138641"/>
    <w:multiLevelType w:val="hybridMultilevel"/>
    <w:lvl w:ilvl="0">
      <w:lvlJc w:val="left"/>
      <w:lvlText w:val="(%1)"/>
      <w:numFmt w:val="decimal"/>
      <w:start w:val="2"/>
    </w:lvl>
    <w:lvl w:ilvl="1">
      <w:lvlJc w:val="left"/>
      <w:lvlText w:val="%2."/>
      <w:numFmt w:val="decimal"/>
      <w:start w:val="10"/>
    </w:lvl>
  </w:abstractNum>
  <w:abstractNum w:abstractNumId="17">
    <w:nsid w:val="1E7FF52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8">
    <w:nsid w:val="7C3DBD3D"/>
    <w:multiLevelType w:val="hybridMultilevel"/>
    <w:lvl w:ilvl="0">
      <w:lvlJc w:val="left"/>
      <w:lvlText w:val="%1"/>
      <w:numFmt w:val="lowerRoman"/>
      <w:start w:val="1"/>
    </w:lvl>
    <w:lvl w:ilvl="1">
      <w:lvlJc w:val="left"/>
      <w:lvlText w:val="(%2)"/>
      <w:numFmt w:val="lowerLetter"/>
      <w:start w:val="2"/>
    </w:lvl>
  </w:abstractNum>
  <w:abstractNum w:abstractNumId="19">
    <w:nsid w:val="737B8DDC"/>
    <w:multiLevelType w:val="hybridMultilevel"/>
    <w:lvl w:ilvl="0">
      <w:lvlJc w:val="left"/>
      <w:lvlText w:val="(%1)"/>
      <w:numFmt w:val="lowerRoman"/>
      <w:start w:val="1"/>
    </w:lvl>
    <w:lvl w:ilvl="1">
      <w:lvlJc w:val="left"/>
      <w:lvlText w:val="%2"/>
      <w:numFmt w:val="lowerLetter"/>
      <w:start w:val="1"/>
    </w:lvl>
  </w:abstractNum>
  <w:abstractNum w:abstractNumId="20">
    <w:nsid w:val="6CEAF087"/>
    <w:multiLevelType w:val="hybridMultilevel"/>
    <w:lvl w:ilvl="0">
      <w:lvlJc w:val="left"/>
      <w:lvlText w:val="(%1)"/>
      <w:numFmt w:val="lowerRoman"/>
      <w:start w:val="3"/>
    </w:lvl>
  </w:abstractNum>
  <w:abstractNum w:abstractNumId="21">
    <w:nsid w:val="22221A70"/>
    <w:multiLevelType w:val="hybridMultilevel"/>
    <w:lvl w:ilvl="0">
      <w:lvlJc w:val="left"/>
      <w:lvlText w:val="%1"/>
      <w:numFmt w:val="decimal"/>
      <w:start w:val="1"/>
    </w:lvl>
    <w:lvl w:ilvl="1">
      <w:lvlJc w:val="left"/>
      <w:lvlText w:val="(%2)"/>
      <w:numFmt w:val="lowerLetter"/>
      <w:start w:val="4"/>
    </w:lvl>
  </w:abstractNum>
  <w:abstractNum w:abstractNumId="22">
    <w:nsid w:val="4516DDE9"/>
    <w:multiLevelType w:val="hybridMultilevel"/>
    <w:lvl w:ilvl="0">
      <w:lvlJc w:val="left"/>
      <w:lvlText w:val="%1."/>
      <w:numFmt w:val="decimal"/>
      <w:start w:val="14"/>
    </w:lvl>
    <w:lvl w:ilvl="1">
      <w:lvlJc w:val="left"/>
      <w:lvlText w:val="(%2)"/>
      <w:numFmt w:val="lowerLetter"/>
      <w:start w:val="1"/>
    </w:lvl>
  </w:abstractNum>
  <w:abstractNum w:abstractNumId="23">
    <w:nsid w:val="3006C83E"/>
    <w:multiLevelType w:val="hybridMultilevel"/>
    <w:lvl w:ilvl="0">
      <w:lvlJc w:val="left"/>
      <w:lvlText w:val="(%1)"/>
      <w:numFmt w:val="lowerLetter"/>
      <w:start w:val="2"/>
    </w:lvl>
  </w:abstractNum>
  <w:abstractNum w:abstractNumId="24">
    <w:nsid w:val="614FD4A1"/>
    <w:multiLevelType w:val="hybridMultilevel"/>
    <w:lvl w:ilvl="0">
      <w:lvlJc w:val="left"/>
      <w:lvlText w:val="%1."/>
      <w:numFmt w:val="decimal"/>
      <w:start w:val="15"/>
    </w:lvl>
  </w:abstractNum>
  <w:abstractNum w:abstractNumId="25">
    <w:nsid w:val="419AC241"/>
    <w:multiLevelType w:val="hybridMultilevel"/>
    <w:lvl w:ilvl="0">
      <w:lvlJc w:val="left"/>
      <w:lvlText w:val="%1."/>
      <w:numFmt w:val="decimal"/>
      <w:start w:val="18"/>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o"/>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1"/>
      <w:numFmt w:val="decimal"/>
      <w:start w:val="1"/>
    </w:lvl>
    <w:lvl w:ilvl="1">
      <w:lvlJc w:val="left"/>
      <w:lvlText w:val="(%2)"/>
      <w:numFmt w:val="lowerLetter"/>
      <w:start w:val="5"/>
    </w:lvl>
  </w:abstractNum>
  <w:abstractNum w:abstractNumId="33">
    <w:nsid w:val="2463B9EA"/>
    <w:multiLevelType w:val="hybridMultilevel"/>
    <w:lvl w:ilvl="0">
      <w:lvlJc w:val="left"/>
      <w:lvlText w:val="%1."/>
      <w:numFmt w:val="decimal"/>
      <w:start w:val="6"/>
    </w:lvl>
    <w:lvl w:ilvl="1">
      <w:lvlJc w:val="left"/>
      <w:lvlText w:val="%2"/>
      <w:numFmt w:val="lowerLetter"/>
      <w:start w:val="1"/>
    </w:lvl>
  </w:abstractNum>
  <w:abstractNum w:abstractNumId="34">
    <w:nsid w:val="5E884ADC"/>
    <w:multiLevelType w:val="hybridMultilevel"/>
    <w:lvl w:ilvl="0">
      <w:lvlJc w:val="left"/>
      <w:lvlText w:val="%1."/>
      <w:numFmt w:val="decimal"/>
      <w:start w:val="10"/>
    </w:lvl>
    <w:lvl w:ilvl="1">
      <w:lvlJc w:val="left"/>
      <w:lvlText w:val="(%2)"/>
      <w:numFmt w:val="lowerLetter"/>
      <w:start w:val="1"/>
    </w:lvl>
  </w:abstractNum>
  <w:abstractNum w:abstractNumId="35">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2D51779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
    <w:nsid w:val="580BD78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8">
    <w:nsid w:val="153EA438"/>
    <w:multiLevelType w:val="hybridMultilevel"/>
    <w:lvl w:ilvl="0">
      <w:lvlJc w:val="left"/>
      <w:lvlText w:val="%1."/>
      <w:numFmt w:val="decimal"/>
      <w:start w:val="1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2019-12-29T06:19:29Z</dcterms:created>
  <dcterms:modified xsi:type="dcterms:W3CDTF">2019-12-29T06:19:29Z</dcterms:modified>
</cp:coreProperties>
</file>