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25"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38"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09" w:lineRule="exact"/>
        <w:rPr>
          <w:sz w:val="24"/>
          <w:szCs w:val="24"/>
          <w:color w:val="auto"/>
        </w:rPr>
      </w:pPr>
    </w:p>
    <w:tbl>
      <w:tblPr>
        <w:tblLayout w:type="fixed"/>
        <w:tblInd w:w="292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80" w:type="dxa"/>
            <w:vAlign w:val="bottom"/>
            <w:tcBorders>
              <w:bottom w:val="single" w:sz="8" w:color="auto"/>
            </w:tcBorders>
          </w:tcPr>
          <w:p>
            <w:pPr>
              <w:spacing w:after="0"/>
              <w:rPr>
                <w:sz w:val="17"/>
                <w:szCs w:val="17"/>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TO</w:t>
            </w:r>
          </w:p>
        </w:tc>
        <w:tc>
          <w:tcPr>
            <w:tcW w:w="880" w:type="dxa"/>
            <w:vAlign w:val="bottom"/>
            <w:tcBorders>
              <w:bottom w:val="single" w:sz="8" w:color="auto"/>
            </w:tcBorders>
          </w:tcPr>
          <w:p>
            <w:pPr>
              <w:spacing w:after="0"/>
              <w:rPr>
                <w:sz w:val="17"/>
                <w:szCs w:val="17"/>
                <w:color w:val="auto"/>
              </w:rPr>
            </w:pPr>
          </w:p>
        </w:tc>
      </w:tr>
      <w:tr>
        <w:trPr>
          <w:trHeight w:val="374"/>
        </w:trPr>
        <w:tc>
          <w:tcPr>
            <w:tcW w:w="418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001-35647</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0"/>
        </w:trPr>
        <w:tc>
          <w:tcPr>
            <w:tcW w:w="5400" w:type="dxa"/>
            <w:vAlign w:val="bottom"/>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tc>
      </w:tr>
    </w:tbl>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LIFEVANTAGE CORPORATION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300" w:type="dxa"/>
            <w:vAlign w:val="bottom"/>
          </w:tcPr>
          <w:p>
            <w:pPr>
              <w:jc w:val="center"/>
              <w:ind w:left="2159"/>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561"/>
              <w:spacing w:after="0"/>
              <w:rPr>
                <w:sz w:val="20"/>
                <w:szCs w:val="20"/>
                <w:color w:val="auto"/>
              </w:rPr>
            </w:pPr>
            <w:r>
              <w:rPr>
                <w:rFonts w:ascii="Times New Roman" w:cs="Times New Roman" w:eastAsia="Times New Roman" w:hAnsi="Times New Roman"/>
                <w:sz w:val="18"/>
                <w:szCs w:val="18"/>
                <w:b w:val="1"/>
                <w:bCs w:val="1"/>
                <w:color w:val="auto"/>
                <w:w w:val="96"/>
              </w:rPr>
              <w:t>90-0224471</w:t>
            </w:r>
          </w:p>
        </w:tc>
      </w:tr>
      <w:tr>
        <w:trPr>
          <w:trHeight w:val="184"/>
        </w:trPr>
        <w:tc>
          <w:tcPr>
            <w:tcW w:w="7520" w:type="dxa"/>
            <w:vAlign w:val="bottom"/>
            <w:gridSpan w:val="5"/>
          </w:tcPr>
          <w:p>
            <w:pPr>
              <w:jc w:val="center"/>
              <w:ind w:right="19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80" w:type="dxa"/>
            <w:vAlign w:val="bottom"/>
          </w:tcPr>
          <w:p>
            <w:pPr>
              <w:jc w:val="center"/>
              <w:ind w:right="1581"/>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0"/>
        </w:trPr>
        <w:tc>
          <w:tcPr>
            <w:tcW w:w="7520" w:type="dxa"/>
            <w:vAlign w:val="bottom"/>
            <w:gridSpan w:val="5"/>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7"/>
              </w:rPr>
              <w:t>3300 N. Triumph Blvd, Suite 700</w:t>
            </w:r>
          </w:p>
        </w:tc>
        <w:tc>
          <w:tcPr>
            <w:tcW w:w="368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7"/>
              </w:rPr>
              <w:t>84043</w:t>
            </w:r>
          </w:p>
        </w:tc>
      </w:tr>
      <w:tr>
        <w:trPr>
          <w:trHeight w:val="223"/>
        </w:trPr>
        <w:tc>
          <w:tcPr>
            <w:tcW w:w="3300" w:type="dxa"/>
            <w:vAlign w:val="bottom"/>
          </w:tcPr>
          <w:p>
            <w:pPr>
              <w:jc w:val="center"/>
              <w:ind w:left="2139"/>
              <w:spacing w:after="0"/>
              <w:rPr>
                <w:sz w:val="20"/>
                <w:szCs w:val="20"/>
                <w:color w:val="auto"/>
              </w:rPr>
            </w:pPr>
            <w:r>
              <w:rPr>
                <w:rFonts w:ascii="Times New Roman" w:cs="Times New Roman" w:eastAsia="Times New Roman" w:hAnsi="Times New Roman"/>
                <w:sz w:val="18"/>
                <w:szCs w:val="18"/>
                <w:b w:val="1"/>
                <w:bCs w:val="1"/>
                <w:color w:val="auto"/>
                <w:w w:val="97"/>
              </w:rPr>
              <w:t>Lehi, Utah</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184"/>
        </w:trPr>
        <w:tc>
          <w:tcPr>
            <w:tcW w:w="7520" w:type="dxa"/>
            <w:vAlign w:val="bottom"/>
            <w:gridSpan w:val="5"/>
          </w:tcPr>
          <w:p>
            <w:pPr>
              <w:jc w:val="center"/>
              <w:ind w:right="2000"/>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3680" w:type="dxa"/>
            <w:vAlign w:val="bottom"/>
          </w:tcPr>
          <w:p>
            <w:pPr>
              <w:jc w:val="center"/>
              <w:ind w:right="1581"/>
              <w:spacing w:after="0"/>
              <w:rPr>
                <w:sz w:val="20"/>
                <w:szCs w:val="20"/>
                <w:color w:val="auto"/>
              </w:rPr>
            </w:pPr>
            <w:r>
              <w:rPr>
                <w:rFonts w:ascii="Times New Roman" w:cs="Times New Roman" w:eastAsia="Times New Roman" w:hAnsi="Times New Roman"/>
                <w:sz w:val="14"/>
                <w:szCs w:val="14"/>
                <w:color w:val="auto"/>
              </w:rPr>
              <w:t>(Zip Code.)</w:t>
            </w:r>
          </w:p>
        </w:tc>
      </w:tr>
      <w:tr>
        <w:trPr>
          <w:trHeight w:val="464"/>
        </w:trPr>
        <w:tc>
          <w:tcPr>
            <w:tcW w:w="3300" w:type="dxa"/>
            <w:vAlign w:val="bottom"/>
          </w:tcPr>
          <w:p>
            <w:pPr>
              <w:spacing w:after="0"/>
              <w:rPr>
                <w:sz w:val="24"/>
                <w:szCs w:val="24"/>
                <w:color w:val="auto"/>
              </w:rPr>
            </w:pPr>
          </w:p>
        </w:tc>
        <w:tc>
          <w:tcPr>
            <w:tcW w:w="4120" w:type="dxa"/>
            <w:vAlign w:val="bottom"/>
            <w:gridSpan w:val="3"/>
          </w:tcPr>
          <w:p>
            <w:pPr>
              <w:jc w:val="right"/>
              <w:ind w:right="1184"/>
              <w:spacing w:after="0"/>
              <w:rPr>
                <w:sz w:val="20"/>
                <w:szCs w:val="20"/>
                <w:color w:val="auto"/>
              </w:rPr>
            </w:pPr>
            <w:r>
              <w:rPr>
                <w:rFonts w:ascii="Times New Roman" w:cs="Times New Roman" w:eastAsia="Times New Roman" w:hAnsi="Times New Roman"/>
                <w:sz w:val="18"/>
                <w:szCs w:val="18"/>
                <w:b w:val="1"/>
                <w:bCs w:val="1"/>
                <w:color w:val="auto"/>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4"/>
        </w:trPr>
        <w:tc>
          <w:tcPr>
            <w:tcW w:w="3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80" w:type="dxa"/>
            <w:vAlign w:val="bottom"/>
          </w:tcPr>
          <w:p>
            <w:pPr>
              <w:spacing w:after="0"/>
              <w:rPr>
                <w:sz w:val="15"/>
                <w:szCs w:val="15"/>
                <w:color w:val="auto"/>
              </w:rPr>
            </w:pPr>
          </w:p>
        </w:tc>
      </w:tr>
      <w:tr>
        <w:trPr>
          <w:trHeight w:val="446"/>
        </w:trPr>
        <w:tc>
          <w:tcPr>
            <w:tcW w:w="3300" w:type="dxa"/>
            <w:vAlign w:val="bottom"/>
          </w:tcPr>
          <w:p>
            <w:pPr>
              <w:spacing w:after="0"/>
              <w:rPr>
                <w:sz w:val="24"/>
                <w:szCs w:val="24"/>
                <w:color w:val="auto"/>
              </w:rPr>
            </w:pPr>
          </w:p>
        </w:tc>
        <w:tc>
          <w:tcPr>
            <w:tcW w:w="7900" w:type="dxa"/>
            <w:vAlign w:val="bottom"/>
            <w:gridSpan w:val="5"/>
          </w:tcPr>
          <w:p>
            <w:pPr>
              <w:jc w:val="center"/>
              <w:ind w:right="3221"/>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252"/>
        </w:trPr>
        <w:tc>
          <w:tcPr>
            <w:tcW w:w="330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8"/>
              </w:rPr>
              <w:t>Common Stock, par value $0.0001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LFVN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Stock Market LLC</w:t>
            </w:r>
          </w:p>
        </w:tc>
      </w:tr>
      <w:tr>
        <w:trPr>
          <w:trHeight w:val="177"/>
        </w:trPr>
        <w:tc>
          <w:tcPr>
            <w:tcW w:w="330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4"/>
                <w:szCs w:val="14"/>
                <w:color w:val="auto"/>
              </w:rPr>
              <w:t>Title of each class</w:t>
            </w: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2"/>
        </w:trPr>
        <w:tc>
          <w:tcPr>
            <w:tcW w:w="3300" w:type="dxa"/>
            <w:vAlign w:val="bottom"/>
          </w:tcPr>
          <w:p>
            <w:pPr>
              <w:spacing w:after="0"/>
              <w:rPr>
                <w:sz w:val="20"/>
                <w:szCs w:val="20"/>
                <w:color w:val="auto"/>
              </w:rPr>
            </w:pPr>
          </w:p>
        </w:tc>
        <w:tc>
          <w:tcPr>
            <w:tcW w:w="7900" w:type="dxa"/>
            <w:vAlign w:val="bottom"/>
            <w:gridSpan w:val="5"/>
          </w:tcPr>
          <w:p>
            <w:pPr>
              <w:jc w:val="right"/>
              <w:ind w:right="3401"/>
              <w:spacing w:after="0"/>
              <w:rPr>
                <w:sz w:val="20"/>
                <w:szCs w:val="20"/>
                <w:color w:val="auto"/>
              </w:rPr>
            </w:pPr>
            <w:r>
              <w:rPr>
                <w:rFonts w:ascii="Times New Roman" w:cs="Times New Roman" w:eastAsia="Times New Roman" w:hAnsi="Times New Roman"/>
                <w:sz w:val="11"/>
                <w:szCs w:val="11"/>
                <w:b w:val="1"/>
                <w:bCs w:val="1"/>
                <w:color w:val="auto"/>
                <w:w w:val="99"/>
              </w:rPr>
              <w:t>________________________________________________________________________________</w:t>
            </w:r>
          </w:p>
        </w:tc>
      </w:tr>
    </w:tbl>
    <w:p>
      <w:pPr>
        <w:spacing w:after="0" w:line="145"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6"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60" w:type="dxa"/>
            <w:vAlign w:val="bottom"/>
          </w:tcPr>
          <w:p>
            <w:pPr>
              <w:ind w:left="166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60" w:type="dxa"/>
            <w:vAlign w:val="bottom"/>
          </w:tcPr>
          <w:p>
            <w:pPr>
              <w:ind w:left="166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6"/>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96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44"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7" w:lineRule="exact"/>
        <w:rPr>
          <w:sz w:val="24"/>
          <w:szCs w:val="24"/>
          <w:color w:val="auto"/>
        </w:rPr>
      </w:pPr>
    </w:p>
    <w:p>
      <w:pPr>
        <w:ind w:right="2260"/>
        <w:spacing w:after="0" w:line="3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issuer’s common stock, par value $0.0001 per share, as of February 3, 2026 was 12,793,359.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543560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9" w:lineRule="exact"/>
        <w:rPr>
          <w:sz w:val="20"/>
          <w:szCs w:val="20"/>
          <w:color w:val="auto"/>
        </w:rPr>
      </w:pPr>
    </w:p>
    <w:p>
      <w:pPr>
        <w:ind w:right="60" w:firstLine="397"/>
        <w:spacing w:after="0" w:line="264" w:lineRule="auto"/>
        <w:rPr>
          <w:sz w:val="20"/>
          <w:szCs w:val="20"/>
          <w:color w:val="auto"/>
        </w:rPr>
      </w:pPr>
      <w:r>
        <w:rPr>
          <w:rFonts w:ascii="Times New Roman" w:cs="Times New Roman" w:eastAsia="Times New Roman" w:hAnsi="Times New Roman"/>
          <w:sz w:val="17"/>
          <w:szCs w:val="17"/>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14"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37" w:lineRule="exact"/>
        <w:rPr>
          <w:sz w:val="20"/>
          <w:szCs w:val="20"/>
          <w:color w:val="auto"/>
        </w:rPr>
      </w:pPr>
    </w:p>
    <w:p>
      <w:pPr>
        <w:ind w:left="640" w:right="160" w:hanging="317"/>
        <w:spacing w:after="0" w:line="270"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manage, motivate and retain our independent consultants (which we previously referred to as “distributors” in our prior filings) or to attract new customers and independent consultants on an ongoing basis;</w:t>
      </w:r>
    </w:p>
    <w:p>
      <w:pPr>
        <w:spacing w:after="0" w:line="10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consultants with applicable legal requirements or our policies and procedures;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independent consultant compensation plans;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pricing of high quality materials for our products;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being subject to a product recall;</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and personal care markets;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being held responsible for certain taxes or assessments and other obligations relating to the activity of our independent consultants;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Global Not For Resale program;</w:t>
      </w:r>
    </w:p>
    <w:p>
      <w:pPr>
        <w:spacing w:after="0" w:line="149" w:lineRule="exact"/>
        <w:rPr>
          <w:rFonts w:ascii="Times New Roman" w:cs="Times New Roman" w:eastAsia="Times New Roman" w:hAnsi="Times New Roman"/>
          <w:sz w:val="18"/>
          <w:szCs w:val="18"/>
          <w:color w:val="auto"/>
        </w:rPr>
      </w:pPr>
    </w:p>
    <w:p>
      <w:pPr>
        <w:ind w:left="640" w:right="340" w:hanging="317"/>
        <w:spacing w:after="0" w:line="270"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evolving laws, regulations, standards, policies, and contractual obligations related to data privacy and security, including cybersecurity;</w:t>
      </w:r>
    </w:p>
    <w:p>
      <w:pPr>
        <w:spacing w:after="0" w:line="10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and technological innovations to gain customer or independent consultant or market acceptance;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 w:name="page3"/>
    <w:bookmarkEnd w:id="2"/>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(“IT”) systems, including as a result of cybersecurity incidents;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comply with financial covenants imposed by our credit facility and the impact of debt service obligations and restrictive debt covenants;</w:t>
      </w:r>
    </w:p>
    <w:p>
      <w:pPr>
        <w:spacing w:after="0" w:line="148" w:lineRule="exact"/>
        <w:rPr>
          <w:rFonts w:ascii="Times New Roman" w:cs="Times New Roman" w:eastAsia="Times New Roman" w:hAnsi="Times New Roman"/>
          <w:sz w:val="17"/>
          <w:szCs w:val="17"/>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and foreign currency exchange fluctuations;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or complete desired acquisitions;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our direct selling program being found non-compliant with current or newly adopted laws or regulations in various markets;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prohibiting or severely restricting direct selling;</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regulatory and business risks, including failure to comply with anti-corruption laws;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our intellectual property rights;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intellectual property infringement claims;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substantial sales of shares negatively impacting the market price of our common stock;</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share repurchase program enhancing long-term stockholder value;</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additional shares issued diluting voting power of current outstanding common stock or causing decline in stock price;</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being a smaller reporting company;</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for disputes, mergers, tender offers, or proxy contests under Delaware law;</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Expensive and time consuming legal proceedings;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internal controls over financial reporting;</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tax positions or transfer pricing policies or change in laws;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 including consumer discretionary spending habits;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class action litigation; and</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industry analysts ceasing coverage or publishing inaccurate or unfavorable research.</w:t>
      </w:r>
    </w:p>
    <w:p>
      <w:pPr>
        <w:spacing w:after="0" w:line="150" w:lineRule="exact"/>
        <w:rPr>
          <w:sz w:val="20"/>
          <w:szCs w:val="20"/>
          <w:color w:val="auto"/>
        </w:rPr>
      </w:pPr>
    </w:p>
    <w:p>
      <w:pPr>
        <w:ind w:firstLine="397"/>
        <w:spacing w:after="0" w:line="258"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440" w:type="dxa"/>
            <w:vAlign w:val="bottom"/>
            <w:gridSpan w:val="7"/>
            <w:vMerge w:val="restart"/>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7760" w:type="dxa"/>
            <w:vAlign w:val="bottom"/>
            <w:gridSpan w:val="13"/>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40" w:type="dxa"/>
            <w:vAlign w:val="bottom"/>
            <w:gridSpan w:val="7"/>
            <w:vMerge w:val="continue"/>
          </w:tcPr>
          <w:p>
            <w:pPr>
              <w:spacing w:after="0"/>
              <w:rPr>
                <w:sz w:val="14"/>
                <w:szCs w:val="14"/>
                <w:color w:val="auto"/>
              </w:rPr>
            </w:pPr>
          </w:p>
        </w:tc>
        <w:tc>
          <w:tcPr>
            <w:tcW w:w="7760" w:type="dxa"/>
            <w:vAlign w:val="bottom"/>
            <w:gridSpan w:val="13"/>
            <w:vMerge w:val="continue"/>
          </w:tcPr>
          <w:p>
            <w:pPr>
              <w:spacing w:after="0"/>
              <w:rPr>
                <w:sz w:val="14"/>
                <w:szCs w:val="14"/>
                <w:color w:val="auto"/>
              </w:rPr>
            </w:pPr>
          </w:p>
        </w:tc>
        <w:tc>
          <w:tcPr>
            <w:tcW w:w="1000" w:type="dxa"/>
            <w:vAlign w:val="bottom"/>
            <w:gridSpan w:val="4"/>
          </w:tcPr>
          <w:p>
            <w:pPr>
              <w:jc w:val="right"/>
              <w:ind w:right="20"/>
              <w:spacing w:after="0" w:line="152"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6"/>
        </w:trPr>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520" w:type="dxa"/>
            <w:vAlign w:val="bottom"/>
            <w:gridSpan w:val="11"/>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960" w:type="dxa"/>
            <w:vAlign w:val="bottom"/>
            <w:gridSpan w:val="3"/>
          </w:tcPr>
          <w:p>
            <w:pPr>
              <w:spacing w:after="0"/>
              <w:rPr>
                <w:sz w:val="17"/>
                <w:szCs w:val="17"/>
                <w:color w:val="auto"/>
              </w:rPr>
            </w:pP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2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7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top w:val="single" w:sz="8" w:color="0000FF"/>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40" w:type="dxa"/>
            <w:vAlign w:val="bottom"/>
            <w:tcBorders>
              <w:top w:val="single" w:sz="8" w:color="0000FF"/>
            </w:tcBorders>
            <w:gridSpan w:val="4"/>
          </w:tcPr>
          <w:p>
            <w:pPr>
              <w:spacing w:after="0"/>
              <w:rPr>
                <w:sz w:val="17"/>
                <w:szCs w:val="17"/>
                <w:color w:val="auto"/>
              </w:rPr>
            </w:pPr>
          </w:p>
        </w:tc>
        <w:tc>
          <w:tcPr>
            <w:tcW w:w="27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10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774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Risk Factors</w:t>
            </w:r>
          </w:p>
        </w:tc>
        <w:tc>
          <w:tcPr>
            <w:tcW w:w="816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4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78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6780" w:type="dxa"/>
            <w:vAlign w:val="bottom"/>
            <w:tcBorders>
              <w:bottom w:val="single" w:sz="8" w:color="0000FF"/>
            </w:tcBorders>
            <w:gridSpan w:val="9"/>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776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4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4"/>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20,201</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receivable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6,095</w:t>
            </w:r>
          </w:p>
        </w:tc>
        <w:tc>
          <w:tcPr>
            <w:tcW w:w="0" w:type="dxa"/>
            <w:vAlign w:val="bottom"/>
          </w:tcPr>
          <w:p>
            <w:pPr>
              <w:spacing w:after="0"/>
              <w:rPr>
                <w:sz w:val="1"/>
                <w:szCs w:val="1"/>
                <w:color w:val="auto"/>
              </w:rPr>
            </w:pPr>
          </w:p>
        </w:tc>
      </w:tr>
      <w:tr>
        <w:trPr>
          <w:trHeight w:val="214"/>
        </w:trPr>
        <w:tc>
          <w:tcPr>
            <w:tcW w:w="7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50,894</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8,041</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 asset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61,169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71,958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Commissions payable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w:t>
            </w:r>
          </w:p>
        </w:tc>
        <w:tc>
          <w:tcPr>
            <w:tcW w:w="0" w:type="dxa"/>
            <w:vAlign w:val="bottom"/>
          </w:tcPr>
          <w:p>
            <w:pPr>
              <w:spacing w:after="0"/>
              <w:rPr>
                <w:sz w:val="1"/>
                <w:szCs w:val="1"/>
                <w:color w:val="auto"/>
              </w:rPr>
            </w:pPr>
          </w:p>
        </w:tc>
      </w:tr>
      <w:tr>
        <w:trPr>
          <w:trHeight w:val="214"/>
        </w:trPr>
        <w:tc>
          <w:tcPr>
            <w:tcW w:w="7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27,217</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873" w:right="35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Long-term lease liabilities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Total liabilities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Commitments and contingencies -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Stockholders’ equity</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Preferred stock — par value $0.0001 per share, 5,000 shares authorized,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color w:val="auto"/>
        </w:rPr>
        <w:t>Common stock — par value $0.0001 per share, 40,000 shares authorized and 12,787 and 12,429 issued and</w:t>
      </w:r>
    </w:p>
    <w:p>
      <w:pPr>
        <w:ind w:left="360"/>
        <w:spacing w:after="0"/>
        <w:rPr>
          <w:sz w:val="20"/>
          <w:szCs w:val="20"/>
          <w:color w:val="auto"/>
        </w:rPr>
      </w:pPr>
      <w:r>
        <w:rPr>
          <w:rFonts w:ascii="Times New Roman" w:cs="Times New Roman" w:eastAsia="Times New Roman" w:hAnsi="Times New Roman"/>
          <w:sz w:val="17"/>
          <w:szCs w:val="17"/>
          <w:color w:val="auto"/>
        </w:rPr>
        <w:t>outstanding as of December 31, 2025 and June 30, 2025, respectively</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Accumulated deficit</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118350" cy="167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0" cy="167640"/>
                    </a:xfrm>
                    <a:prstGeom prst="rect">
                      <a:avLst/>
                    </a:prstGeom>
                    <a:noFill/>
                  </pic:spPr>
                </pic:pic>
              </a:graphicData>
            </a:graphic>
          </wp:anchor>
        </w:drawing>
      </w:r>
    </w:p>
    <w:p>
      <w:pPr>
        <w:spacing w:after="0" w:line="36" w:lineRule="exact"/>
        <w:rPr>
          <w:sz w:val="20"/>
          <w:szCs w:val="20"/>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17"/>
          <w:szCs w:val="17"/>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8,800</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9,811</w:t>
            </w:r>
          </w:p>
        </w:tc>
      </w:tr>
      <w:tr>
        <w:trPr>
          <w:trHeight w:val="226"/>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369</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21"/>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28,182</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37,317</w:t>
            </w:r>
          </w:p>
        </w:tc>
      </w:tr>
      <w:tr>
        <w:trPr>
          <w:trHeight w:val="642"/>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4"/>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04"/>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138,041</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139,962</w:t>
            </w:r>
          </w:p>
        </w:tc>
      </w:tr>
      <w:tr>
        <w:trPr>
          <w:trHeight w:val="225"/>
        </w:trPr>
        <w:tc>
          <w:tcPr>
            <w:tcW w:w="8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6"/>
              </w:rPr>
              <w:t>(103,441)</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(104,147)</w:t>
            </w:r>
          </w:p>
        </w:tc>
      </w:tr>
      <w:tr>
        <w:trPr>
          <w:trHeight w:val="234"/>
        </w:trPr>
        <w:tc>
          <w:tcPr>
            <w:tcW w:w="8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(1,614)</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18"/>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32,987</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34,641</w:t>
            </w:r>
          </w:p>
        </w:tc>
      </w:tr>
      <w:tr>
        <w:trPr>
          <w:trHeight w:val="221"/>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61,169</w:t>
            </w:r>
          </w:p>
        </w:tc>
        <w:tc>
          <w:tcPr>
            <w:tcW w:w="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71,958</w:t>
            </w:r>
          </w:p>
        </w:tc>
      </w:tr>
      <w:tr>
        <w:trPr>
          <w:trHeight w:val="23"/>
        </w:trPr>
        <w:tc>
          <w:tcPr>
            <w:tcW w:w="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-7620</wp:posOffset>
            </wp:positionV>
            <wp:extent cx="1116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-335280</wp:posOffset>
            </wp:positionV>
            <wp:extent cx="1116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-1585595</wp:posOffset>
            </wp:positionV>
            <wp:extent cx="1116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40"/>
          </w:cols>
          <w:pgMar w:left="320" w:top="873" w:right="359" w:bottom="1440" w:gutter="0" w:footer="0" w:header="0"/>
          <w:type w:val="continuous"/>
        </w:sectPr>
      </w:pP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type w:val="continuous"/>
        </w:sectPr>
      </w:pPr>
    </w:p>
    <w:bookmarkStart w:id="5" w:name="page6"/>
    <w:bookmarkEnd w:id="5"/>
    <w:p>
      <w:pPr>
        <w:jc w:val="center"/>
        <w:spacing w:after="0" w:line="264"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STATEMENTS OF OPERATIONS AND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4"/>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48,931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114,976</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36,209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92,290</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35,722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86,292</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5"/>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71" w:right="359" w:bottom="1440" w:gutter="0" w:footer="0" w:header="0"/>
        </w:sectPr>
      </w:pPr>
    </w:p>
    <w:bookmarkStart w:id="6" w:name="page7"/>
    <w:bookmarkEnd w:id="6"/>
    <w:p>
      <w:pPr>
        <w:jc w:val="center"/>
        <w:ind w:right="20"/>
        <w:spacing w:after="0" w:line="264"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2160" w:type="dxa"/>
            <w:vAlign w:val="bottom"/>
            <w:gridSpan w:val="3"/>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9"/>
                <w:szCs w:val="9"/>
                <w:color w:val="auto"/>
              </w:rPr>
            </w:pPr>
          </w:p>
        </w:tc>
        <w:tc>
          <w:tcPr>
            <w:tcW w:w="114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34,641</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employee stock</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33,157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32,987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75" w:right="359" w:bottom="1440" w:gutter="0" w:footer="0" w:header="0"/>
        </w:sectPr>
      </w:pPr>
    </w:p>
    <w:bookmarkStart w:id="7" w:name="page8"/>
    <w:bookmarkEnd w:id="7"/>
    <w:p>
      <w:pPr>
        <w:jc w:val="center"/>
        <w:ind w:right="20"/>
        <w:spacing w:after="0" w:line="264"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(CONTINUED)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2160" w:type="dxa"/>
            <w:vAlign w:val="bottom"/>
            <w:gridSpan w:val="3"/>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9"/>
                <w:szCs w:val="9"/>
                <w:color w:val="auto"/>
              </w:rPr>
            </w:pPr>
          </w:p>
        </w:tc>
        <w:tc>
          <w:tcPr>
            <w:tcW w:w="114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25,991</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employee stock</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27,697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33"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8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6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5"/>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r>
      <w:tr>
        <w:trPr>
          <w:trHeight w:val="174"/>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Pr>
          <w:p>
            <w:pPr>
              <w:spacing w:after="0"/>
              <w:rPr>
                <w:sz w:val="19"/>
                <w:szCs w:val="19"/>
                <w:color w:val="auto"/>
              </w:rPr>
            </w:pP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Allowance for inventory obsolescence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earnout consideration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receivable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long-term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payable</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accrued expenses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8,616</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business combination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of revolving credit facility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canceled or surrendered as payment of tax withholding and other</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purchase plan</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(3,228)</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4,709</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r>
      <w:tr>
        <w:trPr>
          <w:trHeight w:val="192"/>
        </w:trPr>
        <w:tc>
          <w:tcPr>
            <w:tcW w:w="75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80" w:type="dxa"/>
            <w:vAlign w:val="bottom"/>
            <w:tcBorders>
              <w:bottom w:val="single" w:sz="8" w:color="auto"/>
            </w:tcBorders>
          </w:tcPr>
          <w:p>
            <w:pPr>
              <w:jc w:val="right"/>
              <w:ind w:right="878"/>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10,181</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915"/>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21,595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7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1033"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033" w:right="1440"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2" w:lineRule="exact"/>
        <w:rPr>
          <w:sz w:val="20"/>
          <w:szCs w:val="20"/>
          <w:color w:val="auto"/>
        </w:rPr>
      </w:pPr>
    </w:p>
    <w:p>
      <w:pPr>
        <w:jc w:val="both"/>
        <w:ind w:right="80" w:firstLine="397"/>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should be read in conjunction with the audited financial statements and notes of LifeVantage Corporation (“LifeVantage” or the “Company”) as of and for the year ended June 30, 2025 included in the annual report on Form 10-K filed with the Securities and Exchange Commission (“SEC”) on September 4,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52" w:lineRule="exact"/>
        <w:rPr>
          <w:sz w:val="20"/>
          <w:szCs w:val="20"/>
          <w:color w:val="auto"/>
        </w:rPr>
      </w:pPr>
    </w:p>
    <w:p>
      <w:pPr>
        <w:ind w:firstLine="397"/>
        <w:spacing w:after="0" w:line="250" w:lineRule="auto"/>
        <w:rPr>
          <w:sz w:val="20"/>
          <w:szCs w:val="20"/>
          <w:color w:val="auto"/>
        </w:rPr>
      </w:pPr>
      <w:r>
        <w:rPr>
          <w:rFonts w:ascii="Times New Roman" w:cs="Times New Roman" w:eastAsia="Times New Roman" w:hAnsi="Times New Roman"/>
          <w:sz w:val="18"/>
          <w:szCs w:val="18"/>
          <w:color w:val="auto"/>
        </w:rPr>
        <w:t>LifeVantage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Iceland. The Company also sells its products in a number of countries to consumers for personal consumption only.</w:t>
      </w:r>
    </w:p>
    <w:p>
      <w:pPr>
        <w:spacing w:after="0" w:line="121" w:lineRule="exact"/>
        <w:rPr>
          <w:sz w:val="20"/>
          <w:szCs w:val="20"/>
          <w:color w:val="auto"/>
        </w:rPr>
      </w:pPr>
    </w:p>
    <w:p>
      <w:pPr>
        <w:ind w:right="280" w:firstLine="397"/>
        <w:spacing w:after="0" w:line="214" w:lineRule="auto"/>
        <w:rPr>
          <w:sz w:val="20"/>
          <w:szCs w:val="20"/>
          <w:color w:val="auto"/>
        </w:rPr>
      </w:pPr>
      <w:r>
        <w:rPr>
          <w:rFonts w:ascii="Times New Roman" w:cs="Times New Roman" w:eastAsia="Times New Roman" w:hAnsi="Times New Roman"/>
          <w:sz w:val="18"/>
          <w:szCs w:val="18"/>
          <w:color w:val="auto"/>
        </w:rPr>
        <w:t>The Company engages in the identification, research, development, formulation and sale of advanced nutrigenomic activators, dietary supplements, weight management products, pre- and pro-biotics, skin and hair care products and nootropics. The Company’s line of scientifically validated dietary supplements includes its flagship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family of products, its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dietary supplements that include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Omega+, ProBio,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Rise AM &amp; Reset PM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D3+, and Daily Wellness, and PhysIQ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 Burn and Prebiotic dietary supplements.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is the Company’s line of skin and hair care products and Liquid Collagen. The Company also markets and sells 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its companion pet supplement formulated to combat oxidative stress in dogs; 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its nootropic energy drink mixes;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 a dietary supplement acquired pursuant to the purchase of LoveBiome’s critical assets formulated to support gut health.</w:t>
      </w:r>
    </w:p>
    <w:p>
      <w:pPr>
        <w:spacing w:after="0" w:line="116" w:lineRule="exact"/>
        <w:rPr>
          <w:sz w:val="20"/>
          <w:szCs w:val="20"/>
          <w:color w:val="auto"/>
        </w:rPr>
      </w:pPr>
    </w:p>
    <w:p>
      <w:pPr>
        <w:ind w:right="20" w:firstLine="397"/>
        <w:spacing w:after="0" w:line="251"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2025, and the results of operations for the three and six months ended December 31, 2025 and 2024, and the cash flows for the six months ended December 31, 2025 and 2024. Interim results are not necessarily indicative of results for a full year or for any future period.</w:t>
      </w:r>
    </w:p>
    <w:p>
      <w:pPr>
        <w:spacing w:after="0" w:line="121" w:lineRule="exact"/>
        <w:rPr>
          <w:sz w:val="20"/>
          <w:szCs w:val="20"/>
          <w:color w:val="auto"/>
        </w:rPr>
      </w:pPr>
    </w:p>
    <w:p>
      <w:pPr>
        <w:ind w:right="120" w:firstLine="397"/>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2025, pursuant to the rules and regulations of the SEC. For further information, refer to the financial statements and notes thereto as of and for the year ended June 30, 2025, and included in the annual report on Form 10-K on file with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52" w:lineRule="exact"/>
        <w:rPr>
          <w:sz w:val="20"/>
          <w:szCs w:val="20"/>
          <w:color w:val="auto"/>
        </w:rPr>
      </w:pPr>
    </w:p>
    <w:p>
      <w:pPr>
        <w:ind w:right="180" w:firstLine="397"/>
        <w:spacing w:after="0" w:line="27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9" w:lineRule="exact"/>
        <w:rPr>
          <w:sz w:val="20"/>
          <w:szCs w:val="20"/>
          <w:color w:val="auto"/>
        </w:rPr>
      </w:pPr>
    </w:p>
    <w:p>
      <w:pPr>
        <w:ind w:right="180" w:firstLine="397"/>
        <w:spacing w:after="0" w:line="267" w:lineRule="auto"/>
        <w:rPr>
          <w:sz w:val="20"/>
          <w:szCs w:val="20"/>
          <w:color w:val="auto"/>
        </w:rPr>
      </w:pPr>
      <w:r>
        <w:rPr>
          <w:rFonts w:ascii="Times New Roman" w:cs="Times New Roman" w:eastAsia="Times New Roman" w:hAnsi="Times New Roman"/>
          <w:sz w:val="17"/>
          <w:szCs w:val="17"/>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52" w:lineRule="exact"/>
        <w:rPr>
          <w:sz w:val="20"/>
          <w:szCs w:val="20"/>
          <w:color w:val="auto"/>
        </w:rPr>
      </w:pPr>
    </w:p>
    <w:p>
      <w:pPr>
        <w:ind w:right="140" w:firstLine="397"/>
        <w:spacing w:after="0" w:line="270" w:lineRule="auto"/>
        <w:rPr>
          <w:sz w:val="20"/>
          <w:szCs w:val="20"/>
          <w:color w:val="auto"/>
        </w:rPr>
      </w:pPr>
      <w:r>
        <w:rPr>
          <w:rFonts w:ascii="Times New Roman" w:cs="Times New Roman" w:eastAsia="Times New Roman" w:hAnsi="Times New Roman"/>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p>
      <w:pPr>
        <w:spacing w:after="0" w:line="250" w:lineRule="auto"/>
        <w:rPr>
          <w:sz w:val="20"/>
          <w:szCs w:val="20"/>
          <w:color w:val="auto"/>
        </w:rPr>
      </w:pPr>
      <w:r>
        <w:rPr>
          <w:rFonts w:ascii="Times New Roman" w:cs="Times New Roman" w:eastAsia="Times New Roman" w:hAnsi="Times New Roman"/>
          <w:sz w:val="18"/>
          <w:szCs w:val="18"/>
          <w:color w:val="auto"/>
        </w:rPr>
        <w:t>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December 31, 2025 and 2024, net foreign currency losses of approximately $32,000 and $0.5 million, respectively, are recorded in other expense, net. For the six months ended December 31, 2025 and 2024, net foreign currency losses of approximately $0.2 million and $0.5 million, respectively, are recorded in other expense,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as cash equivalents.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9" w:lineRule="exact"/>
        <w:rPr>
          <w:sz w:val="20"/>
          <w:szCs w:val="20"/>
          <w:color w:val="auto"/>
        </w:rPr>
      </w:pPr>
    </w:p>
    <w:p>
      <w:pPr>
        <w:ind w:right="120" w:firstLine="397"/>
        <w:spacing w:after="0" w:line="251"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2025, the Company had $7.8 million in cash accounts at one financial institution and $2.4 million in accounts at other financial institutions. At June 30, 2025, the Company had $17.0 million in cash accounts at one financial institution and $3.2 million in accounts at other financial institutions. As of December 31, 2025 and June 30, 2025, and during the periods then ended, the Company’s cash balances exceeded federally insured limits.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52" w:lineRule="exact"/>
        <w:rPr>
          <w:sz w:val="20"/>
          <w:szCs w:val="20"/>
          <w:color w:val="auto"/>
        </w:rPr>
      </w:pPr>
    </w:p>
    <w:p>
      <w:pPr>
        <w:ind w:right="120" w:firstLine="397"/>
        <w:spacing w:after="0" w:line="253" w:lineRule="auto"/>
        <w:rPr>
          <w:sz w:val="20"/>
          <w:szCs w:val="20"/>
          <w:color w:val="auto"/>
        </w:rPr>
      </w:pPr>
      <w:r>
        <w:rPr>
          <w:rFonts w:ascii="Times New Roman" w:cs="Times New Roman" w:eastAsia="Times New Roman" w:hAnsi="Times New Roman"/>
          <w:sz w:val="18"/>
          <w:szCs w:val="18"/>
          <w:color w:val="auto"/>
        </w:rPr>
        <w:t>The Company’s accounts receivable as of December 31, 2025 and June 30, 2025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2025 and June 30, 2025 is not necessary. No bad debt expense was recorded during the three and six months ended December 31, 2025 and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2025 and June 30, 2025, inventory consisted of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920" w:type="dxa"/>
            <w:vAlign w:val="bottom"/>
          </w:tcPr>
          <w:p>
            <w:pPr>
              <w:spacing w:after="0"/>
              <w:rPr>
                <w:sz w:val="17"/>
                <w:szCs w:val="17"/>
                <w:color w:val="auto"/>
              </w:rPr>
            </w:pPr>
          </w:p>
        </w:tc>
      </w:tr>
      <w:tr>
        <w:trPr>
          <w:trHeight w:val="234"/>
        </w:trPr>
        <w:tc>
          <w:tcPr>
            <w:tcW w:w="50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43"/>
        </w:trPr>
        <w:tc>
          <w:tcPr>
            <w:tcW w:w="5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inventory</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0" w:firstLine="397"/>
        <w:spacing w:after="0" w:line="270"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using the first-in, first-out method, which includes a reduction in inventory values of $2.9 million and $0.5 million at December 31, 2025 and June 30, 2025, respectively, related to obsolete and slow-moving inventory.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52" w:lineRule="exact"/>
        <w:rPr>
          <w:sz w:val="20"/>
          <w:szCs w:val="20"/>
          <w:color w:val="auto"/>
        </w:rPr>
      </w:pPr>
    </w:p>
    <w:p>
      <w:pPr>
        <w:ind w:right="160" w:firstLine="397"/>
        <w:spacing w:after="0" w:line="253" w:lineRule="auto"/>
        <w:rPr>
          <w:sz w:val="20"/>
          <w:szCs w:val="20"/>
          <w:color w:val="auto"/>
        </w:rPr>
      </w:pPr>
      <w:r>
        <w:rPr>
          <w:rFonts w:ascii="Times New Roman" w:cs="Times New Roman" w:eastAsia="Times New Roman" w:hAnsi="Times New Roman"/>
          <w:sz w:val="18"/>
          <w:szCs w:val="18"/>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105" w:lineRule="exact"/>
        <w:rPr>
          <w:sz w:val="20"/>
          <w:szCs w:val="20"/>
          <w:color w:val="auto"/>
        </w:rPr>
      </w:pPr>
    </w:p>
    <w:p>
      <w:pPr>
        <w:ind w:left="640" w:hanging="2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49" w:lineRule="exact"/>
        <w:rPr>
          <w:rFonts w:ascii="Times New Roman" w:cs="Times New Roman" w:eastAsia="Times New Roman" w:hAnsi="Times New Roman"/>
          <w:sz w:val="18"/>
          <w:szCs w:val="18"/>
          <w:color w:val="auto"/>
        </w:rPr>
      </w:pPr>
    </w:p>
    <w:p>
      <w:pPr>
        <w:ind w:left="640" w:right="60" w:hanging="238"/>
        <w:spacing w:after="0" w:line="270"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02"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37" w:lineRule="exact"/>
        <w:rPr>
          <w:sz w:val="20"/>
          <w:szCs w:val="20"/>
          <w:color w:val="auto"/>
        </w:rPr>
      </w:pPr>
    </w:p>
    <w:p>
      <w:pPr>
        <w:ind w:right="260" w:firstLine="397"/>
        <w:spacing w:after="0" w:line="270" w:lineRule="auto"/>
        <w:rPr>
          <w:sz w:val="20"/>
          <w:szCs w:val="20"/>
          <w:color w:val="auto"/>
        </w:rPr>
      </w:pPr>
      <w:r>
        <w:rPr>
          <w:rFonts w:ascii="Times New Roman" w:cs="Times New Roman" w:eastAsia="Times New Roman" w:hAnsi="Times New Roman"/>
          <w:sz w:val="18"/>
          <w:szCs w:val="18"/>
          <w:color w:val="auto"/>
        </w:rPr>
        <w:t>Our financial instruments, consisting primarily of cash and cash equivalents, accounts receivable, and accounts payable, approximate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9" w:lineRule="exact"/>
        <w:rPr>
          <w:sz w:val="20"/>
          <w:szCs w:val="20"/>
          <w:color w:val="auto"/>
        </w:rPr>
      </w:pPr>
    </w:p>
    <w:p>
      <w:pPr>
        <w:ind w:right="40" w:firstLine="397"/>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spacing w:after="0" w:line="109" w:lineRule="exact"/>
        <w:rPr>
          <w:sz w:val="20"/>
          <w:szCs w:val="20"/>
          <w:color w:val="auto"/>
        </w:rPr>
      </w:pPr>
    </w:p>
    <w:p>
      <w:pPr>
        <w:ind w:right="40" w:firstLine="397"/>
        <w:spacing w:after="0" w:line="222" w:lineRule="auto"/>
        <w:rPr>
          <w:sz w:val="20"/>
          <w:szCs w:val="20"/>
          <w:color w:val="auto"/>
        </w:rPr>
      </w:pPr>
      <w:r>
        <w:rPr>
          <w:rFonts w:ascii="Times New Roman" w:cs="Times New Roman" w:eastAsia="Times New Roman" w:hAnsi="Times New Roman"/>
          <w:sz w:val="18"/>
          <w:szCs w:val="18"/>
          <w:color w:val="auto"/>
        </w:rPr>
        <w:t>The Company generates the majority of its revenue through product sales to customers. These products include the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dietary supplements, the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dietary supplements that include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Omega+, ProBio,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Rise AM &amp; Reset PM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D3+, and Daily Wellness, PhysIQ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 Burn and Prebiotic dietary supplements,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skin and hair care products and Liquid Collagen, 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its companion pet supplement formulated to combat oxidative stress in dogs, 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nootropic energy drink mixes,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 a dietary supplement acquired pursuant to the purchase of LoveBiome’s critical assets formulated to support gut health.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3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Contract liabilities, recorded as deferred revenue, include loyalty program credit deferrals with certain customers which are accounted for as a reduction in the transaction price and are generally recognized as credits which are redeemed for additional products at a later date. The Company also records deferred revenue when cash payments are received or due in advance of performance, including amounts that are refundable. In addition,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107" w:lineRule="exact"/>
        <w:rPr>
          <w:sz w:val="20"/>
          <w:szCs w:val="20"/>
          <w:color w:val="auto"/>
        </w:rPr>
      </w:pPr>
    </w:p>
    <w:p>
      <w:pPr>
        <w:ind w:right="180" w:firstLine="397"/>
        <w:spacing w:after="0" w:line="253" w:lineRule="auto"/>
        <w:rPr>
          <w:sz w:val="20"/>
          <w:szCs w:val="20"/>
          <w:color w:val="auto"/>
        </w:rPr>
      </w:pPr>
      <w:r>
        <w:rPr>
          <w:rFonts w:ascii="Times New Roman" w:cs="Times New Roman" w:eastAsia="Times New Roman" w:hAnsi="Times New Roman"/>
          <w:sz w:val="18"/>
          <w:szCs w:val="18"/>
          <w:color w:val="auto"/>
        </w:rPr>
        <w:t>Deferred revenue is included in accrued expenses in the consolidated balance sheets. The balance of deferred revenue related to contract liabilities was $0.7 million and $0.7 million as of December 31, 2025 and June 30, 2025, respectively. The contract liabilities impact to revenue for the three months ended December 31, 2025 and 2024 was an increase of $33,000 and a decrease of $0.3 million, respectively. The contract liabilities impact to revenue for the six months ended December 31, 2025 and 2024 was an increase of $24,000 and a decrease of $0.5 million, respectively.</w:t>
      </w:r>
    </w:p>
    <w:p>
      <w:pPr>
        <w:spacing w:after="0" w:line="119" w:lineRule="exact"/>
        <w:rPr>
          <w:sz w:val="20"/>
          <w:szCs w:val="20"/>
          <w:color w:val="auto"/>
        </w:rPr>
      </w:pPr>
    </w:p>
    <w:p>
      <w:pPr>
        <w:ind w:right="120" w:firstLine="397"/>
        <w:spacing w:after="0" w:line="250" w:lineRule="auto"/>
        <w:rPr>
          <w:sz w:val="20"/>
          <w:szCs w:val="20"/>
          <w:color w:val="auto"/>
        </w:rPr>
      </w:pPr>
      <w:r>
        <w:rPr>
          <w:rFonts w:ascii="Times New Roman" w:cs="Times New Roman" w:eastAsia="Times New Roman" w:hAnsi="Times New Roman"/>
          <w:sz w:val="18"/>
          <w:szCs w:val="18"/>
          <w:color w:val="auto"/>
        </w:rPr>
        <w:t>Estimated returns are recorded when a product is shipped. Subject to some exceptions based on local regulations, the Company’s return policy is to provide a full refund for a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December 31, 2025 and June 30, 2025, the returns liability reserve, net was $0.2 million and $0.2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and independent consultants are included in cost of sales.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fees charged to customers and independent consultants are included in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52"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three months ended December 31, 2025 and 2024 were $0.2 million and $0.2 million, respectively. Research and development expenses for the six months ended December 31, 2025 and 2024 were $0.6 million and $0.5 million,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52" w:lineRule="exact"/>
        <w:rPr>
          <w:sz w:val="20"/>
          <w:szCs w:val="20"/>
          <w:color w:val="auto"/>
        </w:rPr>
      </w:pPr>
    </w:p>
    <w:p>
      <w:pPr>
        <w:ind w:right="340" w:firstLine="397"/>
        <w:spacing w:after="0" w:line="258" w:lineRule="auto"/>
        <w:rPr>
          <w:sz w:val="20"/>
          <w:szCs w:val="20"/>
          <w:color w:val="auto"/>
        </w:rPr>
      </w:pPr>
      <w:r>
        <w:rPr>
          <w:rFonts w:ascii="Times New Roman" w:cs="Times New Roman" w:eastAsia="Times New Roman" w:hAnsi="Times New Roman"/>
          <w:sz w:val="18"/>
          <w:szCs w:val="18"/>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112" w:lineRule="exact"/>
        <w:rPr>
          <w:sz w:val="20"/>
          <w:szCs w:val="20"/>
          <w:color w:val="auto"/>
        </w:rPr>
      </w:pPr>
    </w:p>
    <w:p>
      <w:pPr>
        <w:ind w:right="60" w:firstLine="397"/>
        <w:spacing w:after="0" w:line="253"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t>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52" w:lineRule="exact"/>
        <w:rPr>
          <w:sz w:val="20"/>
          <w:szCs w:val="20"/>
          <w:color w:val="auto"/>
        </w:rPr>
      </w:pPr>
    </w:p>
    <w:p>
      <w:pPr>
        <w:jc w:val="both"/>
        <w:ind w:right="360" w:firstLine="397"/>
        <w:spacing w:after="0" w:line="253"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w:t>
      </w:r>
    </w:p>
    <w:p>
      <w:pPr>
        <w:spacing w:after="0" w:line="119" w:lineRule="exact"/>
        <w:rPr>
          <w:sz w:val="20"/>
          <w:szCs w:val="20"/>
          <w:color w:val="auto"/>
        </w:rPr>
      </w:pPr>
    </w:p>
    <w:p>
      <w:pPr>
        <w:ind w:right="100" w:firstLine="397"/>
        <w:spacing w:after="0" w:line="251"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and options under the Company’s 2019 Employee Stock Purchase Plan (as amended, the “2019 ESPP”).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07" w:lineRule="exact"/>
        <w:rPr>
          <w:sz w:val="20"/>
          <w:szCs w:val="20"/>
          <w:color w:val="auto"/>
        </w:rPr>
      </w:pPr>
    </w:p>
    <w:p>
      <w:pPr>
        <w:ind w:right="120" w:firstLine="397"/>
        <w:spacing w:after="0" w:line="253" w:lineRule="auto"/>
        <w:rPr>
          <w:sz w:val="20"/>
          <w:szCs w:val="20"/>
          <w:color w:val="auto"/>
        </w:rPr>
      </w:pPr>
      <w:r>
        <w:rPr>
          <w:rFonts w:ascii="Times New Roman" w:cs="Times New Roman" w:eastAsia="Times New Roman" w:hAnsi="Times New Roman"/>
          <w:sz w:val="18"/>
          <w:szCs w:val="18"/>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52" w:lineRule="exact"/>
        <w:rPr>
          <w:sz w:val="20"/>
          <w:szCs w:val="20"/>
          <w:color w:val="auto"/>
        </w:rPr>
      </w:pPr>
    </w:p>
    <w:p>
      <w:pPr>
        <w:ind w:right="120" w:firstLine="397"/>
        <w:spacing w:after="0" w:line="24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3" w:lineRule="exact"/>
        <w:rPr>
          <w:sz w:val="20"/>
          <w:szCs w:val="20"/>
          <w:color w:val="auto"/>
        </w:rPr>
      </w:pPr>
    </w:p>
    <w:p>
      <w:pPr>
        <w:ind w:right="240" w:firstLine="397"/>
        <w:spacing w:after="0" w:line="253" w:lineRule="auto"/>
        <w:rPr>
          <w:sz w:val="20"/>
          <w:szCs w:val="20"/>
          <w:color w:val="auto"/>
        </w:rPr>
      </w:pPr>
      <w:r>
        <w:rPr>
          <w:rFonts w:ascii="Times New Roman" w:cs="Times New Roman" w:eastAsia="Times New Roman" w:hAnsi="Times New Roman"/>
          <w:sz w:val="18"/>
          <w:szCs w:val="18"/>
          <w:color w:val="auto"/>
        </w:rPr>
        <w:t>For the three months ended December 31, 2025 and 2024, the Company recognized income tax expense of $0.2 million and $0.5 million, respectively. For the six months ended December 31, 2025 and 2024, the Company recognized income tax expense of $0.3 million and $1.3 million, respectively. Tax expenses are reflective of the Company’s current estimated federal, state and foreign effective tax rate. Realization of deferred tax assets is dependent upon future earnings in specific tax jurisdictions, the timing and amount of which are uncertain.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52" w:lineRule="exact"/>
        <w:rPr>
          <w:sz w:val="20"/>
          <w:szCs w:val="20"/>
          <w:color w:val="auto"/>
        </w:rPr>
      </w:pPr>
    </w:p>
    <w:p>
      <w:pPr>
        <w:ind w:right="80" w:firstLine="397"/>
        <w:spacing w:after="0" w:line="258"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99" w:lineRule="exact"/>
        <w:rPr>
          <w:sz w:val="20"/>
          <w:szCs w:val="20"/>
          <w:color w:val="auto"/>
        </w:rPr>
      </w:pPr>
    </w:p>
    <w:p>
      <w:pPr>
        <w:ind w:right="60" w:firstLine="397"/>
        <w:spacing w:after="0" w:line="253" w:lineRule="auto"/>
        <w:rPr>
          <w:sz w:val="20"/>
          <w:szCs w:val="20"/>
          <w:color w:val="auto"/>
        </w:rPr>
      </w:pPr>
      <w:r>
        <w:rPr>
          <w:rFonts w:ascii="Times New Roman" w:cs="Times New Roman" w:eastAsia="Times New Roman" w:hAnsi="Times New Roman"/>
          <w:sz w:val="18"/>
          <w:szCs w:val="18"/>
          <w:color w:val="auto"/>
        </w:rPr>
        <w:t>For the three months ended December 31, 2025 and 2024, the effects of approximately 0.2 million and 0.1 million common shares, respectively, issuable upon exercise of options and non-vested shares of restricted stock are not included in computations as their effect was anti-dilutive. For the six months ended December 31, 2025 and 2024, the effects of approximately 0.2 million and 0.1 million common shares, respectively, issuable upon exercise of options and non-vested shares of restricted stock are not included in computations as their effect was anti-dilutive.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4" w:name="page15"/>
    <w:bookmarkEnd w:id="14"/>
    <w:p>
      <w:pPr>
        <w:ind w:right="360" w:firstLine="397"/>
        <w:spacing w:after="0" w:line="267"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tbl>
      <w:tblPr>
        <w:tblLayout w:type="fixed"/>
        <w:tblInd w:w="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27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31,</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awards and options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52"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w:t>
      </w:r>
    </w:p>
    <w:p>
      <w:pPr>
        <w:spacing w:after="0" w:line="107" w:lineRule="exact"/>
        <w:rPr>
          <w:sz w:val="20"/>
          <w:szCs w:val="20"/>
          <w:color w:val="auto"/>
        </w:rPr>
      </w:pPr>
    </w:p>
    <w:p>
      <w:pPr>
        <w:ind w:right="60" w:firstLine="397"/>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The guidance requires disclosure, in the notes to financial statements, of specific information about certain costs and expenses at each interim and annual reporting period. ASU 2024-03 is effective for the Company’s annual periods beginning July 1, 2027, with early adoption permitted. The Company is currently evaluating the potential effect that the updated standard will have on its financial statement disclosures.</w:t>
      </w:r>
    </w:p>
    <w:p>
      <w:pPr>
        <w:spacing w:after="0" w:line="121" w:lineRule="exact"/>
        <w:rPr>
          <w:sz w:val="20"/>
          <w:szCs w:val="20"/>
          <w:color w:val="auto"/>
        </w:rPr>
      </w:pPr>
    </w:p>
    <w:p>
      <w:pPr>
        <w:ind w:right="100" w:firstLine="397"/>
        <w:spacing w:after="0" w:line="249"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Targeted Improvements to the Accounting for Internal-Use Software. (“ASU 2025-06”). The amendments in this ASU are intended to improve the operability of the guidance by removing all references to software development project stages so that the guidance is neutral to different software development methods, including methods that entities may use to develop software in the future. Therefore, the amendments require that an entity capitalize software costs when both: management has authorized and committed to funding the software project; and it is probable that the project will be completed and the software will be used to perform the function intended. The Company has elected to early adopt ASU 2025-06 for the current fiscal year and will transition using the prospective transition approach.</w:t>
      </w:r>
    </w:p>
    <w:p>
      <w:pPr>
        <w:spacing w:after="0" w:line="123" w:lineRule="exact"/>
        <w:rPr>
          <w:sz w:val="20"/>
          <w:szCs w:val="20"/>
          <w:color w:val="auto"/>
        </w:rPr>
      </w:pPr>
    </w:p>
    <w:p>
      <w:pPr>
        <w:ind w:right="360" w:firstLine="397"/>
        <w:spacing w:after="0" w:line="270" w:lineRule="auto"/>
        <w:rPr>
          <w:sz w:val="20"/>
          <w:szCs w:val="20"/>
          <w:color w:val="auto"/>
        </w:rPr>
      </w:pPr>
      <w:r>
        <w:rPr>
          <w:rFonts w:ascii="Times New Roman" w:cs="Times New Roman" w:eastAsia="Times New Roman" w:hAnsi="Times New Roman"/>
          <w:sz w:val="18"/>
          <w:szCs w:val="18"/>
          <w:color w:val="auto"/>
        </w:rPr>
        <w:t>Other recently issued accounting pronouncements did not or are not believed by management to have a material impact on the Company’s present or future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152" w:lineRule="exact"/>
        <w:rPr>
          <w:sz w:val="20"/>
          <w:szCs w:val="20"/>
          <w:color w:val="auto"/>
        </w:rPr>
      </w:pPr>
    </w:p>
    <w:p>
      <w:pPr>
        <w:jc w:val="both"/>
        <w:ind w:right="220" w:firstLine="397"/>
        <w:spacing w:after="0" w:line="270" w:lineRule="auto"/>
        <w:rPr>
          <w:sz w:val="20"/>
          <w:szCs w:val="20"/>
          <w:color w:val="auto"/>
        </w:rPr>
      </w:pPr>
      <w:r>
        <w:rPr>
          <w:rFonts w:ascii="Times New Roman" w:cs="Times New Roman" w:eastAsia="Times New Roman" w:hAnsi="Times New Roman"/>
          <w:sz w:val="17"/>
          <w:szCs w:val="17"/>
          <w:color w:val="auto"/>
        </w:rPr>
        <w:t>The Company has operating leases for current corporate offices and certain equipment. These leases have remaining terms of approximately one to six years. As of December 31, 2025, the weighted average remaining lease term and weighted average discount rate for operating leases was 5.63 years and</w:t>
      </w:r>
    </w:p>
    <w:p>
      <w:pPr>
        <w:spacing w:after="0" w:line="1"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3.24%, respectively. As of June 30, 2025, the weighted average remaining lease term and weighted average discount rate for operating leases was 5.91 years and 3.17%, respectively.</w:t>
      </w:r>
    </w:p>
    <w:p>
      <w:pPr>
        <w:spacing w:after="0" w:line="120" w:lineRule="exact"/>
        <w:rPr>
          <w:sz w:val="20"/>
          <w:szCs w:val="20"/>
          <w:color w:val="auto"/>
        </w:rPr>
      </w:pPr>
    </w:p>
    <w:p>
      <w:pPr>
        <w:jc w:val="both"/>
        <w:ind w:right="220" w:firstLine="397"/>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2025 and 2024, operating lease expense was $0.5 million and $0.5 million, respectively. For the six months ended December 31, 2025 and 2024, operating lease expense was $0.9 million and $1.0 million, respectively. The components of lease expense for the three and six months ended December 31, 2025 and 2024,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30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27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31,</w:t>
            </w:r>
          </w:p>
        </w:tc>
      </w:tr>
      <w:tr>
        <w:trPr>
          <w:trHeight w:val="218"/>
        </w:trPr>
        <w:tc>
          <w:tcPr>
            <w:tcW w:w="51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5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lease expense</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5"/>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Short-term lease costs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2780" w:type="dxa"/>
            <w:vAlign w:val="bottom"/>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31,</w:t>
            </w:r>
          </w:p>
        </w:tc>
      </w:tr>
      <w:tr>
        <w:trPr>
          <w:trHeight w:val="218"/>
        </w:trPr>
        <w:tc>
          <w:tcPr>
            <w:tcW w:w="5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435"/>
        </w:trPr>
        <w:tc>
          <w:tcPr>
            <w:tcW w:w="67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Maturity of lease liabilities at December 31, 2025 are as follows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2"/>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June 30,</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six months ending June 30, 2026)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25"/>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r>
      <w:tr>
        <w:trPr>
          <w:trHeight w:val="225"/>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139" w:lineRule="exact"/>
        <w:rPr>
          <w:sz w:val="20"/>
          <w:szCs w:val="20"/>
          <w:color w:val="auto"/>
        </w:rPr>
      </w:pPr>
    </w:p>
    <w:p>
      <w:pPr>
        <w:ind w:firstLine="397"/>
        <w:spacing w:after="0" w:line="250" w:lineRule="auto"/>
        <w:rPr>
          <w:sz w:val="20"/>
          <w:szCs w:val="20"/>
          <w:color w:val="auto"/>
        </w:rPr>
      </w:pPr>
      <w:r>
        <w:rPr>
          <w:rFonts w:ascii="Times New Roman" w:cs="Times New Roman" w:eastAsia="Times New Roman" w:hAnsi="Times New Roman"/>
          <w:sz w:val="18"/>
          <w:szCs w:val="18"/>
          <w:color w:val="auto"/>
        </w:rPr>
        <w:t>On April 12, 2024, the Company entered into a Loan Agreement (the “Loan Agreement”), as amended,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Continuing and Unconditional Guaranty and the Security and Pledge Agreement the “2024 Credit Facility”).</w:t>
      </w:r>
    </w:p>
    <w:p>
      <w:pPr>
        <w:spacing w:after="0" w:line="108" w:lineRule="exact"/>
        <w:rPr>
          <w:sz w:val="20"/>
          <w:szCs w:val="20"/>
          <w:color w:val="auto"/>
        </w:rPr>
      </w:pPr>
    </w:p>
    <w:p>
      <w:pPr>
        <w:ind w:right="200" w:firstLine="397"/>
        <w:spacing w:after="0" w:line="242" w:lineRule="auto"/>
        <w:rPr>
          <w:sz w:val="20"/>
          <w:szCs w:val="20"/>
          <w:color w:val="auto"/>
        </w:rPr>
      </w:pPr>
      <w:r>
        <w:rPr>
          <w:rFonts w:ascii="Times New Roman" w:cs="Times New Roman" w:eastAsia="Times New Roman" w:hAnsi="Times New Roman"/>
          <w:sz w:val="18"/>
          <w:szCs w:val="18"/>
          <w:color w:val="auto"/>
        </w:rPr>
        <w:t>On September 22, 2025, the Company entered into an amendment to the Loan Agreement, which amended the 2024 Credit Facility (“Amendment No. 1”) to allow the proceeds of the credit to be also used for permitted acquisitions. On September 22, 2025, the Company also entered into a collateral assignment of, and grant of security interest in, the LoveBiome assets purchased by the Company.</w:t>
      </w:r>
    </w:p>
    <w:p>
      <w:pPr>
        <w:spacing w:after="0" w:line="114" w:lineRule="exact"/>
        <w:rPr>
          <w:sz w:val="20"/>
          <w:szCs w:val="20"/>
          <w:color w:val="auto"/>
        </w:rPr>
      </w:pPr>
    </w:p>
    <w:p>
      <w:pPr>
        <w:ind w:right="280" w:firstLine="397"/>
        <w:spacing w:after="0" w:line="251" w:lineRule="auto"/>
        <w:rPr>
          <w:sz w:val="20"/>
          <w:szCs w:val="20"/>
          <w:color w:val="auto"/>
        </w:rPr>
      </w:pPr>
      <w:r>
        <w:rPr>
          <w:rFonts w:ascii="Times New Roman" w:cs="Times New Roman" w:eastAsia="Times New Roman" w:hAnsi="Times New Roman"/>
          <w:sz w:val="18"/>
          <w:szCs w:val="18"/>
          <w:color w:val="auto"/>
        </w:rPr>
        <w:t>In the event the Company borrows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As of December 31, 2025, the effective interest rate is 5.87%.</w:t>
      </w:r>
    </w:p>
    <w:p>
      <w:pPr>
        <w:spacing w:after="0" w:line="121" w:lineRule="exact"/>
        <w:rPr>
          <w:sz w:val="20"/>
          <w:szCs w:val="20"/>
          <w:color w:val="auto"/>
        </w:rPr>
      </w:pPr>
    </w:p>
    <w:p>
      <w:pPr>
        <w:ind w:right="40" w:firstLine="397"/>
        <w:spacing w:after="0" w:line="253" w:lineRule="auto"/>
        <w:rPr>
          <w:sz w:val="20"/>
          <w:szCs w:val="20"/>
          <w:color w:val="auto"/>
        </w:rPr>
      </w:pPr>
      <w:r>
        <w:rPr>
          <w:rFonts w:ascii="Times New Roman" w:cs="Times New Roman" w:eastAsia="Times New Roman" w:hAnsi="Times New Roman"/>
          <w:sz w:val="18"/>
          <w:szCs w:val="18"/>
          <w:color w:val="auto"/>
        </w:rPr>
        <w:t>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w:t>
      </w:r>
    </w:p>
    <w:p>
      <w:pPr>
        <w:spacing w:after="0" w:line="119" w:lineRule="exact"/>
        <w:rPr>
          <w:sz w:val="20"/>
          <w:szCs w:val="20"/>
          <w:color w:val="auto"/>
        </w:rPr>
      </w:pPr>
    </w:p>
    <w:p>
      <w:pPr>
        <w:ind w:right="140" w:firstLine="397"/>
        <w:spacing w:after="0" w:line="270" w:lineRule="auto"/>
        <w:rPr>
          <w:sz w:val="20"/>
          <w:szCs w:val="20"/>
          <w:color w:val="auto"/>
        </w:rPr>
      </w:pPr>
      <w:r>
        <w:rPr>
          <w:rFonts w:ascii="Times New Roman" w:cs="Times New Roman" w:eastAsia="Times New Roman" w:hAnsi="Times New Roman"/>
          <w:sz w:val="18"/>
          <w:szCs w:val="18"/>
          <w:color w:val="auto"/>
        </w:rPr>
        <w:t>The Loan Agreement contains customary covenants, both affirmative and negative, that, among other things, restrict the Company’s ability to deal with the Company’s assets outside of the ordinary course, incur additional indebtedness, grant liens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58" w:right="359" w:bottom="1440" w:gutter="0" w:footer="0" w:header="0"/>
        </w:sectPr>
      </w:pPr>
    </w:p>
    <w:bookmarkStart w:id="16" w:name="page17"/>
    <w:bookmarkEnd w:id="16"/>
    <w:p>
      <w:pPr>
        <w:ind w:right="80"/>
        <w:spacing w:after="0" w:line="258" w:lineRule="auto"/>
        <w:rPr>
          <w:sz w:val="20"/>
          <w:szCs w:val="20"/>
          <w:color w:val="auto"/>
        </w:rPr>
      </w:pPr>
      <w:r>
        <w:rPr>
          <w:rFonts w:ascii="Times New Roman" w:cs="Times New Roman" w:eastAsia="Times New Roman" w:hAnsi="Times New Roman"/>
          <w:sz w:val="18"/>
          <w:szCs w:val="18"/>
          <w:color w:val="auto"/>
        </w:rPr>
        <w:t>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w:t>
      </w:r>
    </w:p>
    <w:p>
      <w:pPr>
        <w:spacing w:after="0" w:line="99" w:lineRule="exact"/>
        <w:rPr>
          <w:sz w:val="20"/>
          <w:szCs w:val="20"/>
          <w:color w:val="auto"/>
        </w:rPr>
      </w:pPr>
    </w:p>
    <w:p>
      <w:pPr>
        <w:ind w:right="120" w:firstLine="397"/>
        <w:spacing w:after="0" w:line="265" w:lineRule="auto"/>
        <w:rPr>
          <w:sz w:val="20"/>
          <w:szCs w:val="20"/>
          <w:color w:val="auto"/>
        </w:rPr>
      </w:pPr>
      <w:r>
        <w:rPr>
          <w:rFonts w:ascii="Times New Roman" w:cs="Times New Roman" w:eastAsia="Times New Roman" w:hAnsi="Times New Roman"/>
          <w:sz w:val="17"/>
          <w:szCs w:val="17"/>
          <w:color w:val="auto"/>
        </w:rPr>
        <w:t>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111" w:lineRule="exact"/>
        <w:rPr>
          <w:sz w:val="20"/>
          <w:szCs w:val="20"/>
          <w:color w:val="auto"/>
        </w:rPr>
      </w:pPr>
    </w:p>
    <w:p>
      <w:pPr>
        <w:ind w:right="140" w:firstLine="397"/>
        <w:spacing w:after="0" w:line="270" w:lineRule="auto"/>
        <w:rPr>
          <w:sz w:val="20"/>
          <w:szCs w:val="20"/>
          <w:color w:val="auto"/>
        </w:rPr>
      </w:pPr>
      <w:r>
        <w:rPr>
          <w:rFonts w:ascii="Times New Roman" w:cs="Times New Roman" w:eastAsia="Times New Roman" w:hAnsi="Times New Roman"/>
          <w:sz w:val="18"/>
          <w:szCs w:val="18"/>
          <w:color w:val="auto"/>
        </w:rPr>
        <w:t>As of December 31, 2025, the Company was in compliance with its financial covenants under the 2024 Credit Facility. As of December 31, 2025, there was no balance outstanding on the 2024 Credit Facility.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139" w:lineRule="exact"/>
        <w:rPr>
          <w:sz w:val="20"/>
          <w:szCs w:val="20"/>
          <w:color w:val="auto"/>
        </w:rPr>
      </w:pPr>
    </w:p>
    <w:p>
      <w:pPr>
        <w:ind w:right="240" w:firstLine="397"/>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2025 and 2024, the Company issued 0.1 million and 0.1 million shares of common stock, respectively, under Company stock plans. During the three months ended December 31, 2025 and 2024, the Company issued zero shares of common stock upon the exercise of stock options. During the three months ended December 31, 2025 and 2024, 18,000 and 0.1 million shares of restricted stock, respectively, were canceled or surrendered as payment of tax withholding upon vesting of equity awards.</w:t>
      </w:r>
    </w:p>
    <w:p>
      <w:pPr>
        <w:spacing w:after="0" w:line="119" w:lineRule="exact"/>
        <w:rPr>
          <w:sz w:val="20"/>
          <w:szCs w:val="20"/>
          <w:color w:val="auto"/>
        </w:rPr>
      </w:pPr>
    </w:p>
    <w:p>
      <w:pPr>
        <w:ind w:right="40" w:firstLine="397"/>
        <w:spacing w:after="0" w:line="253" w:lineRule="auto"/>
        <w:rPr>
          <w:sz w:val="20"/>
          <w:szCs w:val="20"/>
          <w:color w:val="auto"/>
        </w:rPr>
      </w:pPr>
      <w:r>
        <w:rPr>
          <w:rFonts w:ascii="Times New Roman" w:cs="Times New Roman" w:eastAsia="Times New Roman" w:hAnsi="Times New Roman"/>
          <w:sz w:val="18"/>
          <w:szCs w:val="18"/>
          <w:color w:val="auto"/>
        </w:rPr>
        <w:t>During the six months ended December 31, 2025 and 2024, the Company issued 0.7 million and 0.3 million shares of common stock, respectively, under Company stock plans. During the six months ended December 31, 2025 and 2024, the Company issued zero shares of common stock upon the exercise of stock options. During the six months ended December 31, 2025 and 2024, 0.3 million and 0.1 million shares of restricted stock, respectively, were canceled or surrendered as payment of tax withholding upon vesting of equity awards.</w:t>
      </w:r>
    </w:p>
    <w:p>
      <w:pPr>
        <w:spacing w:after="0" w:line="119" w:lineRule="exact"/>
        <w:rPr>
          <w:sz w:val="20"/>
          <w:szCs w:val="20"/>
          <w:color w:val="auto"/>
        </w:rPr>
      </w:pPr>
    </w:p>
    <w:p>
      <w:pPr>
        <w:ind w:firstLine="397"/>
        <w:spacing w:after="0" w:line="250" w:lineRule="auto"/>
        <w:rPr>
          <w:sz w:val="20"/>
          <w:szCs w:val="20"/>
          <w:color w:val="auto"/>
        </w:rPr>
      </w:pPr>
      <w:r>
        <w:rPr>
          <w:rFonts w:ascii="Times New Roman" w:cs="Times New Roman" w:eastAsia="Times New Roman" w:hAnsi="Times New Roman"/>
          <w:sz w:val="18"/>
          <w:szCs w:val="18"/>
          <w:color w:val="auto"/>
        </w:rPr>
        <w:t>On February 17, 2022, the Company’s board of directors (the “Board of Directors”) approved an amendment to its then-existing share repurchase program to increase the authorized share repurchase amount from $35.0 million to $60.0 million. On June 12, 2023, the Board of Directors approved an amendment to extend the duration of the repurchase program period to December 31, 2026. During the three and six months ended December 31, 2025, the Company purchased zero and 44,000 shares of common stock at an aggregate price of zero and $0.6 million, respectively, under this repurchase program. During the three and six months ended December 31, 2024, the Company purchased zero and 0.1 million shares of common stock at an aggregate price of zero and $1.1 million under this repurchase program. At December 31, 2025, there was $16.7 million remaining under this repurchase program.</w:t>
      </w:r>
    </w:p>
    <w:p>
      <w:pPr>
        <w:spacing w:after="0" w:line="108" w:lineRule="exact"/>
        <w:rPr>
          <w:sz w:val="20"/>
          <w:szCs w:val="20"/>
          <w:color w:val="auto"/>
        </w:rPr>
      </w:pPr>
    </w:p>
    <w:p>
      <w:pPr>
        <w:ind w:right="220" w:firstLine="397"/>
        <w:spacing w:after="0" w:line="253" w:lineRule="auto"/>
        <w:rPr>
          <w:sz w:val="20"/>
          <w:szCs w:val="20"/>
          <w:color w:val="auto"/>
        </w:rPr>
      </w:pPr>
      <w:r>
        <w:rPr>
          <w:rFonts w:ascii="Times New Roman" w:cs="Times New Roman" w:eastAsia="Times New Roman" w:hAnsi="Times New Roman"/>
          <w:sz w:val="18"/>
          <w:szCs w:val="18"/>
          <w:color w:val="auto"/>
        </w:rPr>
        <w:t>On August 30, 2023, the Board of Directors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spacing w:after="0" w:line="119" w:lineRule="exact"/>
        <w:rPr>
          <w:sz w:val="20"/>
          <w:szCs w:val="20"/>
          <w:color w:val="auto"/>
        </w:rPr>
      </w:pPr>
    </w:p>
    <w:p>
      <w:pPr>
        <w:ind w:right="140" w:firstLine="397"/>
        <w:spacing w:after="0" w:line="250" w:lineRule="auto"/>
        <w:rPr>
          <w:sz w:val="20"/>
          <w:szCs w:val="20"/>
          <w:color w:val="auto"/>
        </w:rPr>
      </w:pPr>
      <w:r>
        <w:rPr>
          <w:rFonts w:ascii="Times New Roman" w:cs="Times New Roman" w:eastAsia="Times New Roman" w:hAnsi="Times New Roman"/>
          <w:sz w:val="18"/>
          <w:szCs w:val="18"/>
          <w:color w:val="auto"/>
        </w:rPr>
        <w:t>In general, the rights would have become exercisable following a public announcement that a person acquires 12% (or, in the case of passive investors, 20%) or more of the outstanding shares of the Company’s common stock. If a person became an acquiring person, each holder of rights (except the acquiring person) would have had the right to purchase, for the purchase price, a number of shares of the Company’s common stock at a 50% discount to the then-current trading price. Rather than allowing the rights to be exercised in those circumstances, the Board of Directors could exchange each right, other than the rights owned by the acquiring person, for a share of the Company’s common stock. The agreement provided for exceptions and additional terms for other certain situations and circumstances.</w:t>
      </w:r>
    </w:p>
    <w:p>
      <w:pPr>
        <w:spacing w:after="0" w:line="121" w:lineRule="exact"/>
        <w:rPr>
          <w:sz w:val="20"/>
          <w:szCs w:val="20"/>
          <w:color w:val="auto"/>
        </w:rPr>
      </w:pPr>
    </w:p>
    <w:p>
      <w:pPr>
        <w:jc w:val="both"/>
        <w:ind w:right="20" w:firstLine="397"/>
        <w:spacing w:after="0" w:line="258" w:lineRule="auto"/>
        <w:rPr>
          <w:sz w:val="20"/>
          <w:szCs w:val="20"/>
          <w:color w:val="auto"/>
        </w:rPr>
      </w:pPr>
      <w:r>
        <w:rPr>
          <w:rFonts w:ascii="Times New Roman" w:cs="Times New Roman" w:eastAsia="Times New Roman" w:hAnsi="Times New Roman"/>
          <w:sz w:val="18"/>
          <w:szCs w:val="18"/>
          <w:color w:val="auto"/>
        </w:rPr>
        <w:t>The Rights Plan was intended to protect the interests of LifeVantage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spacing w:after="0" w:line="99" w:lineRule="exact"/>
        <w:rPr>
          <w:sz w:val="20"/>
          <w:szCs w:val="20"/>
          <w:color w:val="auto"/>
        </w:rPr>
      </w:pPr>
    </w:p>
    <w:p>
      <w:pPr>
        <w:ind w:right="220" w:firstLine="397"/>
        <w:spacing w:after="0" w:line="270"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preferred stock. However, as of December 31, 2025, none have been issued nor have any rights or preferences been assigned to the preferred stock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39" w:lineRule="exact"/>
        <w:rPr>
          <w:sz w:val="20"/>
          <w:szCs w:val="20"/>
          <w:color w:val="auto"/>
        </w:rPr>
      </w:pPr>
    </w:p>
    <w:p>
      <w:pPr>
        <w:ind w:right="100" w:firstLine="397"/>
        <w:spacing w:after="0" w:line="251" w:lineRule="auto"/>
        <w:rPr>
          <w:sz w:val="20"/>
          <w:szCs w:val="20"/>
          <w:color w:val="auto"/>
        </w:rPr>
      </w:pPr>
      <w:r>
        <w:rPr>
          <w:rFonts w:ascii="Times New Roman" w:cs="Times New Roman" w:eastAsia="Times New Roman" w:hAnsi="Times New Roman"/>
          <w:sz w:val="18"/>
          <w:szCs w:val="18"/>
          <w:color w:val="auto"/>
        </w:rPr>
        <w:t>In August 2025, the Board of Directors declared a quarterly cash dividend of $0.045 per share of common stock that was paid on September 16, 2025 to stockholders of record on September 8, 2025. In November 2025, the Board of Directors declared a quarterly cash dividend of $0.045 per share of common stock that was paid on December 15, 2025 to stockholders of record on December 1, 2025. Cash dividends for the three and six months ended December 31, 2025 totaled $0.6 million and $1.1 million, respectively. Cash dividends for the three and six months ended December 31, 2024 totaled $0.5 million and $1.0 million, or $0.04 and $0.08 per share of common stock, respectively.</w:t>
      </w:r>
    </w:p>
    <w:p>
      <w:pPr>
        <w:spacing w:after="0" w:line="121" w:lineRule="exact"/>
        <w:rPr>
          <w:sz w:val="20"/>
          <w:szCs w:val="20"/>
          <w:color w:val="auto"/>
        </w:rPr>
      </w:pPr>
    </w:p>
    <w:p>
      <w:pPr>
        <w:ind w:right="100" w:firstLine="397"/>
        <w:spacing w:after="0" w:line="258" w:lineRule="auto"/>
        <w:rPr>
          <w:sz w:val="20"/>
          <w:szCs w:val="20"/>
          <w:color w:val="auto"/>
        </w:rPr>
      </w:pPr>
      <w:r>
        <w:rPr>
          <w:rFonts w:ascii="Times New Roman" w:cs="Times New Roman" w:eastAsia="Times New Roman" w:hAnsi="Times New Roman"/>
          <w:sz w:val="18"/>
          <w:szCs w:val="18"/>
          <w:color w:val="auto"/>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Equity-Settled Plans</w:t>
      </w:r>
    </w:p>
    <w:p>
      <w:pPr>
        <w:spacing w:after="0" w:line="152" w:lineRule="exact"/>
        <w:rPr>
          <w:sz w:val="20"/>
          <w:szCs w:val="20"/>
          <w:color w:val="auto"/>
        </w:rPr>
      </w:pPr>
    </w:p>
    <w:p>
      <w:pPr>
        <w:ind w:firstLine="397"/>
        <w:spacing w:after="0" w:line="247" w:lineRule="auto"/>
        <w:rPr>
          <w:sz w:val="20"/>
          <w:szCs w:val="20"/>
          <w:color w:val="auto"/>
        </w:rPr>
      </w:pPr>
      <w:r>
        <w:rPr>
          <w:rFonts w:ascii="Times New Roman" w:cs="Times New Roman" w:eastAsia="Times New Roman" w:hAnsi="Times New Roman"/>
          <w:sz w:val="18"/>
          <w:szCs w:val="18"/>
          <w:color w:val="auto"/>
        </w:rPr>
        <w:t>The Board of Directors adopted, and the Company’s stockholders approved, the 2017 Long-Term Incentive Plan (as amended, the “2017 Plan”), effective February 16, 2017, to provide incentives to eligible employees, directors and consultants. The initial shares reserved under the 2017 Plan was (i) 650,000 shares plus (ii) 475,000 shares previously reserved for issuance under the Company’s 2010 Long Term Incentive Plan (the “2010 Plan”), including upon cancellation, termination or forfeiture of awards previously granted under the 2010 Plan, plus (iii) shares subject to forfeited or terminated awards, or shares that are withheld or surrendered from an award to pay an award’s exercise price or tax withholding obligations, in each case where such awards have been granted under the 2017 Plan. In February 2018, November 2018, November 2020, November 2022, November 2023, and November 2025, the Company’s stockholders approved amendments to the 2017 Plan to increase the number of shares of the Company’s common stock that are available for issuance under the 2017 Plan by 425,000, 715,000, 650,000, 1,052,000, 1,138,000, and 400,000 shares, respectively. Further, in November 2024, the Company’s stockholders approved an amendment to remove individual grant limitations under the 2017 Plan and certain performance-based provisions, both of which are no longer applicable following the repeal of the performance-based exemption in Section 162(m) of the Internal Revenue Code, as amended. As of December 31, 2025, an aggregate of 5,505,000 shares of the Company’s common stock were authorized to be issued under the 2017 Plan in connection with the grant of awards, which includes up to 475,000 shares previously reserved for issuance under the 2010 Plan, including shares returned upon cancellation, termination or forfeiture of awards that were previously granted under that plan.</w:t>
      </w:r>
    </w:p>
    <w:p>
      <w:pPr>
        <w:spacing w:after="0" w:line="113" w:lineRule="exact"/>
        <w:rPr>
          <w:sz w:val="20"/>
          <w:szCs w:val="20"/>
          <w:color w:val="auto"/>
        </w:rPr>
      </w:pPr>
    </w:p>
    <w:p>
      <w:pPr>
        <w:ind w:right="80" w:firstLine="397"/>
        <w:spacing w:after="0" w:line="253" w:lineRule="auto"/>
        <w:rPr>
          <w:sz w:val="20"/>
          <w:szCs w:val="20"/>
          <w:color w:val="auto"/>
        </w:rPr>
      </w:pPr>
      <w:r>
        <w:rPr>
          <w:rFonts w:ascii="Times New Roman" w:cs="Times New Roman" w:eastAsia="Times New Roman" w:hAnsi="Times New Roman"/>
          <w:sz w:val="18"/>
          <w:szCs w:val="18"/>
          <w:color w:val="auto"/>
        </w:rPr>
        <w:t>As of December 31, 2025, there were stock option awards outstanding under the 2017 Plan, net of awards expired, for an aggregate of 0.1 million shares of the Company’s common stock. Outstanding stock options awarded under the 2017 Plan have exercise prices of $4.44 per share, and vest over a three-year vesting period. Awards expire in accordance with the terms of each award and, upon expiration of the award, the shares subject to the award are added back to the 2017 Plan. The contractual term of stock options granted is generally ten years.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50" w:lineRule="exact"/>
        <w:rPr>
          <w:sz w:val="20"/>
          <w:szCs w:val="20"/>
          <w:color w:val="auto"/>
        </w:rPr>
      </w:pPr>
    </w:p>
    <w:p>
      <w:pPr>
        <w:ind w:right="8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2019 ESPP was adopted by the Board of Directors in September 2018 and the Company’s stockholders approved 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2018. In August 2024, the Board of Directors approved an amendment to the 2019 ESPP to increase the share reserve thereunder by 0.4 million shares, which amendment and increase was approved by the Company’s stockholders in November 2024. The 2019 ESPP is intended to qualify under Section 423 of the Internal Revenue Code.</w:t>
      </w:r>
    </w:p>
    <w:p>
      <w:pPr>
        <w:spacing w:after="0" w:line="102"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Company has reserved a total of 0.8 million shares of its common stock for issuance under the 2019 ESPP. As of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shares were available for issuance. The number of shares reserved under the 2019 ESPP will automatically be adjusted in the event of a stock split, stock dividend or a reverse stock split (including an adjustment to the per-purchase period share limit).</w:t>
      </w:r>
    </w:p>
    <w:p>
      <w:pPr>
        <w:spacing w:after="0" w:line="110" w:lineRule="exact"/>
        <w:rPr>
          <w:sz w:val="20"/>
          <w:szCs w:val="20"/>
          <w:color w:val="auto"/>
        </w:rPr>
      </w:pPr>
    </w:p>
    <w:p>
      <w:pPr>
        <w:ind w:right="80" w:firstLine="39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Employees may purchase each share of common stock under the 2019 ESPP at a price equal to 85% of the lower of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of the stock as of the beginning or the end of the six-month offering periods. An employee’s contributions to the 2019 ESPP are limited to 15% of their regular hourly or salary compensation, and up to a maximum of 3,000 shares may be purchased during any offering period. A participant shall not be granted an option under the 2019 ESPP if such option would permit the participant’s rights to purchase stock to accrue at a rate exceeding $25,000 grant date fair market value of stock for each calendar year in which such option is outstanding at any time.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8" w:name="page19"/>
    <w:bookmarkEnd w:id="18"/>
    <w:p>
      <w:pPr>
        <w:ind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Unless otherwise determined by the compensation committee, the 2019 ESPP will be operated through a series of successive six-month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which will begin each year on March 1 and September 1.</w:t>
      </w:r>
    </w:p>
    <w:p>
      <w:pPr>
        <w:spacing w:after="0" w:line="86" w:lineRule="exact"/>
        <w:rPr>
          <w:sz w:val="20"/>
          <w:szCs w:val="20"/>
          <w:color w:val="auto"/>
        </w:rPr>
      </w:pPr>
    </w:p>
    <w:p>
      <w:pPr>
        <w:ind w:right="20" w:firstLine="397"/>
        <w:spacing w:after="0" w:line="270" w:lineRule="auto"/>
        <w:rPr>
          <w:sz w:val="20"/>
          <w:szCs w:val="20"/>
          <w:color w:val="auto"/>
        </w:rPr>
      </w:pPr>
      <w:r>
        <w:rPr>
          <w:rFonts w:ascii="Times New Roman" w:cs="Times New Roman" w:eastAsia="Times New Roman" w:hAnsi="Times New Roman"/>
          <w:sz w:val="18"/>
          <w:szCs w:val="18"/>
          <w:color w:val="auto"/>
        </w:rPr>
        <w:t>During the six months ended December 31, 2025 and 2024, approximately 13,000 and 22,000 shares of common stock were issued under the 2019 ESPP, respectively.</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50" w:lineRule="exact"/>
        <w:rPr>
          <w:sz w:val="20"/>
          <w:szCs w:val="20"/>
          <w:color w:val="auto"/>
        </w:rPr>
      </w:pPr>
    </w:p>
    <w:p>
      <w:pPr>
        <w:ind w:right="160" w:firstLine="397"/>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2025 and 2024, compensation of $0.6 million and $1.7 million, respectively, was reflected as an increase to additional paid-in capital, all of which was employee related. For the six months ended December 31, 2025 and 2024, compensation of $1.4 million and $2.6 million, respectively, was reflected as an increase to additional paid-in capital, all of which was employee related.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52" w:lineRule="exact"/>
        <w:rPr>
          <w:sz w:val="20"/>
          <w:szCs w:val="20"/>
          <w:color w:val="auto"/>
        </w:rPr>
      </w:pPr>
    </w:p>
    <w:p>
      <w:pPr>
        <w:ind w:right="260" w:firstLine="397"/>
        <w:spacing w:after="0" w:line="250"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directly to customers through an international network of independent consultants that operate in an integrated manner. The Company manages its business primarily by managing its international network of independent consultants through similar commission plans. Most products available to customers in the United States are available to customers across all markets internationally. These products are purchased through third-party manufacturers by the Company's corporate office in the United States and sold to each international market. Pricing for all products is determined at the Company's corporate office in the United States. Accordingly, for disclosure purposes, the Company has a single reporting segment, which is reported on the Company’s consolidated financial statements.</w:t>
      </w:r>
    </w:p>
    <w:p>
      <w:pPr>
        <w:spacing w:after="0" w:line="121" w:lineRule="exact"/>
        <w:rPr>
          <w:sz w:val="20"/>
          <w:szCs w:val="20"/>
          <w:color w:val="auto"/>
        </w:rPr>
      </w:pPr>
    </w:p>
    <w:p>
      <w:pPr>
        <w:ind w:right="80" w:firstLine="397"/>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Company’s Chief Executive Officer. The CODM regularly reviews consolidated financial information and performance used to make decisions about the Company as a whole and without distinguishing or grouping of operations based on asset type, revenue, geographic location, tenant or other factors.</w:t>
      </w:r>
    </w:p>
    <w:p>
      <w:pPr>
        <w:spacing w:after="0" w:line="99" w:lineRule="exact"/>
        <w:rPr>
          <w:sz w:val="20"/>
          <w:szCs w:val="20"/>
          <w:color w:val="auto"/>
        </w:rPr>
      </w:pPr>
    </w:p>
    <w:p>
      <w:pPr>
        <w:ind w:right="240" w:firstLine="397"/>
        <w:spacing w:after="0" w:line="258" w:lineRule="auto"/>
        <w:rPr>
          <w:sz w:val="20"/>
          <w:szCs w:val="20"/>
          <w:color w:val="auto"/>
        </w:rPr>
      </w:pPr>
      <w:r>
        <w:rPr>
          <w:rFonts w:ascii="Times New Roman" w:cs="Times New Roman" w:eastAsia="Times New Roman" w:hAnsi="Times New Roman"/>
          <w:sz w:val="18"/>
          <w:szCs w:val="18"/>
          <w:color w:val="auto"/>
        </w:rPr>
        <w:t>The CODM evaluates performance through consolidated financial budget-to-actual variances on a monthly and quarterly basis and allocates resources based on net income as reported in the consolidated statements of operations. The measure of segment assets is reported on the balance sheet as total consolidated assets. Total expenditures for long-lived assets are reported on the consolidated statements of cash flows.</w:t>
      </w:r>
    </w:p>
    <w:p>
      <w:pPr>
        <w:spacing w:after="0" w:line="192" w:lineRule="exact"/>
        <w:rPr>
          <w:sz w:val="20"/>
          <w:szCs w:val="20"/>
          <w:color w:val="auto"/>
        </w:rPr>
      </w:pPr>
    </w:p>
    <w:p>
      <w:pPr>
        <w:ind w:right="240" w:firstLine="397"/>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Company’s segment revenue and expenses and segment net income for the three and six months ended December 31, 2025 and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27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31,</w:t>
            </w:r>
          </w:p>
        </w:tc>
      </w:tr>
      <w:tr>
        <w:trPr>
          <w:trHeight w:val="218"/>
        </w:trPr>
        <w:tc>
          <w:tcPr>
            <w:tcW w:w="5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114,976</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Consultant commissions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(48,892)</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incentives, promotions, and recognition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benefits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bank processing fees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25"/>
        </w:trPr>
        <w:tc>
          <w:tcPr>
            <w:tcW w:w="5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1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5540" w:right="1980" w:hanging="5534"/>
        <w:spacing w:after="0" w:line="883"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 legal, professional services, rent, utilities, and other miscellaneous expenses.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-295910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for its most significant geographic markets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8"/>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5"/>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5"/>
        </w:trPr>
        <w:tc>
          <w:tcPr>
            <w:tcW w:w="7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foreign markets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8"/>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foreign markets</w:t>
            </w: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18"/>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long-lived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20,819</w:t>
            </w: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200" w:firstLine="397"/>
        <w:spacing w:after="0" w:line="258" w:lineRule="auto"/>
        <w:rPr>
          <w:sz w:val="20"/>
          <w:szCs w:val="20"/>
          <w:color w:val="auto"/>
        </w:rPr>
      </w:pPr>
      <w:r>
        <w:rPr>
          <w:rFonts w:ascii="Times New Roman" w:cs="Times New Roman" w:eastAsia="Times New Roman" w:hAnsi="Times New Roman"/>
          <w:sz w:val="18"/>
          <w:szCs w:val="18"/>
          <w:color w:val="auto"/>
        </w:rPr>
        <w:t>The Company has identified two major markets with revenues exceeding 10% of consolidated total revenue: the United States and Japan. There are 16 other markets, each of which individually is less than 10% of consolidated total revenue. Sales are recorded in the market in which the transaction occurred. The following table presents the Company’s revenue disaggregated by these markets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18"/>
        </w:trPr>
        <w:tc>
          <w:tcPr>
            <w:tcW w:w="5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90,649</w:t>
            </w:r>
          </w:p>
        </w:tc>
      </w:tr>
      <w:tr>
        <w:trPr>
          <w:trHeight w:val="22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w:t>
            </w:r>
          </w:p>
        </w:tc>
      </w:tr>
      <w:tr>
        <w:trPr>
          <w:trHeight w:val="225"/>
        </w:trPr>
        <w:tc>
          <w:tcPr>
            <w:tcW w:w="5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foreign markets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18"/>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foreign markets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w:t>
            </w:r>
          </w:p>
        </w:tc>
      </w:tr>
      <w:tr>
        <w:trPr>
          <w:trHeight w:val="218"/>
        </w:trPr>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114,976</w:t>
            </w: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Products</w:t>
      </w:r>
    </w:p>
    <w:p>
      <w:pPr>
        <w:spacing w:after="0" w:line="149" w:lineRule="exact"/>
        <w:rPr>
          <w:sz w:val="20"/>
          <w:szCs w:val="20"/>
          <w:color w:val="auto"/>
        </w:rPr>
      </w:pPr>
    </w:p>
    <w:p>
      <w:pPr>
        <w:jc w:val="both"/>
        <w:ind w:right="80" w:firstLine="397"/>
        <w:spacing w:after="0" w:line="220" w:lineRule="auto"/>
        <w:rPr>
          <w:sz w:val="20"/>
          <w:szCs w:val="20"/>
          <w:color w:val="auto"/>
        </w:rPr>
      </w:pPr>
      <w:r>
        <w:rPr>
          <w:rFonts w:ascii="Times New Roman" w:cs="Times New Roman" w:eastAsia="Times New Roman" w:hAnsi="Times New Roman"/>
          <w:sz w:val="18"/>
          <w:szCs w:val="18"/>
          <w:color w:val="auto"/>
        </w:rPr>
        <w:t>The Company’s revenue for the three months ended December 31, 2025 and 2024 is largely attributed to three product lines: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On a combined basis, these three product lines represent approximately 78.1% and 90.4% of the Company’s total net revenue for the three months ended December 31, 2025 and 2024, respectively.</w:t>
      </w:r>
    </w:p>
    <w:p>
      <w:pPr>
        <w:spacing w:after="0" w:line="116" w:lineRule="exact"/>
        <w:rPr>
          <w:sz w:val="20"/>
          <w:szCs w:val="20"/>
          <w:color w:val="auto"/>
        </w:rPr>
      </w:pPr>
    </w:p>
    <w:p>
      <w:pPr>
        <w:jc w:val="both"/>
        <w:ind w:right="240" w:firstLine="397"/>
        <w:spacing w:after="0" w:line="219" w:lineRule="auto"/>
        <w:rPr>
          <w:sz w:val="20"/>
          <w:szCs w:val="20"/>
          <w:color w:val="auto"/>
        </w:rPr>
      </w:pPr>
      <w:r>
        <w:rPr>
          <w:rFonts w:ascii="Times New Roman" w:cs="Times New Roman" w:eastAsia="Times New Roman" w:hAnsi="Times New Roman"/>
          <w:sz w:val="18"/>
          <w:szCs w:val="18"/>
          <w:color w:val="auto"/>
        </w:rPr>
        <w:t>The Company’s revenue for the six months ended December 31, 2025 and 2024 is largely attributed to three product lines: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On a combined basis, these three product lines represent approximately 82.1% and 88.8% of the Company’s total net revenue for the six months ended December 31, 2025 and 2024, respectively.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revenue by product line for the three months ended December 31, 2025 and 2024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48,738</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PhysIQ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77"/>
        </w:trPr>
        <w:tc>
          <w:tcPr>
            <w:tcW w:w="5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w:t>
            </w:r>
          </w:p>
        </w:tc>
        <w:tc>
          <w:tcPr>
            <w:tcW w:w="12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77"/>
        </w:trPr>
        <w:tc>
          <w:tcPr>
            <w:tcW w:w="5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left="5540" w:right="500" w:hanging="5534"/>
        <w:spacing w:after="0" w:line="899"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shipping and handling revenue, event related revenue, and other revenues impracticable to allocate to a specific product line.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-305435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52" w:lineRule="exact"/>
        <w:rPr>
          <w:sz w:val="20"/>
          <w:szCs w:val="20"/>
          <w:color w:val="auto"/>
        </w:rPr>
      </w:pPr>
    </w:p>
    <w:p>
      <w:pPr>
        <w:ind w:right="60" w:firstLine="397"/>
        <w:spacing w:after="0" w:line="248" w:lineRule="auto"/>
        <w:rPr>
          <w:sz w:val="20"/>
          <w:szCs w:val="20"/>
          <w:color w:val="auto"/>
        </w:rPr>
      </w:pPr>
      <w:r>
        <w:rPr>
          <w:rFonts w:ascii="Times New Roman" w:cs="Times New Roman" w:eastAsia="Times New Roman" w:hAnsi="Times New Roman"/>
          <w:sz w:val="18"/>
          <w:szCs w:val="18"/>
          <w:color w:val="auto"/>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2025, and based on the assessment, there are no probable loss contingencies requiring accrual or disclosures within its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39" w:lineRule="exact"/>
        <w:rPr>
          <w:sz w:val="20"/>
          <w:szCs w:val="20"/>
          <w:color w:val="auto"/>
        </w:rPr>
      </w:pPr>
    </w:p>
    <w:p>
      <w:pPr>
        <w:ind w:right="20" w:firstLine="397"/>
        <w:spacing w:after="0" w:line="246"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52" w:lineRule="exact"/>
        <w:rPr>
          <w:sz w:val="20"/>
          <w:szCs w:val="20"/>
          <w:color w:val="auto"/>
        </w:rPr>
      </w:pPr>
    </w:p>
    <w:p>
      <w:pPr>
        <w:ind w:right="120" w:firstLine="397"/>
        <w:spacing w:after="0" w:line="253" w:lineRule="auto"/>
        <w:rPr>
          <w:sz w:val="20"/>
          <w:szCs w:val="20"/>
          <w:color w:val="auto"/>
        </w:rPr>
      </w:pPr>
      <w:r>
        <w:rPr>
          <w:rFonts w:ascii="Times New Roman" w:cs="Times New Roman" w:eastAsia="Times New Roman" w:hAnsi="Times New Roman"/>
          <w:sz w:val="18"/>
          <w:szCs w:val="18"/>
          <w:color w:val="auto"/>
        </w:rPr>
        <w:t>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Acquisitions</w:t>
      </w:r>
    </w:p>
    <w:p>
      <w:pPr>
        <w:spacing w:after="0" w:line="152"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On October 1, 2025, the Company closed on the purchase of critical assets of Global Organics Merchants, LLC, dba LoveBiome (“LoveBiome”) pursuant to an asset purchase agreement between the parties. LoveBiome was a direct sales company focused on comprehensive microbiome care and wellness solutions The acquisition is being accounted for as a business combination in accordance with ASC 805.</w:t>
      </w:r>
    </w:p>
    <w:p>
      <w:pPr>
        <w:spacing w:after="0" w:line="112" w:lineRule="exact"/>
        <w:rPr>
          <w:sz w:val="20"/>
          <w:szCs w:val="20"/>
          <w:color w:val="auto"/>
        </w:rPr>
      </w:pPr>
    </w:p>
    <w:p>
      <w:pPr>
        <w:ind w:firstLine="397"/>
        <w:spacing w:after="0" w:line="258" w:lineRule="auto"/>
        <w:rPr>
          <w:sz w:val="20"/>
          <w:szCs w:val="20"/>
          <w:color w:val="auto"/>
        </w:rPr>
      </w:pPr>
      <w:r>
        <w:rPr>
          <w:rFonts w:ascii="Times New Roman" w:cs="Times New Roman" w:eastAsia="Times New Roman" w:hAnsi="Times New Roman"/>
          <w:sz w:val="18"/>
          <w:szCs w:val="18"/>
          <w:color w:val="auto"/>
        </w:rPr>
        <w:t>The information included herein is based on the preliminary allocation of the purchase price using estimates of the fair value and useful lives of the assets acquired. The purchase price allocation is subject to further adjustment until all pertinent information regarding the assets acquired is fully evaluated by the Company, including but not limited to, the fair value accounting.</w:t>
      </w:r>
    </w:p>
    <w:p>
      <w:pPr>
        <w:spacing w:after="0" w:line="99" w:lineRule="exact"/>
        <w:rPr>
          <w:sz w:val="20"/>
          <w:szCs w:val="20"/>
          <w:color w:val="auto"/>
        </w:rPr>
      </w:pPr>
    </w:p>
    <w:p>
      <w:pPr>
        <w:jc w:val="both"/>
        <w:ind w:right="500" w:firstLine="397"/>
        <w:spacing w:after="0" w:line="300" w:lineRule="auto"/>
        <w:rPr>
          <w:sz w:val="20"/>
          <w:szCs w:val="20"/>
          <w:color w:val="auto"/>
        </w:rPr>
      </w:pPr>
      <w:r>
        <w:rPr>
          <w:rFonts w:ascii="Times New Roman" w:cs="Times New Roman" w:eastAsia="Times New Roman" w:hAnsi="Times New Roman"/>
          <w:sz w:val="17"/>
          <w:szCs w:val="17"/>
          <w:color w:val="auto"/>
        </w:rPr>
        <w:t>The Company has made a provisional allocation of the purchase price of the business combination to the assets acquired as of the closing date. No liabilities were assumed. The following table summarizes the preliminary purchase price allocations relating to the business combination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1" w:name="page22"/>
    <w:bookmarkEnd w:id="21"/>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consideration paid</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Earnout - current</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Earnout - long-term</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identifiable assets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br w:type="column"/>
      </w:r>
    </w:p>
    <w:p>
      <w:pPr>
        <w:ind w:left="85"/>
        <w:spacing w:after="0"/>
        <w:rPr>
          <w:sz w:val="20"/>
          <w:szCs w:val="20"/>
          <w:color w:val="auto"/>
        </w:rPr>
      </w:pPr>
      <w:r>
        <w:rPr>
          <w:rFonts w:ascii="Times New Roman" w:cs="Times New Roman" w:eastAsia="Times New Roman" w:hAnsi="Times New Roman"/>
          <w:sz w:val="17"/>
          <w:szCs w:val="17"/>
          <w:color w:val="auto"/>
        </w:rPr>
        <w:t>Preliminary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21590</wp:posOffset>
            </wp:positionV>
            <wp:extent cx="7118350"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8350" cy="151130"/>
                    </a:xfrm>
                    <a:prstGeom prst="rect">
                      <a:avLst/>
                    </a:prstGeom>
                    <a:noFill/>
                  </pic:spPr>
                </pic:pic>
              </a:graphicData>
            </a:graphic>
          </wp:anchor>
        </w:drawing>
      </w:r>
    </w:p>
    <w:p>
      <w:pPr>
        <w:spacing w:after="0" w:line="22" w:lineRule="exact"/>
        <w:rPr>
          <w:sz w:val="20"/>
          <w:szCs w:val="20"/>
          <w:color w:val="auto"/>
        </w:rPr>
      </w:pPr>
    </w:p>
    <w:p>
      <w:pPr>
        <w:ind w:left="1265" w:hanging="1265"/>
        <w:spacing w:after="0"/>
        <w:tabs>
          <w:tab w:leader="none" w:pos="126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3,743</w:t>
      </w:r>
    </w:p>
    <w:p>
      <w:pPr>
        <w:spacing w:after="0" w:line="33" w:lineRule="exact"/>
        <w:rPr>
          <w:rFonts w:ascii="Times New Roman" w:cs="Times New Roman" w:eastAsia="Times New Roman" w:hAnsi="Times New Roman"/>
          <w:sz w:val="17"/>
          <w:szCs w:val="17"/>
          <w:color w:val="auto"/>
        </w:rPr>
      </w:pPr>
    </w:p>
    <w:p>
      <w:pPr>
        <w:ind w:left="14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w:t>
      </w:r>
    </w:p>
    <w:p>
      <w:pPr>
        <w:spacing w:after="0" w:line="29" w:lineRule="exact"/>
        <w:rPr>
          <w:rFonts w:ascii="Times New Roman" w:cs="Times New Roman" w:eastAsia="Times New Roman" w:hAnsi="Times New Roman"/>
          <w:sz w:val="17"/>
          <w:szCs w:val="17"/>
          <w:color w:val="auto"/>
        </w:rPr>
      </w:pPr>
    </w:p>
    <w:p>
      <w:pPr>
        <w:ind w:left="14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-123190</wp:posOffset>
            </wp:positionV>
            <wp:extent cx="711835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0" cy="151130"/>
                    </a:xfrm>
                    <a:prstGeom prst="rect">
                      <a:avLst/>
                    </a:prstGeom>
                    <a:noFill/>
                  </pic:spPr>
                </pic:pic>
              </a:graphicData>
            </a:graphic>
          </wp:anchor>
        </w:drawing>
      </w:r>
    </w:p>
    <w:p>
      <w:pPr>
        <w:spacing w:after="0" w:line="18" w:lineRule="exact"/>
        <w:rPr>
          <w:sz w:val="20"/>
          <w:szCs w:val="20"/>
          <w:color w:val="auto"/>
        </w:rPr>
      </w:pPr>
    </w:p>
    <w:p>
      <w:pPr>
        <w:ind w:left="1265" w:hanging="1265"/>
        <w:spacing w:after="0"/>
        <w:tabs>
          <w:tab w:leader="none" w:pos="12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163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46990</wp:posOffset>
            </wp:positionV>
            <wp:extent cx="1116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405" w:hanging="1405"/>
        <w:spacing w:after="0"/>
        <w:tabs>
          <w:tab w:leader="none" w:pos="140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321</w:t>
      </w:r>
    </w:p>
    <w:p>
      <w:pPr>
        <w:spacing w:after="0" w:line="33" w:lineRule="exact"/>
        <w:rPr>
          <w:rFonts w:ascii="Times New Roman" w:cs="Times New Roman" w:eastAsia="Times New Roman" w:hAnsi="Times New Roman"/>
          <w:sz w:val="17"/>
          <w:szCs w:val="17"/>
          <w:color w:val="auto"/>
        </w:rPr>
      </w:pPr>
    </w:p>
    <w:p>
      <w:pPr>
        <w:ind w:left="14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-265430</wp:posOffset>
            </wp:positionV>
            <wp:extent cx="711835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-130175</wp:posOffset>
            </wp:positionV>
            <wp:extent cx="7118350" cy="151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8350" cy="151130"/>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14605</wp:posOffset>
            </wp:positionV>
            <wp:extent cx="7118350" cy="167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8350" cy="167640"/>
                    </a:xfrm>
                    <a:prstGeom prst="rect">
                      <a:avLst/>
                    </a:prstGeom>
                    <a:noFill/>
                  </pic:spPr>
                </pic:pic>
              </a:graphicData>
            </a:graphic>
          </wp:anchor>
        </w:drawing>
      </w:r>
    </w:p>
    <w:p>
      <w:pPr>
        <w:spacing w:after="0" w:line="11" w:lineRule="exact"/>
        <w:rPr>
          <w:sz w:val="20"/>
          <w:szCs w:val="20"/>
          <w:color w:val="auto"/>
        </w:rPr>
      </w:pPr>
    </w:p>
    <w:p>
      <w:pPr>
        <w:ind w:left="1405" w:hanging="1405"/>
        <w:spacing w:after="0"/>
        <w:tabs>
          <w:tab w:leader="none" w:pos="140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16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55" w:space="720"/>
            <w:col w:w="1765"/>
          </w:cols>
          <w:pgMar w:left="320" w:top="1060" w:right="339" w:bottom="1440" w:gutter="0" w:footer="0" w:header="0"/>
        </w:sectPr>
      </w:pPr>
    </w:p>
    <w:p>
      <w:pPr>
        <w:spacing w:after="0" w:line="94" w:lineRule="exact"/>
        <w:rPr>
          <w:sz w:val="20"/>
          <w:szCs w:val="20"/>
          <w:color w:val="auto"/>
        </w:rPr>
      </w:pPr>
    </w:p>
    <w:p>
      <w:pPr>
        <w:jc w:val="both"/>
        <w:ind w:right="260" w:firstLine="397"/>
        <w:spacing w:after="0" w:line="258" w:lineRule="auto"/>
        <w:rPr>
          <w:sz w:val="20"/>
          <w:szCs w:val="20"/>
          <w:color w:val="auto"/>
        </w:rPr>
      </w:pPr>
      <w:r>
        <w:rPr>
          <w:rFonts w:ascii="Times New Roman" w:cs="Times New Roman" w:eastAsia="Times New Roman" w:hAnsi="Times New Roman"/>
          <w:sz w:val="18"/>
          <w:szCs w:val="18"/>
          <w:color w:val="auto"/>
        </w:rPr>
        <w:t>The earnout payments are contingent upon revenue targets of the Company for the fiscal year ending June 30, 2026, as well as LoveBiome standalone revenue targets ending on the first and second anniversaries of the closing date. The fair value of the earnout was estimated using a Monte Carlo simulation option method.</w:t>
      </w:r>
    </w:p>
    <w:p>
      <w:pPr>
        <w:spacing w:after="0" w:line="112" w:lineRule="exact"/>
        <w:rPr>
          <w:sz w:val="20"/>
          <w:szCs w:val="20"/>
          <w:color w:val="auto"/>
        </w:rPr>
      </w:pPr>
    </w:p>
    <w:p>
      <w:pPr>
        <w:ind w:right="160" w:firstLine="397"/>
        <w:spacing w:after="0" w:line="250" w:lineRule="auto"/>
        <w:rPr>
          <w:sz w:val="20"/>
          <w:szCs w:val="20"/>
          <w:color w:val="auto"/>
        </w:rPr>
      </w:pPr>
      <w:r>
        <w:rPr>
          <w:rFonts w:ascii="Times New Roman" w:cs="Times New Roman" w:eastAsia="Times New Roman" w:hAnsi="Times New Roman"/>
          <w:sz w:val="18"/>
          <w:szCs w:val="18"/>
          <w:color w:val="auto"/>
        </w:rPr>
        <w:t>The assets acquired were recognized at their estimated acquisition-date fair values, with goodwill representing the excess of the purchase price over the fair value of the identifiable assets acquired. The purchase price includes the fair values of other assets that were not identifiable, not separately recognizable under GAAP (e.g., assembled workforce) or of immaterial value. The goodwill of $0.5 million arising from the acquisition consists largely of the synergies and economies of scale expected from combining the operations of the Company and LoveBiome. All of the goodwill was assigned to the single operating segment. Part of the goodwill recognized will be amortized for tax purposes and more may become amortizable as the earnouts are paid. In addition, certain legal costs have been capitalized as goodwill for tax purposes and are being amortized.</w:t>
      </w:r>
    </w:p>
    <w:p>
      <w:pPr>
        <w:spacing w:after="0" w:line="108" w:lineRule="exact"/>
        <w:rPr>
          <w:sz w:val="20"/>
          <w:szCs w:val="20"/>
          <w:color w:val="auto"/>
        </w:rPr>
      </w:pPr>
    </w:p>
    <w:p>
      <w:pPr>
        <w:ind w:right="260" w:firstLine="397"/>
        <w:spacing w:after="0" w:line="270" w:lineRule="auto"/>
        <w:rPr>
          <w:sz w:val="20"/>
          <w:szCs w:val="20"/>
          <w:color w:val="auto"/>
        </w:rPr>
      </w:pPr>
      <w:r>
        <w:rPr>
          <w:rFonts w:ascii="Times New Roman" w:cs="Times New Roman" w:eastAsia="Times New Roman" w:hAnsi="Times New Roman"/>
          <w:sz w:val="18"/>
          <w:szCs w:val="18"/>
          <w:color w:val="auto"/>
        </w:rPr>
        <w:t>Under ASC 740, the Company is required to recognize part of the identified goodwill as deferred taxes. Therefore, the carrying value of goodwill was reduced to $472,000 and $50,000 was recorded to deferred taxes as of December 31, 2025.</w:t>
      </w:r>
    </w:p>
    <w:p>
      <w:pPr>
        <w:spacing w:after="0" w:line="103" w:lineRule="exact"/>
        <w:rPr>
          <w:sz w:val="20"/>
          <w:szCs w:val="20"/>
          <w:color w:val="auto"/>
        </w:rPr>
      </w:pPr>
    </w:p>
    <w:p>
      <w:pPr>
        <w:ind w:firstLine="397"/>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recorded a change in fair value of the estimated earnout consideration to be achieved (as a result of lower than forecasted revenue performance). This change in estimate resulted in a reversal of $0.3 million and is recorded in selling, general, and administrative expenses. As of December 31, 2025, the total estimated earnout was $0.2 million.</w:t>
      </w:r>
    </w:p>
    <w:p>
      <w:pPr>
        <w:spacing w:after="0" w:line="112" w:lineRule="exact"/>
        <w:rPr>
          <w:sz w:val="20"/>
          <w:szCs w:val="20"/>
          <w:color w:val="auto"/>
        </w:rPr>
      </w:pPr>
    </w:p>
    <w:p>
      <w:pPr>
        <w:ind w:right="100" w:firstLine="397"/>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December 31, 2025, the Company incurred approximately $34,000 and $0.2 million, respectively, in acquisition-related costs associated with the LoveBiome transaction, which are recorded in selling, general, and administrative expenses in the Company's consolidated statements of operations.</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connection with the acquisition of LoveBiome, the Company identified and valued the following intangible assets:</w:t>
      </w:r>
    </w:p>
    <w:p>
      <w:pPr>
        <w:sectPr>
          <w:pgSz w:w="11900" w:h="16838" w:orient="portrait"/>
          <w:cols w:equalWidth="0" w:num="1">
            <w:col w:w="11240"/>
          </w:cols>
          <w:pgMar w:left="320" w:top="1060" w:right="339" w:bottom="1440" w:gutter="0" w:footer="0" w:header="0"/>
          <w:type w:val="continuous"/>
        </w:sect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18350" cy="15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8350" cy="15113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Know-how</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Distributor sales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1835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acquired identifiable intangible assets</w:t>
      </w:r>
      <w:r>
        <w:rPr>
          <w:rFonts w:ascii="Times New Roman" w:cs="Times New Roman" w:eastAsia="Times New Roman" w:hAnsi="Times New Roman"/>
          <w:sz w:val="22"/>
          <w:szCs w:val="22"/>
          <w:color w:val="auto"/>
          <w:vertAlign w:val="superscript"/>
        </w:rPr>
        <w:t>(1)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fair value was determined using Level 3 assumptions.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760" w:type="dxa"/>
            <w:vAlign w:val="bottom"/>
          </w:tcPr>
          <w:p>
            <w:pPr>
              <w:spacing w:after="0"/>
              <w:rPr>
                <w:sz w:val="18"/>
                <w:szCs w:val="18"/>
                <w:color w:val="auto"/>
              </w:rPr>
            </w:pPr>
          </w:p>
        </w:tc>
      </w:tr>
      <w:tr>
        <w:trPr>
          <w:trHeight w:val="238"/>
        </w:trPr>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Useful Life (Years)</w:t>
            </w:r>
          </w:p>
        </w:tc>
      </w:tr>
      <w:tr>
        <w:trPr>
          <w:trHeight w:val="213"/>
        </w:trPr>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25"/>
        </w:trPr>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29"/>
        </w:trPr>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1116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ind w:left="1280" w:hanging="126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116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1116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6880" w:space="720"/>
            <w:col w:w="3640"/>
          </w:cols>
          <w:pgMar w:left="320" w:top="1060" w:right="339" w:bottom="1440" w:gutter="0" w:footer="0" w:header="0"/>
          <w:type w:val="continuous"/>
        </w:sectPr>
      </w:pPr>
    </w:p>
    <w:p>
      <w:pPr>
        <w:jc w:val="both"/>
        <w:ind w:right="40" w:firstLine="397"/>
        <w:spacing w:after="0" w:line="242" w:lineRule="auto"/>
        <w:rPr>
          <w:sz w:val="20"/>
          <w:szCs w:val="20"/>
          <w:color w:val="auto"/>
        </w:rPr>
      </w:pPr>
      <w:r>
        <w:rPr>
          <w:rFonts w:ascii="Times New Roman" w:cs="Times New Roman" w:eastAsia="Times New Roman" w:hAnsi="Times New Roman"/>
          <w:sz w:val="18"/>
          <w:szCs w:val="18"/>
          <w:color w:val="auto"/>
        </w:rPr>
        <w:t>The fair values of the trade name and know-how were determined based on the relief-from-royalty method, a form of the income approach, using royalty rates of 1.5% and 1.0%, respectively. The fair value of the distributor sales force was estimated based on the present value of incremental after-tax cash flows, discounted at 28.5%.</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related to acquired intangible assets was $0.1 million for the three and six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22" w:name="page23"/>
    <w:bookmarkEnd w:id="22"/>
    <w:p>
      <w:pPr>
        <w:ind w:right="580" w:firstLine="397"/>
        <w:spacing w:after="0" w:line="255" w:lineRule="auto"/>
        <w:rPr>
          <w:sz w:val="20"/>
          <w:szCs w:val="20"/>
          <w:color w:val="auto"/>
        </w:rPr>
      </w:pPr>
      <w:r>
        <w:rPr>
          <w:rFonts w:ascii="Times New Roman" w:cs="Times New Roman" w:eastAsia="Times New Roman" w:hAnsi="Times New Roman"/>
          <w:sz w:val="18"/>
          <w:szCs w:val="18"/>
          <w:color w:val="auto"/>
        </w:rPr>
        <w:t>Total revenue and net income of LoveBiome from the date of acquisition to December 31, 2025 were not material to the Company’s consolidated financial statements.</w:t>
      </w:r>
    </w:p>
    <w:p>
      <w:pPr>
        <w:spacing w:after="0" w:line="113" w:lineRule="exact"/>
        <w:rPr>
          <w:sz w:val="20"/>
          <w:szCs w:val="20"/>
          <w:color w:val="auto"/>
        </w:rPr>
      </w:pPr>
    </w:p>
    <w:p>
      <w:pPr>
        <w:ind w:right="3960"/>
        <w:spacing w:after="0" w:line="40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firstLine="397"/>
        <w:spacing w:after="0" w:line="250" w:lineRule="auto"/>
        <w:rPr>
          <w:sz w:val="20"/>
          <w:szCs w:val="20"/>
          <w:color w:val="auto"/>
        </w:rPr>
      </w:pPr>
      <w:r>
        <w:rPr>
          <w:rFonts w:ascii="Times New Roman" w:cs="Times New Roman" w:eastAsia="Times New Roman" w:hAnsi="Times New Roman"/>
          <w:sz w:val="18"/>
          <w:szCs w:val="18"/>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weight management products, pre- and pro-biotics, skin and hair care products, and nootropics. We currently sell our products to customers and independent consultants in two geographic regions that we have classified as the Americas region and the Asia/Pacific and Europe region.</w:t>
      </w:r>
    </w:p>
    <w:p>
      <w:pPr>
        <w:spacing w:after="0" w:line="108" w:lineRule="exact"/>
        <w:rPr>
          <w:sz w:val="20"/>
          <w:szCs w:val="20"/>
          <w:color w:val="auto"/>
        </w:rPr>
      </w:pPr>
    </w:p>
    <w:p>
      <w:pPr>
        <w:jc w:val="both"/>
        <w:ind w:right="120" w:firstLine="397"/>
        <w:spacing w:after="0" w:line="258" w:lineRule="auto"/>
        <w:rPr>
          <w:sz w:val="20"/>
          <w:szCs w:val="20"/>
          <w:color w:val="auto"/>
        </w:rPr>
      </w:pPr>
      <w:r>
        <w:rPr>
          <w:rFonts w:ascii="Times New Roman" w:cs="Times New Roman" w:eastAsia="Times New Roman" w:hAnsi="Times New Roman"/>
          <w:sz w:val="18"/>
          <w:szCs w:val="18"/>
          <w:color w:val="auto"/>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spacing w:after="0" w:line="109" w:lineRule="exact"/>
        <w:rPr>
          <w:sz w:val="20"/>
          <w:szCs w:val="20"/>
          <w:color w:val="auto"/>
        </w:rPr>
      </w:pPr>
    </w:p>
    <w:p>
      <w:pPr>
        <w:ind w:left="640" w:hanging="317"/>
        <w:spacing w:after="0" w:line="204"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including our flagship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family of scientifically validated dietary supplements, our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family of dietary supplements that include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Omega+, ProBio,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Rise AM &amp; Reset PM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D3+, and Daily Wellness, our PhysIQ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 Burn and Prebiotic dietary supplements, our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skin and hair care products and Liquid Collagen, 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companion pet supplement formulated to combat oxidative stress in dogs; 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nootropic energy drink mixes;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 a dietary supplement acquired pursuant to the purchase of LoveBiome’s critical assets formulated to support gut health.</w:t>
      </w:r>
    </w:p>
    <w:p>
      <w:pPr>
        <w:spacing w:after="0" w:line="13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compensation plan and other sales initiatives and incentives; and</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150" w:lineRule="exact"/>
        <w:rPr>
          <w:sz w:val="20"/>
          <w:szCs w:val="20"/>
          <w:color w:val="auto"/>
        </w:rPr>
      </w:pPr>
    </w:p>
    <w:p>
      <w:pPr>
        <w:ind w:right="240" w:firstLine="397"/>
        <w:spacing w:after="0" w:line="249"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Iceland.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 On June 30, 2025, we ceased operations in the Philippines and closed that market. In September 2025, we commenced operations in Iceland.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39" w:lineRule="exact"/>
        <w:rPr>
          <w:sz w:val="20"/>
          <w:szCs w:val="20"/>
          <w:color w:val="auto"/>
        </w:rPr>
      </w:pPr>
    </w:p>
    <w:p>
      <w:pPr>
        <w:ind w:right="160" w:firstLine="397"/>
        <w:spacing w:after="0" w:line="216" w:lineRule="auto"/>
        <w:rPr>
          <w:sz w:val="20"/>
          <w:szCs w:val="20"/>
          <w:color w:val="auto"/>
        </w:rPr>
      </w:pPr>
      <w:r>
        <w:rPr>
          <w:rFonts w:ascii="Times New Roman" w:cs="Times New Roman" w:eastAsia="Times New Roman" w:hAnsi="Times New Roman"/>
          <w:sz w:val="18"/>
          <w:szCs w:val="18"/>
          <w:color w:val="auto"/>
        </w:rPr>
        <w:t>Our products are: the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scientifically validated dietary supplements; the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dietary supplements that include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Omega+, ProBio,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Rise AM &amp; Reset PM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D3+, and Daily Wellness; the PhysIQ Fat Burn and Prebiotic dietary supplements; the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skin and hair care products and Liquid Collagen; the 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companion pet supplement formulated to combat oxidative stress in dogs; 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nootropic energy drink mixes;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 a dietary supplement acquired pursuant to the purchase of LoveBiome’s critical assets formulated to support gut health. We believe the significant number of customers who regularly and repeatedly purchase our products is a strong indicator of the health benefits of our products.</w:t>
      </w:r>
    </w:p>
    <w:p>
      <w:pPr>
        <w:spacing w:after="0" w:line="128" w:lineRule="exact"/>
        <w:rPr>
          <w:sz w:val="20"/>
          <w:szCs w:val="20"/>
          <w:color w:val="auto"/>
        </w:rPr>
      </w:pPr>
    </w:p>
    <w:p>
      <w:pPr>
        <w:ind w:firstLine="397"/>
        <w:spacing w:after="0" w:line="238" w:lineRule="auto"/>
        <w:rPr>
          <w:sz w:val="20"/>
          <w:szCs w:val="20"/>
          <w:color w:val="auto"/>
        </w:rPr>
      </w:pPr>
      <w:r>
        <w:rPr>
          <w:rFonts w:ascii="Times New Roman" w:cs="Times New Roman" w:eastAsia="Times New Roman" w:hAnsi="Times New Roman"/>
          <w:sz w:val="17"/>
          <w:szCs w:val="17"/>
          <w:color w:val="auto"/>
        </w:rPr>
        <w:t>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product line includes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NRF1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Nrf2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NAD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NRF1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Nrf2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NAD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products together, marketed as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Tri-Synergizer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has been shown to produce synergistic benefits greater than using the single products on their own.</w:t>
      </w:r>
    </w:p>
    <w:p>
      <w:pPr>
        <w:spacing w:after="0" w:line="59" w:lineRule="exact"/>
        <w:rPr>
          <w:sz w:val="20"/>
          <w:szCs w:val="20"/>
          <w:color w:val="auto"/>
        </w:rPr>
      </w:pPr>
    </w:p>
    <w:p>
      <w:pPr>
        <w:ind w:right="400" w:firstLine="397"/>
        <w:spacing w:after="0" w:line="246" w:lineRule="auto"/>
        <w:rPr>
          <w:sz w:val="20"/>
          <w:szCs w:val="20"/>
          <w:color w:val="auto"/>
        </w:rPr>
      </w:pPr>
      <w:r>
        <w:rPr>
          <w:rFonts w:ascii="Times New Roman" w:cs="Times New Roman" w:eastAsia="Times New Roman" w:hAnsi="Times New Roman"/>
          <w:sz w:val="18"/>
          <w:szCs w:val="18"/>
          <w:color w:val="auto"/>
        </w:rPr>
        <w:t>The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 includes: the new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dietary supplement that combines two products MB Core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MB Enhance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designed to support weight loss and wellness by activating GLP-1 naturally and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23" w:name="page24"/>
    <w:bookmarkEnd w:id="23"/>
    <w:p>
      <w:pPr>
        <w:ind w:right="40"/>
        <w:spacing w:after="0" w:line="233" w:lineRule="auto"/>
        <w:rPr>
          <w:sz w:val="20"/>
          <w:szCs w:val="20"/>
          <w:color w:val="auto"/>
        </w:rPr>
      </w:pPr>
      <w:r>
        <w:rPr>
          <w:rFonts w:ascii="Times New Roman" w:cs="Times New Roman" w:eastAsia="Times New Roman" w:hAnsi="Times New Roman"/>
          <w:sz w:val="18"/>
          <w:szCs w:val="18"/>
          <w:color w:val="auto"/>
        </w:rPr>
        <w:t>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dietary supplement to help support eye and brain health, reduce eye fatigue and strain, support cognitive functions, and may help support normal sleep patterns; the Rise AM &amp; Reset PM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dietary supplement that uses Timewise Nutrient Delivery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to provide the body with the right nutrients in the right amounts at the right time and D3+, a dietary supplement that provides vitamin D3, vitamin K2, magnesium, calcium, and other trace minerals to support a balanced immune system, strong bones, and cardiovascular health.</w:t>
      </w:r>
    </w:p>
    <w:p>
      <w:pPr>
        <w:spacing w:after="0" w:line="117" w:lineRule="exact"/>
        <w:rPr>
          <w:sz w:val="20"/>
          <w:szCs w:val="20"/>
          <w:color w:val="auto"/>
        </w:rPr>
      </w:pPr>
    </w:p>
    <w:p>
      <w:pPr>
        <w:ind w:right="60" w:firstLine="397"/>
        <w:spacing w:after="0" w:line="229" w:lineRule="auto"/>
        <w:rPr>
          <w:sz w:val="20"/>
          <w:szCs w:val="20"/>
          <w:color w:val="auto"/>
        </w:rPr>
      </w:pPr>
      <w:r>
        <w:rPr>
          <w:rFonts w:ascii="Times New Roman" w:cs="Times New Roman" w:eastAsia="Times New Roman" w:hAnsi="Times New Roman"/>
          <w:sz w:val="18"/>
          <w:szCs w:val="18"/>
          <w:color w:val="auto"/>
        </w:rPr>
        <w:t>PhysIQ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 Burn is a dietary supplement designed to support weight management, and PhysIQ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Prebiotic is a dietary supplement designed to support a healthy digestive tract.</w:t>
      </w:r>
    </w:p>
    <w:p>
      <w:pPr>
        <w:spacing w:after="0" w:line="126" w:lineRule="exact"/>
        <w:rPr>
          <w:sz w:val="20"/>
          <w:szCs w:val="20"/>
          <w:color w:val="auto"/>
        </w:rPr>
      </w:pPr>
    </w:p>
    <w:p>
      <w:pPr>
        <w:ind w:right="120" w:firstLine="397"/>
        <w:spacing w:after="0" w:line="212" w:lineRule="auto"/>
        <w:rPr>
          <w:sz w:val="20"/>
          <w:szCs w:val="20"/>
          <w:color w:val="auto"/>
        </w:rPr>
      </w:pPr>
      <w:r>
        <w:rPr>
          <w:rFonts w:ascii="Times New Roman" w:cs="Times New Roman" w:eastAsia="Times New Roman" w:hAnsi="Times New Roman"/>
          <w:sz w:val="18"/>
          <w:szCs w:val="18"/>
          <w:color w:val="auto"/>
        </w:rPr>
        <w:t>Our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skin and hair care products includes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TrueClean Refining Cleanser,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TrueRenew Daily Firming Complex,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TrueLift Illuminating Eye Cream,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TrueHydrate Brightening Moisturizer,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TrueTone Perfecting Lotion,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TrueProtect Daily Mineral Sunstick SPF 30,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Perfecting Lotion,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Hand Cream,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Invigorating Shampoo,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Nourishing Conditioner,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Scalp Serum, and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Liquid Collagen, a dietary supplement that activates, replenishes, and maintains collagen to support firmness and elasticity from within.</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is a supplement specially formulated to combat oxidative stress in dogs through Nrf2 activation.</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is our line of our nootropic energy drink mixes formulated to promote alertness and support mental performance.</w:t>
      </w:r>
    </w:p>
    <w:p>
      <w:pPr>
        <w:spacing w:after="0" w:line="101" w:lineRule="exact"/>
        <w:rPr>
          <w:sz w:val="20"/>
          <w:szCs w:val="20"/>
          <w:color w:val="auto"/>
        </w:rPr>
      </w:pPr>
    </w:p>
    <w:p>
      <w:pPr>
        <w:ind w:right="300" w:firstLine="397"/>
        <w:spacing w:after="0" w:line="231" w:lineRule="auto"/>
        <w:rPr>
          <w:sz w:val="20"/>
          <w:szCs w:val="20"/>
          <w:color w:val="auto"/>
        </w:rPr>
      </w:pPr>
      <w:r>
        <w:rPr>
          <w:rFonts w:ascii="Times New Roman" w:cs="Times New Roman" w:eastAsia="Times New Roman" w:hAnsi="Times New Roman"/>
          <w:sz w:val="18"/>
          <w:szCs w:val="18"/>
          <w:color w:val="auto"/>
        </w:rPr>
        <w:t>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 is a dietary supplement acquired pursuant to the purchase of LoveBiome’s critical assets formulated to activate 14 key peptides that regulate, repair, and restore gut health.</w:t>
      </w:r>
    </w:p>
    <w:p>
      <w:pPr>
        <w:spacing w:after="0" w:line="128" w:lineRule="exact"/>
        <w:rPr>
          <w:sz w:val="20"/>
          <w:szCs w:val="20"/>
          <w:color w:val="auto"/>
        </w:rPr>
      </w:pPr>
    </w:p>
    <w:p>
      <w:pPr>
        <w:ind w:right="60" w:firstLine="397"/>
        <w:spacing w:after="0" w:line="231" w:lineRule="auto"/>
        <w:rPr>
          <w:sz w:val="20"/>
          <w:szCs w:val="20"/>
          <w:color w:val="auto"/>
        </w:rPr>
      </w:pPr>
      <w:r>
        <w:rPr>
          <w:rFonts w:ascii="Times New Roman" w:cs="Times New Roman" w:eastAsia="Times New Roman" w:hAnsi="Times New Roman"/>
          <w:sz w:val="18"/>
          <w:szCs w:val="18"/>
          <w:color w:val="auto"/>
        </w:rPr>
        <w:t>We sell our products both individually and in stacks. A stack consists of multiple products bundled together that are designed to achieve a specific result. In fiscal year 2025, our stack strategy continued to focus on the brand message of activation. During the year, we introduced a number of new stacks to meet customer and independent consultant needs. Prior to the launch of our latest activator,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 we introduced the Kickstart Bundle, which features a selection of products (varies by market) to help prepare the body for GLP-1 activation. Additionally, several stacks were introduced that incorporated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to offer consumers support for weight management and wellness along with delivering other targeted benefits as part of their activated lifestyle.</w:t>
      </w:r>
    </w:p>
    <w:p>
      <w:pPr>
        <w:spacing w:after="0" w:line="117" w:lineRule="exact"/>
        <w:rPr>
          <w:sz w:val="20"/>
          <w:szCs w:val="20"/>
          <w:color w:val="auto"/>
        </w:rPr>
      </w:pPr>
    </w:p>
    <w:p>
      <w:pPr>
        <w:ind w:right="20" w:firstLine="397"/>
        <w:spacing w:after="0" w:line="250" w:lineRule="auto"/>
        <w:rPr>
          <w:sz w:val="20"/>
          <w:szCs w:val="20"/>
          <w:color w:val="auto"/>
        </w:rPr>
      </w:pPr>
      <w:r>
        <w:rPr>
          <w:rFonts w:ascii="Times New Roman" w:cs="Times New Roman" w:eastAsia="Times New Roman" w:hAnsi="Times New Roman"/>
          <w:sz w:val="17"/>
          <w:szCs w:val="17"/>
          <w:color w:val="auto"/>
        </w:rPr>
        <w:t>We also introduced our Healthy Weight Stack, which includes the MindBody GLP-1 System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Nrf2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Results of an in vitro study were released that showed beneficial “activation synergies” when both products were used together, including enhanced fatty acid metabolism, improved defense against oxidative stress, and activation of 22 new genes that help cells make what they need to support organ strength, structure, and signaling.</w:t>
      </w:r>
    </w:p>
    <w:p>
      <w:pPr>
        <w:spacing w:after="0" w:line="119" w:lineRule="exact"/>
        <w:rPr>
          <w:sz w:val="20"/>
          <w:szCs w:val="20"/>
          <w:color w:val="auto"/>
        </w:rPr>
      </w:pPr>
    </w:p>
    <w:p>
      <w:pPr>
        <w:ind w:firstLine="397"/>
        <w:spacing w:after="0" w:line="228" w:lineRule="auto"/>
        <w:rPr>
          <w:sz w:val="20"/>
          <w:szCs w:val="20"/>
          <w:color w:val="auto"/>
        </w:rPr>
      </w:pPr>
      <w:r>
        <w:rPr>
          <w:rFonts w:ascii="Times New Roman" w:cs="Times New Roman" w:eastAsia="Times New Roman" w:hAnsi="Times New Roman"/>
          <w:sz w:val="18"/>
          <w:szCs w:val="18"/>
          <w:color w:val="auto"/>
        </w:rPr>
        <w:t>Subsequent to acquiring the critical assets of LoveBiome, we introduced our Healthy Edge Stack, which includes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 and our Healthy Edge + MindBody GLP-1 System Stack, which includes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P84.</w:t>
      </w:r>
    </w:p>
    <w:p>
      <w:pPr>
        <w:spacing w:after="0" w:line="62" w:lineRule="exact"/>
        <w:rPr>
          <w:sz w:val="20"/>
          <w:szCs w:val="20"/>
          <w:color w:val="auto"/>
        </w:rPr>
      </w:pPr>
    </w:p>
    <w:p>
      <w:pPr>
        <w:ind w:right="280" w:firstLine="397"/>
        <w:spacing w:after="0" w:line="270" w:lineRule="auto"/>
        <w:rPr>
          <w:sz w:val="20"/>
          <w:szCs w:val="20"/>
          <w:color w:val="auto"/>
        </w:rPr>
      </w:pPr>
      <w:r>
        <w:rPr>
          <w:rFonts w:ascii="Times New Roman" w:cs="Times New Roman" w:eastAsia="Times New Roman" w:hAnsi="Times New Roman"/>
          <w:sz w:val="18"/>
          <w:szCs w:val="18"/>
          <w:color w:val="auto"/>
        </w:rPr>
        <w:t>We continue to offer other popular stacks with products that complement one another with inner activation power for internal benefits that can be felt, external benefits that can be seen, or both.</w:t>
      </w:r>
    </w:p>
    <w:p>
      <w:pPr>
        <w:spacing w:after="0" w:line="90" w:lineRule="exact"/>
        <w:rPr>
          <w:sz w:val="20"/>
          <w:szCs w:val="20"/>
          <w:color w:val="auto"/>
        </w:rPr>
      </w:pPr>
    </w:p>
    <w:p>
      <w:pPr>
        <w:jc w:val="both"/>
        <w:ind w:right="160" w:firstLine="397"/>
        <w:spacing w:after="0" w:line="258" w:lineRule="auto"/>
        <w:rPr>
          <w:sz w:val="20"/>
          <w:szCs w:val="20"/>
          <w:color w:val="auto"/>
        </w:rPr>
      </w:pPr>
      <w:r>
        <w:rPr>
          <w:rFonts w:ascii="Times New Roman" w:cs="Times New Roman" w:eastAsia="Times New Roman" w:hAnsi="Times New Roman"/>
          <w:sz w:val="18"/>
          <w:szCs w:val="18"/>
          <w:color w:val="auto"/>
        </w:rPr>
        <w:t>We currently have additional products in development and additional product offerings that come with our acquisition of LoveBiome’s critical assets in October 2025. Any delays or difficulties in introducing compelling products or attractive initiatives or tools into our markets may have a negative impact on our revenue and our ability to attract new independent consultants and customers.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Plan for our Independent Consultants</w:t>
      </w:r>
    </w:p>
    <w:p>
      <w:pPr>
        <w:spacing w:after="0" w:line="152" w:lineRule="exact"/>
        <w:rPr>
          <w:sz w:val="20"/>
          <w:szCs w:val="20"/>
          <w:color w:val="auto"/>
        </w:rPr>
      </w:pPr>
    </w:p>
    <w:p>
      <w:pPr>
        <w:ind w:right="40" w:firstLine="397"/>
        <w:spacing w:after="0" w:line="250" w:lineRule="auto"/>
        <w:rPr>
          <w:sz w:val="20"/>
          <w:szCs w:val="20"/>
          <w:color w:val="auto"/>
        </w:rPr>
      </w:pPr>
      <w:r>
        <w:rPr>
          <w:rFonts w:ascii="Times New Roman" w:cs="Times New Roman" w:eastAsia="Times New Roman" w:hAnsi="Times New Roman"/>
          <w:sz w:val="18"/>
          <w:szCs w:val="18"/>
          <w:color w:val="auto"/>
        </w:rPr>
        <w:t>On March 1, 2023, we launched a new compensation plan for our independent consultants in the United States, Japan, Australia, and New Zealand markets. We refer to this compensation plan as our Evolve Compensation Plan. On February 1, 2024, we launched the Evolve Compensation Plan in the Canada, Mexico, and Europe markets. On November 1, 2024, we launched an optimized version of the Evolve Compensation Plan in the United States, Japan, Australia, New Zealand, Canada, Mexico, and Europe markets. On March 1, 2025, we launched the Evolve Compensation Plan in other markets, including Taiwan, Hong Kong, and Singapore. In September 2025, the Company launched Iceland with the Evolve Compensation Plan and plans to do the same in any new markets.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139" w:lineRule="exact"/>
        <w:rPr>
          <w:sz w:val="20"/>
          <w:szCs w:val="20"/>
          <w:color w:val="auto"/>
        </w:rPr>
      </w:pPr>
    </w:p>
    <w:p>
      <w:pPr>
        <w:ind w:right="140" w:firstLine="397"/>
        <w:spacing w:after="0" w:line="251" w:lineRule="auto"/>
        <w:rPr>
          <w:sz w:val="20"/>
          <w:szCs w:val="20"/>
          <w:color w:val="auto"/>
        </w:rPr>
      </w:pPr>
      <w:r>
        <w:rPr>
          <w:rFonts w:ascii="Times New Roman" w:cs="Times New Roman" w:eastAsia="Times New Roman" w:hAnsi="Times New Roman"/>
          <w:sz w:val="18"/>
          <w:szCs w:val="18"/>
          <w:color w:val="auto"/>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spacing w:after="0" w:line="121"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Change from</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Active Independent Consultants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Active Independent Consultants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Accounts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8"/>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Active Accounts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and Six Months Ended December 31, 2025 and 2024</w:t>
      </w:r>
    </w:p>
    <w:p>
      <w:pPr>
        <w:spacing w:after="0" w:line="148" w:lineRule="exact"/>
        <w:rPr>
          <w:sz w:val="20"/>
          <w:szCs w:val="20"/>
          <w:color w:val="auto"/>
        </w:rPr>
      </w:pPr>
    </w:p>
    <w:p>
      <w:pPr>
        <w:ind w:right="40" w:firstLine="397"/>
        <w:spacing w:after="0" w:line="238"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We generated net revenue of $48.9 million and $67.8 million during the three months ended December 31, 2025 and 2024, respectively.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generated net revenue of $96.5 million and $115.0 million during the six months ended December 31, 2025 and 2024, respectively. The decrease in revenue for the three and six months ended December 31, 2025 was primarily driven by declines in sales of our MindBody GLP-1 System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Total sales of our MindBody GLP-1 System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decreased $16.2 million and $10.6 million during the three and six months ended December 31, 2025, respectively. The decline in sales of our MindBody GLP-1 System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during the three months ended December 31, 2025 were slightly offset by sales of the LoveBiome product line, which we acquired in October 2025. Foreign currency fluctuations positively impacted our revenue by $0.2 million, or 0.3%, during the three months ended December 31, 2025. Foreign currency fluctuations positively impacted our revenue by $0.4 million, or 0.3%, during the six months ended December 31, 2025.</w:t>
      </w:r>
    </w:p>
    <w:p>
      <w:pPr>
        <w:spacing w:after="0" w:line="121" w:lineRule="exact"/>
        <w:rPr>
          <w:sz w:val="20"/>
          <w:szCs w:val="20"/>
          <w:color w:val="auto"/>
        </w:rPr>
      </w:pPr>
    </w:p>
    <w:p>
      <w:pPr>
        <w:ind w:right="820" w:firstLine="397"/>
        <w:spacing w:after="0" w:line="267"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three and six months ended December 31, 2025 and 2024 for the Americas region (in thousands):</w:t>
      </w: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jc w:val="right"/>
              <w:ind w:right="332"/>
              <w:spacing w:after="0" w:line="185"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jc w:val="right"/>
              <w:ind w:right="32"/>
              <w:spacing w:after="0" w:line="185" w:lineRule="exact"/>
              <w:rPr>
                <w:sz w:val="20"/>
                <w:szCs w:val="20"/>
                <w:color w:val="auto"/>
              </w:rPr>
            </w:pPr>
            <w:r>
              <w:rPr>
                <w:rFonts w:ascii="Times New Roman" w:cs="Times New Roman" w:eastAsia="Times New Roman" w:hAnsi="Times New Roman"/>
                <w:sz w:val="18"/>
                <w:szCs w:val="18"/>
                <w:b w:val="1"/>
                <w:bCs w:val="1"/>
                <w:color w:val="auto"/>
                <w:w w:val="97"/>
              </w:rPr>
              <w:t>Six Months Ended December</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1"/>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9"/>
        </w:trPr>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71,954</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90,649</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5"/>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43"/>
        </w:trPr>
        <w:tc>
          <w:tcPr>
            <w:tcW w:w="3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Americas 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ind w:right="120" w:firstLine="397"/>
        <w:spacing w:after="0" w:line="270" w:lineRule="auto"/>
        <w:rPr>
          <w:sz w:val="20"/>
          <w:szCs w:val="20"/>
          <w:color w:val="auto"/>
        </w:rPr>
      </w:pPr>
      <w:r>
        <w:rPr>
          <w:rFonts w:ascii="Times New Roman" w:cs="Times New Roman" w:eastAsia="Times New Roman" w:hAnsi="Times New Roman"/>
          <w:sz w:val="18"/>
          <w:szCs w:val="18"/>
          <w:color w:val="auto"/>
        </w:rPr>
        <w:t>Revenue in the Americas region for the three and six months ended December 31, 2025 decreased $18.6 million, or 32.6%, and $18.3 million or 19.5%, from the prior year periods. The decrease in revenue for the three and six months ended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5" w:name="page26"/>
    <w:bookmarkEnd w:id="25"/>
    <w:p>
      <w:pPr>
        <w:ind w:right="200"/>
        <w:spacing w:after="0" w:line="231" w:lineRule="auto"/>
        <w:rPr>
          <w:sz w:val="20"/>
          <w:szCs w:val="20"/>
          <w:color w:val="auto"/>
        </w:rPr>
      </w:pPr>
      <w:r>
        <w:rPr>
          <w:rFonts w:ascii="Times New Roman" w:cs="Times New Roman" w:eastAsia="Times New Roman" w:hAnsi="Times New Roman"/>
          <w:sz w:val="18"/>
          <w:szCs w:val="18"/>
          <w:color w:val="auto"/>
        </w:rPr>
        <w:t>December 31, 2025 was primarily driven by decreased sales of our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reductions in our total Active Accounts which decreased 25.2% compared to the prior year period.</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three and six months ended December 31, 2025 and 2024 for the Asia/Pacific &amp;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region and its principal markets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Six Months Ended December</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1"/>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9"/>
        </w:trPr>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3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in the Asia/Pacific &amp; Europe region decreased $0.2 million, or 2.1%, and $0.2 million, or 0.8%, for the three and six months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as compared to the prior year periods, respectively. Total Active Accounts in the region decreased 6.5% compared to the prior year period.</w:t>
      </w:r>
    </w:p>
    <w:p>
      <w:pPr>
        <w:spacing w:after="0" w:line="218" w:lineRule="auto"/>
        <w:rPr>
          <w:sz w:val="20"/>
          <w:szCs w:val="20"/>
          <w:color w:val="auto"/>
        </w:rPr>
      </w:pPr>
      <w:r>
        <w:rPr>
          <w:rFonts w:ascii="Times New Roman" w:cs="Times New Roman" w:eastAsia="Times New Roman" w:hAnsi="Times New Roman"/>
          <w:sz w:val="18"/>
          <w:szCs w:val="18"/>
          <w:color w:val="auto"/>
        </w:rPr>
        <w:t>In March 2025, we launched our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Japan and exclusively to our independent consultants in Australia, New Zealand, Europe,</w:t>
      </w:r>
    </w:p>
    <w:p>
      <w:pPr>
        <w:spacing w:after="0" w:line="200" w:lineRule="auto"/>
        <w:rPr>
          <w:sz w:val="20"/>
          <w:szCs w:val="20"/>
          <w:color w:val="auto"/>
        </w:rPr>
      </w:pPr>
      <w:r>
        <w:rPr>
          <w:rFonts w:ascii="Times New Roman" w:cs="Times New Roman" w:eastAsia="Times New Roman" w:hAnsi="Times New Roman"/>
          <w:sz w:val="18"/>
          <w:szCs w:val="18"/>
          <w:color w:val="auto"/>
        </w:rPr>
        <w:t>United Kingdom, Mexico and Thailand. Revenue within the Asia/Pacific &amp; Europe region from our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was $0.8 million and $2.0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for the three and six months ended December 31, 2025, respectively. Decreases in total Active Accounts and sales throughout our other product lines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contributed to an overall declines in sales for the respective periods.</w:t>
      </w:r>
    </w:p>
    <w:p>
      <w:pPr>
        <w:spacing w:after="0" w:line="119" w:lineRule="exact"/>
        <w:rPr>
          <w:sz w:val="20"/>
          <w:szCs w:val="20"/>
          <w:color w:val="auto"/>
        </w:rPr>
      </w:pPr>
    </w:p>
    <w:p>
      <w:pPr>
        <w:ind w:right="40" w:firstLine="397"/>
        <w:spacing w:after="0"/>
        <w:rPr>
          <w:sz w:val="20"/>
          <w:szCs w:val="20"/>
          <w:color w:val="auto"/>
        </w:rPr>
      </w:pPr>
      <w:r>
        <w:rPr>
          <w:rFonts w:ascii="Times New Roman" w:cs="Times New Roman" w:eastAsia="Times New Roman" w:hAnsi="Times New Roman"/>
          <w:sz w:val="18"/>
          <w:szCs w:val="18"/>
          <w:color w:val="auto"/>
        </w:rPr>
        <w:t>Overall, revenue in the Asia/Pacific &amp; Europe region was positively impacted by foreign currency exchange rate fluctuations of approximately $0.1 million, or 1.0%, and $0.3 million, or 1.4%, during the three and six months ended December 31, 2025, respectively, as compared to the prior year periods. Revenue in Japan was negatively impacted by foreign exchange rate fluctuations in the amount of approximately $0.1 million, or 1.1%, and $17,000 or 0.1%, during the three and six months ended December 31, 2025, respectively, as compared to the prior year periods. On a constant currency basis, revenue in Japan increased 0.8% and 1.67% for the three and six months ended December 31, 2025, respectively, as compared to the prior year periods. The increase in revenue on a constant currency basis in Japan during three and six months ended December 31, 2025 was due the launch of our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March 2025.</w:t>
      </w:r>
    </w:p>
    <w:p>
      <w:pPr>
        <w:spacing w:after="0" w:line="131" w:lineRule="exact"/>
        <w:rPr>
          <w:sz w:val="20"/>
          <w:szCs w:val="20"/>
          <w:color w:val="auto"/>
        </w:rPr>
      </w:pPr>
    </w:p>
    <w:p>
      <w:pPr>
        <w:ind w:right="60" w:firstLine="397"/>
        <w:spacing w:after="0" w:line="267" w:lineRule="auto"/>
        <w:rPr>
          <w:sz w:val="20"/>
          <w:szCs w:val="20"/>
          <w:color w:val="auto"/>
        </w:rPr>
      </w:pPr>
      <w:r>
        <w:rPr>
          <w:rFonts w:ascii="Times New Roman" w:cs="Times New Roman" w:eastAsia="Times New Roman" w:hAnsi="Times New Roman"/>
          <w:sz w:val="18"/>
          <w:szCs w:val="18"/>
          <w:color w:val="auto"/>
        </w:rPr>
        <w:t>Globally, our sales and marketing efforts continue to be directed toward strengthening our core business through our fiscal year initiatives and building our worldwide sales. We plan to continue the refinement and expansion of our product offerings internationally, including our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LoveBiome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product lines during the remainder of fiscal year 2026 and beyond.</w:t>
      </w:r>
    </w:p>
    <w:p>
      <w:pPr>
        <w:spacing w:after="0" w:line="36" w:lineRule="exact"/>
        <w:rPr>
          <w:sz w:val="20"/>
          <w:szCs w:val="20"/>
          <w:color w:val="auto"/>
        </w:rPr>
      </w:pPr>
    </w:p>
    <w:p>
      <w:pPr>
        <w:ind w:right="260" w:firstLine="397"/>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were $12.7 million and $13.2 million for the three months ended December 31, 2025 and 2024, respectively, resulting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profit percentages of 74.0% and 80.5%, respectively. Cost of sales were $22.5 million and $22.7 million for the six months ended December 31, 2025 and 2024, respectively, resulting in gross profit percentages of 76.7% and 80.3%, respectively. The increase in cost of sales as a percentage of revenue is primarily due to increases in inventory obsolescence costs related to our MindBody GLP-1 System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of $2.4 million along with increases in shipping and warehouse expenses during the three and six months ended December 31, 2025.</w:t>
      </w:r>
    </w:p>
    <w:p>
      <w:pPr>
        <w:spacing w:after="0" w:line="113" w:lineRule="exact"/>
        <w:rPr>
          <w:sz w:val="20"/>
          <w:szCs w:val="20"/>
          <w:color w:val="auto"/>
        </w:rPr>
      </w:pPr>
    </w:p>
    <w:p>
      <w:pPr>
        <w:ind w:right="40" w:firstLine="39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during the three months ended December 31, 2025 were $19.9 million, or 40.7%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 compared to $32.5 million, or 48.0% of revenue, for the three months ended December 31, 2024. Commissions and incentives expenses during the six months ended December 31, 2025 were $40.6 million, or 42.1% of revenue, as compared to $52.8 million, or 45.9% of revenue, for the six months ended December 31, 2024. The decrease in commissions and incentives expenses as a percentage of revenue compared to the prior year periods is primarily due to the timing and magnitude of promotional and incentive programs and changes to the mix of customers and independent consultants in our overall Active Accounts.</w:t>
      </w:r>
    </w:p>
    <w:p>
      <w:pPr>
        <w:spacing w:after="0" w:line="123" w:lineRule="exact"/>
        <w:rPr>
          <w:sz w:val="20"/>
          <w:szCs w:val="20"/>
          <w:color w:val="auto"/>
        </w:rPr>
      </w:pPr>
    </w:p>
    <w:p>
      <w:pPr>
        <w:ind w:right="100" w:firstLine="397"/>
        <w:spacing w:after="0" w:line="270" w:lineRule="auto"/>
        <w:rPr>
          <w:sz w:val="20"/>
          <w:szCs w:val="20"/>
          <w:color w:val="auto"/>
        </w:rPr>
      </w:pPr>
      <w:r>
        <w:rPr>
          <w:rFonts w:ascii="Times New Roman" w:cs="Times New Roman" w:eastAsia="Times New Roman" w:hAnsi="Times New Roman"/>
          <w:sz w:val="18"/>
          <w:szCs w:val="18"/>
          <w:color w:val="auto"/>
        </w:rPr>
        <w:t>Commissions and incentives expenses, as a percentage of revenue, may fluctuate in future periods based on our ability to hold incentive trips and events and the timing and magnitude of compensation, incentive and promotional programs.</w:t>
      </w:r>
    </w:p>
    <w:p>
      <w:pPr>
        <w:spacing w:after="0" w:line="101" w:lineRule="exact"/>
        <w:rPr>
          <w:sz w:val="20"/>
          <w:szCs w:val="20"/>
          <w:color w:val="auto"/>
        </w:rPr>
      </w:pPr>
    </w:p>
    <w:p>
      <w:pPr>
        <w:ind w:right="20" w:firstLine="397"/>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w:t>
      </w:r>
      <w:r>
        <w:rPr>
          <w:rFonts w:ascii="Times New Roman" w:cs="Times New Roman" w:eastAsia="Times New Roman" w:hAnsi="Times New Roman"/>
          <w:sz w:val="17"/>
          <w:szCs w:val="17"/>
          <w:color w:val="auto"/>
        </w:rPr>
        <w:t>Selling, general and administrative expenses during the three months ended December 31, 2025 were $15.8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32.3% of revenue, as compared to $18.6 million, or 27.5% of revenue, for the three months ended December 31, 2024. Selling, general and administrative expenses during the six months ended December 31, 2025 were $30.7 million, or 31.8% of revenue, as compared to $33.5 million, or 29.1% of revenue, for the six months ended December 31, 2024. The increase in selling, general and administrative expenses as a percentage of revenue during the three and six months ended December 31, 2025 compared to the prior year periods is primarily due to overall decreases in sales for the comparable periods.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6" w:name="page27"/>
    <w:bookmarkEnd w:id="26"/>
    <w:p>
      <w:pPr>
        <w:ind w:right="2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Total Other Income (Expense). </w:t>
      </w:r>
      <w:r>
        <w:rPr>
          <w:rFonts w:ascii="Times New Roman" w:cs="Times New Roman" w:eastAsia="Times New Roman" w:hAnsi="Times New Roman"/>
          <w:sz w:val="18"/>
          <w:szCs w:val="18"/>
          <w:color w:val="auto"/>
        </w:rPr>
        <w:t>During the three months ended December 31, 2025 we recognized total net other expense of $14,000 as compared to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December 31, 2024. During the six months ended December 31, 2025 we recognized total net other expense of $41,000 as compared to $0.3 million for the six months ended December 31, 2024. Total net other income (expense) for the three and six months ended December 31, 2025 and 2024 consisted primarily of interest income, offset by foreign currency gains and losses.</w:t>
      </w:r>
    </w:p>
    <w:p>
      <w:pPr>
        <w:spacing w:after="0" w:line="102" w:lineRule="exact"/>
        <w:rPr>
          <w:sz w:val="20"/>
          <w:szCs w:val="20"/>
          <w:color w:val="auto"/>
        </w:rPr>
      </w:pPr>
    </w:p>
    <w:p>
      <w:pPr>
        <w:ind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recognized income tax expense of $0.2 million and $0.3 million for the three and six months ended December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an income tax expense of $0.5 million and $1.3 million for the three and six months ended December 31, 2024. The effective tax rate for the three and six months ended December 31, 2025 was 41.6% and 10.5%, respectively, compared to 17.4% and 22.8% for the three and six months ended December 31, 2024, respectively.</w:t>
      </w:r>
    </w:p>
    <w:p>
      <w:pPr>
        <w:spacing w:after="0" w:line="117" w:lineRule="exact"/>
        <w:rPr>
          <w:sz w:val="20"/>
          <w:szCs w:val="20"/>
          <w:color w:val="auto"/>
        </w:rPr>
      </w:pPr>
    </w:p>
    <w:p>
      <w:pPr>
        <w:ind w:right="460" w:firstLine="397"/>
        <w:spacing w:after="0" w:line="270" w:lineRule="auto"/>
        <w:rPr>
          <w:sz w:val="20"/>
          <w:szCs w:val="20"/>
          <w:color w:val="auto"/>
        </w:rPr>
      </w:pPr>
      <w:r>
        <w:rPr>
          <w:rFonts w:ascii="Times New Roman" w:cs="Times New Roman" w:eastAsia="Times New Roman" w:hAnsi="Times New Roman"/>
          <w:sz w:val="18"/>
          <w:szCs w:val="18"/>
          <w:color w:val="auto"/>
        </w:rPr>
        <w:t>The change in the effective tax rate for the three and six months ended December 31, 2025 compared to the prior year periods was primarily due to changes in taxable income and the impact of discrete items.</w:t>
      </w:r>
    </w:p>
    <w:p>
      <w:pPr>
        <w:spacing w:after="0" w:line="103" w:lineRule="exact"/>
        <w:rPr>
          <w:sz w:val="20"/>
          <w:szCs w:val="20"/>
          <w:color w:val="auto"/>
        </w:rPr>
      </w:pPr>
    </w:p>
    <w:p>
      <w:pPr>
        <w:ind w:right="280" w:firstLine="397"/>
        <w:spacing w:after="0" w:line="258" w:lineRule="auto"/>
        <w:rPr>
          <w:sz w:val="20"/>
          <w:szCs w:val="20"/>
          <w:color w:val="auto"/>
        </w:rPr>
      </w:pPr>
      <w:r>
        <w:rPr>
          <w:rFonts w:ascii="Times New Roman" w:cs="Times New Roman" w:eastAsia="Times New Roman" w:hAnsi="Times New Roman"/>
          <w:sz w:val="18"/>
          <w:szCs w:val="18"/>
          <w:color w:val="auto"/>
        </w:rPr>
        <w:t>We expect that our effective tax rate will fluctuate slightly during the remainder of fiscal 2026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50" w:lineRule="exact"/>
        <w:rPr>
          <w:sz w:val="20"/>
          <w:szCs w:val="20"/>
          <w:color w:val="auto"/>
        </w:rPr>
      </w:pPr>
    </w:p>
    <w:p>
      <w:pPr>
        <w:ind w:right="60" w:firstLine="397"/>
        <w:spacing w:after="0" w:line="253"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our credit facility. We have generally relied on cash flow from operations to fund operating activities and we have, at times, incurred long-term debt in order to fund stock repurchases and strategic transactions.</w:t>
      </w:r>
    </w:p>
    <w:p>
      <w:pPr>
        <w:spacing w:after="0" w:line="105" w:lineRule="exact"/>
        <w:rPr>
          <w:sz w:val="20"/>
          <w:szCs w:val="20"/>
          <w:color w:val="auto"/>
        </w:rPr>
      </w:pPr>
    </w:p>
    <w:p>
      <w:pPr>
        <w:ind w:right="160" w:firstLine="397"/>
        <w:spacing w:after="0" w:line="270" w:lineRule="auto"/>
        <w:rPr>
          <w:sz w:val="20"/>
          <w:szCs w:val="20"/>
          <w:color w:val="auto"/>
        </w:rPr>
      </w:pPr>
      <w:r>
        <w:rPr>
          <w:rFonts w:ascii="Times New Roman" w:cs="Times New Roman" w:eastAsia="Times New Roman" w:hAnsi="Times New Roman"/>
          <w:sz w:val="18"/>
          <w:szCs w:val="18"/>
          <w:color w:val="auto"/>
        </w:rPr>
        <w:t>As of December 31, 2025, our available liquidity was $10.2 million, which consisted of available cash and cash equivalents. This represents a decrease of $10.0 million from the $20.2 million in cash and cash equivalents as of June 30, 2025.</w:t>
      </w:r>
    </w:p>
    <w:p>
      <w:pPr>
        <w:spacing w:after="0" w:line="103" w:lineRule="exact"/>
        <w:rPr>
          <w:sz w:val="20"/>
          <w:szCs w:val="20"/>
          <w:color w:val="auto"/>
        </w:rPr>
      </w:pPr>
    </w:p>
    <w:p>
      <w:pPr>
        <w:jc w:val="both"/>
        <w:ind w:right="120" w:firstLine="397"/>
        <w:spacing w:after="0" w:line="258" w:lineRule="auto"/>
        <w:rPr>
          <w:sz w:val="20"/>
          <w:szCs w:val="20"/>
          <w:color w:val="auto"/>
        </w:rPr>
      </w:pPr>
      <w:r>
        <w:rPr>
          <w:rFonts w:ascii="Times New Roman" w:cs="Times New Roman" w:eastAsia="Times New Roman" w:hAnsi="Times New Roman"/>
          <w:sz w:val="18"/>
          <w:szCs w:val="18"/>
          <w:color w:val="auto"/>
        </w:rPr>
        <w:t>During the six months ended December 31, 2025, our net cash provided by operating activities was $0.5 million as compared to $8.6 million during the six months ended December 31, 2024. The decrease in cash provided by operating activities is primarily related to the payment of employee related incentive compensation and incentive trip expenses during the six months ended December 31, 2025, previously accrued at June 30, 2025.</w:t>
      </w:r>
    </w:p>
    <w:p>
      <w:pPr>
        <w:spacing w:after="0" w:line="112" w:lineRule="exact"/>
        <w:rPr>
          <w:sz w:val="20"/>
          <w:szCs w:val="20"/>
          <w:color w:val="auto"/>
        </w:rPr>
      </w:pPr>
    </w:p>
    <w:p>
      <w:pPr>
        <w:jc w:val="both"/>
        <w:ind w:right="120" w:firstLine="397"/>
        <w:spacing w:after="0" w:line="258" w:lineRule="auto"/>
        <w:rPr>
          <w:sz w:val="20"/>
          <w:szCs w:val="20"/>
          <w:color w:val="auto"/>
        </w:rPr>
      </w:pPr>
      <w:r>
        <w:rPr>
          <w:rFonts w:ascii="Times New Roman" w:cs="Times New Roman" w:eastAsia="Times New Roman" w:hAnsi="Times New Roman"/>
          <w:sz w:val="18"/>
          <w:szCs w:val="18"/>
          <w:color w:val="auto"/>
        </w:rPr>
        <w:t>During the six months ended December 31, 2025, our net cash used in investing activities was $5.3 million, as a result of the acquisition of LoveBiome in October 2025 and the purchase of fixed assets. During the six months ended December 31, 2024, our net cash used in investing activities was $0.8 million, as a result of the purchase of fixed assets.</w:t>
      </w:r>
    </w:p>
    <w:p>
      <w:pPr>
        <w:spacing w:after="0" w:line="99" w:lineRule="exact"/>
        <w:rPr>
          <w:sz w:val="20"/>
          <w:szCs w:val="20"/>
          <w:color w:val="auto"/>
        </w:rPr>
      </w:pPr>
    </w:p>
    <w:p>
      <w:pPr>
        <w:ind w:right="200" w:firstLine="397"/>
        <w:spacing w:after="0" w:line="269" w:lineRule="auto"/>
        <w:rPr>
          <w:sz w:val="20"/>
          <w:szCs w:val="20"/>
          <w:color w:val="auto"/>
        </w:rPr>
      </w:pPr>
      <w:r>
        <w:rPr>
          <w:rFonts w:ascii="Times New Roman" w:cs="Times New Roman" w:eastAsia="Times New Roman" w:hAnsi="Times New Roman"/>
          <w:sz w:val="17"/>
          <w:szCs w:val="17"/>
          <w:color w:val="auto"/>
        </w:rPr>
        <w:t>Cash used in financing activities during the six months ended December 31, 2025 was $5.0 million as a result of our payment of cash dividends, repurchases of common stock, and shares purchased as payment of tax withholding upon vesting of equity awards, partially offset by proceeds from stock issued under our 2019 Employee Stock Purchase Plan (as amended, the “2019 ESPP”). Cash used in financing activities during the six months ended December 31, 2024 was $3.2 million as a result of our payment of cash dividends, the repurchase of common stock, and shares purchased as payment of tax withholding upon vesting of equity awards, partially offset by proceeds from stock issued under our 2019 ESPP and stock option exercises.</w:t>
      </w:r>
    </w:p>
    <w:p>
      <w:pPr>
        <w:spacing w:after="0" w:line="107" w:lineRule="exact"/>
        <w:rPr>
          <w:sz w:val="20"/>
          <w:szCs w:val="20"/>
          <w:color w:val="auto"/>
        </w:rPr>
      </w:pPr>
    </w:p>
    <w:p>
      <w:pPr>
        <w:ind w:firstLine="397"/>
        <w:spacing w:after="0" w:line="258" w:lineRule="auto"/>
        <w:rPr>
          <w:sz w:val="20"/>
          <w:szCs w:val="20"/>
          <w:color w:val="auto"/>
        </w:rPr>
      </w:pPr>
      <w:r>
        <w:rPr>
          <w:rFonts w:ascii="Times New Roman" w:cs="Times New Roman" w:eastAsia="Times New Roman" w:hAnsi="Times New Roman"/>
          <w:sz w:val="18"/>
          <w:szCs w:val="18"/>
          <w:color w:val="auto"/>
        </w:rPr>
        <w:t>At December 31, 2025 and June 30, 2025, the total amount of our foreign subsidiary cash was $5.3 million and $6.4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spacing w:after="0" w:line="112" w:lineRule="exact"/>
        <w:rPr>
          <w:sz w:val="20"/>
          <w:szCs w:val="20"/>
          <w:color w:val="auto"/>
        </w:rPr>
      </w:pPr>
    </w:p>
    <w:p>
      <w:pPr>
        <w:ind w:firstLine="397"/>
        <w:spacing w:after="0" w:line="249" w:lineRule="auto"/>
        <w:rPr>
          <w:sz w:val="20"/>
          <w:szCs w:val="20"/>
          <w:color w:val="auto"/>
        </w:rPr>
      </w:pPr>
      <w:r>
        <w:rPr>
          <w:rFonts w:ascii="Times New Roman" w:cs="Times New Roman" w:eastAsia="Times New Roman" w:hAnsi="Times New Roman"/>
          <w:sz w:val="18"/>
          <w:szCs w:val="18"/>
          <w:color w:val="auto"/>
        </w:rPr>
        <w:t>At December 31, 2025, we had working capital (current assets minus current liabilities) of $19.5 million, compared to working capital of $23.7 million at June 30, 2025.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(as defined below), provides for a revolving line of credit in an aggregate principal amount not to exceed $5.0 million. We would also consider realigning our strategic plans including a reduction in capital spending and expenses.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52"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On March 31, 2023, we filed a shelf registration statement on Form S-3 (the “2023 Shelf Registration”) with the Securities and Exchange Commission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Facility</w:t>
      </w:r>
    </w:p>
    <w:p>
      <w:pPr>
        <w:spacing w:after="0" w:line="139" w:lineRule="exact"/>
        <w:rPr>
          <w:sz w:val="20"/>
          <w:szCs w:val="20"/>
          <w:color w:val="auto"/>
        </w:rPr>
      </w:pPr>
    </w:p>
    <w:p>
      <w:pPr>
        <w:ind w:firstLine="397"/>
        <w:spacing w:after="0" w:line="250" w:lineRule="auto"/>
        <w:rPr>
          <w:sz w:val="20"/>
          <w:szCs w:val="20"/>
          <w:color w:val="auto"/>
        </w:rPr>
      </w:pPr>
      <w:r>
        <w:rPr>
          <w:rFonts w:ascii="Times New Roman" w:cs="Times New Roman" w:eastAsia="Times New Roman" w:hAnsi="Times New Roman"/>
          <w:sz w:val="18"/>
          <w:szCs w:val="18"/>
          <w:color w:val="auto"/>
        </w:rPr>
        <w:t>On April 12, 2024, we entered into a Loan Agreement, as amended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w:t>
      </w:r>
    </w:p>
    <w:p>
      <w:pPr>
        <w:spacing w:after="0" w:line="121" w:lineRule="exact"/>
        <w:rPr>
          <w:sz w:val="20"/>
          <w:szCs w:val="20"/>
          <w:color w:val="auto"/>
        </w:rPr>
      </w:pPr>
    </w:p>
    <w:p>
      <w:pPr>
        <w:ind w:right="80" w:firstLine="397"/>
        <w:spacing w:after="0" w:line="258" w:lineRule="auto"/>
        <w:rPr>
          <w:sz w:val="20"/>
          <w:szCs w:val="20"/>
          <w:color w:val="auto"/>
        </w:rPr>
      </w:pPr>
      <w:r>
        <w:rPr>
          <w:rFonts w:ascii="Times New Roman" w:cs="Times New Roman" w:eastAsia="Times New Roman" w:hAnsi="Times New Roman"/>
          <w:sz w:val="18"/>
          <w:szCs w:val="18"/>
          <w:color w:val="auto"/>
        </w:rPr>
        <w:t>On September 22, 2025, we entered into an amendment to the Loan Agreement, which amended the 2024 Credit Facility (“Amendment No. 1”) to allow the proceeds of the credit to be also used for permitted acquisitions. On September 22, 2025, we also entered into a collateral assignment of, and grant of security interest in, the LoveBiome assets purchased by the Company.</w:t>
      </w:r>
    </w:p>
    <w:p>
      <w:pPr>
        <w:spacing w:after="0" w:line="112" w:lineRule="exact"/>
        <w:rPr>
          <w:sz w:val="20"/>
          <w:szCs w:val="20"/>
          <w:color w:val="auto"/>
        </w:rPr>
      </w:pPr>
    </w:p>
    <w:p>
      <w:pPr>
        <w:ind w:right="140" w:firstLine="397"/>
        <w:spacing w:after="0" w:line="251" w:lineRule="auto"/>
        <w:rPr>
          <w:sz w:val="20"/>
          <w:szCs w:val="20"/>
          <w:color w:val="auto"/>
        </w:rPr>
      </w:pPr>
      <w:r>
        <w:rPr>
          <w:rFonts w:ascii="Times New Roman" w:cs="Times New Roman" w:eastAsia="Times New Roman" w:hAnsi="Times New Roman"/>
          <w:sz w:val="18"/>
          <w:szCs w:val="18"/>
          <w:color w:val="auto"/>
        </w:rPr>
        <w:t>In the event we borrow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w:t>
      </w:r>
    </w:p>
    <w:p>
      <w:pPr>
        <w:spacing w:after="0" w:line="107" w:lineRule="exact"/>
        <w:rPr>
          <w:sz w:val="20"/>
          <w:szCs w:val="20"/>
          <w:color w:val="auto"/>
        </w:rPr>
      </w:pPr>
    </w:p>
    <w:p>
      <w:pPr>
        <w:ind w:right="80" w:firstLine="397"/>
        <w:spacing w:after="0" w:line="258" w:lineRule="auto"/>
        <w:rPr>
          <w:sz w:val="20"/>
          <w:szCs w:val="20"/>
          <w:color w:val="auto"/>
        </w:rPr>
      </w:pPr>
      <w:r>
        <w:rPr>
          <w:rFonts w:ascii="Times New Roman" w:cs="Times New Roman" w:eastAsia="Times New Roman" w:hAnsi="Times New Roman"/>
          <w:sz w:val="18"/>
          <w:szCs w:val="18"/>
          <w:color w:val="auto"/>
        </w:rPr>
        <w:t>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w:t>
      </w:r>
    </w:p>
    <w:p>
      <w:pPr>
        <w:spacing w:after="0" w:line="112" w:lineRule="exact"/>
        <w:rPr>
          <w:sz w:val="20"/>
          <w:szCs w:val="20"/>
          <w:color w:val="auto"/>
        </w:rPr>
      </w:pPr>
    </w:p>
    <w:p>
      <w:pPr>
        <w:ind w:right="60" w:firstLine="397"/>
        <w:spacing w:after="0" w:line="253" w:lineRule="auto"/>
        <w:rPr>
          <w:sz w:val="20"/>
          <w:szCs w:val="20"/>
          <w:color w:val="auto"/>
        </w:rPr>
      </w:pPr>
      <w:r>
        <w:rPr>
          <w:rFonts w:ascii="Times New Roman" w:cs="Times New Roman" w:eastAsia="Times New Roman" w:hAnsi="Times New Roman"/>
          <w:sz w:val="18"/>
          <w:szCs w:val="18"/>
          <w:color w:val="auto"/>
        </w:rPr>
        <w:t>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w:t>
      </w:r>
    </w:p>
    <w:p>
      <w:pPr>
        <w:spacing w:after="0" w:line="119" w:lineRule="exact"/>
        <w:rPr>
          <w:sz w:val="20"/>
          <w:szCs w:val="20"/>
          <w:color w:val="auto"/>
        </w:rPr>
      </w:pPr>
    </w:p>
    <w:p>
      <w:pPr>
        <w:ind w:right="80" w:firstLine="397"/>
        <w:spacing w:after="0" w:line="248" w:lineRule="auto"/>
        <w:rPr>
          <w:sz w:val="20"/>
          <w:szCs w:val="20"/>
          <w:color w:val="auto"/>
        </w:rPr>
      </w:pPr>
      <w:r>
        <w:rPr>
          <w:rFonts w:ascii="Times New Roman" w:cs="Times New Roman" w:eastAsia="Times New Roman" w:hAnsi="Times New Roman"/>
          <w:sz w:val="18"/>
          <w:szCs w:val="18"/>
          <w:color w:val="auto"/>
        </w:rPr>
        <w:t>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the date of this report, there is no balance outstanding under the 2024 Credit Facility</w:t>
      </w:r>
      <w:r>
        <w:rPr>
          <w:rFonts w:ascii="Times New Roman" w:cs="Times New Roman" w:eastAsia="Times New Roman" w:hAnsi="Times New Roman"/>
          <w:sz w:val="18"/>
          <w:szCs w:val="18"/>
          <w:i w:val="1"/>
          <w:i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Please refer to Note 7 to the condensed consolidated financial statements contained in this report for information regarding our contingent liabilities.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9" w:lineRule="exact"/>
        <w:rPr>
          <w:sz w:val="20"/>
          <w:szCs w:val="20"/>
          <w:color w:val="auto"/>
        </w:rPr>
      </w:pPr>
    </w:p>
    <w:p>
      <w:pPr>
        <w:ind w:right="160" w:firstLine="397"/>
        <w:spacing w:after="0" w:line="265" w:lineRule="auto"/>
        <w:rPr>
          <w:sz w:val="20"/>
          <w:szCs w:val="20"/>
          <w:color w:val="auto"/>
        </w:rPr>
      </w:pPr>
      <w:r>
        <w:rPr>
          <w:rFonts w:ascii="Times New Roman" w:cs="Times New Roman" w:eastAsia="Times New Roman" w:hAnsi="Times New Roman"/>
          <w:sz w:val="17"/>
          <w:szCs w:val="17"/>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11" w:lineRule="exact"/>
        <w:rPr>
          <w:sz w:val="20"/>
          <w:szCs w:val="20"/>
          <w:color w:val="auto"/>
        </w:rPr>
      </w:pPr>
    </w:p>
    <w:p>
      <w:pPr>
        <w:ind w:right="220" w:firstLine="397"/>
        <w:spacing w:after="0" w:line="258"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37"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w:t>
      </w:r>
    </w:p>
    <w:p>
      <w:pPr>
        <w:spacing w:after="0" w:line="112" w:lineRule="exact"/>
        <w:rPr>
          <w:sz w:val="20"/>
          <w:szCs w:val="20"/>
          <w:color w:val="auto"/>
        </w:rPr>
      </w:pPr>
    </w:p>
    <w:p>
      <w:pPr>
        <w:ind w:right="40" w:firstLine="397"/>
        <w:spacing w:after="0" w:line="251" w:lineRule="auto"/>
        <w:rPr>
          <w:sz w:val="20"/>
          <w:szCs w:val="20"/>
          <w:color w:val="auto"/>
        </w:rPr>
      </w:pPr>
      <w:r>
        <w:rPr>
          <w:rFonts w:ascii="Times New Roman" w:cs="Times New Roman" w:eastAsia="Times New Roman" w:hAnsi="Times New Roman"/>
          <w:sz w:val="18"/>
          <w:szCs w:val="18"/>
          <w:color w:val="auto"/>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37" w:lineRule="exact"/>
        <w:rPr>
          <w:sz w:val="20"/>
          <w:szCs w:val="20"/>
          <w:color w:val="auto"/>
        </w:rPr>
      </w:pPr>
    </w:p>
    <w:p>
      <w:pPr>
        <w:ind w:right="420" w:firstLine="397"/>
        <w:spacing w:after="0" w:line="270" w:lineRule="auto"/>
        <w:rPr>
          <w:sz w:val="20"/>
          <w:szCs w:val="20"/>
          <w:color w:val="auto"/>
        </w:rPr>
      </w:pPr>
      <w:r>
        <w:rPr>
          <w:rFonts w:ascii="Times New Roman" w:cs="Times New Roman" w:eastAsia="Times New Roman" w:hAnsi="Times New Roman"/>
          <w:sz w:val="18"/>
          <w:szCs w:val="18"/>
          <w:color w:val="auto"/>
        </w:rPr>
        <w:t>The provision for income taxes includes income from U.S. and foreign subsidiaries taxed at statutory rates, the accrual or release of amounts for tax uncertainties, and U.S. tax impacts of foreign income in the U.S.</w:t>
      </w:r>
    </w:p>
    <w:p>
      <w:pPr>
        <w:spacing w:after="0" w:line="103" w:lineRule="exact"/>
        <w:rPr>
          <w:sz w:val="20"/>
          <w:szCs w:val="20"/>
          <w:color w:val="auto"/>
        </w:rPr>
      </w:pPr>
    </w:p>
    <w:p>
      <w:pPr>
        <w:ind w:right="20" w:firstLine="397"/>
        <w:spacing w:after="0" w:line="24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spacing w:after="0" w:line="124" w:lineRule="exact"/>
        <w:rPr>
          <w:sz w:val="20"/>
          <w:szCs w:val="20"/>
          <w:color w:val="auto"/>
        </w:rPr>
      </w:pPr>
    </w:p>
    <w:p>
      <w:pPr>
        <w:ind w:firstLine="397"/>
        <w:spacing w:after="0" w:line="248" w:lineRule="auto"/>
        <w:rPr>
          <w:sz w:val="20"/>
          <w:szCs w:val="20"/>
          <w:color w:val="auto"/>
        </w:rPr>
      </w:pPr>
      <w:r>
        <w:rPr>
          <w:rFonts w:ascii="Times New Roman" w:cs="Times New Roman" w:eastAsia="Times New Roman" w:hAnsi="Times New Roman"/>
          <w:sz w:val="18"/>
          <w:szCs w:val="18"/>
          <w:color w:val="auto"/>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9" w:name="page30"/>
    <w:bookmarkEnd w:id="29"/>
    <w:p>
      <w:pPr>
        <w:ind w:right="200" w:firstLine="397"/>
        <w:spacing w:after="0" w:line="258" w:lineRule="auto"/>
        <w:rPr>
          <w:sz w:val="20"/>
          <w:szCs w:val="20"/>
          <w:color w:val="auto"/>
        </w:rPr>
      </w:pPr>
      <w:r>
        <w:rPr>
          <w:rFonts w:ascii="Times New Roman" w:cs="Times New Roman" w:eastAsia="Times New Roman" w:hAnsi="Times New Roman"/>
          <w:sz w:val="18"/>
          <w:szCs w:val="18"/>
          <w:color w:val="auto"/>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This item is not required for smaller reporting companies.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52" w:lineRule="exact"/>
        <w:rPr>
          <w:sz w:val="20"/>
          <w:szCs w:val="20"/>
          <w:color w:val="auto"/>
        </w:rPr>
      </w:pPr>
    </w:p>
    <w:p>
      <w:pPr>
        <w:ind w:right="60" w:firstLine="397"/>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December 31,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9" w:lineRule="exact"/>
        <w:rPr>
          <w:sz w:val="20"/>
          <w:szCs w:val="20"/>
          <w:color w:val="auto"/>
        </w:rPr>
      </w:pPr>
    </w:p>
    <w:p>
      <w:pPr>
        <w:ind w:right="180" w:firstLine="397"/>
        <w:spacing w:after="0" w:line="251" w:lineRule="auto"/>
        <w:rPr>
          <w:sz w:val="20"/>
          <w:szCs w:val="20"/>
          <w:color w:val="auto"/>
        </w:rPr>
      </w:pPr>
      <w:r>
        <w:rPr>
          <w:rFonts w:ascii="Times New Roman" w:cs="Times New Roman" w:eastAsia="Times New Roman" w:hAnsi="Times New Roman"/>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2025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52" w:lineRule="exact"/>
        <w:rPr>
          <w:sz w:val="20"/>
          <w:szCs w:val="20"/>
          <w:color w:val="auto"/>
        </w:rPr>
      </w:pPr>
    </w:p>
    <w:p>
      <w:pPr>
        <w:ind w:right="20" w:firstLine="397"/>
        <w:spacing w:after="0" w:line="253"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2" w:lineRule="exact"/>
        <w:rPr>
          <w:sz w:val="20"/>
          <w:szCs w:val="20"/>
          <w:color w:val="auto"/>
        </w:rPr>
      </w:pPr>
    </w:p>
    <w:p>
      <w:pPr>
        <w:ind w:right="340" w:firstLine="397"/>
        <w:spacing w:after="0" w:line="270" w:lineRule="auto"/>
        <w:rPr>
          <w:sz w:val="20"/>
          <w:szCs w:val="20"/>
          <w:color w:val="auto"/>
        </w:rPr>
      </w:pPr>
      <w:r>
        <w:rPr>
          <w:rFonts w:ascii="Times New Roman" w:cs="Times New Roman" w:eastAsia="Times New Roman" w:hAnsi="Times New Roman"/>
          <w:sz w:val="18"/>
          <w:szCs w:val="18"/>
          <w:color w:val="auto"/>
        </w:rPr>
        <w:t>See Note 8 to our unaudited condensed consolidated financial statements contained within this quarterly report on Form 10-Q for a discussion of our legal proceedings.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2"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 Risk Factors” in our annual report on Form 10-K for the fiscal year ended June 30, 2025, filed on September 4, 2025.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9" w:lineRule="exact"/>
        <w:rPr>
          <w:sz w:val="20"/>
          <w:szCs w:val="20"/>
          <w:color w:val="auto"/>
        </w:rPr>
      </w:pPr>
    </w:p>
    <w:p>
      <w:pPr>
        <w:ind w:right="360" w:firstLine="397"/>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with respect to all purchases of our common stock made by or on behalf of the Company or any “affiliated purchaser,” as defined in Rule 10b-18 under the Exchange Act, during the three months ended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December 31, 2025. All purchases listed below were made in the open market at prevailing market prices.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 Number of Shares</w:t>
            </w:r>
          </w:p>
        </w:tc>
        <w:tc>
          <w:tcPr>
            <w:tcW w:w="100" w:type="dxa"/>
            <w:vAlign w:val="bottom"/>
          </w:tcPr>
          <w:p>
            <w:pPr>
              <w:spacing w:after="0"/>
              <w:rPr>
                <w:sz w:val="17"/>
                <w:szCs w:val="17"/>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Maximum Dollar Value of</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 Price Paid Per</w:t>
            </w:r>
          </w:p>
        </w:tc>
        <w:tc>
          <w:tcPr>
            <w:tcW w:w="20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6"/>
              </w:rPr>
              <w:t>Shares that May Yet Be</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Publicly Announced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238"/>
        </w:trPr>
        <w:tc>
          <w:tcPr>
            <w:tcW w:w="27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2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2"/>
                <w:szCs w:val="22"/>
                <w:b w:val="1"/>
                <w:bCs w:val="1"/>
                <w:color w:val="auto"/>
                <w:w w:val="95"/>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ind w:right="32"/>
              <w:spacing w:after="0" w:line="238" w:lineRule="exact"/>
              <w:rPr>
                <w:sz w:val="20"/>
                <w:szCs w:val="20"/>
                <w:color w:val="auto"/>
              </w:rPr>
            </w:pPr>
            <w:r>
              <w:rPr>
                <w:rFonts w:ascii="Times New Roman" w:cs="Times New Roman" w:eastAsia="Times New Roman" w:hAnsi="Times New Roman"/>
                <w:sz w:val="18"/>
                <w:szCs w:val="18"/>
                <w:b w:val="1"/>
                <w:bCs w:val="1"/>
                <w:color w:val="auto"/>
                <w:w w:val="95"/>
              </w:rPr>
              <w:t>Plans or Programs</w:t>
            </w:r>
            <w:r>
              <w:rPr>
                <w:rFonts w:ascii="Times New Roman" w:cs="Times New Roman" w:eastAsia="Times New Roman" w:hAnsi="Times New Roman"/>
                <w:sz w:val="22"/>
                <w:szCs w:val="22"/>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16,697,457</w:t>
            </w:r>
          </w:p>
        </w:tc>
        <w:tc>
          <w:tcPr>
            <w:tcW w:w="0" w:type="dxa"/>
            <w:vAlign w:val="bottom"/>
          </w:tcPr>
          <w:p>
            <w:pPr>
              <w:spacing w:after="0"/>
              <w:rPr>
                <w:sz w:val="1"/>
                <w:szCs w:val="1"/>
                <w:color w:val="auto"/>
              </w:rPr>
            </w:pP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28</w:t>
            </w: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16,697,457</w:t>
            </w:r>
          </w:p>
        </w:tc>
        <w:tc>
          <w:tcPr>
            <w:tcW w:w="0" w:type="dxa"/>
            <w:vAlign w:val="bottom"/>
          </w:tcPr>
          <w:p>
            <w:pPr>
              <w:spacing w:after="0"/>
              <w:rPr>
                <w:sz w:val="1"/>
                <w:szCs w:val="1"/>
                <w:color w:val="auto"/>
              </w:rPr>
            </w:pPr>
          </w:p>
        </w:tc>
      </w:tr>
      <w:tr>
        <w:trPr>
          <w:trHeight w:val="22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16,697,457</w:t>
            </w:r>
          </w:p>
        </w:tc>
        <w:tc>
          <w:tcPr>
            <w:tcW w:w="0" w:type="dxa"/>
            <w:vAlign w:val="bottom"/>
          </w:tcPr>
          <w:p>
            <w:pPr>
              <w:spacing w:after="0"/>
              <w:rPr>
                <w:sz w:val="1"/>
                <w:szCs w:val="1"/>
                <w:color w:val="auto"/>
              </w:rPr>
            </w:pPr>
          </w:p>
        </w:tc>
      </w:tr>
      <w:tr>
        <w:trPr>
          <w:trHeight w:val="21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40" w:hanging="317"/>
        <w:spacing w:after="0" w:line="248"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2017, our Board of Directors approved a stock repurchase program, as amended on February 1, 2019, August 27, 2020, February 17, 2022, and June 12, 2023. Under the program,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2" w:lineRule="exact"/>
        <w:rPr>
          <w:sz w:val="20"/>
          <w:szCs w:val="20"/>
          <w:color w:val="auto"/>
        </w:rPr>
      </w:pPr>
    </w:p>
    <w:p>
      <w:pPr>
        <w:ind w:right="80" w:firstLine="397"/>
        <w:spacing w:after="0" w:line="253" w:lineRule="auto"/>
        <w:rPr>
          <w:sz w:val="20"/>
          <w:szCs w:val="20"/>
          <w:color w:val="auto"/>
        </w:rPr>
      </w:pPr>
      <w:r>
        <w:rPr>
          <w:rFonts w:ascii="Times New Roman" w:cs="Times New Roman" w:eastAsia="Times New Roman" w:hAnsi="Times New Roman"/>
          <w:sz w:val="18"/>
          <w:szCs w:val="18"/>
          <w:color w:val="auto"/>
        </w:rPr>
        <w:t>On November 11, 2025, Darwin Lewis, a director, adopted a stock purchase plan that is intended to satisfy the affirmative defense of Rule 10b5-1(c) under the Exchange Act. The purchase plan, which Mr. Lewis adopted in compliance with restrictions imposed by our Insider Trading Policy, provides for purchase of LifeVantage Corporation common stock, at market price, upon the receipt of quarterly cash dividends, beginning in the third quarter of fiscal year 2026 and continuing until the purchase of stock in the second quarter of fiscal year 2027.</w:t>
      </w:r>
    </w:p>
    <w:p>
      <w:pPr>
        <w:spacing w:after="0" w:line="119"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2025, no other Company director or officer (as defined in Rule 16a-1(f) of the Exchange Act) informed the Company of adoption, modification or termination of a “Rule 10b5-1 trading arrangement” or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8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44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Filed Herewith or Incorporate by Reference From</w:t>
            </w: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7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Incorporation, as filed with the Delaware Secretary of</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with the</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State on March 9, 2018</w:t>
              </w:r>
            </w:hyperlink>
          </w:p>
        </w:tc>
        <w:tc>
          <w:tcPr>
            <w:tcW w:w="31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SEC on March 13, 2018.</w:t>
            </w: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Bylaws, dated as of August 9, 2019</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with the</w:t>
            </w:r>
          </w:p>
        </w:tc>
      </w:tr>
      <w:tr>
        <w:trPr>
          <w:trHeight w:val="209"/>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5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on August 15, 2019.</w:t>
            </w:r>
          </w:p>
        </w:tc>
      </w:tr>
      <w:tr>
        <w:trPr>
          <w:trHeight w:val="28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14(a)/15d-14(a)</w:t>
            </w: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7"/>
                <w:szCs w:val="17"/>
                <w:color w:val="0000FF"/>
              </w:rPr>
              <w:t>14(a)/15d-14(a)</w:t>
            </w:r>
          </w:p>
        </w:tc>
        <w:tc>
          <w:tcPr>
            <w:tcW w:w="4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906 of the Sarbanes-Oxley Act of 2002</w:t>
            </w:r>
          </w:p>
        </w:tc>
        <w:tc>
          <w:tcPr>
            <w:tcW w:w="2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906 of the Sarbanes-Oxley Act of 2002</w:t>
            </w:r>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440" w:type="dxa"/>
            <w:vAlign w:val="bottom"/>
          </w:tcPr>
          <w:p>
            <w:pPr>
              <w:spacing w:after="0"/>
              <w:rPr>
                <w:sz w:val="13"/>
                <w:szCs w:val="13"/>
                <w:color w:val="auto"/>
              </w:rPr>
            </w:pPr>
          </w:p>
        </w:tc>
      </w:tr>
      <w:tr>
        <w:trPr>
          <w:trHeight w:val="3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Times New Roman" w:cs="Times New Roman" w:eastAsia="Times New Roman" w:hAnsi="Times New Roman"/>
                <w:sz w:val="18"/>
                <w:szCs w:val="18"/>
                <w:color w:val="auto"/>
              </w:rPr>
              <w:t>report on Form 10-Q for the quarter ended December 31, 2025</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80"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w:t>
            </w:r>
          </w:p>
        </w:tc>
        <w:tc>
          <w:tcPr>
            <w:tcW w:w="4440" w:type="dxa"/>
            <w:vAlign w:val="bottom"/>
          </w:tcPr>
          <w:p>
            <w:pPr>
              <w:spacing w:after="0"/>
              <w:rPr>
                <w:sz w:val="15"/>
                <w:szCs w:val="15"/>
                <w:color w:val="auto"/>
              </w:rPr>
            </w:pPr>
          </w:p>
        </w:tc>
      </w:tr>
      <w:tr>
        <w:trPr>
          <w:trHeight w:val="177"/>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7" w:lineRule="exact"/>
              <w:rPr>
                <w:sz w:val="20"/>
                <w:szCs w:val="20"/>
                <w:color w:val="auto"/>
              </w:rPr>
            </w:pPr>
            <w:r>
              <w:rPr>
                <w:rFonts w:ascii="Times New Roman" w:cs="Times New Roman" w:eastAsia="Times New Roman" w:hAnsi="Times New Roman"/>
                <w:sz w:val="18"/>
                <w:szCs w:val="18"/>
                <w:color w:val="auto"/>
              </w:rPr>
              <w:t>(i) Unaudited Condensed Consolidated Balance Sheets at December</w:t>
            </w:r>
          </w:p>
        </w:tc>
        <w:tc>
          <w:tcPr>
            <w:tcW w:w="4440" w:type="dxa"/>
            <w:vAlign w:val="bottom"/>
          </w:tcPr>
          <w:p>
            <w:pPr>
              <w:spacing w:after="0"/>
              <w:rPr>
                <w:sz w:val="15"/>
                <w:szCs w:val="15"/>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Times New Roman" w:cs="Times New Roman" w:eastAsia="Times New Roman" w:hAnsi="Times New Roman"/>
                <w:sz w:val="18"/>
                <w:szCs w:val="18"/>
                <w:color w:val="auto"/>
              </w:rPr>
              <w:t>31, 2025 and June 30, 2025; (ii) Unaudited Condensed Consolidated</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80" w:lineRule="exact"/>
              <w:rPr>
                <w:sz w:val="20"/>
                <w:szCs w:val="20"/>
                <w:color w:val="auto"/>
              </w:rPr>
            </w:pPr>
            <w:r>
              <w:rPr>
                <w:rFonts w:ascii="Times New Roman" w:cs="Times New Roman" w:eastAsia="Times New Roman" w:hAnsi="Times New Roman"/>
                <w:sz w:val="18"/>
                <w:szCs w:val="18"/>
                <w:color w:val="auto"/>
              </w:rPr>
              <w:t>Statements of Operations and Other Comprehensive Income for the</w:t>
            </w:r>
          </w:p>
        </w:tc>
        <w:tc>
          <w:tcPr>
            <w:tcW w:w="4440" w:type="dxa"/>
            <w:vAlign w:val="bottom"/>
          </w:tcPr>
          <w:p>
            <w:pPr>
              <w:spacing w:after="0"/>
              <w:rPr>
                <w:sz w:val="15"/>
                <w:szCs w:val="15"/>
                <w:color w:val="auto"/>
              </w:rPr>
            </w:pPr>
          </w:p>
        </w:tc>
      </w:tr>
      <w:tr>
        <w:trPr>
          <w:trHeight w:val="177"/>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7" w:lineRule="exact"/>
              <w:rPr>
                <w:sz w:val="20"/>
                <w:szCs w:val="20"/>
                <w:color w:val="auto"/>
              </w:rPr>
            </w:pPr>
            <w:r>
              <w:rPr>
                <w:rFonts w:ascii="Times New Roman" w:cs="Times New Roman" w:eastAsia="Times New Roman" w:hAnsi="Times New Roman"/>
                <w:sz w:val="18"/>
                <w:szCs w:val="18"/>
                <w:color w:val="auto"/>
              </w:rPr>
              <w:t>three and six months ended December 31, 2025 and 2024; (iii)</w:t>
            </w:r>
          </w:p>
        </w:tc>
        <w:tc>
          <w:tcPr>
            <w:tcW w:w="4440" w:type="dxa"/>
            <w:vAlign w:val="bottom"/>
          </w:tcPr>
          <w:p>
            <w:pPr>
              <w:spacing w:after="0"/>
              <w:rPr>
                <w:sz w:val="15"/>
                <w:szCs w:val="15"/>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Times New Roman" w:cs="Times New Roman" w:eastAsia="Times New Roman" w:hAnsi="Times New Roman"/>
                <w:sz w:val="18"/>
                <w:szCs w:val="18"/>
                <w:color w:val="auto"/>
                <w:w w:val="99"/>
              </w:rPr>
              <w:t>Unaudited Condensed Consolidated Statement of Stockholders’ Equity</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80" w:lineRule="exact"/>
              <w:rPr>
                <w:sz w:val="20"/>
                <w:szCs w:val="20"/>
                <w:color w:val="auto"/>
              </w:rPr>
            </w:pPr>
            <w:r>
              <w:rPr>
                <w:rFonts w:ascii="Times New Roman" w:cs="Times New Roman" w:eastAsia="Times New Roman" w:hAnsi="Times New Roman"/>
                <w:sz w:val="18"/>
                <w:szCs w:val="18"/>
                <w:color w:val="auto"/>
              </w:rPr>
              <w:t>for the three and six months ended December 31, 2025 and 2025; (iv)</w:t>
            </w:r>
          </w:p>
        </w:tc>
        <w:tc>
          <w:tcPr>
            <w:tcW w:w="4440" w:type="dxa"/>
            <w:vAlign w:val="bottom"/>
          </w:tcPr>
          <w:p>
            <w:pPr>
              <w:spacing w:after="0"/>
              <w:rPr>
                <w:sz w:val="15"/>
                <w:szCs w:val="15"/>
                <w:color w:val="auto"/>
              </w:rPr>
            </w:pPr>
          </w:p>
        </w:tc>
      </w:tr>
      <w:tr>
        <w:trPr>
          <w:trHeight w:val="177"/>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7" w:lineRule="exact"/>
              <w:rPr>
                <w:sz w:val="20"/>
                <w:szCs w:val="20"/>
                <w:color w:val="auto"/>
              </w:rPr>
            </w:pPr>
            <w:r>
              <w:rPr>
                <w:rFonts w:ascii="Times New Roman" w:cs="Times New Roman" w:eastAsia="Times New Roman" w:hAnsi="Times New Roman"/>
                <w:sz w:val="18"/>
                <w:szCs w:val="18"/>
                <w:color w:val="auto"/>
              </w:rPr>
              <w:t>Unaudited Condensed Consolidated Statements of Cash Flows for the</w:t>
            </w:r>
          </w:p>
        </w:tc>
        <w:tc>
          <w:tcPr>
            <w:tcW w:w="4440" w:type="dxa"/>
            <w:vAlign w:val="bottom"/>
          </w:tcPr>
          <w:p>
            <w:pPr>
              <w:spacing w:after="0"/>
              <w:rPr>
                <w:sz w:val="15"/>
                <w:szCs w:val="15"/>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Times New Roman" w:cs="Times New Roman" w:eastAsia="Times New Roman" w:hAnsi="Times New Roman"/>
                <w:sz w:val="18"/>
                <w:szCs w:val="18"/>
                <w:color w:val="auto"/>
              </w:rPr>
              <w:t>six months ended December 31, 2025 and 2024; and (v) Notes to</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80" w:lineRule="exact"/>
              <w:rPr>
                <w:sz w:val="20"/>
                <w:szCs w:val="20"/>
                <w:color w:val="auto"/>
              </w:rPr>
            </w:pPr>
            <w:r>
              <w:rPr>
                <w:rFonts w:ascii="Times New Roman" w:cs="Times New Roman" w:eastAsia="Times New Roman" w:hAnsi="Times New Roman"/>
                <w:sz w:val="18"/>
                <w:szCs w:val="18"/>
                <w:color w:val="auto"/>
              </w:rPr>
              <w:t>Unaudited Condensed Consolidated Financial Statements, tagged as</w:t>
            </w:r>
          </w:p>
        </w:tc>
        <w:tc>
          <w:tcPr>
            <w:tcW w:w="4440" w:type="dxa"/>
            <w:vAlign w:val="bottom"/>
          </w:tcPr>
          <w:p>
            <w:pPr>
              <w:spacing w:after="0"/>
              <w:rPr>
                <w:sz w:val="15"/>
                <w:szCs w:val="15"/>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blocks of text.</w:t>
            </w:r>
          </w:p>
        </w:tc>
        <w:tc>
          <w:tcPr>
            <w:tcW w:w="4440" w:type="dxa"/>
            <w:vAlign w:val="bottom"/>
          </w:tcPr>
          <w:p>
            <w:pPr>
              <w:spacing w:after="0"/>
              <w:rPr>
                <w:sz w:val="19"/>
                <w:szCs w:val="19"/>
                <w:color w:val="auto"/>
              </w:rPr>
            </w:pPr>
          </w:p>
        </w:tc>
      </w:tr>
      <w:tr>
        <w:trPr>
          <w:trHeight w:val="177"/>
        </w:trPr>
        <w:tc>
          <w:tcPr>
            <w:tcW w:w="9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4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440" w:type="dxa"/>
            <w:vAlign w:val="bottom"/>
          </w:tcPr>
          <w:p>
            <w:pPr>
              <w:spacing w:after="0"/>
              <w:rPr>
                <w:sz w:val="19"/>
                <w:szCs w:val="19"/>
                <w:color w:val="auto"/>
              </w:rPr>
            </w:pPr>
          </w:p>
        </w:tc>
      </w:tr>
    </w:tbl>
    <w:p>
      <w:pPr>
        <w:spacing w:after="0" w:line="255" w:lineRule="exact"/>
        <w:rPr>
          <w:sz w:val="20"/>
          <w:szCs w:val="20"/>
          <w:color w:val="auto"/>
        </w:rPr>
      </w:pPr>
    </w:p>
    <w:p>
      <w:pPr>
        <w:ind w:left="1560" w:hanging="666"/>
        <w:spacing w:after="0" w:line="226"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18" w:right="239" w:bottom="1440" w:gutter="0" w:footer="0" w:header="0"/>
        </w:sectPr>
      </w:pPr>
    </w:p>
    <w:bookmarkStart w:id="32" w:name="page33"/>
    <w:bookmarkEnd w:id="3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52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282" w:lineRule="exact"/>
        <w:rPr>
          <w:sz w:val="20"/>
          <w:szCs w:val="20"/>
          <w:color w:val="auto"/>
        </w:rPr>
      </w:pPr>
    </w:p>
    <w:p>
      <w:pPr>
        <w:ind w:left="20"/>
        <w:spacing w:after="0"/>
        <w:tabs>
          <w:tab w:leader="none" w:pos="640" w:val="left"/>
          <w:tab w:leader="none" w:pos="5500" w:val="left"/>
        </w:tabs>
        <w:rPr>
          <w:sz w:val="20"/>
          <w:szCs w:val="20"/>
          <w:color w:val="auto"/>
        </w:rPr>
      </w:pPr>
      <w:r>
        <w:rPr>
          <w:rFonts w:ascii="Times New Roman" w:cs="Times New Roman" w:eastAsia="Times New Roman" w:hAnsi="Times New Roman"/>
          <w:sz w:val="18"/>
          <w:szCs w:val="18"/>
          <w:color w:val="auto"/>
        </w:rPr>
        <w:t>Date:</w:t>
        <w:tab/>
        <w:t>February 4, 2026</w:t>
      </w:r>
      <w:r>
        <w:rPr>
          <w:sz w:val="20"/>
          <w:szCs w:val="20"/>
          <w:color w:val="auto"/>
        </w:rPr>
        <w:tab/>
      </w:r>
      <w:r>
        <w:rPr>
          <w:rFonts w:ascii="Times New Roman" w:cs="Times New Roman" w:eastAsia="Times New Roman" w:hAnsi="Times New Roman"/>
          <w:sz w:val="17"/>
          <w:szCs w:val="17"/>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6429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Steven R. Fife</w:t>
      </w:r>
    </w:p>
    <w:p>
      <w:pPr>
        <w:ind w:left="5520"/>
        <w:spacing w:after="0" w:line="19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2" w:lineRule="exact"/>
        <w:rPr>
          <w:sz w:val="20"/>
          <w:szCs w:val="20"/>
          <w:color w:val="auto"/>
        </w:rPr>
      </w:pPr>
    </w:p>
    <w:p>
      <w:pPr>
        <w:ind w:left="20"/>
        <w:spacing w:after="0"/>
        <w:tabs>
          <w:tab w:leader="none" w:pos="640" w:val="left"/>
          <w:tab w:leader="none" w:pos="5500" w:val="left"/>
        </w:tabs>
        <w:rPr>
          <w:sz w:val="20"/>
          <w:szCs w:val="20"/>
          <w:color w:val="auto"/>
        </w:rPr>
      </w:pPr>
      <w:r>
        <w:rPr>
          <w:rFonts w:ascii="Times New Roman" w:cs="Times New Roman" w:eastAsia="Times New Roman" w:hAnsi="Times New Roman"/>
          <w:sz w:val="18"/>
          <w:szCs w:val="18"/>
          <w:color w:val="auto"/>
        </w:rPr>
        <w:t>Date:</w:t>
        <w:tab/>
        <w:t>February 4, 2026</w:t>
      </w:r>
      <w:r>
        <w:rPr>
          <w:sz w:val="20"/>
          <w:szCs w:val="20"/>
          <w:color w:val="auto"/>
        </w:rPr>
        <w:tab/>
      </w:r>
      <w:r>
        <w:rPr>
          <w:rFonts w:ascii="Times New Roman" w:cs="Times New Roman" w:eastAsia="Times New Roman" w:hAnsi="Times New Roman"/>
          <w:sz w:val="17"/>
          <w:szCs w:val="17"/>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642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Carl A. Aure</w:t>
      </w:r>
    </w:p>
    <w:p>
      <w:pPr>
        <w:ind w:left="5520"/>
        <w:spacing w:after="0" w:line="199" w:lineRule="auto"/>
        <w:rPr>
          <w:sz w:val="20"/>
          <w:szCs w:val="20"/>
          <w:color w:val="auto"/>
        </w:rPr>
      </w:pPr>
      <w:r>
        <w:rPr>
          <w:rFonts w:ascii="Times New Roman" w:cs="Times New Roman" w:eastAsia="Times New Roman" w:hAnsi="Times New Roman"/>
          <w:sz w:val="18"/>
          <w:szCs w:val="18"/>
          <w:color w:val="auto"/>
        </w:rPr>
        <w:t>Chief Financial Officer</w:t>
      </w:r>
    </w:p>
    <w:p>
      <w:pPr>
        <w:ind w:left="55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1018" w:right="5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50" w:lineRule="exact"/>
        <w:rPr>
          <w:sz w:val="20"/>
          <w:szCs w:val="20"/>
          <w:color w:val="auto"/>
        </w:rPr>
      </w:pPr>
    </w:p>
    <w:p>
      <w:pPr>
        <w:ind w:left="400" w:hanging="394"/>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9" w:lineRule="exact"/>
        <w:rPr>
          <w:rFonts w:ascii="Times New Roman" w:cs="Times New Roman" w:eastAsia="Times New Roman" w:hAnsi="Times New Roman"/>
          <w:sz w:val="18"/>
          <w:szCs w:val="18"/>
          <w:color w:val="auto"/>
        </w:rPr>
      </w:pPr>
    </w:p>
    <w:p>
      <w:pPr>
        <w:ind w:left="400" w:right="100" w:hanging="394"/>
        <w:spacing w:after="0" w:line="300" w:lineRule="auto"/>
        <w:tabs>
          <w:tab w:leader="none" w:pos="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7"/>
          <w:szCs w:val="17"/>
          <w:color w:val="auto"/>
        </w:rPr>
      </w:pPr>
    </w:p>
    <w:p>
      <w:pPr>
        <w:ind w:left="400" w:right="560" w:hanging="394"/>
        <w:spacing w:after="0" w:line="270"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400" w:right="40" w:hanging="394"/>
        <w:spacing w:after="0" w:line="258"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800" w:right="460" w:hanging="398"/>
        <w:spacing w:after="0" w:line="258" w:lineRule="auto"/>
        <w:tabs>
          <w:tab w:leader="none" w:pos="7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Times New Roman" w:cs="Times New Roman" w:eastAsia="Times New Roman" w:hAnsi="Times New Roman"/>
          <w:sz w:val="18"/>
          <w:szCs w:val="18"/>
          <w:color w:val="auto"/>
        </w:rPr>
      </w:pPr>
    </w:p>
    <w:p>
      <w:pPr>
        <w:ind w:left="800" w:right="140" w:hanging="398"/>
        <w:spacing w:after="0" w:line="258"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800" w:right="920" w:hanging="398"/>
        <w:spacing w:after="0" w:line="300" w:lineRule="auto"/>
        <w:tabs>
          <w:tab w:leader="none" w:pos="79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7"/>
          <w:szCs w:val="17"/>
          <w:color w:val="auto"/>
        </w:rPr>
      </w:pPr>
    </w:p>
    <w:p>
      <w:pPr>
        <w:ind w:left="800" w:right="20" w:hanging="398"/>
        <w:spacing w:after="0" w:line="258"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Times New Roman" w:cs="Times New Roman" w:eastAsia="Times New Roman" w:hAnsi="Times New Roman"/>
          <w:sz w:val="18"/>
          <w:szCs w:val="18"/>
          <w:color w:val="auto"/>
        </w:rPr>
      </w:pPr>
    </w:p>
    <w:p>
      <w:pPr>
        <w:ind w:left="400" w:right="480" w:hanging="394"/>
        <w:spacing w:after="0" w:line="270"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800" w:right="360" w:hanging="398"/>
        <w:spacing w:after="0" w:line="270" w:lineRule="auto"/>
        <w:tabs>
          <w:tab w:leader="none" w:pos="7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800" w:right="300" w:hanging="398"/>
        <w:spacing w:after="0" w:line="270"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14605</wp:posOffset>
            </wp:positionV>
            <wp:extent cx="2971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Steven R. Fife</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February 4, 2026</w:t>
      </w: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Carl A. Aure, certify that:</w:t>
      </w:r>
    </w:p>
    <w:p>
      <w:pPr>
        <w:spacing w:after="0" w:line="150" w:lineRule="exact"/>
        <w:rPr>
          <w:sz w:val="20"/>
          <w:szCs w:val="20"/>
          <w:color w:val="auto"/>
        </w:rPr>
      </w:pPr>
    </w:p>
    <w:p>
      <w:pPr>
        <w:ind w:left="400" w:hanging="394"/>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9" w:lineRule="exact"/>
        <w:rPr>
          <w:rFonts w:ascii="Times New Roman" w:cs="Times New Roman" w:eastAsia="Times New Roman" w:hAnsi="Times New Roman"/>
          <w:sz w:val="18"/>
          <w:szCs w:val="18"/>
          <w:color w:val="auto"/>
        </w:rPr>
      </w:pPr>
    </w:p>
    <w:p>
      <w:pPr>
        <w:ind w:left="400" w:right="100" w:hanging="394"/>
        <w:spacing w:after="0" w:line="300" w:lineRule="auto"/>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7"/>
          <w:szCs w:val="17"/>
          <w:color w:val="auto"/>
        </w:rPr>
      </w:pPr>
    </w:p>
    <w:p>
      <w:pPr>
        <w:ind w:left="400" w:right="560" w:hanging="394"/>
        <w:spacing w:after="0" w:line="270"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400" w:right="40" w:hanging="394"/>
        <w:spacing w:after="0" w:line="258"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800" w:right="460" w:hanging="398"/>
        <w:spacing w:after="0" w:line="258" w:lineRule="auto"/>
        <w:tabs>
          <w:tab w:leader="none" w:pos="7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Times New Roman" w:cs="Times New Roman" w:eastAsia="Times New Roman" w:hAnsi="Times New Roman"/>
          <w:sz w:val="18"/>
          <w:szCs w:val="18"/>
          <w:color w:val="auto"/>
        </w:rPr>
      </w:pPr>
    </w:p>
    <w:p>
      <w:pPr>
        <w:ind w:left="800" w:right="140" w:hanging="398"/>
        <w:spacing w:after="0" w:line="258"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800" w:right="920" w:hanging="398"/>
        <w:spacing w:after="0" w:line="300" w:lineRule="auto"/>
        <w:tabs>
          <w:tab w:leader="none" w:pos="7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7"/>
          <w:szCs w:val="17"/>
          <w:color w:val="auto"/>
        </w:rPr>
      </w:pPr>
    </w:p>
    <w:p>
      <w:pPr>
        <w:ind w:left="800" w:right="20" w:hanging="398"/>
        <w:spacing w:after="0" w:line="258"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Times New Roman" w:cs="Times New Roman" w:eastAsia="Times New Roman" w:hAnsi="Times New Roman"/>
          <w:sz w:val="18"/>
          <w:szCs w:val="18"/>
          <w:color w:val="auto"/>
        </w:rPr>
      </w:pPr>
    </w:p>
    <w:p>
      <w:pPr>
        <w:ind w:left="400" w:right="480" w:hanging="394"/>
        <w:spacing w:after="0" w:line="270"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800" w:right="360" w:hanging="398"/>
        <w:spacing w:after="0" w:line="270" w:lineRule="auto"/>
        <w:tabs>
          <w:tab w:leader="none" w:pos="7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800" w:right="300" w:hanging="398"/>
        <w:spacing w:after="0" w:line="270"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14605</wp:posOffset>
            </wp:positionV>
            <wp:extent cx="29718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Carl A. Aure</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February 4, 2026</w:t>
      </w: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19" w:lineRule="exact"/>
        <w:rPr>
          <w:sz w:val="20"/>
          <w:szCs w:val="20"/>
          <w:color w:val="auto"/>
        </w:rPr>
      </w:pPr>
    </w:p>
    <w:p>
      <w:pPr>
        <w:ind w:right="18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December 31, 2025,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12" w:lineRule="exact"/>
        <w:rPr>
          <w:sz w:val="20"/>
          <w:szCs w:val="20"/>
          <w:color w:val="auto"/>
        </w:rPr>
      </w:pPr>
    </w:p>
    <w:p>
      <w:pPr>
        <w:ind w:left="780" w:hanging="378"/>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right="200" w:firstLine="436"/>
        <w:spacing w:after="0" w:line="27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14605</wp:posOffset>
            </wp:positionV>
            <wp:extent cx="29718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Steven R. Fife</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February 4, 2026</w:t>
      </w:r>
      <w:r>
        <w:rPr>
          <w:rFonts w:ascii="Times New Roman" w:cs="Times New Roman" w:eastAsia="Times New Roman" w:hAnsi="Times New Roman"/>
          <w:sz w:val="18"/>
          <w:szCs w:val="18"/>
          <w:color w:val="auto"/>
        </w:rPr>
        <w:t>(Principal Executive Officer)</w:t>
      </w:r>
    </w:p>
    <w:p>
      <w:pPr>
        <w:spacing w:after="0" w:line="11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19" w:lineRule="exact"/>
        <w:rPr>
          <w:sz w:val="20"/>
          <w:szCs w:val="20"/>
          <w:color w:val="auto"/>
        </w:rPr>
      </w:pPr>
    </w:p>
    <w:p>
      <w:pPr>
        <w:jc w:val="both"/>
        <w:ind w:right="32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December 31, 2025, with the Securities and Exchange Commission on the date hereof (the “report”), I, Carl A. Aure, Principal Financial Officer of the Company, certify, pursuant to 18 U.S.C. Section 1350, as adopted pursuant to Section 906 of the Sarbanes-Oxley Act of 2002, that:</w:t>
      </w:r>
    </w:p>
    <w:p>
      <w:pPr>
        <w:spacing w:after="0" w:line="112" w:lineRule="exact"/>
        <w:rPr>
          <w:sz w:val="20"/>
          <w:szCs w:val="20"/>
          <w:color w:val="auto"/>
        </w:rPr>
      </w:pPr>
    </w:p>
    <w:p>
      <w:pPr>
        <w:ind w:left="780" w:hanging="378"/>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right="200" w:firstLine="436"/>
        <w:spacing w:after="0" w:line="27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14605</wp:posOffset>
            </wp:positionV>
            <wp:extent cx="29718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Carl A. Aure</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February 4, 2026</w:t>
      </w:r>
      <w:r>
        <w:rPr>
          <w:rFonts w:ascii="Times New Roman" w:cs="Times New Roman" w:eastAsia="Times New Roman" w:hAnsi="Times New Roman"/>
          <w:sz w:val="18"/>
          <w:szCs w:val="18"/>
          <w:color w:val="auto"/>
        </w:rPr>
        <w:t>(Principal Financial Officer)</w:t>
      </w:r>
    </w:p>
    <w:p>
      <w:pPr>
        <w:spacing w:after="0" w:line="11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1" Type="http://schemas.openxmlformats.org/officeDocument/2006/relationships/hyperlink" Target="https://www.sec.gov/Archives/edgar/data/849146/000084914618000046/ex31-certificateofincorpor.htm" TargetMode="External"/><Relationship Id="rId62" Type="http://schemas.openxmlformats.org/officeDocument/2006/relationships/hyperlink" Target="https://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2026-02-04T15:21:08Z</dcterms:created>
  <dcterms:modified xsi:type="dcterms:W3CDTF">2026-02-04T15:21:08Z</dcterms:modified>
</cp:coreProperties>
</file>