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99" w:lineRule="exact"/>
        <w:rPr>
          <w:sz w:val="24"/>
          <w:szCs w:val="24"/>
          <w:color w:val="auto"/>
        </w:rPr>
      </w:pPr>
    </w:p>
    <w:p>
      <w:pPr>
        <w:ind w:left="500" w:right="4140" w:hanging="481"/>
        <w:spacing w:after="0" w:line="363" w:lineRule="auto"/>
        <w:tabs>
          <w:tab w:leader="none" w:pos="6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UNDER SECTION 13 OR 15(d) OF THE SECURITIES EXCHANGE ACT OF 1934. For the fiscal year ended June 30, 2022</w:t>
      </w:r>
    </w:p>
    <w:p>
      <w:pPr>
        <w:spacing w:after="0" w:line="22" w:lineRule="exact"/>
        <w:rPr>
          <w:sz w:val="24"/>
          <w:szCs w:val="24"/>
          <w:color w:val="auto"/>
        </w:rPr>
      </w:pPr>
    </w:p>
    <w:p>
      <w:pPr>
        <w:ind w:left="680" w:hanging="661"/>
        <w:spacing w:after="0"/>
        <w:tabs>
          <w:tab w:leader="none" w:pos="6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UNDER SECTION 13 OR 15(d) OF THE SECURITIES EXCHANGE ACT OF 1934.</w:t>
      </w:r>
    </w:p>
    <w:p>
      <w:pPr>
        <w:spacing w:after="0" w:line="274"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2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3"/>
          </w:tcPr>
          <w:p>
            <w:pPr>
              <w:ind w:left="280"/>
              <w:spacing w:after="0"/>
              <w:rPr>
                <w:sz w:val="20"/>
                <w:szCs w:val="20"/>
                <w:color w:val="auto"/>
              </w:rPr>
            </w:pPr>
            <w:r>
              <w:rPr>
                <w:rFonts w:ascii="Arial" w:cs="Arial" w:eastAsia="Arial" w:hAnsi="Arial"/>
                <w:sz w:val="14"/>
                <w:szCs w:val="14"/>
                <w:b w:val="1"/>
                <w:bCs w:val="1"/>
                <w:color w:val="auto"/>
              </w:rPr>
              <w:t>For the transition period from __________ to __________</w:t>
            </w:r>
          </w:p>
        </w:tc>
        <w:tc>
          <w:tcPr>
            <w:tcW w:w="2960" w:type="dxa"/>
            <w:vAlign w:val="bottom"/>
          </w:tcPr>
          <w:p>
            <w:pPr>
              <w:spacing w:after="0"/>
              <w:rPr>
                <w:sz w:val="16"/>
                <w:szCs w:val="16"/>
                <w:color w:val="auto"/>
              </w:rPr>
            </w:pPr>
          </w:p>
        </w:tc>
      </w:tr>
      <w:tr>
        <w:trPr>
          <w:trHeight w:val="256"/>
        </w:trPr>
        <w:tc>
          <w:tcPr>
            <w:tcW w:w="29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Commission file number: 001-35647</w:t>
            </w:r>
          </w:p>
        </w:tc>
        <w:tc>
          <w:tcPr>
            <w:tcW w:w="2960" w:type="dxa"/>
            <w:vAlign w:val="bottom"/>
          </w:tcPr>
          <w:p>
            <w:pPr>
              <w:spacing w:after="0"/>
              <w:rPr>
                <w:sz w:val="22"/>
                <w:szCs w:val="22"/>
                <w:color w:val="auto"/>
              </w:rPr>
            </w:pPr>
          </w:p>
        </w:tc>
      </w:tr>
      <w:tr>
        <w:trPr>
          <w:trHeight w:val="108"/>
        </w:trPr>
        <w:tc>
          <w:tcPr>
            <w:tcW w:w="2980" w:type="dxa"/>
            <w:vAlign w:val="bottom"/>
          </w:tcPr>
          <w:p>
            <w:pPr>
              <w:spacing w:after="0"/>
              <w:rPr>
                <w:sz w:val="9"/>
                <w:szCs w:val="9"/>
                <w:color w:val="auto"/>
              </w:rPr>
            </w:pPr>
          </w:p>
        </w:tc>
        <w:tc>
          <w:tcPr>
            <w:tcW w:w="4480" w:type="dxa"/>
            <w:vAlign w:val="bottom"/>
            <w:gridSpan w:val="3"/>
          </w:tcPr>
          <w:p>
            <w:pPr>
              <w:jc w:val="center"/>
              <w:ind w:left="719"/>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587"/>
        </w:trPr>
        <w:tc>
          <w:tcPr>
            <w:tcW w:w="2980" w:type="dxa"/>
            <w:vAlign w:val="bottom"/>
          </w:tcPr>
          <w:p>
            <w:pPr>
              <w:spacing w:after="0"/>
              <w:rPr>
                <w:sz w:val="24"/>
                <w:szCs w:val="24"/>
                <w:color w:val="auto"/>
              </w:rPr>
            </w:pPr>
          </w:p>
        </w:tc>
        <w:tc>
          <w:tcPr>
            <w:tcW w:w="5300" w:type="dxa"/>
            <w:vAlign w:val="bottom"/>
            <w:gridSpan w:val="5"/>
          </w:tcPr>
          <w:p>
            <w:pPr>
              <w:jc w:val="center"/>
              <w:spacing w:after="0"/>
              <w:rPr>
                <w:sz w:val="20"/>
                <w:szCs w:val="20"/>
                <w:color w:val="auto"/>
              </w:rPr>
            </w:pPr>
            <w:r>
              <w:rPr>
                <w:rFonts w:ascii="Arial" w:cs="Arial" w:eastAsia="Arial" w:hAnsi="Arial"/>
                <w:sz w:val="34"/>
                <w:szCs w:val="34"/>
                <w:b w:val="1"/>
                <w:bCs w:val="1"/>
                <w:color w:val="auto"/>
              </w:rPr>
              <w:t>LIFEVANTAGE CORPORATION</w:t>
            </w:r>
          </w:p>
        </w:tc>
        <w:tc>
          <w:tcPr>
            <w:tcW w:w="2960" w:type="dxa"/>
            <w:vAlign w:val="bottom"/>
          </w:tcPr>
          <w:p>
            <w:pPr>
              <w:spacing w:after="0"/>
              <w:rPr>
                <w:sz w:val="24"/>
                <w:szCs w:val="24"/>
                <w:color w:val="auto"/>
              </w:rPr>
            </w:pPr>
          </w:p>
        </w:tc>
      </w:tr>
      <w:tr>
        <w:trPr>
          <w:trHeight w:val="184"/>
        </w:trPr>
        <w:tc>
          <w:tcPr>
            <w:tcW w:w="2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0"/>
              </w:rPr>
              <w:t>(Exact name of registrant as specified in its charter)</w:t>
            </w:r>
          </w:p>
        </w:tc>
        <w:tc>
          <w:tcPr>
            <w:tcW w:w="2960" w:type="dxa"/>
            <w:vAlign w:val="bottom"/>
          </w:tcPr>
          <w:p>
            <w:pPr>
              <w:spacing w:after="0"/>
              <w:rPr>
                <w:sz w:val="16"/>
                <w:szCs w:val="16"/>
                <w:color w:val="auto"/>
              </w:rPr>
            </w:pPr>
          </w:p>
        </w:tc>
      </w:tr>
      <w:tr>
        <w:trPr>
          <w:trHeight w:val="272"/>
        </w:trPr>
        <w:tc>
          <w:tcPr>
            <w:tcW w:w="2980" w:type="dxa"/>
            <w:vAlign w:val="bottom"/>
          </w:tcPr>
          <w:p>
            <w:pPr>
              <w:jc w:val="center"/>
              <w:ind w:left="1218"/>
              <w:spacing w:after="0"/>
              <w:rPr>
                <w:sz w:val="20"/>
                <w:szCs w:val="20"/>
                <w:color w:val="auto"/>
              </w:rPr>
            </w:pPr>
            <w:r>
              <w:rPr>
                <w:rFonts w:ascii="Arial" w:cs="Arial" w:eastAsia="Arial" w:hAnsi="Arial"/>
                <w:sz w:val="14"/>
                <w:szCs w:val="14"/>
                <w:b w:val="1"/>
                <w:bCs w:val="1"/>
                <w:color w:val="auto"/>
                <w:w w:val="94"/>
              </w:rPr>
              <w:t>Delaware</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960" w:type="dxa"/>
            <w:vAlign w:val="bottom"/>
          </w:tcPr>
          <w:p>
            <w:pPr>
              <w:jc w:val="center"/>
              <w:ind w:right="1298"/>
              <w:spacing w:after="0"/>
              <w:rPr>
                <w:sz w:val="20"/>
                <w:szCs w:val="20"/>
                <w:color w:val="auto"/>
              </w:rPr>
            </w:pPr>
            <w:r>
              <w:rPr>
                <w:rFonts w:ascii="Arial" w:cs="Arial" w:eastAsia="Arial" w:hAnsi="Arial"/>
                <w:sz w:val="14"/>
                <w:szCs w:val="14"/>
                <w:b w:val="1"/>
                <w:bCs w:val="1"/>
                <w:color w:val="auto"/>
                <w:w w:val="90"/>
              </w:rPr>
              <w:t>90-0224471</w:t>
            </w:r>
          </w:p>
        </w:tc>
      </w:tr>
      <w:tr>
        <w:trPr>
          <w:trHeight w:val="117"/>
        </w:trPr>
        <w:tc>
          <w:tcPr>
            <w:tcW w:w="2980" w:type="dxa"/>
            <w:vAlign w:val="bottom"/>
          </w:tcPr>
          <w:p>
            <w:pPr>
              <w:jc w:val="center"/>
              <w:ind w:left="1218"/>
              <w:spacing w:after="0" w:line="117" w:lineRule="exact"/>
              <w:rPr>
                <w:sz w:val="20"/>
                <w:szCs w:val="20"/>
                <w:color w:val="auto"/>
              </w:rPr>
            </w:pPr>
            <w:r>
              <w:rPr>
                <w:rFonts w:ascii="Arial" w:cs="Arial" w:eastAsia="Arial" w:hAnsi="Arial"/>
                <w:sz w:val="11"/>
                <w:szCs w:val="11"/>
                <w:color w:val="auto"/>
                <w:w w:val="94"/>
              </w:rPr>
              <w:t>(State or other jurisdiction of</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960" w:type="dxa"/>
            <w:vAlign w:val="bottom"/>
          </w:tcPr>
          <w:p>
            <w:pPr>
              <w:jc w:val="center"/>
              <w:ind w:right="1278"/>
              <w:spacing w:after="0" w:line="117" w:lineRule="exact"/>
              <w:rPr>
                <w:sz w:val="20"/>
                <w:szCs w:val="20"/>
                <w:color w:val="auto"/>
              </w:rPr>
            </w:pPr>
            <w:r>
              <w:rPr>
                <w:rFonts w:ascii="Arial" w:cs="Arial" w:eastAsia="Arial" w:hAnsi="Arial"/>
                <w:sz w:val="11"/>
                <w:szCs w:val="11"/>
                <w:color w:val="auto"/>
                <w:w w:val="97"/>
              </w:rPr>
              <w:t>(IRS Employer</w:t>
            </w:r>
          </w:p>
        </w:tc>
      </w:tr>
      <w:tr>
        <w:trPr>
          <w:trHeight w:val="145"/>
        </w:trPr>
        <w:tc>
          <w:tcPr>
            <w:tcW w:w="2980" w:type="dxa"/>
            <w:vAlign w:val="bottom"/>
          </w:tcPr>
          <w:p>
            <w:pPr>
              <w:jc w:val="center"/>
              <w:ind w:left="1238"/>
              <w:spacing w:after="0"/>
              <w:rPr>
                <w:sz w:val="20"/>
                <w:szCs w:val="20"/>
                <w:color w:val="auto"/>
              </w:rPr>
            </w:pPr>
            <w:r>
              <w:rPr>
                <w:rFonts w:ascii="Arial" w:cs="Arial" w:eastAsia="Arial" w:hAnsi="Arial"/>
                <w:sz w:val="11"/>
                <w:szCs w:val="11"/>
                <w:color w:val="auto"/>
                <w:w w:val="95"/>
              </w:rPr>
              <w:t>incorporation or organization)</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60" w:type="dxa"/>
            <w:vAlign w:val="bottom"/>
          </w:tcPr>
          <w:p>
            <w:pPr>
              <w:jc w:val="center"/>
              <w:ind w:right="1298"/>
              <w:spacing w:after="0"/>
              <w:rPr>
                <w:sz w:val="20"/>
                <w:szCs w:val="20"/>
                <w:color w:val="auto"/>
              </w:rPr>
            </w:pPr>
            <w:r>
              <w:rPr>
                <w:rFonts w:ascii="Arial" w:cs="Arial" w:eastAsia="Arial" w:hAnsi="Arial"/>
                <w:sz w:val="11"/>
                <w:szCs w:val="11"/>
                <w:color w:val="auto"/>
                <w:w w:val="98"/>
              </w:rPr>
              <w:t>Identification No.)</w:t>
            </w:r>
          </w:p>
        </w:tc>
      </w:tr>
      <w:tr>
        <w:trPr>
          <w:trHeight w:val="344"/>
        </w:trPr>
        <w:tc>
          <w:tcPr>
            <w:tcW w:w="2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3"/>
              </w:rPr>
              <w:t>3300 N. Triumph Blvd, Suite 700</w:t>
            </w:r>
          </w:p>
        </w:tc>
        <w:tc>
          <w:tcPr>
            <w:tcW w:w="2960" w:type="dxa"/>
            <w:vAlign w:val="bottom"/>
          </w:tcPr>
          <w:p>
            <w:pPr>
              <w:spacing w:after="0"/>
              <w:rPr>
                <w:sz w:val="24"/>
                <w:szCs w:val="24"/>
                <w:color w:val="auto"/>
              </w:rPr>
            </w:pPr>
          </w:p>
        </w:tc>
      </w:tr>
      <w:tr>
        <w:trPr>
          <w:trHeight w:val="169"/>
        </w:trPr>
        <w:tc>
          <w:tcPr>
            <w:tcW w:w="2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0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4"/>
              </w:rPr>
              <w:t>Lehi, Utah 84043</w:t>
            </w:r>
          </w:p>
        </w:tc>
        <w:tc>
          <w:tcPr>
            <w:tcW w:w="2960" w:type="dxa"/>
            <w:vAlign w:val="bottom"/>
          </w:tcPr>
          <w:p>
            <w:pPr>
              <w:spacing w:after="0"/>
              <w:rPr>
                <w:sz w:val="14"/>
                <w:szCs w:val="14"/>
                <w:color w:val="auto"/>
              </w:rPr>
            </w:pPr>
          </w:p>
        </w:tc>
      </w:tr>
      <w:tr>
        <w:trPr>
          <w:trHeight w:val="145"/>
        </w:trPr>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gridSpan w:val="3"/>
          </w:tcPr>
          <w:p>
            <w:pPr>
              <w:jc w:val="center"/>
              <w:ind w:right="820"/>
              <w:spacing w:after="0"/>
              <w:rPr>
                <w:sz w:val="20"/>
                <w:szCs w:val="20"/>
                <w:color w:val="auto"/>
              </w:rPr>
            </w:pPr>
            <w:r>
              <w:rPr>
                <w:rFonts w:ascii="Arial" w:cs="Arial" w:eastAsia="Arial" w:hAnsi="Arial"/>
                <w:sz w:val="11"/>
                <w:szCs w:val="11"/>
                <w:color w:val="auto"/>
                <w:w w:val="95"/>
              </w:rPr>
              <w:t>(Address of principal executive offices, including zip code)</w:t>
            </w:r>
          </w:p>
        </w:tc>
        <w:tc>
          <w:tcPr>
            <w:tcW w:w="2960" w:type="dxa"/>
            <w:vAlign w:val="bottom"/>
          </w:tcPr>
          <w:p>
            <w:pPr>
              <w:spacing w:after="0"/>
              <w:rPr>
                <w:sz w:val="12"/>
                <w:szCs w:val="12"/>
                <w:color w:val="auto"/>
              </w:rPr>
            </w:pPr>
          </w:p>
        </w:tc>
      </w:tr>
      <w:tr>
        <w:trPr>
          <w:trHeight w:val="354"/>
        </w:trPr>
        <w:tc>
          <w:tcPr>
            <w:tcW w:w="2980" w:type="dxa"/>
            <w:vAlign w:val="bottom"/>
          </w:tcPr>
          <w:p>
            <w:pPr>
              <w:spacing w:after="0"/>
              <w:rPr>
                <w:sz w:val="24"/>
                <w:szCs w:val="24"/>
                <w:color w:val="auto"/>
              </w:rPr>
            </w:pPr>
          </w:p>
        </w:tc>
        <w:tc>
          <w:tcPr>
            <w:tcW w:w="448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w w:val="91"/>
              </w:rPr>
              <w:t>(801) 432-9000</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45"/>
        </w:trPr>
        <w:tc>
          <w:tcPr>
            <w:tcW w:w="2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00" w:type="dxa"/>
            <w:vAlign w:val="bottom"/>
            <w:gridSpan w:val="3"/>
          </w:tcPr>
          <w:p>
            <w:pPr>
              <w:jc w:val="center"/>
              <w:ind w:right="820"/>
              <w:spacing w:after="0"/>
              <w:rPr>
                <w:sz w:val="20"/>
                <w:szCs w:val="20"/>
                <w:color w:val="auto"/>
              </w:rPr>
            </w:pPr>
            <w:r>
              <w:rPr>
                <w:rFonts w:ascii="Arial" w:cs="Arial" w:eastAsia="Arial" w:hAnsi="Arial"/>
                <w:sz w:val="11"/>
                <w:szCs w:val="11"/>
                <w:color w:val="auto"/>
                <w:w w:val="90"/>
              </w:rPr>
              <w:t>Registrant's telephone number</w:t>
            </w:r>
          </w:p>
        </w:tc>
        <w:tc>
          <w:tcPr>
            <w:tcW w:w="2960" w:type="dxa"/>
            <w:vAlign w:val="bottom"/>
          </w:tcPr>
          <w:p>
            <w:pPr>
              <w:spacing w:after="0"/>
              <w:rPr>
                <w:sz w:val="12"/>
                <w:szCs w:val="12"/>
                <w:color w:val="auto"/>
              </w:rPr>
            </w:pPr>
          </w:p>
        </w:tc>
      </w:tr>
      <w:tr>
        <w:trPr>
          <w:trHeight w:val="284"/>
        </w:trPr>
        <w:tc>
          <w:tcPr>
            <w:tcW w:w="2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2960" w:type="dxa"/>
            <w:vAlign w:val="bottom"/>
          </w:tcPr>
          <w:p>
            <w:pPr>
              <w:spacing w:after="0"/>
              <w:rPr>
                <w:sz w:val="24"/>
                <w:szCs w:val="24"/>
                <w:color w:val="auto"/>
              </w:rPr>
            </w:pPr>
          </w:p>
        </w:tc>
      </w:tr>
      <w:tr>
        <w:trPr>
          <w:trHeight w:val="276"/>
        </w:trPr>
        <w:tc>
          <w:tcPr>
            <w:tcW w:w="2980" w:type="dxa"/>
            <w:vAlign w:val="bottom"/>
          </w:tcPr>
          <w:p>
            <w:pPr>
              <w:jc w:val="center"/>
              <w:ind w:left="638"/>
              <w:spacing w:after="0"/>
              <w:rPr>
                <w:sz w:val="20"/>
                <w:szCs w:val="20"/>
                <w:color w:val="auto"/>
              </w:rPr>
            </w:pPr>
            <w:r>
              <w:rPr>
                <w:rFonts w:ascii="Arial" w:cs="Arial" w:eastAsia="Arial" w:hAnsi="Arial"/>
                <w:sz w:val="14"/>
                <w:szCs w:val="14"/>
                <w:b w:val="1"/>
                <w:bCs w:val="1"/>
                <w:color w:val="auto"/>
                <w:w w:val="91"/>
              </w:rPr>
              <w:t>Common Stock, par value $0.0001</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00" w:type="dxa"/>
            <w:vAlign w:val="bottom"/>
            <w:gridSpan w:val="3"/>
          </w:tcPr>
          <w:p>
            <w:pPr>
              <w:jc w:val="center"/>
              <w:ind w:right="840"/>
              <w:spacing w:after="0"/>
              <w:rPr>
                <w:sz w:val="20"/>
                <w:szCs w:val="20"/>
                <w:color w:val="auto"/>
              </w:rPr>
            </w:pPr>
            <w:r>
              <w:rPr>
                <w:rFonts w:ascii="Arial" w:cs="Arial" w:eastAsia="Arial" w:hAnsi="Arial"/>
                <w:sz w:val="14"/>
                <w:szCs w:val="14"/>
                <w:b w:val="1"/>
                <w:bCs w:val="1"/>
                <w:color w:val="auto"/>
              </w:rPr>
              <w:t>LFVN</w:t>
            </w:r>
          </w:p>
        </w:tc>
        <w:tc>
          <w:tcPr>
            <w:tcW w:w="2960" w:type="dxa"/>
            <w:vAlign w:val="bottom"/>
          </w:tcPr>
          <w:p>
            <w:pPr>
              <w:jc w:val="center"/>
              <w:ind w:right="658"/>
              <w:spacing w:after="0"/>
              <w:rPr>
                <w:sz w:val="20"/>
                <w:szCs w:val="20"/>
                <w:color w:val="auto"/>
              </w:rPr>
            </w:pPr>
            <w:r>
              <w:rPr>
                <w:rFonts w:ascii="Arial" w:cs="Arial" w:eastAsia="Arial" w:hAnsi="Arial"/>
                <w:sz w:val="14"/>
                <w:szCs w:val="14"/>
                <w:b w:val="1"/>
                <w:bCs w:val="1"/>
                <w:color w:val="auto"/>
                <w:w w:val="95"/>
              </w:rPr>
              <w:t>The Nasdaq Stock Market LLC</w:t>
            </w:r>
          </w:p>
        </w:tc>
      </w:tr>
      <w:tr>
        <w:trPr>
          <w:trHeight w:val="136"/>
        </w:trPr>
        <w:tc>
          <w:tcPr>
            <w:tcW w:w="2980" w:type="dxa"/>
            <w:vAlign w:val="bottom"/>
            <w:tcBorders>
              <w:top w:val="single" w:sz="8" w:color="auto"/>
            </w:tcBorders>
          </w:tcPr>
          <w:p>
            <w:pPr>
              <w:jc w:val="center"/>
              <w:ind w:left="638"/>
              <w:spacing w:after="0"/>
              <w:rPr>
                <w:sz w:val="20"/>
                <w:szCs w:val="20"/>
                <w:color w:val="auto"/>
              </w:rPr>
            </w:pPr>
            <w:r>
              <w:rPr>
                <w:rFonts w:ascii="Arial" w:cs="Arial" w:eastAsia="Arial" w:hAnsi="Arial"/>
                <w:sz w:val="11"/>
                <w:szCs w:val="11"/>
                <w:color w:val="auto"/>
                <w:w w:val="90"/>
              </w:rPr>
              <w:t>Title of each class</w:t>
            </w: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5"/>
              </w:rPr>
              <w:t>Trading Symbol(s)</w:t>
            </w: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jc w:val="center"/>
              <w:ind w:right="658"/>
              <w:spacing w:after="0"/>
              <w:rPr>
                <w:sz w:val="20"/>
                <w:szCs w:val="20"/>
                <w:color w:val="auto"/>
              </w:rPr>
            </w:pPr>
            <w:r>
              <w:rPr>
                <w:rFonts w:ascii="Arial" w:cs="Arial" w:eastAsia="Arial" w:hAnsi="Arial"/>
                <w:sz w:val="11"/>
                <w:szCs w:val="11"/>
                <w:color w:val="auto"/>
                <w:w w:val="91"/>
              </w:rPr>
              <w:t>Name of each exchange on which registered</w:t>
            </w:r>
          </w:p>
        </w:tc>
      </w:tr>
      <w:tr>
        <w:trPr>
          <w:trHeight w:val="355"/>
        </w:trPr>
        <w:tc>
          <w:tcPr>
            <w:tcW w:w="2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9"/>
              </w:rPr>
              <w:t>Securities registered pursuant to Section 12(g) of the Act: None</w:t>
            </w:r>
          </w:p>
        </w:tc>
        <w:tc>
          <w:tcPr>
            <w:tcW w:w="2960" w:type="dxa"/>
            <w:vAlign w:val="bottom"/>
          </w:tcPr>
          <w:p>
            <w:pPr>
              <w:spacing w:after="0"/>
              <w:rPr>
                <w:sz w:val="24"/>
                <w:szCs w:val="24"/>
                <w:color w:val="auto"/>
              </w:rPr>
            </w:pPr>
          </w:p>
        </w:tc>
      </w:tr>
      <w:tr>
        <w:trPr>
          <w:trHeight w:val="108"/>
        </w:trPr>
        <w:tc>
          <w:tcPr>
            <w:tcW w:w="2980" w:type="dxa"/>
            <w:vAlign w:val="bottom"/>
          </w:tcPr>
          <w:p>
            <w:pPr>
              <w:spacing w:after="0"/>
              <w:rPr>
                <w:sz w:val="9"/>
                <w:szCs w:val="9"/>
                <w:color w:val="auto"/>
              </w:rPr>
            </w:pPr>
          </w:p>
        </w:tc>
        <w:tc>
          <w:tcPr>
            <w:tcW w:w="4480" w:type="dxa"/>
            <w:vAlign w:val="bottom"/>
            <w:gridSpan w:val="3"/>
          </w:tcPr>
          <w:p>
            <w:pPr>
              <w:jc w:val="center"/>
              <w:ind w:left="719"/>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w:t>
            </w: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960" w:type="dxa"/>
            <w:vAlign w:val="bottom"/>
          </w:tcPr>
          <w:p>
            <w:pPr>
              <w:spacing w:after="0"/>
              <w:rPr>
                <w:sz w:val="9"/>
                <w:szCs w:val="9"/>
                <w:color w:val="auto"/>
              </w:rPr>
            </w:pPr>
          </w:p>
        </w:tc>
      </w:tr>
    </w:tbl>
    <w:p>
      <w:pPr>
        <w:spacing w:after="0" w:line="200" w:lineRule="exact"/>
        <w:rPr>
          <w:sz w:val="24"/>
          <w:szCs w:val="24"/>
          <w:color w:val="auto"/>
        </w:rPr>
      </w:pPr>
    </w:p>
    <w:p>
      <w:pPr>
        <w:sectPr>
          <w:pgSz w:w="11900" w:h="16838" w:orient="portrait"/>
          <w:cols w:equalWidth="0" w:num="1">
            <w:col w:w="11260"/>
          </w:cols>
          <w:pgMar w:left="300" w:top="840" w:right="339" w:bottom="1440" w:gutter="0" w:footer="0" w:header="0"/>
        </w:sectPr>
      </w:pPr>
    </w:p>
    <w:p>
      <w:pPr>
        <w:spacing w:after="0" w:line="17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6" w:lineRule="exact"/>
        <w:rPr>
          <w:sz w:val="24"/>
          <w:szCs w:val="24"/>
          <w:color w:val="auto"/>
        </w:rPr>
      </w:pPr>
    </w:p>
    <w:p>
      <w:pPr>
        <w:sectPr>
          <w:pgSz w:w="11900" w:h="16838" w:orient="portrait"/>
          <w:cols w:equalWidth="0" w:num="4">
            <w:col w:w="6880" w:space="80"/>
            <w:col w:w="120" w:space="140"/>
            <w:col w:w="180" w:space="60"/>
            <w:col w:w="3800"/>
          </w:cols>
          <w:pgMar w:left="300" w:top="840"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81" w:lineRule="exact"/>
        <w:rPr>
          <w:sz w:val="24"/>
          <w:szCs w:val="24"/>
          <w:color w:val="auto"/>
        </w:rPr>
      </w:pPr>
    </w:p>
    <w:p>
      <w:pPr>
        <w:sectPr>
          <w:pgSz w:w="11900" w:h="16838" w:orient="portrait"/>
          <w:cols w:equalWidth="0" w:num="4">
            <w:col w:w="7020" w:space="60"/>
            <w:col w:w="120" w:space="160"/>
            <w:col w:w="160" w:space="80"/>
            <w:col w:w="3660"/>
          </w:cols>
          <w:pgMar w:left="300" w:top="840" w:right="339" w:bottom="1440" w:gutter="0" w:footer="0" w:header="0"/>
          <w:type w:val="continuous"/>
        </w:sectPr>
      </w:pPr>
    </w:p>
    <w:p>
      <w:pPr>
        <w:ind w:right="140"/>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ind w:right="420"/>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1"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32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520"/>
              <w:spacing w:after="0"/>
              <w:rPr>
                <w:sz w:val="20"/>
                <w:szCs w:val="20"/>
                <w:color w:val="auto"/>
              </w:rPr>
            </w:pPr>
            <w:r>
              <w:rPr>
                <w:rFonts w:ascii="Arial" w:cs="Arial" w:eastAsia="Arial" w:hAnsi="Arial"/>
                <w:sz w:val="14"/>
                <w:szCs w:val="14"/>
                <w:color w:val="auto"/>
              </w:rPr>
              <w:t>Accelerated filer</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3220" w:type="dxa"/>
            <w:vAlign w:val="bottom"/>
          </w:tcPr>
          <w:p>
            <w:pPr>
              <w:spacing w:after="0"/>
              <w:rPr>
                <w:sz w:val="20"/>
                <w:szCs w:val="20"/>
                <w:color w:val="auto"/>
              </w:rPr>
            </w:pPr>
            <w:r>
              <w:rPr>
                <w:rFonts w:ascii="Arial" w:cs="Arial" w:eastAsia="Arial" w:hAnsi="Arial"/>
                <w:sz w:val="14"/>
                <w:szCs w:val="14"/>
                <w:color w:val="auto"/>
              </w:rPr>
              <w:t>Non-accelerated filer</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ind w:left="520"/>
              <w:spacing w:after="0"/>
              <w:rPr>
                <w:sz w:val="20"/>
                <w:szCs w:val="20"/>
                <w:color w:val="auto"/>
              </w:rPr>
            </w:pPr>
            <w:r>
              <w:rPr>
                <w:rFonts w:ascii="Arial" w:cs="Arial" w:eastAsia="Arial" w:hAnsi="Arial"/>
                <w:sz w:val="14"/>
                <w:szCs w:val="14"/>
                <w:color w:val="auto"/>
              </w:rPr>
              <w:t>Smaller reporting company</w:t>
            </w:r>
          </w:p>
        </w:tc>
        <w:tc>
          <w:tcPr>
            <w:tcW w:w="180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32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320" w:type="dxa"/>
            <w:vAlign w:val="bottom"/>
          </w:tcPr>
          <w:p>
            <w:pPr>
              <w:ind w:left="1680"/>
              <w:spacing w:after="0" w:line="141" w:lineRule="exact"/>
              <w:rPr>
                <w:sz w:val="20"/>
                <w:szCs w:val="20"/>
                <w:color w:val="auto"/>
              </w:rPr>
            </w:pPr>
            <w:r>
              <w:rPr>
                <w:rFonts w:ascii="MS PGothic" w:cs="MS PGothic" w:eastAsia="MS PGothic" w:hAnsi="MS PGothic"/>
                <w:sz w:val="14"/>
                <w:szCs w:val="14"/>
                <w:color w:val="auto"/>
              </w:rPr>
              <w:t>☐</w:t>
            </w:r>
          </w:p>
        </w:tc>
        <w:tc>
          <w:tcPr>
            <w:tcW w:w="3760" w:type="dxa"/>
            <w:vAlign w:val="bottom"/>
          </w:tcPr>
          <w:p>
            <w:pPr>
              <w:spacing w:after="0"/>
              <w:rPr>
                <w:sz w:val="19"/>
                <w:szCs w:val="19"/>
                <w:color w:val="auto"/>
              </w:rPr>
            </w:pPr>
          </w:p>
        </w:tc>
        <w:tc>
          <w:tcPr>
            <w:tcW w:w="1800" w:type="dxa"/>
            <w:vAlign w:val="bottom"/>
          </w:tcPr>
          <w:p>
            <w:pPr>
              <w:spacing w:after="0"/>
              <w:rPr>
                <w:sz w:val="19"/>
                <w:szCs w:val="19"/>
                <w:color w:val="auto"/>
              </w:rPr>
            </w:pPr>
          </w:p>
        </w:tc>
      </w:tr>
    </w:tbl>
    <w:p>
      <w:pPr>
        <w:spacing w:after="0" w:line="239" w:lineRule="exact"/>
        <w:rPr>
          <w:sz w:val="24"/>
          <w:szCs w:val="24"/>
          <w:color w:val="auto"/>
        </w:rPr>
      </w:pPr>
    </w:p>
    <w:p>
      <w:pPr>
        <w:ind w:right="200"/>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1" w:lineRule="exact"/>
        <w:rPr>
          <w:sz w:val="24"/>
          <w:szCs w:val="24"/>
          <w:color w:val="auto"/>
        </w:rPr>
      </w:pPr>
    </w:p>
    <w:p>
      <w:pPr>
        <w:ind w:right="260"/>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tabs>
          <w:tab w:leader="none" w:pos="5960" w:val="left"/>
          <w:tab w:leader="none" w:pos="65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1" w:lineRule="exact"/>
        <w:rPr>
          <w:sz w:val="24"/>
          <w:szCs w:val="24"/>
          <w:color w:val="auto"/>
        </w:rPr>
      </w:pPr>
    </w:p>
    <w:p>
      <w:pPr>
        <w:ind w:right="80"/>
        <w:spacing w:after="0" w:line="281" w:lineRule="auto"/>
        <w:rPr>
          <w:sz w:val="20"/>
          <w:szCs w:val="20"/>
          <w:color w:val="auto"/>
        </w:rPr>
      </w:pPr>
      <w:r>
        <w:rPr>
          <w:rFonts w:ascii="Arial" w:cs="Arial" w:eastAsia="Arial" w:hAnsi="Arial"/>
          <w:sz w:val="14"/>
          <w:szCs w:val="14"/>
          <w:color w:val="auto"/>
        </w:rPr>
        <w:t>The aggregate market value of the registrant's common stock held by non-affiliates as of December 31, 2021, the end of the registrant's second fiscal quarter, was approximately $81.2 million, based on a closing market price of $6.32 per share.</w:t>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(par value $0.0001) outstanding as of August 22, 2022 was 12,552,781 shares.</w:t>
      </w:r>
    </w:p>
    <w:p>
      <w:pPr>
        <w:spacing w:after="0" w:line="116" w:lineRule="exact"/>
        <w:rPr>
          <w:sz w:val="24"/>
          <w:szCs w:val="24"/>
          <w:color w:val="auto"/>
        </w:rPr>
      </w:pPr>
    </w:p>
    <w:p>
      <w:pPr>
        <w:ind w:left="39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9" w:lineRule="exact"/>
        <w:rPr>
          <w:sz w:val="24"/>
          <w:szCs w:val="24"/>
          <w:color w:val="auto"/>
        </w:rPr>
      </w:pPr>
    </w:p>
    <w:p>
      <w:pPr>
        <w:ind w:right="100"/>
        <w:spacing w:after="0" w:line="267"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Securities and Exchange Commission pursuant to Regulation 14A in connection with the registrant’s fiscal year 2022 annual meeting of stockholders are incorporated by reference into Part III of this report. Such definitive proxy statement will be filed with the Commission not later than 120 days after the end of the registrant’s fiscal year ended June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508635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119"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Certain statements contained in this report and the information incorporated by reference herein may contain “forward-looking statements” (as such term is defined in Section 27A of the Securities Act of 1933, as amended, and Section 21E of the Securities Exchange Act of 1934, as amended (the "Exchange Act")).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84"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factors are among those that may cause actual results to differ materially from our forward-looking statements:</w:t>
      </w:r>
    </w:p>
    <w:p>
      <w:pPr>
        <w:spacing w:after="0" w:line="115"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properly manage, motivate and retain our independent distributors or to attract new customers and independent distributors on an ongoing basis;</w:t>
      </w:r>
    </w:p>
    <w:p>
      <w:pPr>
        <w:spacing w:after="0" w:line="125"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COVID-19 pandemic or the widespread outbreak of any other illness or communicable disease or any other public health crisis, could adversely affect our business, results of operations and financial condition;</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protect against cyber security risks and to maintain the integrity of data;</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manage existing markets, open new international markets or expand our operations;</w:t>
      </w:r>
    </w:p>
    <w:p>
      <w:pPr>
        <w:spacing w:after="0" w:line="125"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Non-compliance by our independent distributors with applicable legal requirements or our policies and procedures, including making improper and/or illegal claims about our products or earnings opportunity;</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of new products and technological innovations to gain customer or independent distributor or market acceptance;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and stock price may be adversely affected if our internal controls over financial reporting is not effective;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execute our product launch process due to increased pressure on our supply chain, information systems and management;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appropriately manage our inventory;</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Disruptions in our information technology systems;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International trade or foreign exchange restrictions, increased tariffs, foreign currency exchange fluctuations;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raise additional capital or complete desired acquisitions;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Inability to comply with financial covenants imposed by our credit facility and the impact of debt service obligations and restrictive debt covenants;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Dependence upon a few products for revenue;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retain our existing distributor force or customer base or attract additional customers and/or independent distributors;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High quality materials for our products may become difficult to obtain or expensive;</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Improper actions by our independent distributors that violate laws or regulations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 w:name="page3"/>
    <w:bookmarkEnd w:id="2"/>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Dependence on third parties to manufacture our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Disruptions to the transportation channels used to distribute our products;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 subject to a product recall;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Unfavorable publicity on our business or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are subject to risks related to Global Not For Resale programs;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direct selling program could be found to not be in compliance with current or newly adopted laws or regulations in various markets;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Legal proceedings may be expensive and time consuming;</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Strict government regulations on our business;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Our Cannabidiol (“CBD”) products are subject to varying and changing federal, state or local laws which could adversely affect our results of operations and financial condition;</w:t>
      </w:r>
    </w:p>
    <w:p>
      <w:pPr>
        <w:spacing w:after="0" w:line="136" w:lineRule="exact"/>
        <w:rPr>
          <w:rFonts w:ascii="Arial" w:cs="Arial" w:eastAsia="Arial" w:hAnsi="Arial"/>
          <w:sz w:val="13"/>
          <w:szCs w:val="13"/>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Regulations governing the production or marketing of our products;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Risk of investigatory and enforcement action;</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2"/>
          <w:szCs w:val="12"/>
          <w:color w:val="auto"/>
        </w:rPr>
      </w:pPr>
      <w:r>
        <w:rPr>
          <w:rFonts w:ascii="Arial" w:cs="Arial" w:eastAsia="Arial" w:hAnsi="Arial"/>
          <w:sz w:val="12"/>
          <w:szCs w:val="12"/>
          <w:color w:val="auto"/>
        </w:rPr>
        <w:t>Government authorities may question our tax positions or transfer pricing policies or change their laws in a manner that could increase our effective tax rate or otherwise harm our business;</w:t>
      </w:r>
    </w:p>
    <w:p>
      <w:pPr>
        <w:spacing w:after="0" w:line="148" w:lineRule="exact"/>
        <w:rPr>
          <w:rFonts w:ascii="Arial" w:cs="Arial" w:eastAsia="Arial" w:hAnsi="Arial"/>
          <w:sz w:val="12"/>
          <w:szCs w:val="12"/>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comply with anti-corruption laws;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Loss of, or inability to attract, key personnel;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may be held responsible for certain taxes or assessments and other obligations relating to the activity of our independent distributors;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Competition in the dietary supplement and personal care markets;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inability to protect our intellectual property rights;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Third party claims that we infringe on their intellectual property;</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Product liability claims against us;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Consumer discretionary spending habits factor into our economic success;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Economic, political, foreign exchange and other risks associated with international operations;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Potential delisting of our common stock due to non-compliance with Nasdaq's continued listing requirements;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Volatility of the market price of our common stock;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Substantial sales of shares may negatively impact the market price of our common stock.</w:t>
      </w:r>
    </w:p>
    <w:p>
      <w:pPr>
        <w:spacing w:after="0" w:line="11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940" w:type="dxa"/>
            <w:vAlign w:val="bottom"/>
            <w:gridSpan w:val="10"/>
          </w:tcPr>
          <w:p>
            <w:pPr>
              <w:jc w:val="center"/>
              <w:ind w:right="2260"/>
              <w:spacing w:after="0"/>
              <w:rPr>
                <w:sz w:val="20"/>
                <w:szCs w:val="20"/>
                <w:color w:val="auto"/>
              </w:rPr>
            </w:pPr>
            <w:r>
              <w:rPr>
                <w:rFonts w:ascii="Arial" w:cs="Arial" w:eastAsia="Arial" w:hAnsi="Arial"/>
                <w:sz w:val="14"/>
                <w:szCs w:val="14"/>
                <w:b w:val="1"/>
                <w:bCs w:val="1"/>
                <w:color w:val="auto"/>
              </w:rPr>
              <w:t>TABLE OF CONTENTS</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4"/>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540" w:type="dxa"/>
            <w:vAlign w:val="bottom"/>
            <w:gridSpan w:val="5"/>
          </w:tcPr>
          <w:p>
            <w:pPr>
              <w:jc w:val="right"/>
              <w:ind w:right="360"/>
              <w:spacing w:after="0"/>
              <w:rPr>
                <w:sz w:val="20"/>
                <w:szCs w:val="20"/>
                <w:color w:val="auto"/>
              </w:rPr>
            </w:pPr>
            <w:r>
              <w:rPr>
                <w:rFonts w:ascii="Arial" w:cs="Arial" w:eastAsia="Arial" w:hAnsi="Arial"/>
                <w:sz w:val="11"/>
                <w:szCs w:val="11"/>
                <w:b w:val="1"/>
                <w:bCs w:val="1"/>
                <w:color w:val="auto"/>
              </w:rPr>
              <w:t>Page</w:t>
            </w:r>
          </w:p>
        </w:tc>
      </w:tr>
      <w:tr>
        <w:trPr>
          <w:trHeight w:val="17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0000FF"/>
            </w:tcBorders>
            <w:gridSpan w:val="2"/>
          </w:tcPr>
          <w:p>
            <w:pPr>
              <w:jc w:val="center"/>
              <w:spacing w:after="0"/>
              <w:rPr>
                <w:sz w:val="20"/>
                <w:szCs w:val="20"/>
                <w:color w:val="auto"/>
              </w:rPr>
            </w:pPr>
            <w:r>
              <w:rPr>
                <w:rFonts w:ascii="Arial" w:cs="Arial" w:eastAsia="Arial" w:hAnsi="Arial"/>
                <w:sz w:val="14"/>
                <w:szCs w:val="14"/>
                <w:color w:val="0000FF"/>
                <w:w w:val="92"/>
              </w:rPr>
              <w:t>PART I</w:t>
            </w:r>
          </w:p>
        </w:tc>
        <w:tc>
          <w:tcPr>
            <w:tcW w:w="2900" w:type="dxa"/>
            <w:vAlign w:val="bottom"/>
            <w:gridSpan w:val="5"/>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4"/>
                <w:szCs w:val="14"/>
                <w:color w:val="0000FF"/>
                <w:w w:val="88"/>
              </w:rPr>
              <w:t>Item 1. Business</w:t>
            </w:r>
          </w:p>
        </w:tc>
        <w:tc>
          <w:tcPr>
            <w:tcW w:w="7780" w:type="dxa"/>
            <w:vAlign w:val="bottom"/>
            <w:gridSpan w:val="24"/>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Arial" w:cs="Arial" w:eastAsia="Arial" w:hAnsi="Arial"/>
                <w:sz w:val="14"/>
                <w:szCs w:val="14"/>
                <w:color w:val="0000FF"/>
              </w:rPr>
              <w:t>5</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Arial" w:cs="Arial" w:eastAsia="Arial" w:hAnsi="Arial"/>
                <w:sz w:val="14"/>
                <w:szCs w:val="14"/>
                <w:color w:val="0000FF"/>
              </w:rPr>
              <w:t>Item 1A. Risk Factors</w:t>
            </w:r>
          </w:p>
        </w:tc>
        <w:tc>
          <w:tcPr>
            <w:tcW w:w="2540" w:type="dxa"/>
            <w:vAlign w:val="bottom"/>
            <w:gridSpan w:val="5"/>
          </w:tcPr>
          <w:p>
            <w:pPr>
              <w:jc w:val="right"/>
              <w:ind w:right="60"/>
              <w:spacing w:after="0"/>
              <w:rPr>
                <w:sz w:val="20"/>
                <w:szCs w:val="20"/>
                <w:color w:val="auto"/>
              </w:rPr>
            </w:pPr>
            <w:r>
              <w:rPr>
                <w:rFonts w:ascii="Arial" w:cs="Arial" w:eastAsia="Arial" w:hAnsi="Arial"/>
                <w:sz w:val="14"/>
                <w:szCs w:val="14"/>
                <w:color w:val="0000FF"/>
              </w:rPr>
              <w:t>23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10"/>
          </w:tcPr>
          <w:p>
            <w:pPr>
              <w:spacing w:after="0"/>
              <w:rPr>
                <w:sz w:val="20"/>
                <w:szCs w:val="20"/>
                <w:color w:val="auto"/>
              </w:rPr>
            </w:pPr>
            <w:r>
              <w:rPr>
                <w:rFonts w:ascii="Arial" w:cs="Arial" w:eastAsia="Arial" w:hAnsi="Arial"/>
                <w:sz w:val="14"/>
                <w:szCs w:val="14"/>
                <w:color w:val="0000FF"/>
                <w:w w:val="91"/>
              </w:rPr>
              <w:t>Item 1B. Unresolved Staff Comments</w:t>
            </w:r>
          </w:p>
        </w:tc>
        <w:tc>
          <w:tcPr>
            <w:tcW w:w="6580" w:type="dxa"/>
            <w:vAlign w:val="bottom"/>
            <w:gridSpan w:val="1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37</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40" w:type="dxa"/>
            <w:vAlign w:val="bottom"/>
            <w:gridSpan w:val="10"/>
          </w:tcPr>
          <w:p>
            <w:pPr>
              <w:spacing w:after="0"/>
              <w:rPr>
                <w:sz w:val="20"/>
                <w:szCs w:val="20"/>
                <w:color w:val="auto"/>
              </w:rPr>
            </w:pPr>
            <w:r>
              <w:rPr>
                <w:rFonts w:ascii="Arial" w:cs="Arial" w:eastAsia="Arial" w:hAnsi="Arial"/>
                <w:sz w:val="14"/>
                <w:szCs w:val="14"/>
                <w:color w:val="0000FF"/>
              </w:rPr>
              <w:t>Item 2. Properties</w:t>
            </w:r>
          </w:p>
        </w:tc>
        <w:tc>
          <w:tcPr>
            <w:tcW w:w="6580" w:type="dxa"/>
            <w:vAlign w:val="bottom"/>
            <w:gridSpan w:val="1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37</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Arial" w:cs="Arial" w:eastAsia="Arial" w:hAnsi="Arial"/>
                <w:sz w:val="14"/>
                <w:szCs w:val="14"/>
                <w:color w:val="0000FF"/>
              </w:rPr>
              <w:t>Item 3. Legal Proceedings</w:t>
            </w:r>
          </w:p>
        </w:tc>
        <w:tc>
          <w:tcPr>
            <w:tcW w:w="2540" w:type="dxa"/>
            <w:vAlign w:val="bottom"/>
            <w:gridSpan w:val="5"/>
          </w:tcPr>
          <w:p>
            <w:pPr>
              <w:jc w:val="right"/>
              <w:ind w:right="60"/>
              <w:spacing w:after="0"/>
              <w:rPr>
                <w:sz w:val="20"/>
                <w:szCs w:val="20"/>
                <w:color w:val="auto"/>
              </w:rPr>
            </w:pPr>
            <w:r>
              <w:rPr>
                <w:rFonts w:ascii="Arial" w:cs="Arial" w:eastAsia="Arial" w:hAnsi="Arial"/>
                <w:sz w:val="14"/>
                <w:szCs w:val="14"/>
                <w:color w:val="0000FF"/>
              </w:rPr>
              <w:t>37</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Arial" w:cs="Arial" w:eastAsia="Arial" w:hAnsi="Arial"/>
                <w:sz w:val="14"/>
                <w:szCs w:val="14"/>
                <w:color w:val="0000FF"/>
              </w:rPr>
              <w:t>Item 4. Mine Safety Disclosures</w:t>
            </w:r>
          </w:p>
        </w:tc>
        <w:tc>
          <w:tcPr>
            <w:tcW w:w="2540" w:type="dxa"/>
            <w:vAlign w:val="bottom"/>
            <w:gridSpan w:val="5"/>
          </w:tcPr>
          <w:p>
            <w:pPr>
              <w:jc w:val="right"/>
              <w:ind w:right="60"/>
              <w:spacing w:after="0"/>
              <w:rPr>
                <w:sz w:val="20"/>
                <w:szCs w:val="20"/>
                <w:color w:val="auto"/>
              </w:rPr>
            </w:pPr>
            <w:r>
              <w:rPr>
                <w:rFonts w:ascii="Arial" w:cs="Arial" w:eastAsia="Arial" w:hAnsi="Arial"/>
                <w:sz w:val="14"/>
                <w:szCs w:val="14"/>
                <w:color w:val="0000FF"/>
              </w:rPr>
              <w:t>37</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bottom w:val="single" w:sz="8" w:color="0000FF"/>
            </w:tcBorders>
            <w:gridSpan w:val="4"/>
          </w:tcPr>
          <w:p>
            <w:pPr>
              <w:jc w:val="center"/>
              <w:spacing w:after="0"/>
              <w:rPr>
                <w:sz w:val="20"/>
                <w:szCs w:val="20"/>
                <w:color w:val="auto"/>
              </w:rPr>
            </w:pPr>
            <w:r>
              <w:rPr>
                <w:rFonts w:ascii="Arial" w:cs="Arial" w:eastAsia="Arial" w:hAnsi="Arial"/>
                <w:sz w:val="14"/>
                <w:szCs w:val="14"/>
                <w:color w:val="0000FF"/>
                <w:w w:val="97"/>
              </w:rPr>
              <w:t>PART II</w:t>
            </w:r>
          </w:p>
        </w:tc>
        <w:tc>
          <w:tcPr>
            <w:tcW w:w="2880" w:type="dxa"/>
            <w:vAlign w:val="bottom"/>
            <w:gridSpan w:val="4"/>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780" w:type="dxa"/>
            <w:vAlign w:val="bottom"/>
            <w:gridSpan w:val="25"/>
          </w:tcPr>
          <w:p>
            <w:pPr>
              <w:spacing w:after="0"/>
              <w:rPr>
                <w:sz w:val="20"/>
                <w:szCs w:val="20"/>
                <w:color w:val="auto"/>
              </w:rPr>
            </w:pPr>
            <w:r>
              <w:rPr>
                <w:rFonts w:ascii="Arial" w:cs="Arial" w:eastAsia="Arial" w:hAnsi="Arial"/>
                <w:sz w:val="14"/>
                <w:szCs w:val="14"/>
                <w:color w:val="0000FF"/>
                <w:w w:val="91"/>
              </w:rPr>
              <w:t>Item 5. Market for Registrant’s Common Equity, Related Stockholder Matters and Issuer Purchases of Equity Securities</w:t>
            </w:r>
          </w:p>
        </w:tc>
        <w:tc>
          <w:tcPr>
            <w:tcW w:w="1940" w:type="dxa"/>
            <w:vAlign w:val="bottom"/>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37</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gridSpan w:val="7"/>
          </w:tcPr>
          <w:p>
            <w:pPr>
              <w:spacing w:after="0"/>
              <w:rPr>
                <w:sz w:val="20"/>
                <w:szCs w:val="20"/>
                <w:color w:val="auto"/>
              </w:rPr>
            </w:pPr>
            <w:r>
              <w:rPr>
                <w:rFonts w:ascii="Arial" w:cs="Arial" w:eastAsia="Arial" w:hAnsi="Arial"/>
                <w:sz w:val="14"/>
                <w:szCs w:val="14"/>
                <w:color w:val="0000FF"/>
                <w:w w:val="90"/>
              </w:rPr>
              <w:t>Item 6. Selected Financial Data</w:t>
            </w:r>
          </w:p>
        </w:tc>
        <w:tc>
          <w:tcPr>
            <w:tcW w:w="5000" w:type="dxa"/>
            <w:vAlign w:val="bottom"/>
            <w:gridSpan w:val="18"/>
          </w:tcPr>
          <w:p>
            <w:pPr>
              <w:spacing w:after="0"/>
              <w:rPr>
                <w:sz w:val="13"/>
                <w:szCs w:val="13"/>
                <w:color w:val="auto"/>
              </w:rPr>
            </w:pPr>
          </w:p>
        </w:tc>
        <w:tc>
          <w:tcPr>
            <w:tcW w:w="1940" w:type="dxa"/>
            <w:vAlign w:val="bottom"/>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39</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Arial" w:cs="Arial" w:eastAsia="Arial" w:hAnsi="Arial"/>
                <w:sz w:val="14"/>
                <w:szCs w:val="14"/>
                <w:color w:val="0000FF"/>
              </w:rPr>
              <w:t>Item 7. Management’s Discussion and Analysis of Financial Condition and Results of Operations</w:t>
            </w:r>
          </w:p>
        </w:tc>
        <w:tc>
          <w:tcPr>
            <w:tcW w:w="2540" w:type="dxa"/>
            <w:vAlign w:val="bottom"/>
            <w:gridSpan w:val="5"/>
          </w:tcPr>
          <w:p>
            <w:pPr>
              <w:jc w:val="right"/>
              <w:ind w:right="60"/>
              <w:spacing w:after="0"/>
              <w:rPr>
                <w:sz w:val="20"/>
                <w:szCs w:val="20"/>
                <w:color w:val="auto"/>
              </w:rPr>
            </w:pPr>
            <w:r>
              <w:rPr>
                <w:rFonts w:ascii="Arial" w:cs="Arial" w:eastAsia="Arial" w:hAnsi="Arial"/>
                <w:sz w:val="14"/>
                <w:szCs w:val="14"/>
                <w:color w:val="0000FF"/>
              </w:rPr>
              <w:t>40</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500" w:type="dxa"/>
            <w:vAlign w:val="bottom"/>
            <w:gridSpan w:val="20"/>
          </w:tcPr>
          <w:p>
            <w:pPr>
              <w:spacing w:after="0"/>
              <w:rPr>
                <w:sz w:val="20"/>
                <w:szCs w:val="20"/>
                <w:color w:val="auto"/>
              </w:rPr>
            </w:pPr>
            <w:r>
              <w:rPr>
                <w:rFonts w:ascii="Arial" w:cs="Arial" w:eastAsia="Arial" w:hAnsi="Arial"/>
                <w:sz w:val="14"/>
                <w:szCs w:val="14"/>
                <w:color w:val="0000FF"/>
              </w:rPr>
              <w:t>Item 7A. Quantitative and Qualitative Disclosures About Market Risk</w:t>
            </w:r>
          </w:p>
        </w:tc>
        <w:tc>
          <w:tcPr>
            <w:tcW w:w="3220" w:type="dxa"/>
            <w:vAlign w:val="bottom"/>
            <w:gridSpan w:val="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50</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60" w:type="dxa"/>
            <w:vAlign w:val="bottom"/>
            <w:gridSpan w:val="13"/>
          </w:tcPr>
          <w:p>
            <w:pPr>
              <w:spacing w:after="0"/>
              <w:rPr>
                <w:sz w:val="20"/>
                <w:szCs w:val="20"/>
                <w:color w:val="auto"/>
              </w:rPr>
            </w:pPr>
            <w:r>
              <w:rPr>
                <w:rFonts w:ascii="Arial" w:cs="Arial" w:eastAsia="Arial" w:hAnsi="Arial"/>
                <w:sz w:val="14"/>
                <w:szCs w:val="14"/>
                <w:color w:val="0000FF"/>
                <w:w w:val="90"/>
              </w:rPr>
              <w:t>Item 8. Financial Statements and Supplementary Data</w:t>
            </w:r>
          </w:p>
        </w:tc>
        <w:tc>
          <w:tcPr>
            <w:tcW w:w="900" w:type="dxa"/>
            <w:vAlign w:val="bottom"/>
            <w:gridSpan w:val="2"/>
          </w:tcPr>
          <w:p>
            <w:pPr>
              <w:spacing w:after="0"/>
              <w:rPr>
                <w:sz w:val="13"/>
                <w:szCs w:val="13"/>
                <w:color w:val="auto"/>
              </w:rPr>
            </w:pPr>
          </w:p>
        </w:tc>
        <w:tc>
          <w:tcPr>
            <w:tcW w:w="4760" w:type="dxa"/>
            <w:vAlign w:val="bottom"/>
            <w:gridSpan w:val="11"/>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720" w:type="dxa"/>
            <w:vAlign w:val="bottom"/>
            <w:gridSpan w:val="26"/>
          </w:tcPr>
          <w:p>
            <w:pPr>
              <w:spacing w:after="0"/>
              <w:rPr>
                <w:sz w:val="20"/>
                <w:szCs w:val="20"/>
                <w:color w:val="auto"/>
              </w:rPr>
            </w:pPr>
            <w:r>
              <w:rPr>
                <w:rFonts w:ascii="Arial" w:cs="Arial" w:eastAsia="Arial" w:hAnsi="Arial"/>
                <w:sz w:val="14"/>
                <w:szCs w:val="14"/>
                <w:color w:val="0000FF"/>
              </w:rPr>
              <w:t>Item 9. Changes in and Disagreements with Accountants on Accounting and Financial Disclosure</w:t>
            </w:r>
          </w:p>
        </w:tc>
        <w:tc>
          <w:tcPr>
            <w:tcW w:w="2540" w:type="dxa"/>
            <w:vAlign w:val="bottom"/>
            <w:gridSpan w:val="5"/>
          </w:tcPr>
          <w:p>
            <w:pPr>
              <w:jc w:val="right"/>
              <w:ind w:right="60"/>
              <w:spacing w:after="0"/>
              <w:rPr>
                <w:sz w:val="20"/>
                <w:szCs w:val="20"/>
                <w:color w:val="auto"/>
              </w:rPr>
            </w:pPr>
            <w:r>
              <w:rPr>
                <w:rFonts w:ascii="Arial" w:cs="Arial" w:eastAsia="Arial" w:hAnsi="Arial"/>
                <w:sz w:val="14"/>
                <w:szCs w:val="14"/>
                <w:color w:val="0000FF"/>
              </w:rPr>
              <w:t>51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Arial" w:cs="Arial" w:eastAsia="Arial" w:hAnsi="Arial"/>
                <w:sz w:val="14"/>
                <w:szCs w:val="14"/>
                <w:color w:val="0000FF"/>
                <w:w w:val="89"/>
              </w:rPr>
              <w:t>Item 9A. Controls and Procedures</w:t>
            </w:r>
          </w:p>
        </w:tc>
        <w:tc>
          <w:tcPr>
            <w:tcW w:w="3580" w:type="dxa"/>
            <w:vAlign w:val="bottom"/>
            <w:gridSpan w:val="11"/>
          </w:tcPr>
          <w:p>
            <w:pPr>
              <w:spacing w:after="0"/>
              <w:rPr>
                <w:sz w:val="13"/>
                <w:szCs w:val="13"/>
                <w:color w:val="auto"/>
              </w:rPr>
            </w:pPr>
          </w:p>
        </w:tc>
        <w:tc>
          <w:tcPr>
            <w:tcW w:w="3220" w:type="dxa"/>
            <w:vAlign w:val="bottom"/>
            <w:gridSpan w:val="6"/>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51</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Arial" w:cs="Arial" w:eastAsia="Arial" w:hAnsi="Arial"/>
                <w:sz w:val="14"/>
                <w:szCs w:val="14"/>
                <w:color w:val="0000FF"/>
              </w:rPr>
              <w:t>Item 9B. Other Information</w:t>
            </w:r>
          </w:p>
        </w:tc>
        <w:tc>
          <w:tcPr>
            <w:tcW w:w="6800" w:type="dxa"/>
            <w:vAlign w:val="bottom"/>
            <w:gridSpan w:val="17"/>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52</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gridSpan w:val="9"/>
          </w:tcPr>
          <w:p>
            <w:pPr>
              <w:jc w:val="center"/>
              <w:ind w:right="2860"/>
              <w:spacing w:after="0"/>
              <w:rPr>
                <w:sz w:val="20"/>
                <w:szCs w:val="20"/>
                <w:color w:val="auto"/>
              </w:rPr>
            </w:pPr>
            <w:r>
              <w:rPr>
                <w:rFonts w:ascii="Arial" w:cs="Arial" w:eastAsia="Arial" w:hAnsi="Arial"/>
                <w:sz w:val="14"/>
                <w:szCs w:val="14"/>
                <w:color w:val="0000FF"/>
                <w:w w:val="98"/>
              </w:rPr>
              <w:t>PART III</w:t>
            </w: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340" w:type="dxa"/>
            <w:vAlign w:val="bottom"/>
            <w:gridSpan w:val="17"/>
          </w:tcPr>
          <w:p>
            <w:pPr>
              <w:spacing w:after="0"/>
              <w:rPr>
                <w:sz w:val="20"/>
                <w:szCs w:val="20"/>
                <w:color w:val="auto"/>
              </w:rPr>
            </w:pPr>
            <w:r>
              <w:rPr>
                <w:rFonts w:ascii="Arial" w:cs="Arial" w:eastAsia="Arial" w:hAnsi="Arial"/>
                <w:sz w:val="14"/>
                <w:szCs w:val="14"/>
                <w:color w:val="0000FF"/>
              </w:rPr>
              <w:t>Item 10. Directors, Executive Officers and Corporate Governance</w:t>
            </w:r>
          </w:p>
        </w:tc>
        <w:tc>
          <w:tcPr>
            <w:tcW w:w="520" w:type="dxa"/>
            <w:vAlign w:val="bottom"/>
            <w:tcBorders>
              <w:top w:val="single" w:sz="8" w:color="0000FF"/>
            </w:tcBorders>
            <w:gridSpan w:val="6"/>
          </w:tcPr>
          <w:p>
            <w:pPr>
              <w:spacing w:after="0"/>
              <w:rPr>
                <w:sz w:val="13"/>
                <w:szCs w:val="13"/>
                <w:color w:val="auto"/>
              </w:rPr>
            </w:pPr>
          </w:p>
        </w:tc>
        <w:tc>
          <w:tcPr>
            <w:tcW w:w="2860" w:type="dxa"/>
            <w:vAlign w:val="bottom"/>
            <w:gridSpan w:val="3"/>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Arial" w:cs="Arial" w:eastAsia="Arial" w:hAnsi="Arial"/>
                <w:sz w:val="14"/>
                <w:szCs w:val="14"/>
                <w:color w:val="0000FF"/>
              </w:rPr>
              <w:t>52</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gridSpan w:val="9"/>
          </w:tcPr>
          <w:p>
            <w:pPr>
              <w:spacing w:after="0"/>
              <w:rPr>
                <w:sz w:val="20"/>
                <w:szCs w:val="20"/>
                <w:color w:val="auto"/>
              </w:rPr>
            </w:pPr>
            <w:r>
              <w:rPr>
                <w:rFonts w:ascii="Arial" w:cs="Arial" w:eastAsia="Arial" w:hAnsi="Arial"/>
                <w:sz w:val="14"/>
                <w:szCs w:val="14"/>
                <w:color w:val="0000FF"/>
                <w:w w:val="89"/>
              </w:rPr>
              <w:t>Item 11. Executive Compensation</w:t>
            </w:r>
          </w:p>
        </w:tc>
        <w:tc>
          <w:tcPr>
            <w:tcW w:w="1800" w:type="dxa"/>
            <w:vAlign w:val="bottom"/>
            <w:gridSpan w:val="5"/>
          </w:tcPr>
          <w:p>
            <w:pPr>
              <w:spacing w:after="0"/>
              <w:rPr>
                <w:sz w:val="13"/>
                <w:szCs w:val="13"/>
                <w:color w:val="auto"/>
              </w:rPr>
            </w:pPr>
          </w:p>
        </w:tc>
        <w:tc>
          <w:tcPr>
            <w:tcW w:w="5000" w:type="dxa"/>
            <w:vAlign w:val="bottom"/>
            <w:gridSpan w:val="1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52</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240" w:type="dxa"/>
            <w:vAlign w:val="bottom"/>
            <w:gridSpan w:val="24"/>
          </w:tcPr>
          <w:p>
            <w:pPr>
              <w:spacing w:after="0"/>
              <w:rPr>
                <w:sz w:val="20"/>
                <w:szCs w:val="20"/>
                <w:color w:val="auto"/>
              </w:rPr>
            </w:pPr>
            <w:r>
              <w:rPr>
                <w:rFonts w:ascii="Arial" w:cs="Arial" w:eastAsia="Arial" w:hAnsi="Arial"/>
                <w:sz w:val="14"/>
                <w:szCs w:val="14"/>
                <w:color w:val="0000FF"/>
                <w:w w:val="91"/>
              </w:rPr>
              <w:t>Item 12. Security Ownership of Certain Beneficial Owners and Management and Related Stockholder Matters</w:t>
            </w:r>
          </w:p>
        </w:tc>
        <w:tc>
          <w:tcPr>
            <w:tcW w:w="2480" w:type="dxa"/>
            <w:vAlign w:val="bottom"/>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240" w:type="dxa"/>
            <w:vAlign w:val="bottom"/>
            <w:gridSpan w:val="24"/>
          </w:tcPr>
          <w:p>
            <w:pPr>
              <w:spacing w:after="0"/>
              <w:rPr>
                <w:sz w:val="20"/>
                <w:szCs w:val="20"/>
                <w:color w:val="auto"/>
              </w:rPr>
            </w:pPr>
            <w:r>
              <w:rPr>
                <w:rFonts w:ascii="Arial" w:cs="Arial" w:eastAsia="Arial" w:hAnsi="Arial"/>
                <w:sz w:val="14"/>
                <w:szCs w:val="14"/>
                <w:color w:val="0000FF"/>
              </w:rPr>
              <w:t>Item 13. Certain Relationships and Related Transactions, and Director Independence</w:t>
            </w:r>
          </w:p>
        </w:tc>
        <w:tc>
          <w:tcPr>
            <w:tcW w:w="2480" w:type="dxa"/>
            <w:vAlign w:val="bottom"/>
            <w:gridSpan w:val="2"/>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60" w:type="dxa"/>
            <w:vAlign w:val="bottom"/>
            <w:gridSpan w:val="10"/>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780" w:type="dxa"/>
            <w:vAlign w:val="bottom"/>
            <w:gridSpan w:val="16"/>
          </w:tcPr>
          <w:p>
            <w:pPr>
              <w:spacing w:after="0"/>
              <w:rPr>
                <w:sz w:val="20"/>
                <w:szCs w:val="20"/>
                <w:color w:val="auto"/>
              </w:rPr>
            </w:pPr>
            <w:r>
              <w:rPr>
                <w:rFonts w:ascii="Arial" w:cs="Arial" w:eastAsia="Arial" w:hAnsi="Arial"/>
                <w:sz w:val="14"/>
                <w:szCs w:val="14"/>
                <w:color w:val="0000FF"/>
              </w:rPr>
              <w:t>Item 14. Principal Accountant Fees and Services</w:t>
            </w:r>
          </w:p>
        </w:tc>
        <w:tc>
          <w:tcPr>
            <w:tcW w:w="3940" w:type="dxa"/>
            <w:vAlign w:val="bottom"/>
            <w:gridSpan w:val="10"/>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53</w:t>
            </w:r>
          </w:p>
        </w:tc>
      </w:tr>
      <w:tr>
        <w:trPr>
          <w:trHeight w:val="160"/>
        </w:trPr>
        <w:tc>
          <w:tcPr>
            <w:tcW w:w="2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80" w:type="dxa"/>
            <w:vAlign w:val="bottom"/>
            <w:gridSpan w:val="9"/>
          </w:tcPr>
          <w:p>
            <w:pPr>
              <w:jc w:val="center"/>
              <w:ind w:right="2860"/>
              <w:spacing w:after="0"/>
              <w:rPr>
                <w:sz w:val="20"/>
                <w:szCs w:val="20"/>
                <w:color w:val="auto"/>
              </w:rPr>
            </w:pPr>
            <w:r>
              <w:rPr>
                <w:rFonts w:ascii="Arial" w:cs="Arial" w:eastAsia="Arial" w:hAnsi="Arial"/>
                <w:sz w:val="14"/>
                <w:szCs w:val="14"/>
                <w:color w:val="0000FF"/>
                <w:w w:val="95"/>
              </w:rPr>
              <w:t>PART IV</w:t>
            </w: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5340" w:type="dxa"/>
            <w:vAlign w:val="bottom"/>
            <w:gridSpan w:val="17"/>
          </w:tcPr>
          <w:p>
            <w:pPr>
              <w:spacing w:after="0"/>
              <w:rPr>
                <w:sz w:val="20"/>
                <w:szCs w:val="20"/>
                <w:color w:val="auto"/>
              </w:rPr>
            </w:pPr>
            <w:r>
              <w:rPr>
                <w:rFonts w:ascii="Arial" w:cs="Arial" w:eastAsia="Arial" w:hAnsi="Arial"/>
                <w:sz w:val="14"/>
                <w:szCs w:val="14"/>
                <w:color w:val="0000FF"/>
              </w:rPr>
              <w:t>Item 15. Exhibits, Financial Statement Schedules</w:t>
            </w:r>
          </w:p>
        </w:tc>
        <w:tc>
          <w:tcPr>
            <w:tcW w:w="520" w:type="dxa"/>
            <w:vAlign w:val="bottom"/>
            <w:tcBorders>
              <w:top w:val="single" w:sz="8" w:color="0000FF"/>
            </w:tcBorders>
            <w:gridSpan w:val="6"/>
          </w:tcPr>
          <w:p>
            <w:pPr>
              <w:spacing w:after="0"/>
              <w:rPr>
                <w:sz w:val="13"/>
                <w:szCs w:val="13"/>
                <w:color w:val="auto"/>
              </w:rPr>
            </w:pPr>
          </w:p>
        </w:tc>
        <w:tc>
          <w:tcPr>
            <w:tcW w:w="2860" w:type="dxa"/>
            <w:vAlign w:val="bottom"/>
            <w:gridSpan w:val="3"/>
          </w:tcPr>
          <w:p>
            <w:pPr>
              <w:spacing w:after="0"/>
              <w:rPr>
                <w:sz w:val="13"/>
                <w:szCs w:val="13"/>
                <w:color w:val="auto"/>
              </w:rPr>
            </w:pPr>
          </w:p>
        </w:tc>
        <w:tc>
          <w:tcPr>
            <w:tcW w:w="2540" w:type="dxa"/>
            <w:vAlign w:val="bottom"/>
            <w:gridSpan w:val="5"/>
          </w:tcPr>
          <w:p>
            <w:pPr>
              <w:jc w:val="right"/>
              <w:ind w:right="60"/>
              <w:spacing w:after="0"/>
              <w:rPr>
                <w:sz w:val="20"/>
                <w:szCs w:val="20"/>
                <w:color w:val="auto"/>
              </w:rPr>
            </w:pPr>
            <w:r>
              <w:rPr>
                <w:rFonts w:ascii="Arial" w:cs="Arial" w:eastAsia="Arial" w:hAnsi="Arial"/>
                <w:sz w:val="14"/>
                <w:szCs w:val="14"/>
                <w:color w:val="0000FF"/>
              </w:rPr>
              <w:t>53</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180" w:type="dxa"/>
            <w:vAlign w:val="bottom"/>
            <w:gridSpan w:val="11"/>
            <w:shd w:val="clear" w:color="auto" w:fill="0000FF"/>
          </w:tcPr>
          <w:p>
            <w:pPr>
              <w:spacing w:after="0" w:line="20" w:lineRule="exact"/>
              <w:rPr>
                <w:sz w:val="1"/>
                <w:szCs w:val="1"/>
                <w:color w:val="auto"/>
              </w:rPr>
            </w:pPr>
          </w:p>
        </w:tc>
        <w:tc>
          <w:tcPr>
            <w:tcW w:w="5940" w:type="dxa"/>
            <w:vAlign w:val="bottom"/>
            <w:gridSpan w:val="14"/>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4"/>
                <w:szCs w:val="14"/>
                <w:color w:val="0000FF"/>
                <w:w w:val="86"/>
              </w:rPr>
              <w:t>Signatures</w:t>
            </w:r>
          </w:p>
        </w:tc>
        <w:tc>
          <w:tcPr>
            <w:tcW w:w="2180" w:type="dxa"/>
            <w:vAlign w:val="bottom"/>
            <w:gridSpan w:val="11"/>
          </w:tcPr>
          <w:p>
            <w:pPr>
              <w:spacing w:after="0"/>
              <w:rPr>
                <w:sz w:val="13"/>
                <w:szCs w:val="13"/>
                <w:color w:val="auto"/>
              </w:rPr>
            </w:pPr>
          </w:p>
        </w:tc>
        <w:tc>
          <w:tcPr>
            <w:tcW w:w="5940" w:type="dxa"/>
            <w:vAlign w:val="bottom"/>
            <w:gridSpan w:val="14"/>
          </w:tcPr>
          <w:p>
            <w:pPr>
              <w:spacing w:after="0"/>
              <w:rPr>
                <w:sz w:val="13"/>
                <w:szCs w:val="13"/>
                <w:color w:val="auto"/>
              </w:rPr>
            </w:pPr>
          </w:p>
        </w:tc>
        <w:tc>
          <w:tcPr>
            <w:tcW w:w="2340" w:type="dxa"/>
            <w:vAlign w:val="bottom"/>
            <w:gridSpan w:val="3"/>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0000FF"/>
                <w:w w:val="76"/>
              </w:rPr>
              <w:t>55</w:t>
            </w:r>
          </w:p>
        </w:tc>
      </w:tr>
      <w:tr>
        <w:trPr>
          <w:trHeight w:val="690"/>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220" w:type="dxa"/>
            <w:vAlign w:val="bottom"/>
            <w:gridSpan w:val="20"/>
          </w:tcPr>
          <w:p>
            <w:pPr>
              <w:jc w:val="right"/>
              <w:ind w:right="16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19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 BUSINESS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ind w:right="140" w:firstLine="255"/>
        <w:spacing w:after="0" w:line="284" w:lineRule="auto"/>
        <w:rPr>
          <w:sz w:val="20"/>
          <w:szCs w:val="20"/>
          <w:color w:val="auto"/>
        </w:rPr>
      </w:pPr>
      <w:r>
        <w:rPr>
          <w:rFonts w:ascii="Arial" w:cs="Arial" w:eastAsia="Arial" w:hAnsi="Arial"/>
          <w:sz w:val="13"/>
          <w:szCs w:val="13"/>
          <w:color w:val="auto"/>
        </w:rPr>
        <w:t>LifeVantage Corporation is a company focused on nutrigenomics, the study of how nutrition and naturally occurring compounds affect human genes to support good health. LifeVantage is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 In addition, we sell our products in China through a China approved cross-border e-commerce business model.</w:t>
      </w:r>
    </w:p>
    <w:p>
      <w:pPr>
        <w:spacing w:after="0" w:line="70" w:lineRule="exact"/>
        <w:rPr>
          <w:sz w:val="20"/>
          <w:szCs w:val="20"/>
          <w:color w:val="auto"/>
        </w:rPr>
      </w:pPr>
    </w:p>
    <w:p>
      <w:pPr>
        <w:ind w:firstLine="255"/>
        <w:spacing w:after="0" w:line="247" w:lineRule="auto"/>
        <w:rPr>
          <w:sz w:val="20"/>
          <w:szCs w:val="20"/>
          <w:color w:val="auto"/>
        </w:rPr>
      </w:pPr>
      <w:r>
        <w:rPr>
          <w:rFonts w:ascii="Arial" w:cs="Arial" w:eastAsia="Arial" w:hAnsi="Arial"/>
          <w:sz w:val="13"/>
          <w:szCs w:val="13"/>
          <w:color w:val="auto"/>
        </w:rPr>
        <w:t>We engage in the identification, research, development, formulation and sale of advanced nutrigenomic activators, dietary supplements, nootropics, pre- and pro-biotics, weight management, skin and hair care, bath &amp; body, and targeted relief products. Our line of scientifically-validated dietary supplements includes our flagship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family of products,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ProBio, IC Bright</w:t>
      </w:r>
      <w:r>
        <w:rPr>
          <w:rFonts w:ascii="Arial" w:cs="Arial" w:eastAsia="Arial" w:hAnsi="Arial"/>
          <w:sz w:val="17"/>
          <w:szCs w:val="17"/>
          <w:color w:val="auto"/>
          <w:vertAlign w:val="superscript"/>
        </w:rPr>
        <w:t>®</w:t>
      </w:r>
      <w:r>
        <w:rPr>
          <w:rFonts w:ascii="Arial" w:cs="Arial" w:eastAsia="Arial" w:hAnsi="Arial"/>
          <w:sz w:val="13"/>
          <w:szCs w:val="13"/>
          <w:color w:val="auto"/>
        </w:rPr>
        <w:t>, and Daily Wellness dietary supplements.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our line of skin, hair, bath &amp; body, and targeted relief products. We also market and sell Petandim</w:t>
      </w:r>
      <w:r>
        <w:rPr>
          <w:rFonts w:ascii="Arial" w:cs="Arial" w:eastAsia="Arial" w:hAnsi="Arial"/>
          <w:sz w:val="17"/>
          <w:szCs w:val="17"/>
          <w:color w:val="auto"/>
          <w:vertAlign w:val="superscript"/>
        </w:rPr>
        <w:t>®</w:t>
      </w:r>
      <w:r>
        <w:rPr>
          <w:rFonts w:ascii="Arial" w:cs="Arial" w:eastAsia="Arial" w:hAnsi="Arial"/>
          <w:sz w:val="13"/>
          <w:szCs w:val="13"/>
          <w:color w:val="auto"/>
        </w:rPr>
        <w:t>, our companion pet supplement formulated to combat oxidative stress in dogs, Axio</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our nootropic energy drink mixes, and PhysIQ, our smart weight management system.</w:t>
      </w:r>
    </w:p>
    <w:p>
      <w:pPr>
        <w:spacing w:after="0" w:line="38" w:lineRule="exact"/>
        <w:rPr>
          <w:sz w:val="20"/>
          <w:szCs w:val="20"/>
          <w:color w:val="auto"/>
        </w:rPr>
      </w:pPr>
    </w:p>
    <w:p>
      <w:pPr>
        <w:ind w:right="40" w:firstLine="255"/>
        <w:spacing w:after="0" w:line="233" w:lineRule="auto"/>
        <w:rPr>
          <w:sz w:val="20"/>
          <w:szCs w:val="20"/>
          <w:color w:val="auto"/>
        </w:rPr>
      </w:pPr>
      <w:r>
        <w:rPr>
          <w:rFonts w:ascii="Arial" w:cs="Arial" w:eastAsia="Arial" w:hAnsi="Arial"/>
          <w:sz w:val="14"/>
          <w:szCs w:val="14"/>
          <w:color w:val="auto"/>
        </w:rPr>
        <w:t>We were incorporated in Colorado in June 1988 under the name Andraplex Corporation. We changed our corporate name to Yaak River Resources, Inc. in January 1992, and subsequently changed it again in October 2004 to Lifeline Therapeutics, Inc. In October 2004 and March 2005, we acquired all of the outstanding common stock of Lifeline Nutraceuticals Corporation. In November 2006, we changed our name to LifeVantage Corporation. From our fiscal year 2005 until our fiscal year 2009, we marketed and sold a single product, Protandim</w:t>
      </w:r>
      <w:r>
        <w:rPr>
          <w:rFonts w:ascii="Arial" w:cs="Arial" w:eastAsia="Arial" w:hAnsi="Arial"/>
          <w:sz w:val="18"/>
          <w:szCs w:val="18"/>
          <w:color w:val="auto"/>
          <w:vertAlign w:val="superscript"/>
        </w:rPr>
        <w:t>®</w:t>
      </w:r>
      <w:r>
        <w:rPr>
          <w:rFonts w:ascii="Arial" w:cs="Arial" w:eastAsia="Arial" w:hAnsi="Arial"/>
          <w:sz w:val="14"/>
          <w:szCs w:val="14"/>
          <w:color w:val="auto"/>
        </w:rPr>
        <w:t>, through traditional retail stores. In October 2008, we announced that we were transitioning our business model from a traditional retail model to a direct sales model in which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would be sold primarily through a network of independent distributors. Since entering direct sales, we have increased our geographic reach by entering new international markets and increased our product offering by introducing additional scientifically-validated products.</w:t>
      </w:r>
    </w:p>
    <w:p>
      <w:pPr>
        <w:spacing w:after="0" w:line="108"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In March 2018, following approval by our stockholders at our fiscal year 2018 Annual Meeting of Stockholders, we changed our state of incorporation from the State of Colorado to the State of Delaware pursuant to a plan of conversion. All outstanding shares of common stock, options and share units of the Colorado corporation were converted into an equivalent share, option or share unit of the Delaware corporation and the par value of our common stock was adjusted to $0.0001. All directors and officers of the Colorado corporation held the same position within the Delaware corporation on the date of reincorporation.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Fiscal Year 2022 Highlights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Response</w:t>
      </w:r>
    </w:p>
    <w:p>
      <w:pPr>
        <w:spacing w:after="0" w:line="125" w:lineRule="exact"/>
        <w:rPr>
          <w:sz w:val="20"/>
          <w:szCs w:val="20"/>
          <w:color w:val="auto"/>
        </w:rPr>
      </w:pPr>
    </w:p>
    <w:p>
      <w:pPr>
        <w:ind w:right="60" w:firstLine="255"/>
        <w:spacing w:after="0" w:line="279" w:lineRule="auto"/>
        <w:rPr>
          <w:sz w:val="20"/>
          <w:szCs w:val="20"/>
          <w:color w:val="auto"/>
        </w:rPr>
      </w:pPr>
      <w:r>
        <w:rPr>
          <w:rFonts w:ascii="Arial" w:cs="Arial" w:eastAsia="Arial" w:hAnsi="Arial"/>
          <w:sz w:val="13"/>
          <w:szCs w:val="13"/>
          <w:color w:val="auto"/>
        </w:rPr>
        <w:t>Beginning in fiscal year 2020 and continuing throughout fiscal year 2022, we pivoted our business operations to overcome a variety of challenges related to the COVID-19 pandemic. Coronavirus disease (COVID-19) is an infectious disease caused by the SARS-CoV-2 virus. During fiscal year 2022, we continued to provide successful virtual events and trainings, including twice-weekly online training events, and have seen a high level of engagement and attendance from our independent distributors, with hundreds of attendees on average and over 2,000 attendees at some meetings. We invested in incentives and promotions designed to build and maintain engagement with our independent distributors in lieu of in-person events. Last year, we shifted all our employees to work from home and accelerated our adoption of technology. In fiscal year 2022, we began a hybrid model with our employees working from home a few days a week, and in the office a few days a week. We remain focused on being digital first and committed to increasing our investments into digital technologies and tools for independent distributors and employees to function effectively in the current hybrid working environment. Further, we completed a full evaluation of our supply chain and identified and mitigated risks resulting from the pandemic and, to date, our customers and independent distributors have experienced only minimal impact across our supply chain.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Product Offerings</w:t>
      </w:r>
    </w:p>
    <w:p>
      <w:pPr>
        <w:spacing w:after="0" w:line="110" w:lineRule="exact"/>
        <w:rPr>
          <w:sz w:val="20"/>
          <w:szCs w:val="20"/>
          <w:color w:val="auto"/>
        </w:rPr>
      </w:pPr>
    </w:p>
    <w:p>
      <w:pPr>
        <w:ind w:right="60" w:firstLine="255"/>
        <w:spacing w:after="0" w:line="230" w:lineRule="auto"/>
        <w:rPr>
          <w:sz w:val="20"/>
          <w:szCs w:val="20"/>
          <w:color w:val="auto"/>
        </w:rPr>
      </w:pPr>
      <w:r>
        <w:rPr>
          <w:rFonts w:ascii="Arial" w:cs="Arial" w:eastAsia="Arial" w:hAnsi="Arial"/>
          <w:sz w:val="14"/>
          <w:szCs w:val="14"/>
          <w:color w:val="auto"/>
        </w:rPr>
        <w:t>In fiscal year 2022, we launched several new products. In October 2021, we launched IC Bright</w:t>
      </w:r>
      <w:r>
        <w:rPr>
          <w:rFonts w:ascii="Arial" w:cs="Arial" w:eastAsia="Arial" w:hAnsi="Arial"/>
          <w:sz w:val="18"/>
          <w:szCs w:val="18"/>
          <w:color w:val="auto"/>
          <w:vertAlign w:val="superscript"/>
        </w:rPr>
        <w:t>®</w:t>
      </w:r>
      <w:r>
        <w:rPr>
          <w:rFonts w:ascii="Arial" w:cs="Arial" w:eastAsia="Arial" w:hAnsi="Arial"/>
          <w:sz w:val="14"/>
          <w:szCs w:val="14"/>
          <w:color w:val="auto"/>
        </w:rPr>
        <w:t>. IC Bright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combines macular carotenoids with vitamins and key ingredients that effectively support eye and brain health. It also helps reduce eye fatigue and strain from use of digital devices, helps promote healthy levels of essential proteins for the brain, and may help support normal sleep patterns, which can be disrupted by blue light exposure. In June 2022, we launched TrueScience® Liquid Collagen, the first consumable supplement in the TrueScience category. It has been formulated specifically to activate,</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 w:name="page6"/>
    <w:bookmarkEnd w:id="5"/>
    <w:p>
      <w:pPr>
        <w:ind w:right="220"/>
        <w:spacing w:after="0" w:line="268" w:lineRule="auto"/>
        <w:rPr>
          <w:sz w:val="20"/>
          <w:szCs w:val="20"/>
          <w:color w:val="auto"/>
        </w:rPr>
      </w:pPr>
      <w:r>
        <w:rPr>
          <w:rFonts w:ascii="Arial" w:cs="Arial" w:eastAsia="Arial" w:hAnsi="Arial"/>
          <w:sz w:val="14"/>
          <w:szCs w:val="14"/>
          <w:color w:val="auto"/>
        </w:rPr>
        <w:t>replenish, and maintain the body’s production of collagen on the cellular level, supporting skin firmness and elasticity for healthy, glowing skin from within. We also launched several limited time seasonal flavors of 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during the fiscal year 2022.</w:t>
      </w:r>
    </w:p>
    <w:p>
      <w:pPr>
        <w:spacing w:after="0" w:line="2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Several products also were introduced into new markets in fiscal year 2022:</w:t>
      </w:r>
    </w:p>
    <w:p>
      <w:pPr>
        <w:spacing w:after="0" w:line="121"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Australia introduced IC Bright</w:t>
      </w:r>
      <w:r>
        <w:rPr>
          <w:rFonts w:ascii="Arial" w:cs="Arial" w:eastAsia="Arial" w:hAnsi="Arial"/>
          <w:sz w:val="18"/>
          <w:szCs w:val="18"/>
          <w:color w:val="auto"/>
          <w:vertAlign w:val="superscript"/>
        </w:rPr>
        <w:t>®</w:t>
      </w:r>
      <w:r>
        <w:rPr>
          <w:rFonts w:ascii="Arial" w:cs="Arial" w:eastAsia="Arial" w:hAnsi="Arial"/>
          <w:sz w:val="14"/>
          <w:szCs w:val="14"/>
          <w:color w:val="auto"/>
        </w:rPr>
        <w:t>, Body Wash, Body Lotion;</w:t>
      </w:r>
    </w:p>
    <w:p>
      <w:pPr>
        <w:spacing w:after="0" w:line="7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Canada—IC Bright</w:t>
      </w:r>
      <w:r>
        <w:rPr>
          <w:rFonts w:ascii="Arial" w:cs="Arial" w:eastAsia="Arial" w:hAnsi="Arial"/>
          <w:sz w:val="18"/>
          <w:szCs w:val="18"/>
          <w:color w:val="auto"/>
          <w:vertAlign w:val="superscript"/>
        </w:rPr>
        <w:t>®</w:t>
      </w:r>
      <w:r>
        <w:rPr>
          <w:rFonts w:ascii="Arial" w:cs="Arial" w:eastAsia="Arial" w:hAnsi="Arial"/>
          <w:sz w:val="14"/>
          <w:szCs w:val="14"/>
          <w:color w:val="auto"/>
        </w:rPr>
        <w:t>, Daily Wellness, Refining Mask;</w:t>
      </w:r>
    </w:p>
    <w:p>
      <w:pPr>
        <w:spacing w:after="0" w:line="74"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Europe and Hong Kong—IC Bright</w:t>
      </w:r>
      <w:r>
        <w:rPr>
          <w:rFonts w:ascii="Arial" w:cs="Arial" w:eastAsia="Arial" w:hAnsi="Arial"/>
          <w:sz w:val="18"/>
          <w:szCs w:val="18"/>
          <w:color w:val="auto"/>
          <w:vertAlign w:val="superscript"/>
        </w:rPr>
        <w:t>®</w:t>
      </w:r>
      <w:r>
        <w:rPr>
          <w:rFonts w:ascii="Arial" w:cs="Arial" w:eastAsia="Arial" w:hAnsi="Arial"/>
          <w:sz w:val="14"/>
          <w:szCs w:val="14"/>
          <w:color w:val="auto"/>
        </w:rPr>
        <w:t>, Daily Wellness;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Japan—IC Bright</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7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Mexico—Daily Wellness, IC Bright</w:t>
      </w:r>
      <w:r>
        <w:rPr>
          <w:rFonts w:ascii="Arial" w:cs="Arial" w:eastAsia="Arial" w:hAnsi="Arial"/>
          <w:sz w:val="18"/>
          <w:szCs w:val="18"/>
          <w:color w:val="auto"/>
          <w:vertAlign w:val="superscript"/>
        </w:rPr>
        <w:t>®</w:t>
      </w:r>
      <w:r>
        <w:rPr>
          <w:rFonts w:ascii="Arial" w:cs="Arial" w:eastAsia="Arial" w:hAnsi="Arial"/>
          <w:sz w:val="14"/>
          <w:szCs w:val="14"/>
          <w:color w:val="auto"/>
        </w:rPr>
        <w:t>, Refining Mask, and a new delivery system of Nrf2 Synergizer in 7-day blister packs for direct retailing to customers;</w:t>
      </w:r>
    </w:p>
    <w:p>
      <w:pPr>
        <w:spacing w:after="0" w:line="74"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New Zealand—IC Bright</w:t>
      </w:r>
      <w:r>
        <w:rPr>
          <w:rFonts w:ascii="Arial" w:cs="Arial" w:eastAsia="Arial" w:hAnsi="Arial"/>
          <w:sz w:val="18"/>
          <w:szCs w:val="18"/>
          <w:color w:val="auto"/>
          <w:vertAlign w:val="superscript"/>
        </w:rPr>
        <w:t>®</w:t>
      </w:r>
      <w:r>
        <w:rPr>
          <w:rFonts w:ascii="Arial" w:cs="Arial" w:eastAsia="Arial" w:hAnsi="Arial"/>
          <w:sz w:val="14"/>
          <w:szCs w:val="14"/>
          <w:color w:val="auto"/>
        </w:rPr>
        <w:t>, Daily Wellness, Body Lotion;</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Singapore—ProBio, IC Bright</w:t>
      </w:r>
      <w:r>
        <w:rPr>
          <w:rFonts w:ascii="Arial" w:cs="Arial" w:eastAsia="Arial" w:hAnsi="Arial"/>
          <w:sz w:val="18"/>
          <w:szCs w:val="18"/>
          <w:color w:val="auto"/>
          <w:vertAlign w:val="superscript"/>
        </w:rPr>
        <w:t>®</w:t>
      </w:r>
      <w:r>
        <w:rPr>
          <w:rFonts w:ascii="Arial" w:cs="Arial" w:eastAsia="Arial" w:hAnsi="Arial"/>
          <w:sz w:val="14"/>
          <w:szCs w:val="14"/>
          <w:color w:val="auto"/>
        </w:rPr>
        <w:t>, Daily Wellness; and</w:t>
      </w:r>
    </w:p>
    <w:p>
      <w:pPr>
        <w:spacing w:after="0" w:line="73"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Taiwan—ProBio.</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Global Expansion</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 further support our global expansion initiative, we expanded our business operations to Philippines in fiscal year 2022.</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Technology Innovation</w:t>
      </w:r>
    </w:p>
    <w:p>
      <w:pPr>
        <w:spacing w:after="0" w:line="125"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We continued to develop, enhance and improve the LifeVantage app, which is available for download on the Apple app Store and Google Play store. This custom-developed platform is pioneering new ways for us to interact with our independent distributors and gives us and our distributor leadership valuable insight into the activities of our independent distributor base. The app provides independent distributors with tools and communications that help simplify business activities, provide new distributors with step-by-step instruction for starting their business and improve the prospecting of potential distributors and customers.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Nutrigenomic Culture &amp; Activating Wellness</w:t>
      </w:r>
    </w:p>
    <w:p>
      <w:pPr>
        <w:spacing w:after="0" w:line="200" w:lineRule="exact"/>
        <w:rPr>
          <w:sz w:val="20"/>
          <w:szCs w:val="20"/>
          <w:color w:val="auto"/>
        </w:rPr>
      </w:pPr>
    </w:p>
    <w:p>
      <w:pPr>
        <w:ind w:right="40" w:firstLine="509"/>
        <w:spacing w:after="0" w:line="280" w:lineRule="auto"/>
        <w:rPr>
          <w:sz w:val="20"/>
          <w:szCs w:val="20"/>
          <w:color w:val="auto"/>
        </w:rPr>
      </w:pPr>
      <w:r>
        <w:rPr>
          <w:rFonts w:ascii="Arial" w:cs="Arial" w:eastAsia="Arial" w:hAnsi="Arial"/>
          <w:sz w:val="13"/>
          <w:szCs w:val="13"/>
          <w:color w:val="auto"/>
        </w:rPr>
        <w:t>We have continued to simplify our nutrigenomic story, emphasizing that it activates and empowers the body to work better by using nutrients to turn natural internal processes on or off and help support vibrant health at any age. Nutrigenomics and cellular activation are cutting-edge trends in our industry that support our unique position in the market and leverage our core competencies and existing products. Activation is the guiding principle of our culture and is the key underlying message for our independent distributors and customers. We are capitalizing on this message by highlighting how LifeVantage has used the concept of activation and expanded it to every aspect of our business, with a new brand message of “activating wellness.” By focusing on wellness, we are able to apply activation not only to our products, which support physical, mental, and emotional health, but also our business opportunity, which supports financial, social, and spiritual health. The “activating wellness” message was introduced in fiscal year 2022 and continues to be featured across our communications with our independent distributors and in our brand and marketing materials. Additional marketing and media assets are currently in development to further promote this culture.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Red Carpet Program</w:t>
      </w:r>
    </w:p>
    <w:p>
      <w:pPr>
        <w:spacing w:after="0" w:line="125"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We continued to grow through our red carpet program, which is designed to attract and incentivize experienced direct selling sales leaders who are in transition to join LifeVantage. We remain optimistic that this program will help drive long term revenue growth for our business. We have increased red carpet leadership enrollments and hope to see improved retention and active independent distributor and customer counts as a result of this program.</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Competitive Advantages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believe we have a competitive advantage in several key areas:</w:t>
      </w:r>
    </w:p>
    <w:p>
      <w:pPr>
        <w:spacing w:after="0" w:line="125" w:lineRule="exact"/>
        <w:rPr>
          <w:sz w:val="20"/>
          <w:szCs w:val="20"/>
          <w:color w:val="auto"/>
        </w:rPr>
      </w:pPr>
    </w:p>
    <w:p>
      <w:pPr>
        <w:ind w:left="520" w:right="80" w:hanging="260"/>
        <w:spacing w:after="0" w:line="262"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u w:val="single" w:color="auto"/>
          <w:color w:val="auto"/>
        </w:rPr>
        <w:t>Our Sales Compensation</w:t>
      </w:r>
      <w:r>
        <w:rPr>
          <w:rFonts w:ascii="Arial" w:cs="Arial" w:eastAsia="Arial" w:hAnsi="Arial"/>
          <w:sz w:val="14"/>
          <w:szCs w:val="14"/>
          <w:color w:val="auto"/>
        </w:rPr>
        <w:t>: We believe our sales compensation plan engineered for our independent distributors is one of the more financially rewarding plans in the direct selling industry. Our percentage of sales paid to independent distributors as compensation and incentives is one of the highest percentages reported in the direct selling industry. Our sales compensation plan also enables independent distributors to earn compensation early and often as they sell our products. Some elements of our sales compensation plan are calculated and paid daily to eligible independent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sectPr>
      </w:pPr>
    </w:p>
    <w:bookmarkStart w:id="6" w:name="page7"/>
    <w:bookmarkEnd w:id="6"/>
    <w:p>
      <w:pPr>
        <w:jc w:val="both"/>
        <w:ind w:left="260" w:right="180"/>
        <w:spacing w:after="0" w:line="319" w:lineRule="auto"/>
        <w:rPr>
          <w:sz w:val="20"/>
          <w:szCs w:val="20"/>
          <w:color w:val="auto"/>
        </w:rPr>
      </w:pPr>
      <w:r>
        <w:rPr>
          <w:rFonts w:ascii="Arial" w:cs="Arial" w:eastAsia="Arial" w:hAnsi="Arial"/>
          <w:sz w:val="12"/>
          <w:szCs w:val="12"/>
          <w:color w:val="auto"/>
        </w:rPr>
        <w:t>distributors and others are calculated and paid weekly or monthly, allowing new independent distributors to receive their sales commissions quicker. We believe the ease of more frequent payments of sales commissions helps us attract and then retain new distributors by allowing them to receive their commission payments as soon as possible after making qualified product sales. We also offer a variety of incentives to our independent distributors for achieving specified product sales goals. We believe our sales compensation plan provides motivation for our independent distributors to sell our products to customers and share the business opportunity with those entrepreneurs’ seeking to begin their own sales business.</w:t>
      </w:r>
    </w:p>
    <w:p>
      <w:pPr>
        <w:spacing w:after="0" w:line="51" w:lineRule="exact"/>
        <w:rPr>
          <w:sz w:val="20"/>
          <w:szCs w:val="20"/>
          <w:color w:val="auto"/>
        </w:rPr>
      </w:pPr>
    </w:p>
    <w:p>
      <w:pPr>
        <w:ind w:left="260" w:hanging="260"/>
        <w:spacing w:after="0" w:line="221" w:lineRule="auto"/>
        <w:tabs>
          <w:tab w:leader="none" w:pos="257" w:val="left"/>
        </w:tabs>
        <w:numPr>
          <w:ilvl w:val="0"/>
          <w:numId w:val="7"/>
        </w:numPr>
        <w:rPr>
          <w:rFonts w:ascii="Arial" w:cs="Arial" w:eastAsia="Arial" w:hAnsi="Arial"/>
          <w:sz w:val="13"/>
          <w:szCs w:val="13"/>
          <w:color w:val="auto"/>
        </w:rPr>
      </w:pPr>
      <w:r>
        <w:rPr>
          <w:rFonts w:ascii="Arial" w:cs="Arial" w:eastAsia="Arial" w:hAnsi="Arial"/>
          <w:sz w:val="13"/>
          <w:szCs w:val="13"/>
          <w:u w:val="single" w:color="auto"/>
          <w:color w:val="auto"/>
        </w:rPr>
        <w:t>Our Products:</w:t>
      </w:r>
      <w:r>
        <w:rPr>
          <w:rFonts w:ascii="Arial" w:cs="Arial" w:eastAsia="Arial" w:hAnsi="Arial"/>
          <w:sz w:val="13"/>
          <w:szCs w:val="13"/>
          <w:color w:val="auto"/>
        </w:rPr>
        <w:t xml:space="preserve"> Our focus is on nutrigenomics, the study of how properly formulated and applied nutrition and naturally occurring compounds affect human genes to support good health. We have developed proprietary and exclusive scientifically-validated nutrigenomics products focused on helping individuals look, feel and perform better. Our products are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scientifically-validated dietary supplements,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ProBio and Daily Wellness dietary supplements, TrueScience</w:t>
      </w:r>
      <w:r>
        <w:rPr>
          <w:rFonts w:ascii="Arial" w:cs="Arial" w:eastAsia="Arial" w:hAnsi="Arial"/>
          <w:sz w:val="17"/>
          <w:szCs w:val="17"/>
          <w:color w:val="auto"/>
          <w:vertAlign w:val="superscript"/>
        </w:rPr>
        <w:t>®</w:t>
      </w:r>
      <w:r>
        <w:rPr>
          <w:rFonts w:ascii="Arial" w:cs="Arial" w:eastAsia="Arial" w:hAnsi="Arial"/>
          <w:sz w:val="13"/>
          <w:szCs w:val="13"/>
          <w:color w:val="auto"/>
        </w:rPr>
        <w:t>, our line of skin, bath &amp; body, target relief, and hair care products, Petandim</w:t>
      </w:r>
      <w:r>
        <w:rPr>
          <w:rFonts w:ascii="Arial" w:cs="Arial" w:eastAsia="Arial" w:hAnsi="Arial"/>
          <w:sz w:val="17"/>
          <w:szCs w:val="17"/>
          <w:color w:val="auto"/>
          <w:vertAlign w:val="superscript"/>
        </w:rPr>
        <w:t>®</w:t>
      </w:r>
      <w:r>
        <w:rPr>
          <w:rFonts w:ascii="Arial" w:cs="Arial" w:eastAsia="Arial" w:hAnsi="Arial"/>
          <w:sz w:val="13"/>
          <w:szCs w:val="13"/>
          <w:color w:val="auto"/>
        </w:rPr>
        <w:t>, our companion pet supplement formulated to combat oxidative stress in dogs, Axio</w:t>
      </w:r>
      <w:r>
        <w:rPr>
          <w:rFonts w:ascii="Arial" w:cs="Arial" w:eastAsia="Arial" w:hAnsi="Arial"/>
          <w:sz w:val="17"/>
          <w:szCs w:val="17"/>
          <w:color w:val="auto"/>
          <w:vertAlign w:val="superscript"/>
        </w:rPr>
        <w:t>®</w:t>
      </w:r>
      <w:r>
        <w:rPr>
          <w:rFonts w:ascii="Arial" w:cs="Arial" w:eastAsia="Arial" w:hAnsi="Arial"/>
          <w:sz w:val="13"/>
          <w:szCs w:val="13"/>
          <w:color w:val="auto"/>
        </w:rPr>
        <w:t>, our nootropic energy drink mixes, and PhysIQ</w:t>
      </w:r>
      <w:r>
        <w:rPr>
          <w:rFonts w:ascii="Arial" w:cs="Arial" w:eastAsia="Arial" w:hAnsi="Arial"/>
          <w:sz w:val="17"/>
          <w:szCs w:val="17"/>
          <w:color w:val="auto"/>
          <w:vertAlign w:val="superscript"/>
        </w:rPr>
        <w:t>™</w:t>
      </w:r>
      <w:r>
        <w:rPr>
          <w:rFonts w:ascii="Arial" w:cs="Arial" w:eastAsia="Arial" w:hAnsi="Arial"/>
          <w:sz w:val="13"/>
          <w:szCs w:val="13"/>
          <w:color w:val="auto"/>
        </w:rPr>
        <w:t>, our smart weight management system.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line includes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NRF1 Synergizer</w:t>
      </w:r>
      <w:r>
        <w:rPr>
          <w:rFonts w:ascii="Arial" w:cs="Arial" w:eastAsia="Arial" w:hAnsi="Arial"/>
          <w:sz w:val="17"/>
          <w:szCs w:val="17"/>
          <w:color w:val="auto"/>
          <w:vertAlign w:val="superscript"/>
        </w:rPr>
        <w:t>®</w:t>
      </w:r>
      <w:r>
        <w:rPr>
          <w:rFonts w:ascii="Arial" w:cs="Arial" w:eastAsia="Arial" w:hAnsi="Arial"/>
          <w:sz w:val="13"/>
          <w:szCs w:val="13"/>
          <w:color w:val="auto"/>
        </w:rPr>
        <w:t>,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and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NRF1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formulated to increase cellular energy and performance by boosting mitochondria production to improve cellular repair and slow cellular aging.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products together has been shown to produce synergistic benefits greater than using the individual products on their own.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ProBio is a dietary supplement designed to support optimal digestion and immune system function.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Daily Wellness is a dietary supplement designed to support and strengthen the immune health. Our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Nrf2 and CBD enhanced anti-aging skin care, hair care, bath &amp; body, and targeted relief products includes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Facial Cleanser,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Perfecting Lotion,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Eye Serum,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Anti-Aging Cream,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Beauty Serum,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Hand Cream,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Invigorating Shampoo,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Nourishing Conditioner,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Scalp Serum,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Body Lotion,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Body Wash,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Body Butter,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Deodorant,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Soothing Balm,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Body Rub, and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Liquid Collagen. 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 supplement specially formulated to combat oxidative stress in dogs through Nrf2 activation. Axio</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our line of our nootropic energy drink mixes formulated to promote alertness and support mental performance. PhysIQ is our smart weight management system, which includes PhysIQ Fat Burn, PhysIQ Prebiotic and PhysIQ Whey Protein, all formulated to aid in weight management. IC Bright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 supplement to help support eye and brain health, reduce eye fatigue and strain, supports cognitive functions, and may help support normal sleep patterns. We believe our significant number of customers who regularly and repeatedly purchase our products is a strong indicator of the health benefits of our products.</w:t>
      </w:r>
    </w:p>
    <w:p>
      <w:pPr>
        <w:spacing w:after="0" w:line="113" w:lineRule="exact"/>
        <w:rPr>
          <w:rFonts w:ascii="Arial" w:cs="Arial" w:eastAsia="Arial" w:hAnsi="Arial"/>
          <w:sz w:val="13"/>
          <w:szCs w:val="13"/>
          <w:color w:val="auto"/>
        </w:rPr>
      </w:pPr>
    </w:p>
    <w:p>
      <w:pPr>
        <w:ind w:left="260" w:right="40" w:hanging="260"/>
        <w:spacing w:after="0" w:line="307" w:lineRule="auto"/>
        <w:tabs>
          <w:tab w:leader="none" w:pos="257" w:val="left"/>
        </w:tabs>
        <w:numPr>
          <w:ilvl w:val="0"/>
          <w:numId w:val="7"/>
        </w:numPr>
        <w:rPr>
          <w:rFonts w:ascii="Arial" w:cs="Arial" w:eastAsia="Arial" w:hAnsi="Arial"/>
          <w:sz w:val="12"/>
          <w:szCs w:val="12"/>
          <w:color w:val="auto"/>
        </w:rPr>
      </w:pPr>
      <w:r>
        <w:rPr>
          <w:rFonts w:ascii="Arial" w:cs="Arial" w:eastAsia="Arial" w:hAnsi="Arial"/>
          <w:sz w:val="12"/>
          <w:szCs w:val="12"/>
          <w:u w:val="single" w:color="auto"/>
          <w:color w:val="auto"/>
        </w:rPr>
        <w:t>Technology-Enabled Distributor Training and Resources</w:t>
      </w:r>
      <w:r>
        <w:rPr>
          <w:rFonts w:ascii="Arial" w:cs="Arial" w:eastAsia="Arial" w:hAnsi="Arial"/>
          <w:sz w:val="12"/>
          <w:szCs w:val="12"/>
          <w:color w:val="auto"/>
        </w:rPr>
        <w:t>: We are committed to providing our independent distributors with resources and training designed to promote productivity and their opportunity for successful sales and resulting commissions. We are dedicated to using technology to facilitate a streamlined approach for independent distributors to manage their businesses and sell our products. The LifeVantage app, which is available for download on the Apple app Store and Google Play store, is a custom-developed platform that provides new ways for us to interact with our independent distributors and gives us and our distributor leadership valuable insight into the sales activities of our distributor base. The LifeVantage app was designed to allow independent distributors to conduct any aspect of their business on a single platform from anywhere in the world. Ultimately, through artificial intelligence and machine learning, we expect that the app will be able to guide independent distributors on what to share, when to share it, and with whom to sell LifeVantage products. In addition, we provide other business and product training materials and we encourage our independent distributors to participate in company-sponsored events, including conventions and sales promotions and incentives.</w:t>
      </w:r>
    </w:p>
    <w:p>
      <w:pPr>
        <w:spacing w:after="0" w:line="69" w:lineRule="exact"/>
        <w:rPr>
          <w:rFonts w:ascii="Arial" w:cs="Arial" w:eastAsia="Arial" w:hAnsi="Arial"/>
          <w:sz w:val="12"/>
          <w:szCs w:val="12"/>
          <w:color w:val="auto"/>
        </w:rPr>
      </w:pPr>
    </w:p>
    <w:p>
      <w:pPr>
        <w:ind w:left="260" w:right="120" w:hanging="260"/>
        <w:spacing w:after="0" w:line="262" w:lineRule="auto"/>
        <w:tabs>
          <w:tab w:leader="none" w:pos="257"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Our Culture</w:t>
      </w:r>
      <w:r>
        <w:rPr>
          <w:rFonts w:ascii="Arial" w:cs="Arial" w:eastAsia="Arial" w:hAnsi="Arial"/>
          <w:sz w:val="14"/>
          <w:szCs w:val="14"/>
          <w:color w:val="auto"/>
        </w:rPr>
        <w:t>: We are committed to creating a culture for our independent distributors, their customers and our employees that focuses on ethical, legal and transparent business practices. At enrollment, our independent distributors agree to abide by their contract which includes our policies and procedures. These policies and procedures, when followed, are designed to ensure that our independent distributors comply with applicable laws and regulations. Our distributor compliance department monitors the activities of our independent distributors as part of our effort to</w:t>
      </w:r>
    </w:p>
    <w:p>
      <w:pPr>
        <w:spacing w:after="0" w:line="200" w:lineRule="exact"/>
        <w:rPr>
          <w:sz w:val="20"/>
          <w:szCs w:val="20"/>
          <w:color w:val="auto"/>
        </w:rPr>
      </w:pPr>
    </w:p>
    <w:p>
      <w:pPr>
        <w:spacing w:after="0" w:line="317"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00"/>
          </w:cols>
          <w:pgMar w:left="560" w:top="850" w:right="339" w:bottom="1440" w:gutter="0" w:footer="0" w:header="0"/>
        </w:sectPr>
      </w:pPr>
    </w:p>
    <w:bookmarkStart w:id="7" w:name="page8"/>
    <w:bookmarkEnd w:id="7"/>
    <w:p>
      <w:pPr>
        <w:ind w:left="520"/>
        <w:spacing w:after="0" w:line="281" w:lineRule="auto"/>
        <w:rPr>
          <w:sz w:val="20"/>
          <w:szCs w:val="20"/>
          <w:color w:val="auto"/>
        </w:rPr>
      </w:pPr>
      <w:r>
        <w:rPr>
          <w:rFonts w:ascii="Arial" w:cs="Arial" w:eastAsia="Arial" w:hAnsi="Arial"/>
          <w:sz w:val="14"/>
          <w:szCs w:val="14"/>
          <w:color w:val="auto"/>
        </w:rPr>
        <w:t>enforce our policies and procedures. Similarly, our code of business conduct and ethics sets forth guidelines and expectations for our employees. We believe our ethical, legal and transparent culture attracts highly qualified employees and independent distributors who share our commitment to these principles.</w:t>
      </w:r>
    </w:p>
    <w:p>
      <w:pPr>
        <w:spacing w:after="0" w:line="69" w:lineRule="exact"/>
        <w:rPr>
          <w:sz w:val="20"/>
          <w:szCs w:val="20"/>
          <w:color w:val="auto"/>
        </w:rPr>
      </w:pPr>
    </w:p>
    <w:p>
      <w:pPr>
        <w:ind w:left="520" w:hanging="260"/>
        <w:spacing w:after="0" w:line="256"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u w:val="single" w:color="auto"/>
          <w:color w:val="auto"/>
        </w:rPr>
        <w:t>Global Customer Acquisition</w:t>
      </w:r>
      <w:r>
        <w:rPr>
          <w:rFonts w:ascii="Arial" w:cs="Arial" w:eastAsia="Arial" w:hAnsi="Arial"/>
          <w:sz w:val="14"/>
          <w:szCs w:val="14"/>
          <w:color w:val="auto"/>
        </w:rPr>
        <w:t>: We introduced our global customer acquisition program in April 2018 to expand the number of countries where customers can purchase and use our products for personal consumption only. This program allows us to enter additional markets at low incremental cost and enables independent distributors to leverage customer sales through their international relationships outside of their home countries. The program initially launched in eight markets, many of which subsequently became fully open for business on-the-ground through a growing network of resident independent distributors. We expanded our global customer base in fiscal year 2021 by entering into key strategic agreements with third parties based in the United States that will help customers ship LifeVantage products purchased in the U.S. throughout the world via their customer personal purchase and importation programs. We also previously expanded our Auto-Assigned Customer Program, which allows new customers to order directly through www.lifevantage.com without being required to go through an independent distributor on their initial order. After the initial order, these new customers are then assigned to independent distributors, who benefit from the initial sale commission and are then incentivized to provide future product support and sales to the assigned customer. This program provides consumers easier access to our innovative products while providing referrals to our distributor force.</w:t>
      </w:r>
    </w:p>
    <w:p>
      <w:pPr>
        <w:spacing w:after="0" w:line="98" w:lineRule="exact"/>
        <w:rPr>
          <w:rFonts w:ascii="Arial" w:cs="Arial" w:eastAsia="Arial" w:hAnsi="Arial"/>
          <w:sz w:val="14"/>
          <w:szCs w:val="14"/>
          <w:color w:val="auto"/>
        </w:rPr>
      </w:pPr>
    </w:p>
    <w:p>
      <w:pPr>
        <w:ind w:left="520" w:right="60" w:hanging="260"/>
        <w:spacing w:after="0" w:line="288"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u w:val="single" w:color="auto"/>
          <w:color w:val="auto"/>
        </w:rPr>
        <w:t>Our Employees</w:t>
      </w:r>
      <w:r>
        <w:rPr>
          <w:rFonts w:ascii="Arial" w:cs="Arial" w:eastAsia="Arial" w:hAnsi="Arial"/>
          <w:sz w:val="13"/>
          <w:szCs w:val="13"/>
          <w:color w:val="auto"/>
        </w:rPr>
        <w:t>: We believe that our employees are an essential asset. We have a dedicated team of professionals that support our independent distributors, work to generate long-term value for our stockholders and contribute to the broader society through charitable programs, including the 501(c)(3) LifeVantage Legacy, LLC. In turn, we offer competitive compensation and direct employee focus on the short and long-term goals of our stockholders and independent distributors. LifeVantage has been named one of the Best Places to Work by the Direct Selling News for six years in a row, which reflects our commitment to create a great work environment for our employees.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Scientific Background</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Normal Aging Process</w:t>
      </w:r>
    </w:p>
    <w:p>
      <w:pPr>
        <w:spacing w:after="0" w:line="125" w:lineRule="exact"/>
        <w:rPr>
          <w:sz w:val="20"/>
          <w:szCs w:val="20"/>
          <w:color w:val="auto"/>
        </w:rPr>
      </w:pPr>
    </w:p>
    <w:p>
      <w:pPr>
        <w:jc w:val="both"/>
        <w:ind w:right="280" w:firstLine="255"/>
        <w:spacing w:after="0" w:line="267" w:lineRule="auto"/>
        <w:rPr>
          <w:sz w:val="20"/>
          <w:szCs w:val="20"/>
          <w:color w:val="auto"/>
        </w:rPr>
      </w:pPr>
      <w:r>
        <w:rPr>
          <w:rFonts w:ascii="Arial" w:cs="Arial" w:eastAsia="Arial" w:hAnsi="Arial"/>
          <w:sz w:val="14"/>
          <w:szCs w:val="14"/>
          <w:color w:val="auto"/>
        </w:rPr>
        <w:t>Aging in humans is a complex process driven by diverse changes in genetic, molecular, biochemical, and cellular events. This multifactorial process is ultimately characterized by a gradual decline in physiological functions and in the effectiveness of the intricate network of internal cellular communication referred to as cellular signaling. Theories as to why humans' age include the oxidative stress theory, the mitochondrial theory, and the sirtuin theory.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Oxidative Stress Theory of Aging and the Nrf2 Pathway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oxidative stress theory of aging states that as humans age, we accumulate free radicals and other oxidants. If left unchecked, this oxidative stress can lead to serious consequences to the cell.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Oxidative stress can ultimately lead to oxidative damage from attacks and damage to essential biological structures of the cell which results in compromised cellular function.</w:t>
      </w:r>
    </w:p>
    <w:p>
      <w:pPr>
        <w:spacing w:after="0" w:line="115" w:lineRule="exact"/>
        <w:rPr>
          <w:sz w:val="20"/>
          <w:szCs w:val="20"/>
          <w:color w:val="auto"/>
        </w:rPr>
      </w:pPr>
    </w:p>
    <w:p>
      <w:pPr>
        <w:ind w:right="40" w:firstLine="255"/>
        <w:spacing w:after="0" w:line="282" w:lineRule="auto"/>
        <w:rPr>
          <w:sz w:val="20"/>
          <w:szCs w:val="20"/>
          <w:color w:val="auto"/>
        </w:rPr>
      </w:pPr>
      <w:r>
        <w:rPr>
          <w:rFonts w:ascii="Arial" w:cs="Arial" w:eastAsia="Arial" w:hAnsi="Arial"/>
          <w:sz w:val="13"/>
          <w:szCs w:val="13"/>
          <w:color w:val="auto"/>
        </w:rPr>
        <w:t>Antioxidants are the cell’s primary defense against free radicals and other oxidants. There are two major classes of antioxidants: 1) dietary antioxidants obtained through food and nutritional supplements and 2) endogenous antioxidants produced by the body. A 2013 review of the scientific literature led by the United States National Institutes of Health’s National Center for Complementary and Integrative Health concluded that “rigorous trials of antioxidant supplements in large numbers of people have not found that high doses of antioxidant supplements prevent disease.” Thus, much attention has shifted to the body’s endogenous antioxidant and detoxification systems. Endogenous antioxidants are antioxidants made by the body and are the primary line of defense against oxidative stress. In general, endogenous antioxidants either prevent oxidants from being formed, or remove them from the body. Endogenous antioxidants form a complex network of antioxidant metabolites and enzymes. These networks work together, throughout the cell, to neutralize oxidants and protect important biological structures from oxidative damage.</w:t>
      </w:r>
    </w:p>
    <w:p>
      <w:pPr>
        <w:spacing w:after="0" w:line="81"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Endogenous antioxidants can also be upregulated in times of increasing oxidative stress. The Nrf2 cellular signaling pathway is the primary pathway for upregulating endogenous antioxidant and other detoxification pathways. With age, the activity of this Nrf2 cellular signaling pathway has been shown to decrease – both in its ability to sense oxidative threats and ultimately upregulate its target genes.</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Mitochondrial Theory of Aging and the NRF1 Pathway</w:t>
      </w:r>
    </w:p>
    <w:p>
      <w:pPr>
        <w:spacing w:after="0" w:line="125" w:lineRule="exact"/>
        <w:rPr>
          <w:sz w:val="20"/>
          <w:szCs w:val="20"/>
          <w:color w:val="auto"/>
        </w:rPr>
      </w:pPr>
    </w:p>
    <w:p>
      <w:pPr>
        <w:ind w:right="40" w:firstLine="255"/>
        <w:spacing w:after="0" w:line="321" w:lineRule="auto"/>
        <w:rPr>
          <w:sz w:val="20"/>
          <w:szCs w:val="20"/>
          <w:color w:val="auto"/>
        </w:rPr>
      </w:pPr>
      <w:r>
        <w:rPr>
          <w:rFonts w:ascii="Arial" w:cs="Arial" w:eastAsia="Arial" w:hAnsi="Arial"/>
          <w:sz w:val="13"/>
          <w:szCs w:val="13"/>
          <w:color w:val="222222"/>
        </w:rPr>
        <w:t xml:space="preserve">Mitochondria are membrane-bound cellular organelles that generate most of the chemical energy needed to power the cell's biochemical reactions. </w:t>
      </w:r>
      <w:r>
        <w:rPr>
          <w:rFonts w:ascii="Arial" w:cs="Arial" w:eastAsia="Arial" w:hAnsi="Arial"/>
          <w:sz w:val="13"/>
          <w:szCs w:val="13"/>
          <w:color w:val="000000"/>
        </w:rPr>
        <w:t>The mitochondria produce energy by breaking</w:t>
      </w:r>
      <w:r>
        <w:rPr>
          <w:rFonts w:ascii="Arial" w:cs="Arial" w:eastAsia="Arial" w:hAnsi="Arial"/>
          <w:sz w:val="13"/>
          <w:szCs w:val="13"/>
          <w:color w:val="222222"/>
        </w:rPr>
        <w:t xml:space="preserve"> </w:t>
      </w:r>
      <w:r>
        <w:rPr>
          <w:rFonts w:ascii="Arial" w:cs="Arial" w:eastAsia="Arial" w:hAnsi="Arial"/>
          <w:sz w:val="13"/>
          <w:szCs w:val="13"/>
          <w:color w:val="000000"/>
        </w:rPr>
        <w:t>down food that has been ingested and capturing high-energy electrons in the process. When mitochondria are functioning properly, they harness the energy of these electrons to</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8" w:name="page9"/>
    <w:bookmarkEnd w:id="8"/>
    <w:p>
      <w:pPr>
        <w:ind w:right="400"/>
        <w:spacing w:after="0" w:line="281" w:lineRule="auto"/>
        <w:rPr>
          <w:sz w:val="20"/>
          <w:szCs w:val="20"/>
          <w:color w:val="auto"/>
        </w:rPr>
      </w:pPr>
      <w:r>
        <w:rPr>
          <w:rFonts w:ascii="Arial" w:cs="Arial" w:eastAsia="Arial" w:hAnsi="Arial"/>
          <w:sz w:val="14"/>
          <w:szCs w:val="14"/>
          <w:color w:val="auto"/>
        </w:rPr>
        <w:t>produce energy for the cell. At the end of this process, the mitochondria attach these electrons to molecular oxygen that ultimately get detoxified to water. However, this process is not perfectly efficient and, even in young, healthy mitochondria, electrons can escape, potentially forming free radicals and other oxidants.</w:t>
      </w:r>
    </w:p>
    <w:p>
      <w:pPr>
        <w:spacing w:after="0" w:line="69" w:lineRule="exact"/>
        <w:rPr>
          <w:sz w:val="20"/>
          <w:szCs w:val="20"/>
          <w:color w:val="auto"/>
        </w:rPr>
      </w:pPr>
    </w:p>
    <w:p>
      <w:pPr>
        <w:ind w:right="160" w:firstLine="255"/>
        <w:spacing w:after="0" w:line="288" w:lineRule="auto"/>
        <w:rPr>
          <w:sz w:val="20"/>
          <w:szCs w:val="20"/>
          <w:color w:val="auto"/>
        </w:rPr>
      </w:pPr>
      <w:r>
        <w:rPr>
          <w:rFonts w:ascii="Arial" w:cs="Arial" w:eastAsia="Arial" w:hAnsi="Arial"/>
          <w:sz w:val="13"/>
          <w:szCs w:val="13"/>
          <w:color w:val="auto"/>
        </w:rPr>
        <w:t>The mitochondrial theory of aging states that as humans age, mitochondria function less efficiently, producing less energy and more free radicals and other oxidants. The reduction in energy production compromises cellular function. The increase in free radicals and other oxidants in turn damage structures of the cell, including the mitochondria. This mitochondrial damage goes on to further compromise mitochondrial function leading to a downward spiral of decreased mitochondrial efficiency and increased production of free radicals and other oxidants. This process ultimately contributes to an increase in the overall cellular burden of oxidative stress and otherwise compromises cellular function through decreased energy production.</w:t>
      </w:r>
    </w:p>
    <w:p>
      <w:pPr>
        <w:spacing w:after="0" w:line="78"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A major cellular signaling pathway believed to be involved in mitochondrial health is NRF1 (nuclear factor erythroid 2-related factor 1). The NRF1 cellular signaling pathway, directly or indirectly, regulates a number of genes involved in mitochondrial health, turnover, and biogenesis. Nrf1 (Nuclear Respiratory Factor-1) is a protein believed to activate the expression of key genes involved in metabolism, cellular growth, energy production, and mitochondrial DNA transcription and replication. Together with Nrf2, Nrf1 also provides the essential function of coordinating gene expression between nuclear and mitochondrial genomes. An additional protein shown to support mitochondrial health is PGC1-alpha (peroxisome proliferator activated receptor gamma coactivator-1-alpha). PGC1-alpha has been shown to regulate energy metabolism and is the master regulator of mitochondrial biogenesis and turnover.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Sirtuin Theory of Aging and the NAD Pathway</w:t>
      </w:r>
    </w:p>
    <w:p>
      <w:pPr>
        <w:spacing w:after="0" w:line="115"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The sirtuin theory of aging developed from studies examining the health benefits of caloric restriction. Caloric restriction is the process whereby caloric intake is restricted by as much as 40 to 60 percent. In numerous experimental models, animals put on calorically restricted diets experienced significant increases in maximum lifespan. Numerous studies have concluded that a family of proteins called the “sirtuins” are required for the increase in lifespan brought on by caloric restriction.</w:t>
      </w:r>
    </w:p>
    <w:p>
      <w:pPr>
        <w:spacing w:after="0" w:line="89" w:lineRule="exact"/>
        <w:rPr>
          <w:sz w:val="20"/>
          <w:szCs w:val="20"/>
          <w:color w:val="auto"/>
        </w:rPr>
      </w:pPr>
    </w:p>
    <w:p>
      <w:pPr>
        <w:jc w:val="both"/>
        <w:ind w:right="240" w:firstLine="255"/>
        <w:spacing w:after="0" w:line="235" w:lineRule="auto"/>
        <w:rPr>
          <w:sz w:val="20"/>
          <w:szCs w:val="20"/>
          <w:color w:val="auto"/>
        </w:rPr>
      </w:pPr>
      <w:r>
        <w:rPr>
          <w:rFonts w:ascii="Arial" w:cs="Arial" w:eastAsia="Arial" w:hAnsi="Arial"/>
          <w:sz w:val="14"/>
          <w:szCs w:val="14"/>
          <w:color w:val="auto"/>
        </w:rPr>
        <w:t>When the physiology of humans undergoing caloric restriction was examined, a number of health benefits were discovered. As researchers began to understand the molecular biology of these sirtuins, they found that the enzymatic activity for most of them required the molecule NAD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(nicotinamide adenine dinucleotide). NAD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an essential molecule for many biochemical reactions, most notably metabolism of food for energy in the mitochondria.</w:t>
      </w:r>
    </w:p>
    <w:p>
      <w:pPr>
        <w:spacing w:after="0" w:line="103" w:lineRule="exact"/>
        <w:rPr>
          <w:sz w:val="20"/>
          <w:szCs w:val="20"/>
          <w:color w:val="auto"/>
        </w:rPr>
      </w:pPr>
    </w:p>
    <w:p>
      <w:pPr>
        <w:jc w:val="both"/>
        <w:ind w:right="40" w:firstLine="255"/>
        <w:spacing w:after="0" w:line="237" w:lineRule="auto"/>
        <w:rPr>
          <w:sz w:val="20"/>
          <w:szCs w:val="20"/>
          <w:color w:val="auto"/>
        </w:rPr>
      </w:pPr>
      <w:r>
        <w:rPr>
          <w:rFonts w:ascii="Arial" w:cs="Arial" w:eastAsia="Arial" w:hAnsi="Arial"/>
          <w:sz w:val="14"/>
          <w:szCs w:val="14"/>
          <w:color w:val="auto"/>
        </w:rPr>
        <w:t>Taken together, these findings are intriguing because now there is a direct link between metabolism and healthy longevity. When energy intake is normal, the primary role of NAD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for energy production. However, when NAD</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levels increase, either due to restricting calories or increasing the cellular production of NAD</w:t>
      </w:r>
      <w:r>
        <w:rPr>
          <w:rFonts w:ascii="Arial" w:cs="Arial" w:eastAsia="Arial" w:hAnsi="Arial"/>
          <w:sz w:val="18"/>
          <w:szCs w:val="18"/>
          <w:color w:val="auto"/>
          <w:vertAlign w:val="superscript"/>
        </w:rPr>
        <w:t>+</w:t>
      </w:r>
      <w:r>
        <w:rPr>
          <w:rFonts w:ascii="Arial" w:cs="Arial" w:eastAsia="Arial" w:hAnsi="Arial"/>
          <w:sz w:val="14"/>
          <w:szCs w:val="14"/>
          <w:color w:val="auto"/>
        </w:rPr>
        <w:t>, it becomes a signaling molecule to activate sirtuins and other health promoting mechanisms within the cell.</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25" w:lineRule="exact"/>
        <w:rPr>
          <w:sz w:val="20"/>
          <w:szCs w:val="20"/>
          <w:color w:val="auto"/>
        </w:rPr>
      </w:pPr>
    </w:p>
    <w:p>
      <w:pPr>
        <w:ind w:right="80" w:firstLine="255"/>
        <w:spacing w:after="0" w:line="239" w:lineRule="auto"/>
        <w:rPr>
          <w:sz w:val="20"/>
          <w:szCs w:val="20"/>
          <w:color w:val="auto"/>
        </w:rPr>
      </w:pPr>
      <w:r>
        <w:rPr>
          <w:rFonts w:ascii="Arial" w:cs="Arial" w:eastAsia="Arial" w:hAnsi="Arial"/>
          <w:sz w:val="13"/>
          <w:szCs w:val="13"/>
          <w:color w:val="auto"/>
        </w:rPr>
        <w:t>Historically, we have focused our research and development efforts on creating and supporting scientifically validated products under the LifeVantage</w:t>
      </w:r>
      <w:r>
        <w:rPr>
          <w:rFonts w:ascii="Arial" w:cs="Arial" w:eastAsia="Arial" w:hAnsi="Arial"/>
          <w:sz w:val="17"/>
          <w:szCs w:val="17"/>
          <w:color w:val="auto"/>
          <w:vertAlign w:val="superscript"/>
        </w:rPr>
        <w:t>®</w:t>
      </w:r>
      <w:r>
        <w:rPr>
          <w:rFonts w:ascii="Arial" w:cs="Arial" w:eastAsia="Arial" w:hAnsi="Arial"/>
          <w:sz w:val="13"/>
          <w:szCs w:val="13"/>
          <w:color w:val="auto"/>
        </w:rPr>
        <w:t>, Protandim</w:t>
      </w:r>
      <w:r>
        <w:rPr>
          <w:rFonts w:ascii="Arial" w:cs="Arial" w:eastAsia="Arial" w:hAnsi="Arial"/>
          <w:sz w:val="17"/>
          <w:szCs w:val="17"/>
          <w:color w:val="auto"/>
          <w:vertAlign w:val="superscript"/>
        </w:rPr>
        <w:t>®</w:t>
      </w:r>
      <w:r>
        <w:rPr>
          <w:rFonts w:ascii="Arial" w:cs="Arial" w:eastAsia="Arial" w:hAnsi="Arial"/>
          <w:sz w:val="13"/>
          <w:szCs w:val="13"/>
          <w:color w:val="auto"/>
        </w:rPr>
        <w:t>, TrueScience</w:t>
      </w:r>
      <w:r>
        <w:rPr>
          <w:rFonts w:ascii="Arial" w:cs="Arial" w:eastAsia="Arial" w:hAnsi="Arial"/>
          <w:sz w:val="17"/>
          <w:szCs w:val="17"/>
          <w:color w:val="auto"/>
          <w:vertAlign w:val="superscript"/>
        </w:rPr>
        <w:t>®</w:t>
      </w:r>
      <w:r>
        <w:rPr>
          <w:rFonts w:ascii="Arial" w:cs="Arial" w:eastAsia="Arial" w:hAnsi="Arial"/>
          <w:sz w:val="13"/>
          <w:szCs w:val="13"/>
          <w:color w:val="auto"/>
        </w:rPr>
        <w:t>, Petandim</w:t>
      </w:r>
      <w:r>
        <w:rPr>
          <w:rFonts w:ascii="Arial" w:cs="Arial" w:eastAsia="Arial" w:hAnsi="Arial"/>
          <w:sz w:val="17"/>
          <w:szCs w:val="17"/>
          <w:color w:val="auto"/>
          <w:vertAlign w:val="superscript"/>
        </w:rPr>
        <w:t>®</w:t>
      </w:r>
      <w:r>
        <w:rPr>
          <w:rFonts w:ascii="Arial" w:cs="Arial" w:eastAsia="Arial" w:hAnsi="Arial"/>
          <w:sz w:val="13"/>
          <w:szCs w:val="13"/>
          <w:color w:val="auto"/>
        </w:rPr>
        <w:t>, Axio</w:t>
      </w:r>
      <w:r>
        <w:rPr>
          <w:rFonts w:ascii="Arial" w:cs="Arial" w:eastAsia="Arial" w:hAnsi="Arial"/>
          <w:sz w:val="17"/>
          <w:szCs w:val="17"/>
          <w:color w:val="auto"/>
          <w:vertAlign w:val="superscript"/>
        </w:rPr>
        <w:t>®</w:t>
      </w:r>
      <w:r>
        <w:rPr>
          <w:rFonts w:ascii="Arial" w:cs="Arial" w:eastAsia="Arial" w:hAnsi="Arial"/>
          <w:sz w:val="13"/>
          <w:szCs w:val="13"/>
          <w:color w:val="auto"/>
        </w:rPr>
        <w:t>, and PhysIQ federation of brands. We anticipate that our future research and development efforts will be focused on creating, developing and evaluating new products that are consistent with our commitment to provide quality, scientifically-validated products that activate and empower the body’s ability to work better. We intend to build on our foundation of nutrigenomics with products that activate gene or cell pathways targeting specific benefit areas, provide real results, and are an essential and enjoyable part of everyday life. We are also exploring ways to expand our product delivery systems beyond primarily tablets and capsules, starting with the new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Liquid Collagen shots introduced this year. LifeVantage remains committed to helping people look and feel healthy and vibrant at any age by combating sources of premature aging or declining health.</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Overview</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Protandim</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Nrf2 Synergizer</w:t>
      </w:r>
      <w:r>
        <w:rPr>
          <w:rFonts w:ascii="Arial" w:cs="Arial" w:eastAsia="Arial" w:hAnsi="Arial"/>
          <w:sz w:val="18"/>
          <w:szCs w:val="18"/>
          <w:b w:val="1"/>
          <w:bCs w:val="1"/>
          <w:i w:val="1"/>
          <w:iCs w:val="1"/>
          <w:color w:val="auto"/>
          <w:vertAlign w:val="superscript"/>
        </w:rPr>
        <w:t>®</w:t>
      </w:r>
    </w:p>
    <w:p>
      <w:pPr>
        <w:spacing w:after="0" w:line="75" w:lineRule="exact"/>
        <w:rPr>
          <w:sz w:val="20"/>
          <w:szCs w:val="20"/>
          <w:color w:val="auto"/>
        </w:rPr>
      </w:pPr>
    </w:p>
    <w:p>
      <w:pPr>
        <w:ind w:right="140" w:firstLine="255"/>
        <w:spacing w:after="0" w:line="231" w:lineRule="auto"/>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patented dietary supplement that has been shown in clinical trials to reduce the age-dependent increase in markers of oxidative stress and has also been shown to provide substantial benefits to combat the variety of negative health effects linked to oxidative stress.</w:t>
      </w:r>
    </w:p>
    <w:p>
      <w:pPr>
        <w:spacing w:after="0" w:line="102" w:lineRule="exact"/>
        <w:rPr>
          <w:sz w:val="20"/>
          <w:szCs w:val="20"/>
          <w:color w:val="auto"/>
        </w:rPr>
      </w:pPr>
    </w:p>
    <w:p>
      <w:pPr>
        <w:ind w:right="20" w:firstLine="255"/>
        <w:spacing w:after="0" w:line="226" w:lineRule="auto"/>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combats oxidative stress by increasing the body’s natural antioxidant protection at the gene level. The unique blend of phytonutrients in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signals the activation of Nrf2 to increase production of antioxidant enzymes, specifically superoxide dismutase and catalase, and other cell-protective gene products. The body's internally produced antioxidant enzymes provide a better defense against oxidative stress than externally derived sources of antioxidants such as Vitamin C and Vitamin E. Unlike externally derived sources of antioxidants, these enzymes are “catalytic,” which means these enzymes are not used up upon neutralizing free radicals.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9" w:name="page10"/>
    <w:bookmarkEnd w:id="9"/>
    <w:p>
      <w:pPr>
        <w:ind w:right="160" w:firstLine="255"/>
        <w:spacing w:after="0" w:line="236" w:lineRule="auto"/>
        <w:rPr>
          <w:sz w:val="20"/>
          <w:szCs w:val="20"/>
          <w:color w:val="auto"/>
        </w:rPr>
      </w:pPr>
      <w:r>
        <w:rPr>
          <w:rFonts w:ascii="Arial" w:cs="Arial" w:eastAsia="Arial" w:hAnsi="Arial"/>
          <w:sz w:val="14"/>
          <w:szCs w:val="14"/>
          <w:color w:val="auto"/>
        </w:rPr>
        <w:t>We hold multiple U.S. patents related to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We believe these patents set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apart from other dietary supplements and protect the original formula as well as certain formula modifications we could create to extend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 We sell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three formulas around the world.</w:t>
      </w:r>
    </w:p>
    <w:p>
      <w:pPr>
        <w:spacing w:after="0" w:line="43" w:lineRule="exact"/>
        <w:rPr>
          <w:sz w:val="20"/>
          <w:szCs w:val="20"/>
          <w:color w:val="auto"/>
        </w:rPr>
      </w:pPr>
    </w:p>
    <w:p>
      <w:pPr>
        <w:ind w:right="20" w:firstLine="255"/>
        <w:spacing w:after="0" w:line="264" w:lineRule="auto"/>
        <w:rPr>
          <w:sz w:val="20"/>
          <w:szCs w:val="20"/>
          <w:color w:val="auto"/>
        </w:rPr>
      </w:pPr>
      <w:r>
        <w:rPr>
          <w:rFonts w:ascii="Arial" w:cs="Arial" w:eastAsia="Arial" w:hAnsi="Arial"/>
          <w:sz w:val="13"/>
          <w:szCs w:val="13"/>
          <w:color w:val="auto"/>
        </w:rPr>
        <w:t>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has been, and is expected to continue to be, the subject of numerous independent scientific studies at various universities and research facilities including Ohio State University, Louisiana State University, University of Colorado Denver, Virginia Commonwealth University, Colorado State University, Texas Tech University and the National Institute on Aging. The results of these studies have been published in a variety of peer-reviewed scientific journals, including </w:t>
      </w:r>
      <w:r>
        <w:rPr>
          <w:rFonts w:ascii="Arial" w:cs="Arial" w:eastAsia="Arial" w:hAnsi="Arial"/>
          <w:sz w:val="13"/>
          <w:szCs w:val="13"/>
          <w:i w:val="1"/>
          <w:iCs w:val="1"/>
          <w:color w:val="auto"/>
        </w:rPr>
        <w:t>Free Radical Biology &amp; Medicine, Enzyme Research, Circulation-the scientific journal of</w:t>
      </w:r>
      <w:r>
        <w:rPr>
          <w:rFonts w:ascii="Arial" w:cs="Arial" w:eastAsia="Arial" w:hAnsi="Arial"/>
          <w:sz w:val="13"/>
          <w:szCs w:val="13"/>
          <w:color w:val="auto"/>
        </w:rPr>
        <w:t xml:space="preserve"> </w:t>
      </w:r>
      <w:r>
        <w:rPr>
          <w:rFonts w:ascii="Arial" w:cs="Arial" w:eastAsia="Arial" w:hAnsi="Arial"/>
          <w:sz w:val="13"/>
          <w:szCs w:val="13"/>
          <w:i w:val="1"/>
          <w:iCs w:val="1"/>
          <w:color w:val="auto"/>
        </w:rPr>
        <w:t>the American Heart Association, American Journal of Physiology-Lung Cellular and Molecular Physiology, PLoS One, Journal of Dietary Supplements, Molecular Aspects of Medicine, Oxidative Medicine and Cell Longevity, Exercise &amp; Sports Science Reviews</w:t>
      </w:r>
      <w:r>
        <w:rPr>
          <w:rFonts w:ascii="Arial" w:cs="Arial" w:eastAsia="Arial" w:hAnsi="Arial"/>
          <w:sz w:val="13"/>
          <w:szCs w:val="13"/>
          <w:color w:val="auto"/>
        </w:rPr>
        <w:t>,</w:t>
      </w:r>
      <w:r>
        <w:rPr>
          <w:rFonts w:ascii="Arial" w:cs="Arial" w:eastAsia="Arial" w:hAnsi="Arial"/>
          <w:sz w:val="13"/>
          <w:szCs w:val="13"/>
          <w:i w:val="1"/>
          <w:iCs w:val="1"/>
          <w:color w:val="auto"/>
        </w:rPr>
        <w:t xml:space="preserve"> Clinical Pharmacology, the FASEB Journal, and the Journal of Applied Physiology.</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Protandim</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NRF1 Synergizer</w:t>
      </w:r>
      <w:r>
        <w:rPr>
          <w:rFonts w:ascii="Arial" w:cs="Arial" w:eastAsia="Arial" w:hAnsi="Arial"/>
          <w:sz w:val="18"/>
          <w:szCs w:val="18"/>
          <w:b w:val="1"/>
          <w:bCs w:val="1"/>
          <w:i w:val="1"/>
          <w:iCs w:val="1"/>
          <w:color w:val="auto"/>
          <w:vertAlign w:val="superscript"/>
        </w:rPr>
        <w:t>®</w:t>
      </w:r>
    </w:p>
    <w:p>
      <w:pPr>
        <w:spacing w:after="0" w:line="79" w:lineRule="exact"/>
        <w:rPr>
          <w:sz w:val="20"/>
          <w:szCs w:val="20"/>
          <w:color w:val="auto"/>
        </w:rPr>
      </w:pPr>
    </w:p>
    <w:p>
      <w:pPr>
        <w:ind w:firstLine="255"/>
        <w:spacing w:after="0" w:line="216" w:lineRule="auto"/>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dietary supplement which was formulated to strengthen the mitochondria, the powerhouse of all cells, for better cellular health. It is designed to work in tandem with our flagship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further enhance the body's internal ability to naturally produce antioxidants and reduce the effects of cellular stress.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activates NRF1, a protein that regulates the expression of genes involved in mitochondrial DNA transcription, translation and repair. The unique blend of ingredients in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supports the mitochondria to slow cellular aging and increase cellular energy.</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Protandim</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NAD Synergizer</w:t>
      </w:r>
      <w:r>
        <w:rPr>
          <w:rFonts w:ascii="Arial" w:cs="Arial" w:eastAsia="Arial" w:hAnsi="Arial"/>
          <w:sz w:val="18"/>
          <w:szCs w:val="18"/>
          <w:b w:val="1"/>
          <w:bCs w:val="1"/>
          <w:i w:val="1"/>
          <w:iCs w:val="1"/>
          <w:color w:val="auto"/>
          <w:vertAlign w:val="superscript"/>
        </w:rPr>
        <w:t>®</w:t>
      </w:r>
    </w:p>
    <w:p>
      <w:pPr>
        <w:spacing w:after="0" w:line="79" w:lineRule="exact"/>
        <w:rPr>
          <w:sz w:val="20"/>
          <w:szCs w:val="20"/>
          <w:color w:val="auto"/>
        </w:rPr>
      </w:pPr>
    </w:p>
    <w:p>
      <w:pPr>
        <w:ind w:right="80" w:firstLine="255"/>
        <w:spacing w:after="0" w:line="264" w:lineRule="auto"/>
        <w:rPr>
          <w:sz w:val="20"/>
          <w:szCs w:val="20"/>
          <w:color w:val="auto"/>
        </w:rPr>
      </w:pPr>
      <w:r>
        <w:rPr>
          <w:rFonts w:ascii="Arial" w:cs="Arial" w:eastAsia="Arial" w:hAnsi="Arial"/>
          <w:sz w:val="13"/>
          <w:szCs w:val="13"/>
          <w:color w:val="auto"/>
        </w:rPr>
        <w:t>Sirtuin activity naturally declines by as much as 60 percent as humans age. Research has long shown that sirtuin activity can be increased by as much as 94 percent through drastic caloric restriction. Protandim</w:t>
      </w:r>
      <w:r>
        <w:rPr>
          <w:rFonts w:ascii="Arial" w:cs="Arial" w:eastAsia="Arial" w:hAnsi="Arial"/>
          <w:sz w:val="17"/>
          <w:szCs w:val="17"/>
          <w:b w:val="1"/>
          <w:bCs w:val="1"/>
          <w:i w:val="1"/>
          <w:iCs w:val="1"/>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 dietary supplement which was specifically formulated to target the biochemical pathways involved in the synthesis and recycling of a specific molecule called NAD (nicotinamide adenine dinucleotide) and has been shown to double sirtuin activity in just 24 hours. Sirtuin activity has been linked to multiple health benefits. In addition to being responsible for cellular autophagy (cellular cleanup and renewal process), sirtuins help improve mental focus and concentration, support positive mood and motivation, boost mental and physical energy, aid in maintaining cholesterol levels already in a healthy range, support a healthy vascular system, and promote healthy longevity.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Protandim</w:t>
      </w:r>
      <w:r>
        <w:rPr>
          <w:rFonts w:ascii="Arial" w:cs="Arial" w:eastAsia="Arial" w:hAnsi="Arial"/>
          <w:sz w:val="18"/>
          <w:szCs w:val="18"/>
          <w:b w:val="1"/>
          <w:bCs w:val="1"/>
          <w:color w:val="auto"/>
          <w:vertAlign w:val="superscript"/>
        </w:rPr>
        <w:t>®</w:t>
      </w:r>
      <w:r>
        <w:rPr>
          <w:rFonts w:ascii="Arial" w:cs="Arial" w:eastAsia="Arial" w:hAnsi="Arial"/>
          <w:sz w:val="14"/>
          <w:szCs w:val="14"/>
          <w:b w:val="1"/>
          <w:bCs w:val="1"/>
          <w:i w:val="1"/>
          <w:iCs w:val="1"/>
          <w:color w:val="auto"/>
        </w:rPr>
        <w:t xml:space="preserve"> Family of Products and Nutrigenomics</w:t>
      </w:r>
    </w:p>
    <w:p>
      <w:pPr>
        <w:spacing w:after="0" w:line="65" w:lineRule="exact"/>
        <w:rPr>
          <w:sz w:val="20"/>
          <w:szCs w:val="20"/>
          <w:color w:val="auto"/>
        </w:rPr>
      </w:pPr>
    </w:p>
    <w:p>
      <w:pPr>
        <w:ind w:right="120" w:firstLine="255"/>
        <w:spacing w:after="0" w:line="249" w:lineRule="auto"/>
        <w:rPr>
          <w:sz w:val="20"/>
          <w:szCs w:val="20"/>
          <w:color w:val="auto"/>
        </w:rPr>
      </w:pPr>
      <w:r>
        <w:rPr>
          <w:rFonts w:ascii="Arial" w:cs="Arial" w:eastAsia="Arial" w:hAnsi="Arial"/>
          <w:sz w:val="13"/>
          <w:szCs w:val="13"/>
          <w:color w:val="auto"/>
        </w:rPr>
        <w:t>Nutrigenomics is the study of how foods and individual nutrients can affect gene expression and how genes can also affect how humans metabolize food. Specific combinations of nutrients that engage cellular signaling and biochemical pathways are believed to unlock specific health mechanisms in human cells, tissues, and organs. Specifically, by looking at the cellular signaling and biochemical pathways known to be implicated in the aging process, we have formulated products to address various effects of aging utilizing nutrigenomics. This is the rationale behind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family of products, which were formulated from specific combinations of nutrients with US Patents Pending to support natural cellular functions by targeting specific cellular signaling and biochemical pathways related to oxidative stress, optimal mitochondrial function, and activation of the sirtuin family of proteins.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LifeVantage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Omega+</w:t>
      </w:r>
    </w:p>
    <w:p>
      <w:pPr>
        <w:spacing w:after="0" w:line="74" w:lineRule="exact"/>
        <w:rPr>
          <w:sz w:val="20"/>
          <w:szCs w:val="20"/>
          <w:color w:val="auto"/>
        </w:rPr>
      </w:pPr>
    </w:p>
    <w:p>
      <w:pPr>
        <w:ind w:right="200" w:firstLine="255"/>
        <w:spacing w:after="0" w:line="228" w:lineRule="auto"/>
        <w:rPr>
          <w:sz w:val="20"/>
          <w:szCs w:val="20"/>
          <w:color w:val="auto"/>
        </w:rPr>
      </w:pPr>
      <w:r>
        <w:rPr>
          <w:rFonts w:ascii="Arial" w:cs="Arial" w:eastAsia="Arial" w:hAnsi="Arial"/>
          <w:sz w:val="14"/>
          <w:szCs w:val="14"/>
          <w:color w:val="auto"/>
        </w:rPr>
        <w:t>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is a dietary supplement that combines DHA and EPA Omega-3 fatty acids, Omega-7 fatty acids, and Vitamin D3 to support cognitive health, cardiovascular health, skin health, and the immune system.</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LifeVantage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ProBio</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ProBio is a dietary supplement designed to support long-term gut health by restoring healthy gut bacteria to support digestive system health.</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LifeVantage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IC Bright</w:t>
      </w:r>
      <w:r>
        <w:rPr>
          <w:rFonts w:ascii="Arial" w:cs="Arial" w:eastAsia="Arial" w:hAnsi="Arial"/>
          <w:sz w:val="18"/>
          <w:szCs w:val="18"/>
          <w:b w:val="1"/>
          <w:bCs w:val="1"/>
          <w:i w:val="1"/>
          <w:iCs w:val="1"/>
          <w:color w:val="auto"/>
          <w:vertAlign w:val="superscript"/>
        </w:rPr>
        <w:t>®</w:t>
      </w:r>
    </w:p>
    <w:p>
      <w:pPr>
        <w:spacing w:after="0" w:line="80" w:lineRule="exact"/>
        <w:rPr>
          <w:sz w:val="20"/>
          <w:szCs w:val="20"/>
          <w:color w:val="auto"/>
        </w:rPr>
      </w:pPr>
    </w:p>
    <w:p>
      <w:pPr>
        <w:ind w:right="160" w:firstLine="255"/>
        <w:spacing w:after="0" w:line="231" w:lineRule="auto"/>
        <w:rPr>
          <w:sz w:val="20"/>
          <w:szCs w:val="20"/>
          <w:color w:val="auto"/>
        </w:rPr>
      </w:pPr>
      <w:r>
        <w:rPr>
          <w:rFonts w:ascii="Arial" w:cs="Arial" w:eastAsia="Arial" w:hAnsi="Arial"/>
          <w:sz w:val="14"/>
          <w:szCs w:val="14"/>
          <w:color w:val="auto"/>
        </w:rPr>
        <w:t>IC Bright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combines macular carotenoids with vitamins and key ingredients that effectively support your eye and brain health. It helps reduce eye fatigue and strain from use of digital devices, helps promote healthy levels of essential proteins for the brain, and may help support normal sleep patterns, which can be disrupted by blue light exposure.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LifeVantage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Daily Wellness</w:t>
      </w:r>
    </w:p>
    <w:p>
      <w:pPr>
        <w:spacing w:after="0" w:line="75" w:lineRule="exact"/>
        <w:rPr>
          <w:sz w:val="20"/>
          <w:szCs w:val="20"/>
          <w:color w:val="auto"/>
        </w:rPr>
      </w:pPr>
    </w:p>
    <w:p>
      <w:pPr>
        <w:ind w:right="440" w:firstLine="255"/>
        <w:spacing w:after="0" w:line="231" w:lineRule="auto"/>
        <w:rPr>
          <w:sz w:val="20"/>
          <w:szCs w:val="20"/>
          <w:color w:val="auto"/>
        </w:rPr>
      </w:pPr>
      <w:r>
        <w:rPr>
          <w:rFonts w:ascii="Arial" w:cs="Arial" w:eastAsia="Arial" w:hAnsi="Arial"/>
          <w:sz w:val="14"/>
          <w:szCs w:val="14"/>
          <w:color w:val="auto"/>
        </w:rPr>
        <w:t>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Daily Wellness is a dietary supplement designed to strengthen immune health by supporting and balancing the three essential roles of the immune system: barrier, innate and adaptive.</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5"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PhysIQ</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sell a full line of weight management products under our PhysIQ brand, which consists of:</w:t>
      </w:r>
    </w:p>
    <w:p>
      <w:pPr>
        <w:spacing w:after="0" w:line="121"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b w:val="1"/>
          <w:bCs w:val="1"/>
          <w:color w:val="auto"/>
        </w:rPr>
        <w:t xml:space="preserve">PhysIQ Fat Burn: </w:t>
      </w:r>
      <w:r>
        <w:rPr>
          <w:rFonts w:ascii="Arial" w:cs="Arial" w:eastAsia="Arial" w:hAnsi="Arial"/>
          <w:sz w:val="12"/>
          <w:szCs w:val="12"/>
          <w:color w:val="auto"/>
        </w:rPr>
        <w:t>a supplement containing naturally derived active ingredients to stimulate the breakdown of abdominal fat, increase energy and support long-term weight management.</w:t>
      </w:r>
    </w:p>
    <w:p>
      <w:pPr>
        <w:spacing w:after="0" w:line="148" w:lineRule="exact"/>
        <w:rPr>
          <w:rFonts w:ascii="Arial" w:cs="Arial" w:eastAsia="Arial" w:hAnsi="Arial"/>
          <w:sz w:val="12"/>
          <w:szCs w:val="12"/>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b w:val="1"/>
          <w:bCs w:val="1"/>
          <w:color w:val="auto"/>
        </w:rPr>
        <w:t xml:space="preserve">PhysIQ Prebiotic: </w:t>
      </w:r>
      <w:r>
        <w:rPr>
          <w:rFonts w:ascii="Arial" w:cs="Arial" w:eastAsia="Arial" w:hAnsi="Arial"/>
          <w:sz w:val="13"/>
          <w:szCs w:val="13"/>
          <w:color w:val="auto"/>
        </w:rPr>
        <w:t>a supplement designed to support the “good” bacteria in the gut and a healthy microbiome, resulting in a healthier digestive tract and a healthier metabolism.</w:t>
      </w:r>
    </w:p>
    <w:p>
      <w:pPr>
        <w:spacing w:after="0" w:line="126"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PhysIQ Whey Protein: </w:t>
      </w:r>
      <w:r>
        <w:rPr>
          <w:rFonts w:ascii="Arial" w:cs="Arial" w:eastAsia="Arial" w:hAnsi="Arial"/>
          <w:sz w:val="14"/>
          <w:szCs w:val="14"/>
          <w:color w:val="auto"/>
        </w:rPr>
        <w:t>a protein powder designed to satisfy hunger and deliver amino acids to support quick recovery and improved muscle synthesis.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TrueScience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Skin Care</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sell a full line of anti-aging skin care products under our LifeVantage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which consists of:</w:t>
      </w:r>
    </w:p>
    <w:p>
      <w:pPr>
        <w:spacing w:after="0" w:line="70" w:lineRule="exact"/>
        <w:rPr>
          <w:sz w:val="20"/>
          <w:szCs w:val="20"/>
          <w:color w:val="auto"/>
        </w:rPr>
      </w:pPr>
    </w:p>
    <w:p>
      <w:pPr>
        <w:ind w:left="520" w:right="160" w:hanging="260"/>
        <w:spacing w:after="0" w:line="287"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 Liquid Collagen</w:t>
      </w:r>
      <w:r>
        <w:rPr>
          <w:rFonts w:ascii="Arial" w:cs="Arial" w:eastAsia="Arial" w:hAnsi="Arial"/>
          <w:sz w:val="14"/>
          <w:szCs w:val="14"/>
          <w:color w:val="auto"/>
        </w:rPr>
        <w:t>: our first digestible liquid supplement in fully recyclable glass bottles that activates, replenishes, and maintains the body’s production of collagen on the</w:t>
      </w:r>
      <w:r>
        <w:rPr>
          <w:rFonts w:ascii="Arial" w:cs="Arial" w:eastAsia="Arial" w:hAnsi="Arial"/>
          <w:sz w:val="14"/>
          <w:szCs w:val="14"/>
          <w:b w:val="1"/>
          <w:bCs w:val="1"/>
          <w:color w:val="auto"/>
        </w:rPr>
        <w:t xml:space="preserve"> </w:t>
      </w:r>
      <w:r>
        <w:rPr>
          <w:rFonts w:ascii="Arial" w:cs="Arial" w:eastAsia="Arial" w:hAnsi="Arial"/>
          <w:sz w:val="14"/>
          <w:szCs w:val="14"/>
          <w:color w:val="auto"/>
        </w:rPr>
        <w:t>cellular level to support skin firmness and elasticity for healthy, glowing skin.</w:t>
      </w:r>
    </w:p>
    <w:p>
      <w:pPr>
        <w:spacing w:after="0" w:line="68"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Facial Cleanser: </w:t>
      </w:r>
      <w:r>
        <w:rPr>
          <w:rFonts w:ascii="Arial" w:cs="Arial" w:eastAsia="Arial" w:hAnsi="Arial"/>
          <w:sz w:val="14"/>
          <w:szCs w:val="14"/>
          <w:color w:val="auto"/>
        </w:rPr>
        <w:t>a concentrated, ultra-rich cleanser used to remove impurities and light make-up without drying or stripping natural oils in the skin.</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Perfecting Lotion: </w:t>
      </w:r>
      <w:r>
        <w:rPr>
          <w:rFonts w:ascii="Arial" w:cs="Arial" w:eastAsia="Arial" w:hAnsi="Arial"/>
          <w:sz w:val="14"/>
          <w:szCs w:val="14"/>
          <w:color w:val="auto"/>
        </w:rPr>
        <w:t>a hybrid lotion formulated for smoother, radiant and brighter looking skin.</w:t>
      </w:r>
    </w:p>
    <w:p>
      <w:pPr>
        <w:spacing w:after="0" w:line="71" w:lineRule="exact"/>
        <w:rPr>
          <w:rFonts w:ascii="Arial" w:cs="Arial" w:eastAsia="Arial" w:hAnsi="Arial"/>
          <w:sz w:val="14"/>
          <w:szCs w:val="14"/>
          <w:color w:val="auto"/>
        </w:rPr>
      </w:pPr>
    </w:p>
    <w:p>
      <w:pPr>
        <w:ind w:left="520" w:right="60" w:hanging="260"/>
        <w:spacing w:after="0" w:line="230"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Eye Serum: </w:t>
      </w:r>
      <w:r>
        <w:rPr>
          <w:rFonts w:ascii="Arial" w:cs="Arial" w:eastAsia="Arial" w:hAnsi="Arial"/>
          <w:sz w:val="14"/>
          <w:szCs w:val="14"/>
          <w:color w:val="auto"/>
        </w:rPr>
        <w:t>a serum that noticeably improves the visible signs of fine lines, creases and wrinkles around the entire eye area, diminishes puffiness above and below the eye,</w:t>
      </w:r>
      <w:r>
        <w:rPr>
          <w:rFonts w:ascii="Arial" w:cs="Arial" w:eastAsia="Arial" w:hAnsi="Arial"/>
          <w:sz w:val="14"/>
          <w:szCs w:val="14"/>
          <w:b w:val="1"/>
          <w:bCs w:val="1"/>
          <w:color w:val="auto"/>
        </w:rPr>
        <w:t xml:space="preserve"> </w:t>
      </w:r>
      <w:r>
        <w:rPr>
          <w:rFonts w:ascii="Arial" w:cs="Arial" w:eastAsia="Arial" w:hAnsi="Arial"/>
          <w:sz w:val="14"/>
          <w:szCs w:val="14"/>
          <w:color w:val="auto"/>
        </w:rPr>
        <w:t>firms and tightens the upper eyelid area and evens skin tone and dark circles that are visible signs of aging.</w:t>
      </w:r>
    </w:p>
    <w:p>
      <w:pPr>
        <w:spacing w:after="0" w:line="100"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Anti-Aging Cream: </w:t>
      </w:r>
      <w:r>
        <w:rPr>
          <w:rFonts w:ascii="Arial" w:cs="Arial" w:eastAsia="Arial" w:hAnsi="Arial"/>
          <w:sz w:val="14"/>
          <w:szCs w:val="14"/>
          <w:color w:val="auto"/>
        </w:rPr>
        <w:t>a cream that deeply moisturizes and helps to combat the appearance of fine lines and wrinkles.</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Hand Cream: </w:t>
      </w:r>
      <w:r>
        <w:rPr>
          <w:rFonts w:ascii="Arial" w:cs="Arial" w:eastAsia="Arial" w:hAnsi="Arial"/>
          <w:sz w:val="14"/>
          <w:szCs w:val="14"/>
          <w:color w:val="auto"/>
        </w:rPr>
        <w:t>a cream formulated with Nrf2 ingredients to moisturize skin and decrease the visible signs of premature aging on the hands.</w:t>
      </w:r>
    </w:p>
    <w:p>
      <w:pPr>
        <w:spacing w:after="0" w:line="71"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Beauty Serum: </w:t>
      </w:r>
      <w:r>
        <w:rPr>
          <w:rFonts w:ascii="Arial" w:cs="Arial" w:eastAsia="Arial" w:hAnsi="Arial"/>
          <w:sz w:val="14"/>
          <w:szCs w:val="14"/>
          <w:color w:val="auto"/>
        </w:rPr>
        <w:t>a CBD-enhanced facial serum designed to renew radiance and bring balance to the skin.</w:t>
      </w:r>
    </w:p>
    <w:p>
      <w:pPr>
        <w:spacing w:after="0" w:line="79" w:lineRule="exact"/>
        <w:rPr>
          <w:sz w:val="20"/>
          <w:szCs w:val="20"/>
          <w:color w:val="auto"/>
        </w:rPr>
      </w:pPr>
    </w:p>
    <w:p>
      <w:pPr>
        <w:ind w:right="400" w:firstLine="255"/>
        <w:spacing w:after="0" w:line="236" w:lineRule="auto"/>
        <w:rPr>
          <w:sz w:val="20"/>
          <w:szCs w:val="20"/>
          <w:color w:val="auto"/>
        </w:rPr>
      </w:pPr>
      <w:r>
        <w:rPr>
          <w:rFonts w:ascii="Arial" w:cs="Arial" w:eastAsia="Arial" w:hAnsi="Arial"/>
          <w:sz w:val="14"/>
          <w:szCs w:val="14"/>
          <w:color w:val="auto"/>
        </w:rPr>
        <w:t>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Beauty System includes the following products in a TSA-compliant set: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Facial Cleanser,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Perfecting Lotion,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Eye Serum,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Anti-Aging Cream.</w:t>
      </w:r>
    </w:p>
    <w:p>
      <w:pPr>
        <w:spacing w:after="0" w:line="50" w:lineRule="exact"/>
        <w:rPr>
          <w:sz w:val="20"/>
          <w:szCs w:val="20"/>
          <w:color w:val="auto"/>
        </w:rPr>
      </w:pPr>
    </w:p>
    <w:p>
      <w:pPr>
        <w:jc w:val="both"/>
        <w:ind w:firstLine="255"/>
        <w:spacing w:after="0" w:line="218" w:lineRule="auto"/>
        <w:rPr>
          <w:sz w:val="20"/>
          <w:szCs w:val="20"/>
          <w:color w:val="auto"/>
        </w:rPr>
      </w:pPr>
      <w:r>
        <w:rPr>
          <w:rFonts w:ascii="Arial" w:cs="Arial" w:eastAsia="Arial" w:hAnsi="Arial"/>
          <w:sz w:val="14"/>
          <w:szCs w:val="14"/>
          <w:color w:val="auto"/>
        </w:rPr>
        <w:t>We received two composition patents related to our LifeVantage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care products, which were tested in an independent third-party clinical study and shown to reduce the visible signs of aging by utilizing Nrf2 technology to mitigate the visible effects of skin damage caused by oxidative stress. Our LifeVantage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care products leverage our research on Nrf2 activation and oxidative stress.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TrueScience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Hair Care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sell a full line of hair care products under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which consists of:</w:t>
      </w:r>
    </w:p>
    <w:p>
      <w:pPr>
        <w:spacing w:after="0" w:line="70"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Invigorating Shampoo: </w:t>
      </w:r>
      <w:r>
        <w:rPr>
          <w:rFonts w:ascii="Arial" w:cs="Arial" w:eastAsia="Arial" w:hAnsi="Arial"/>
          <w:sz w:val="14"/>
          <w:szCs w:val="14"/>
          <w:color w:val="auto"/>
        </w:rPr>
        <w:t>Mild surfactant and added amino acid blend that cleans hair without drying out the scalp.</w:t>
      </w:r>
    </w:p>
    <w:p>
      <w:pPr>
        <w:spacing w:after="0" w:line="7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Nourishing Conditioner: </w:t>
      </w:r>
      <w:r>
        <w:rPr>
          <w:rFonts w:ascii="Arial" w:cs="Arial" w:eastAsia="Arial" w:hAnsi="Arial"/>
          <w:sz w:val="14"/>
          <w:szCs w:val="14"/>
          <w:color w:val="auto"/>
        </w:rPr>
        <w:t>Deeply nourishing weightless conditioner that helps hair feel soft and smooth and look fuller and thicker.</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Scalp Serum: </w:t>
      </w:r>
      <w:r>
        <w:rPr>
          <w:rFonts w:ascii="Arial" w:cs="Arial" w:eastAsia="Arial" w:hAnsi="Arial"/>
          <w:sz w:val="14"/>
          <w:szCs w:val="14"/>
          <w:color w:val="auto"/>
        </w:rPr>
        <w:t>A serum that nourishes the scalp to support normal hair growth while soothing all scalp types.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TrueScience</w:t>
      </w:r>
      <w:r>
        <w:rPr>
          <w:rFonts w:ascii="Arial" w:cs="Arial" w:eastAsia="Arial" w:hAnsi="Arial"/>
          <w:sz w:val="18"/>
          <w:szCs w:val="18"/>
          <w:b w:val="1"/>
          <w:bCs w:val="1"/>
          <w:i w:val="1"/>
          <w:iCs w:val="1"/>
          <w:color w:val="auto"/>
          <w:vertAlign w:val="superscript"/>
        </w:rPr>
        <w:t>®</w:t>
      </w:r>
      <w:r>
        <w:rPr>
          <w:rFonts w:ascii="Arial" w:cs="Arial" w:eastAsia="Arial" w:hAnsi="Arial"/>
          <w:sz w:val="14"/>
          <w:szCs w:val="14"/>
          <w:b w:val="1"/>
          <w:bCs w:val="1"/>
          <w:i w:val="1"/>
          <w:iCs w:val="1"/>
          <w:color w:val="auto"/>
        </w:rPr>
        <w:t xml:space="preserve"> Personal Care</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sell a full line of bath &amp; body and targeted relief products under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brand, which consists of:</w:t>
      </w: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50" w:right="459" w:bottom="1440" w:gutter="0" w:footer="0" w:header="0"/>
        </w:sectPr>
      </w:pPr>
    </w:p>
    <w:bookmarkStart w:id="11" w:name="page12"/>
    <w:bookmarkEnd w:id="11"/>
    <w:p>
      <w:pPr>
        <w:ind w:left="520" w:right="380" w:hanging="260"/>
        <w:spacing w:after="0" w:line="232"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Body Lotion: </w:t>
      </w:r>
      <w:r>
        <w:rPr>
          <w:rFonts w:ascii="Arial" w:cs="Arial" w:eastAsia="Arial" w:hAnsi="Arial"/>
          <w:sz w:val="14"/>
          <w:szCs w:val="14"/>
          <w:color w:val="auto"/>
        </w:rPr>
        <w:t>A lightweight formula that delivers nourishing hydration from rich emollients like mango seed butter and chia seed, prevents visible signs of aging with a</w:t>
      </w:r>
      <w:r>
        <w:rPr>
          <w:rFonts w:ascii="Arial" w:cs="Arial" w:eastAsia="Arial" w:hAnsi="Arial"/>
          <w:sz w:val="14"/>
          <w:szCs w:val="14"/>
          <w:b w:val="1"/>
          <w:bCs w:val="1"/>
          <w:color w:val="auto"/>
        </w:rPr>
        <w:t xml:space="preserve"> </w:t>
      </w:r>
      <w:r>
        <w:rPr>
          <w:rFonts w:ascii="Arial" w:cs="Arial" w:eastAsia="Arial" w:hAnsi="Arial"/>
          <w:sz w:val="14"/>
          <w:szCs w:val="14"/>
          <w:color w:val="auto"/>
        </w:rPr>
        <w:t>postbiotic blend, and shields the skin from environmental assaults with Dragon’s Blood resin.</w:t>
      </w:r>
    </w:p>
    <w:p>
      <w:pPr>
        <w:spacing w:after="0" w:line="92" w:lineRule="exact"/>
        <w:rPr>
          <w:rFonts w:ascii="Arial" w:cs="Arial" w:eastAsia="Arial" w:hAnsi="Arial"/>
          <w:sz w:val="14"/>
          <w:szCs w:val="14"/>
          <w:color w:val="auto"/>
        </w:rPr>
      </w:pPr>
    </w:p>
    <w:p>
      <w:pPr>
        <w:ind w:left="520" w:right="60" w:hanging="260"/>
        <w:spacing w:after="0" w:line="23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Body Wash: </w:t>
      </w:r>
      <w:r>
        <w:rPr>
          <w:rFonts w:ascii="Arial" w:cs="Arial" w:eastAsia="Arial" w:hAnsi="Arial"/>
          <w:sz w:val="14"/>
          <w:szCs w:val="14"/>
          <w:color w:val="auto"/>
        </w:rPr>
        <w:t>A body wash that hydrates and protects the skin with luxurious manuka honey, cleanses with a fruit acid exfoliant, and supports the skin’s natural resilience with</w:t>
      </w:r>
      <w:r>
        <w:rPr>
          <w:rFonts w:ascii="Arial" w:cs="Arial" w:eastAsia="Arial" w:hAnsi="Arial"/>
          <w:sz w:val="14"/>
          <w:szCs w:val="14"/>
          <w:b w:val="1"/>
          <w:bCs w:val="1"/>
          <w:color w:val="auto"/>
        </w:rPr>
        <w:t xml:space="preserve"> </w:t>
      </w:r>
      <w:r>
        <w:rPr>
          <w:rFonts w:ascii="Arial" w:cs="Arial" w:eastAsia="Arial" w:hAnsi="Arial"/>
          <w:sz w:val="14"/>
          <w:szCs w:val="14"/>
          <w:color w:val="auto"/>
        </w:rPr>
        <w:t>a unique adaptogen complex that includes Siberian ginseng, chaga mushroom and spikemoss.</w:t>
      </w:r>
    </w:p>
    <w:p>
      <w:pPr>
        <w:spacing w:after="0" w:line="101" w:lineRule="exact"/>
        <w:rPr>
          <w:rFonts w:ascii="Arial" w:cs="Arial" w:eastAsia="Arial" w:hAnsi="Arial"/>
          <w:sz w:val="14"/>
          <w:szCs w:val="14"/>
          <w:color w:val="auto"/>
        </w:rPr>
      </w:pPr>
    </w:p>
    <w:p>
      <w:pPr>
        <w:ind w:left="520" w:right="220" w:hanging="260"/>
        <w:spacing w:after="0" w:line="238"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Body Butter: </w:t>
      </w:r>
      <w:r>
        <w:rPr>
          <w:rFonts w:ascii="Arial" w:cs="Arial" w:eastAsia="Arial" w:hAnsi="Arial"/>
          <w:sz w:val="14"/>
          <w:szCs w:val="14"/>
          <w:color w:val="auto"/>
        </w:rPr>
        <w:t>A body butter loaded with rich, deep penetrating emollients like mistletoe and cloudberry that provide immediate and lasting relief for dry, distressed skin, it</w:t>
      </w:r>
      <w:r>
        <w:rPr>
          <w:rFonts w:ascii="Arial" w:cs="Arial" w:eastAsia="Arial" w:hAnsi="Arial"/>
          <w:sz w:val="14"/>
          <w:szCs w:val="14"/>
          <w:b w:val="1"/>
          <w:bCs w:val="1"/>
          <w:color w:val="auto"/>
        </w:rPr>
        <w:t xml:space="preserve"> </w:t>
      </w:r>
      <w:r>
        <w:rPr>
          <w:rFonts w:ascii="Arial" w:cs="Arial" w:eastAsia="Arial" w:hAnsi="Arial"/>
          <w:sz w:val="14"/>
          <w:szCs w:val="14"/>
          <w:color w:val="auto"/>
        </w:rPr>
        <w:t>also combines nourishing oils from oat, olive, chia and amaranth seeds that leave the skin looking and feeling healthy and soft. Enhanced with broad-spectrum CBD-enhanced Nrf2 ingredients to protect the skin against the visible effects of free radical damage.</w:t>
      </w:r>
    </w:p>
    <w:p>
      <w:pPr>
        <w:spacing w:after="0" w:line="101" w:lineRule="exact"/>
        <w:rPr>
          <w:rFonts w:ascii="Arial" w:cs="Arial" w:eastAsia="Arial" w:hAnsi="Arial"/>
          <w:sz w:val="14"/>
          <w:szCs w:val="14"/>
          <w:color w:val="auto"/>
        </w:rPr>
      </w:pPr>
    </w:p>
    <w:p>
      <w:pPr>
        <w:ind w:left="520" w:right="200" w:hanging="260"/>
        <w:spacing w:after="0" w:line="238"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Deodorant: </w:t>
      </w:r>
      <w:r>
        <w:rPr>
          <w:rFonts w:ascii="Arial" w:cs="Arial" w:eastAsia="Arial" w:hAnsi="Arial"/>
          <w:sz w:val="14"/>
          <w:szCs w:val="14"/>
          <w:color w:val="auto"/>
        </w:rPr>
        <w:t>A deodorant with live fermented enzymes that break down sweat molecules and effectively fight both odor and wetness to address the issue at the source.</w:t>
      </w:r>
      <w:r>
        <w:rPr>
          <w:rFonts w:ascii="Arial" w:cs="Arial" w:eastAsia="Arial" w:hAnsi="Arial"/>
          <w:sz w:val="14"/>
          <w:szCs w:val="14"/>
          <w:b w:val="1"/>
          <w:bCs w:val="1"/>
          <w:color w:val="auto"/>
        </w:rPr>
        <w:t xml:space="preserve"> </w:t>
      </w:r>
      <w:r>
        <w:rPr>
          <w:rFonts w:ascii="Arial" w:cs="Arial" w:eastAsia="Arial" w:hAnsi="Arial"/>
          <w:sz w:val="14"/>
          <w:szCs w:val="14"/>
          <w:color w:val="auto"/>
        </w:rPr>
        <w:t>Hyaluronic acid aids in lowering the skin’s pH under the arm, which helps create an environment where odor-causing bacteria are less prone to flourish. Enriched with passionflower fruit extract, aloe, and CBD-enhanced Nrf2 ingredients, the gentle formula soothes and nourishes underarm skin.</w:t>
      </w:r>
    </w:p>
    <w:p>
      <w:pPr>
        <w:spacing w:after="0" w:line="93" w:lineRule="exact"/>
        <w:rPr>
          <w:rFonts w:ascii="Arial" w:cs="Arial" w:eastAsia="Arial" w:hAnsi="Arial"/>
          <w:sz w:val="14"/>
          <w:szCs w:val="14"/>
          <w:color w:val="auto"/>
        </w:rPr>
      </w:pPr>
    </w:p>
    <w:p>
      <w:pPr>
        <w:ind w:left="520" w:right="80" w:hanging="260"/>
        <w:spacing w:after="0" w:line="230"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Soothing Balm: </w:t>
      </w:r>
      <w:r>
        <w:rPr>
          <w:rFonts w:ascii="Arial" w:cs="Arial" w:eastAsia="Arial" w:hAnsi="Arial"/>
          <w:sz w:val="14"/>
          <w:szCs w:val="14"/>
          <w:color w:val="auto"/>
        </w:rPr>
        <w:t>A balm with lipid-rich emollients from a blend of four nourishing seed oils, beeswax, and shea and mango butters create a do-it-all, ultra-intensive balm that</w:t>
      </w:r>
      <w:r>
        <w:rPr>
          <w:rFonts w:ascii="Arial" w:cs="Arial" w:eastAsia="Arial" w:hAnsi="Arial"/>
          <w:sz w:val="14"/>
          <w:szCs w:val="14"/>
          <w:b w:val="1"/>
          <w:bCs w:val="1"/>
          <w:color w:val="auto"/>
        </w:rPr>
        <w:t xml:space="preserve"> </w:t>
      </w:r>
      <w:r>
        <w:rPr>
          <w:rFonts w:ascii="Arial" w:cs="Arial" w:eastAsia="Arial" w:hAnsi="Arial"/>
          <w:sz w:val="14"/>
          <w:szCs w:val="14"/>
          <w:color w:val="auto"/>
        </w:rPr>
        <w:t>leaves skin soft, soothes away stress, and cools with invigorating camphor, eucalyptus, and spearmint.</w:t>
      </w:r>
    </w:p>
    <w:p>
      <w:pPr>
        <w:spacing w:after="0" w:line="101" w:lineRule="exact"/>
        <w:rPr>
          <w:rFonts w:ascii="Arial" w:cs="Arial" w:eastAsia="Arial" w:hAnsi="Arial"/>
          <w:sz w:val="14"/>
          <w:szCs w:val="14"/>
          <w:color w:val="auto"/>
        </w:rPr>
      </w:pPr>
    </w:p>
    <w:p>
      <w:pPr>
        <w:ind w:left="520" w:right="60" w:hanging="260"/>
        <w:spacing w:after="0" w:line="232"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TrueScience</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Body Rub: </w:t>
      </w:r>
      <w:r>
        <w:rPr>
          <w:rFonts w:ascii="Arial" w:cs="Arial" w:eastAsia="Arial" w:hAnsi="Arial"/>
          <w:sz w:val="14"/>
          <w:szCs w:val="14"/>
          <w:color w:val="auto"/>
        </w:rPr>
        <w:t>A body rub that offers a soothing cool-down for post workout—and post workday—muscles. CBD-enhanced Nrf2 ingredients give the body a boost of tranquility</w:t>
      </w:r>
      <w:r>
        <w:rPr>
          <w:rFonts w:ascii="Arial" w:cs="Arial" w:eastAsia="Arial" w:hAnsi="Arial"/>
          <w:sz w:val="14"/>
          <w:szCs w:val="14"/>
          <w:b w:val="1"/>
          <w:bCs w:val="1"/>
          <w:color w:val="auto"/>
        </w:rPr>
        <w:t xml:space="preserve"> </w:t>
      </w:r>
      <w:r>
        <w:rPr>
          <w:rFonts w:ascii="Arial" w:cs="Arial" w:eastAsia="Arial" w:hAnsi="Arial"/>
          <w:sz w:val="14"/>
          <w:szCs w:val="14"/>
          <w:color w:val="auto"/>
        </w:rPr>
        <w:t>with a cooling sensation.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Petandim</w:t>
      </w:r>
      <w:r>
        <w:rPr>
          <w:rFonts w:ascii="Arial" w:cs="Arial" w:eastAsia="Arial" w:hAnsi="Arial"/>
          <w:sz w:val="18"/>
          <w:szCs w:val="18"/>
          <w:b w:val="1"/>
          <w:bCs w:val="1"/>
          <w:i w:val="1"/>
          <w:iCs w:val="1"/>
          <w:color w:val="auto"/>
          <w:vertAlign w:val="superscript"/>
        </w:rPr>
        <w:t>®</w:t>
      </w:r>
    </w:p>
    <w:p>
      <w:pPr>
        <w:spacing w:after="0" w:line="74" w:lineRule="exact"/>
        <w:rPr>
          <w:sz w:val="20"/>
          <w:szCs w:val="20"/>
          <w:color w:val="auto"/>
        </w:rPr>
      </w:pPr>
    </w:p>
    <w:p>
      <w:pPr>
        <w:ind w:right="360" w:firstLine="255"/>
        <w:spacing w:after="0" w:line="267" w:lineRule="auto"/>
        <w:rPr>
          <w:sz w:val="20"/>
          <w:szCs w:val="20"/>
          <w:color w:val="auto"/>
        </w:rPr>
      </w:pPr>
      <w:r>
        <w:rPr>
          <w:rFonts w:ascii="Arial" w:cs="Arial" w:eastAsia="Arial" w:hAnsi="Arial"/>
          <w:sz w:val="13"/>
          <w:szCs w:val="13"/>
          <w:color w:val="auto"/>
        </w:rPr>
        <w:t>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is a supplement specially formulated to combat oxidative stress in dogs through Nrf2 activation. 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builds upon the active ingredients in Protandim</w:t>
      </w:r>
      <w:r>
        <w:rPr>
          <w:rFonts w:ascii="Arial" w:cs="Arial" w:eastAsia="Arial" w:hAnsi="Arial"/>
          <w:sz w:val="17"/>
          <w:szCs w:val="17"/>
          <w:b w:val="1"/>
          <w:bCs w:val="1"/>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 reduce oxidative stress and support joint function, mobility and flexibility in dogs. Petandim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received the Quality Seal from the National Animal Supplement Council.</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Axio</w:t>
      </w:r>
      <w:r>
        <w:rPr>
          <w:rFonts w:ascii="Arial" w:cs="Arial" w:eastAsia="Arial" w:hAnsi="Arial"/>
          <w:sz w:val="18"/>
          <w:szCs w:val="18"/>
          <w:b w:val="1"/>
          <w:bCs w:val="1"/>
          <w:i w:val="1"/>
          <w:iCs w:val="1"/>
          <w:color w:val="auto"/>
          <w:vertAlign w:val="superscript"/>
        </w:rPr>
        <w:t>®</w:t>
      </w:r>
    </w:p>
    <w:p>
      <w:pPr>
        <w:spacing w:after="0" w:line="79" w:lineRule="exact"/>
        <w:rPr>
          <w:sz w:val="20"/>
          <w:szCs w:val="20"/>
          <w:color w:val="auto"/>
        </w:rPr>
      </w:pPr>
    </w:p>
    <w:p>
      <w:pPr>
        <w:ind w:right="520" w:firstLine="255"/>
        <w:spacing w:after="0" w:line="236" w:lineRule="auto"/>
        <w:rPr>
          <w:sz w:val="20"/>
          <w:szCs w:val="20"/>
          <w:color w:val="auto"/>
        </w:rPr>
      </w:pPr>
      <w:r>
        <w:rPr>
          <w:rFonts w:ascii="Arial" w:cs="Arial" w:eastAsia="Arial" w:hAnsi="Arial"/>
          <w:sz w:val="14"/>
          <w:szCs w:val="14"/>
          <w:color w:val="auto"/>
        </w:rPr>
        <w:t>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our line of energy drink mixes, formulated as a nootropic to promote alertness and support mental performance. These energy drink powders deliver sustained energy, as well as improved mental focus and promote a positive mood. 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derived from a unique combination of scientifically validated ingredients.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Stacking</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synergy from nutrigenomic products to promote a healthier life.</w:t>
      </w:r>
    </w:p>
    <w:p>
      <w:pPr>
        <w:spacing w:after="0" w:line="84" w:lineRule="exact"/>
        <w:rPr>
          <w:sz w:val="20"/>
          <w:szCs w:val="20"/>
          <w:color w:val="auto"/>
        </w:rPr>
      </w:pPr>
    </w:p>
    <w:p>
      <w:pPr>
        <w:ind w:firstLine="255"/>
        <w:spacing w:after="0" w:line="229" w:lineRule="auto"/>
        <w:rPr>
          <w:sz w:val="20"/>
          <w:szCs w:val="20"/>
          <w:color w:val="auto"/>
        </w:rPr>
      </w:pPr>
      <w:r>
        <w:rPr>
          <w:rFonts w:ascii="Arial" w:cs="Arial" w:eastAsia="Arial" w:hAnsi="Arial"/>
          <w:sz w:val="13"/>
          <w:szCs w:val="13"/>
          <w:color w:val="auto"/>
        </w:rPr>
        <w:t>The Vitality Stack includes four of our nutrigenomics products —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NRF1 Synergizer</w:t>
      </w:r>
      <w:r>
        <w:rPr>
          <w:rFonts w:ascii="Arial" w:cs="Arial" w:eastAsia="Arial" w:hAnsi="Arial"/>
          <w:sz w:val="17"/>
          <w:szCs w:val="17"/>
          <w:color w:val="auto"/>
          <w:vertAlign w:val="superscript"/>
        </w:rPr>
        <w:t>®</w:t>
      </w:r>
      <w:r>
        <w:rPr>
          <w:rFonts w:ascii="Arial" w:cs="Arial" w:eastAsia="Arial" w:hAnsi="Arial"/>
          <w:sz w:val="13"/>
          <w:szCs w:val="13"/>
          <w:color w:val="auto"/>
        </w:rPr>
        <w:t>,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Omega+ and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ProBio. This product stack was designed to provide a foundation for wellness, supporting healthy organs, including the brain, heart, eyes, and other vitals. With the Ultimate Stack, we added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PhysIQ</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Prebiotic to our Vitality Stack to support gut health and increase sirtuin activity, supporting increased health, focus, energy, mental clarity and mood.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Tri-Synergizer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consists of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NRF1 Synergizer</w:t>
      </w:r>
      <w:r>
        <w:rPr>
          <w:rFonts w:ascii="Arial" w:cs="Arial" w:eastAsia="Arial" w:hAnsi="Arial"/>
          <w:sz w:val="17"/>
          <w:szCs w:val="17"/>
          <w:color w:val="auto"/>
          <w:vertAlign w:val="superscript"/>
        </w:rPr>
        <w:t>®</w:t>
      </w:r>
      <w:r>
        <w:rPr>
          <w:rFonts w:ascii="Arial" w:cs="Arial" w:eastAsia="Arial" w:hAnsi="Arial"/>
          <w:sz w:val="13"/>
          <w:szCs w:val="13"/>
          <w:color w:val="auto"/>
        </w:rPr>
        <w:t>,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NAD Synergizer</w:t>
      </w:r>
      <w:r>
        <w:rPr>
          <w:rFonts w:ascii="Arial" w:cs="Arial" w:eastAsia="Arial" w:hAnsi="Arial"/>
          <w:sz w:val="17"/>
          <w:szCs w:val="17"/>
          <w:color w:val="auto"/>
          <w:vertAlign w:val="superscript"/>
        </w:rPr>
        <w:t>®</w:t>
      </w:r>
      <w:r>
        <w:rPr>
          <w:rFonts w:ascii="Arial" w:cs="Arial" w:eastAsia="Arial" w:hAnsi="Arial"/>
          <w:sz w:val="13"/>
          <w:szCs w:val="13"/>
          <w:color w:val="auto"/>
        </w:rPr>
        <w:t>, and was designed to effectively and synergistically reduce oxidative stress, support mitochondria function, increase sirtuin activity, and target cell signaling pathways to fight the effects of aging. We also offer stacks that directly support the following consumer needs: immune support, heart health, energy, well-being, eye health, cognition and memory, metabolism, gut health, skin care, and hair care.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 of Products</w:t>
      </w:r>
    </w:p>
    <w:p>
      <w:pPr>
        <w:spacing w:after="0" w:line="129" w:lineRule="exact"/>
        <w:rPr>
          <w:sz w:val="20"/>
          <w:szCs w:val="20"/>
          <w:color w:val="auto"/>
        </w:rPr>
      </w:pPr>
    </w:p>
    <w:p>
      <w:pPr>
        <w:jc w:val="both"/>
        <w:ind w:right="20" w:firstLine="255"/>
        <w:spacing w:after="0" w:line="267" w:lineRule="auto"/>
        <w:rPr>
          <w:sz w:val="20"/>
          <w:szCs w:val="20"/>
          <w:color w:val="auto"/>
        </w:rPr>
      </w:pPr>
      <w:r>
        <w:rPr>
          <w:rFonts w:ascii="Arial" w:cs="Arial" w:eastAsia="Arial" w:hAnsi="Arial"/>
          <w:sz w:val="14"/>
          <w:szCs w:val="14"/>
          <w:color w:val="auto"/>
        </w:rPr>
        <w:t>We believe our products are well suited for distributor to customer sales through our direct selling model. This model allows our independent distributors to educate our customers regarding the benefits of our unique products more thoroughly than other business models. Our direct selling model also allows our independent distributors to offer personalized customer service to our customers and encourage regular use of our products.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Product Return Policy</w:t>
      </w:r>
    </w:p>
    <w:p>
      <w:pPr>
        <w:spacing w:after="0" w:line="119" w:lineRule="exact"/>
        <w:rPr>
          <w:sz w:val="20"/>
          <w:szCs w:val="20"/>
          <w:color w:val="auto"/>
        </w:rPr>
      </w:pPr>
    </w:p>
    <w:p>
      <w:pPr>
        <w:ind w:right="240" w:firstLine="255"/>
        <w:spacing w:after="0" w:line="331" w:lineRule="auto"/>
        <w:rPr>
          <w:sz w:val="20"/>
          <w:szCs w:val="20"/>
          <w:color w:val="auto"/>
        </w:rPr>
      </w:pPr>
      <w:r>
        <w:rPr>
          <w:rFonts w:ascii="Arial" w:cs="Arial" w:eastAsia="Arial" w:hAnsi="Arial"/>
          <w:sz w:val="12"/>
          <w:szCs w:val="12"/>
          <w:color w:val="auto"/>
        </w:rPr>
        <w:t>All products purchased directly from us include a product guarantee. Subject to some exceptions based on local regulations, we will accept returns of opened and unopened product within 30 days of purchase for a full refund of the purchase price. In addition, our product return program allows independent distributors to return certain unopened, unexpired product for a refund of the purchase price less a 10% restocking fee and any paid commissions. The amount of inventory we will repurchase from an independent distributor is subject to specified policies and procedures.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generally categorize accounts as either independent distributors or customers, both of which may be consumers of our products.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 Distributors</w:t>
      </w:r>
    </w:p>
    <w:p>
      <w:pPr>
        <w:spacing w:after="0" w:line="129" w:lineRule="exact"/>
        <w:rPr>
          <w:sz w:val="20"/>
          <w:szCs w:val="20"/>
          <w:color w:val="auto"/>
        </w:rPr>
      </w:pPr>
    </w:p>
    <w:p>
      <w:pPr>
        <w:ind w:firstLine="255"/>
        <w:spacing w:after="0" w:line="313" w:lineRule="auto"/>
        <w:rPr>
          <w:sz w:val="20"/>
          <w:szCs w:val="20"/>
          <w:color w:val="auto"/>
        </w:rPr>
      </w:pPr>
      <w:r>
        <w:rPr>
          <w:rFonts w:ascii="Arial" w:cs="Arial" w:eastAsia="Arial" w:hAnsi="Arial"/>
          <w:sz w:val="12"/>
          <w:szCs w:val="12"/>
          <w:color w:val="auto"/>
        </w:rPr>
        <w:t>An independent distributor in our company is an independent contractor who participates in our direct sales opportunity by enrolling through the independent distributor contract process and selling our products. Independent distributors may purchase our products and sell them to others either directly or through our company. We believe our independent distributors are typically entrepreneurs, who believe in our products and desire to earn income through sales commissions and by building their own distributorship business. Many of our independent distributors are attracted by the opportunity to sell unique, scientifically-validated products without incurring significant start-up costs. Independent distributors sign a contract with us that includes a requirement that they adhere to strict policies and procedures. Independent distributors may purchase product from us for individual and family consumption and for demonstrations, samples and retailing opportunities.</w:t>
      </w:r>
    </w:p>
    <w:p>
      <w:pPr>
        <w:spacing w:after="0" w:line="66"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While we provide support, product samples, brochures, magazines, the LifeVantage app and other sales and marketing materials, independent distributors are primarily responsible for their sales to customers and for attracting, enrolling and educating new independent distributors about the benefits of our products and sales compensation plan. An independent distributor creates multiple levels of compensation by selling our products and enrolling new independent distributors who sell our products. These newly enrolled independent distributors form a “downline” for the independent distributor who enrolled them. If downline independent distributors enroll new independent distributors or customers who purchase our products, they create additional levels of compensation and their downline independent distributors remain in the same downline network as the original enrolling independent distributor. We pay commissions only upon the sale of our products. We do not pay commissions for enrolling independent distributors.</w:t>
      </w:r>
    </w:p>
    <w:p>
      <w:pPr>
        <w:spacing w:after="0" w:line="86"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We define “active independent distributors” as those independent distributors who have purchased product from us for retail sales or personal consumption during the prior three months. We had approximately 63,000 active independent distributors as of each of the fiscal years ended June 30, 2022 and 2021.</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Independent Distributor Compensation</w:t>
      </w:r>
    </w:p>
    <w:p>
      <w:pPr>
        <w:spacing w:after="0" w:line="129"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We believe our sales compensation plan is one of the more financially rewarding in the direct selling industry. Our percentage of sales paid to independent distributors as sales compensation and incentives is one of the highest percentages reported in the direct selling industry. Some elements of our sales compensation plan are paid daily, to eligible distributors, and others are paid weekly or monthly. We believe this gives us a competitive advantage and helps retain new distributors by allowing them to receive some sales commissions in a more timely manner from their sales efforts. Our sales compensation plan is intended to appeal to a broad cross-section of people, including those seeking to supplement family income, start a home-based business or pursue entrepreneurial opportunities full- or part-time. Our independent distributors earn sales commissions on product sales to their personally enrolled customers and independent distributors and the product sales to customers and independent distributors within their sales organization, or "downline." Our independent distributors can also earn money by purchasing product from us and selling that product to others at their chosen retail price. We pay sales commissions in the local currency of the independent distributor’s home country.</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Independent Distributor Motivation and Training</w:t>
      </w:r>
    </w:p>
    <w:p>
      <w:pPr>
        <w:spacing w:after="0" w:line="129" w:lineRule="exact"/>
        <w:rPr>
          <w:sz w:val="20"/>
          <w:szCs w:val="20"/>
          <w:color w:val="auto"/>
        </w:rPr>
      </w:pPr>
    </w:p>
    <w:p>
      <w:pPr>
        <w:ind w:right="220" w:firstLine="255"/>
        <w:spacing w:after="0" w:line="321" w:lineRule="auto"/>
        <w:rPr>
          <w:sz w:val="20"/>
          <w:szCs w:val="20"/>
          <w:color w:val="auto"/>
        </w:rPr>
      </w:pPr>
      <w:r>
        <w:rPr>
          <w:rFonts w:ascii="Arial" w:cs="Arial" w:eastAsia="Arial" w:hAnsi="Arial"/>
          <w:sz w:val="13"/>
          <w:szCs w:val="13"/>
          <w:color w:val="auto"/>
        </w:rPr>
        <w:t>Our revenue depends in part on the sales success and productivity of our independent distributors. We provide tools, training and technology designed to increase our independent distributors' sales productivity and increase their potential for sales success. We offer training and business development opportunities to our independent distributors, including the following:</w:t>
      </w:r>
    </w:p>
    <w:p>
      <w:pPr>
        <w:spacing w:after="0" w:line="56"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Playbook</w:t>
      </w:r>
      <w:r>
        <w:rPr>
          <w:rFonts w:ascii="Arial" w:cs="Arial" w:eastAsia="Arial" w:hAnsi="Arial"/>
          <w:sz w:val="14"/>
          <w:szCs w:val="14"/>
          <w:color w:val="auto"/>
        </w:rPr>
        <w:t>: Professionally-designed training materials independent distributors can utilize in their sales efforts;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u w:val="single" w:color="auto"/>
          <w:color w:val="auto"/>
        </w:rPr>
        <w:t>Digital Training</w:t>
      </w:r>
      <w:r>
        <w:rPr>
          <w:rFonts w:ascii="Arial" w:cs="Arial" w:eastAsia="Arial" w:hAnsi="Arial"/>
          <w:sz w:val="14"/>
          <w:szCs w:val="14"/>
          <w:color w:val="auto"/>
        </w:rPr>
        <w:t>: Our digital audio series presented by our independent distributor leaders provides training and tips on becoming more sales productive distributors;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13" w:name="page14"/>
    <w:bookmarkEnd w:id="13"/>
    <w:p>
      <w:pPr>
        <w:ind w:left="520" w:right="6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Elite Academy, Global Convention, and Other Company-Sponsored Training</w:t>
      </w:r>
      <w:r>
        <w:rPr>
          <w:rFonts w:ascii="Arial" w:cs="Arial" w:eastAsia="Arial" w:hAnsi="Arial"/>
          <w:sz w:val="14"/>
          <w:szCs w:val="14"/>
          <w:color w:val="auto"/>
        </w:rPr>
        <w:t>: We hold regularly occurring live and virtual company-sponsored events intended to provide sales training and motivation to our independent distributors, in addition to twice-weekly virtual distributor trainings;</w:t>
      </w:r>
    </w:p>
    <w:p>
      <w:pPr>
        <w:spacing w:after="0" w:line="68"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u w:val="single" w:color="auto"/>
          <w:color w:val="auto"/>
        </w:rPr>
        <w:t>Promotions and Incentive Trips</w:t>
      </w:r>
      <w:r>
        <w:rPr>
          <w:rFonts w:ascii="Arial" w:cs="Arial" w:eastAsia="Arial" w:hAnsi="Arial"/>
          <w:sz w:val="14"/>
          <w:szCs w:val="14"/>
          <w:color w:val="auto"/>
        </w:rPr>
        <w:t>: We hold special sales promotions and incentive trips from time to time in order to motivate our independent distributors to accomplish specific sales goals; and</w:t>
      </w:r>
    </w:p>
    <w:p>
      <w:pPr>
        <w:spacing w:after="0" w:line="79" w:lineRule="exact"/>
        <w:rPr>
          <w:rFonts w:ascii="Arial" w:cs="Arial" w:eastAsia="Arial" w:hAnsi="Arial"/>
          <w:sz w:val="14"/>
          <w:szCs w:val="14"/>
          <w:color w:val="auto"/>
        </w:rPr>
      </w:pPr>
    </w:p>
    <w:p>
      <w:pPr>
        <w:ind w:left="520" w:right="20" w:hanging="260"/>
        <w:spacing w:after="0" w:line="321" w:lineRule="auto"/>
        <w:tabs>
          <w:tab w:leader="none" w:pos="516" w:val="left"/>
        </w:tabs>
        <w:numPr>
          <w:ilvl w:val="0"/>
          <w:numId w:val="14"/>
        </w:numPr>
        <w:rPr>
          <w:rFonts w:ascii="Arial" w:cs="Arial" w:eastAsia="Arial" w:hAnsi="Arial"/>
          <w:sz w:val="13"/>
          <w:szCs w:val="13"/>
          <w:color w:val="auto"/>
        </w:rPr>
      </w:pPr>
      <w:r>
        <w:rPr>
          <w:rFonts w:ascii="Arial" w:cs="Arial" w:eastAsia="Arial" w:hAnsi="Arial"/>
          <w:sz w:val="13"/>
          <w:szCs w:val="13"/>
          <w:u w:val="single" w:color="auto"/>
          <w:color w:val="auto"/>
        </w:rPr>
        <w:t>Mobile Application</w:t>
      </w:r>
      <w:r>
        <w:rPr>
          <w:rFonts w:ascii="Arial" w:cs="Arial" w:eastAsia="Arial" w:hAnsi="Arial"/>
          <w:sz w:val="13"/>
          <w:szCs w:val="13"/>
          <w:color w:val="auto"/>
        </w:rPr>
        <w:t>: The LifeVantage app was designed to allow users to conduct any aspect of their business on a single platform from anywhere in the world. Ultimately, through artificial intelligence and machine learning, we expect that the app will be able to guide users on what to share, when to share it, and with whom to maximize their sales potential.</w:t>
      </w:r>
    </w:p>
    <w:p>
      <w:pPr>
        <w:spacing w:after="0" w:line="56" w:lineRule="exact"/>
        <w:rPr>
          <w:sz w:val="20"/>
          <w:szCs w:val="20"/>
          <w:color w:val="auto"/>
        </w:rPr>
      </w:pPr>
    </w:p>
    <w:p>
      <w:pPr>
        <w:ind w:left="260" w:right="1500"/>
        <w:spacing w:after="0" w:line="419" w:lineRule="auto"/>
        <w:rPr>
          <w:sz w:val="20"/>
          <w:szCs w:val="20"/>
          <w:color w:val="auto"/>
        </w:rPr>
      </w:pPr>
      <w:r>
        <w:rPr>
          <w:rFonts w:ascii="Arial" w:cs="Arial" w:eastAsia="Arial" w:hAnsi="Arial"/>
          <w:sz w:val="14"/>
          <w:szCs w:val="14"/>
          <w:color w:val="auto"/>
        </w:rPr>
        <w:t xml:space="preserve">We are continuing to evaluate new ways in which to incorporate new technology and sales training opportunities to improve distributor sales success and commissions. </w:t>
      </w:r>
      <w:r>
        <w:rPr>
          <w:rFonts w:ascii="Arial" w:cs="Arial" w:eastAsia="Arial" w:hAnsi="Arial"/>
          <w:sz w:val="14"/>
          <w:szCs w:val="14"/>
          <w:b w:val="1"/>
          <w:bCs w:val="1"/>
          <w:color w:val="auto"/>
        </w:rPr>
        <w:t>Distributor Compliance Activities</w:t>
      </w:r>
    </w:p>
    <w:p>
      <w:pPr>
        <w:ind w:firstLine="255"/>
        <w:spacing w:after="0" w:line="297" w:lineRule="auto"/>
        <w:rPr>
          <w:sz w:val="20"/>
          <w:szCs w:val="20"/>
          <w:color w:val="auto"/>
        </w:rPr>
      </w:pPr>
      <w:r>
        <w:rPr>
          <w:rFonts w:ascii="Arial" w:cs="Arial" w:eastAsia="Arial" w:hAnsi="Arial"/>
          <w:sz w:val="13"/>
          <w:szCs w:val="13"/>
          <w:color w:val="auto"/>
        </w:rPr>
        <w:t>Given that our independent distributors are independent contractors, we do not control or direct their promotional efforts. We do, however, require that our independent distributors abide by policies and procedures that require them to act in an ethical manner and in compliance with applicable laws and regulations. As a member of the United States Direct Selling Association and similar organizations in many of the markets where we do business, we are also subject to the ethical business practices and consumer service standards required by the industry's code of ethics.</w:t>
      </w:r>
    </w:p>
    <w:p>
      <w:pPr>
        <w:spacing w:after="0" w:line="71"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Independent distributors represent to us that their receipt of sales commissions is based on their product sales and by product sales of other LifeVantage distributors in their personal marketing organization. We must produce or pre-approve all sales aids used by distributors, such as brochures and online materials. Products may be promoted only through sales materials produced or approved by us. Independent distributors may not use our trademarks or other intellectual property without our written consent.</w:t>
      </w:r>
    </w:p>
    <w:p>
      <w:pPr>
        <w:spacing w:after="0" w:line="78" w:lineRule="exact"/>
        <w:rPr>
          <w:sz w:val="20"/>
          <w:szCs w:val="20"/>
          <w:color w:val="auto"/>
        </w:rPr>
      </w:pPr>
    </w:p>
    <w:p>
      <w:pPr>
        <w:ind w:right="140" w:firstLine="255"/>
        <w:spacing w:after="0" w:line="284" w:lineRule="auto"/>
        <w:rPr>
          <w:sz w:val="20"/>
          <w:szCs w:val="20"/>
          <w:color w:val="auto"/>
        </w:rPr>
      </w:pPr>
      <w:r>
        <w:rPr>
          <w:rFonts w:ascii="Arial" w:cs="Arial" w:eastAsia="Arial" w:hAnsi="Arial"/>
          <w:sz w:val="13"/>
          <w:szCs w:val="13"/>
          <w:color w:val="auto"/>
        </w:rPr>
        <w:t>We monitor and systematically review alleged distributor misbehavior through our internal distributor compliance department. If we determine one of our independent distributors has violated any of our policies and procedures, we first attempt to educate, but may discipline or terminate the distributor’s rights to sell or distribute our products when appropriate. When necessary, we have brought legal action against distributors, or former distributors, to enforce our policies and procedures. Short of termination or legal action, and in addition to educating, we may impose sanctions against distributors whose actions are in violation of our policies and procedures. Such sanctions may include warnings, probation, withdrawal or denial of an award, suspension of privileges of a distributorship, fines and/or withholding of commissions until specified conditions are satisfied, or other appropriate injunctive relief.</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2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Customers purchase products directly from us at either our non-subscription (list) pricing for one-time purchases or our subscription price on a monthly subscription basis for personal consumption, without the ability to resell or earn commissions from the purchase or sale of such products. A customer may decide to enroll as an independent distributor at any time if they become interested in selling the product. We believe our customers are a great source of word-of-mouth advertising for our products. We also believe our large base of customers validates the health benefits of our products.</w:t>
      </w:r>
    </w:p>
    <w:p>
      <w:pPr>
        <w:spacing w:after="0" w:line="82"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We define an “active customer” as a customer who has purchased product from us within the prior three months. As of June 30, 2022 and 2021, we had approximately 93,000 and 107,000 active customers,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Our Products</w:t>
      </w:r>
    </w:p>
    <w:p>
      <w:pPr>
        <w:spacing w:after="0" w:line="129" w:lineRule="exact"/>
        <w:rPr>
          <w:sz w:val="20"/>
          <w:szCs w:val="20"/>
          <w:color w:val="auto"/>
        </w:rPr>
      </w:pPr>
    </w:p>
    <w:p>
      <w:pPr>
        <w:ind w:right="40" w:firstLine="255"/>
        <w:spacing w:after="0" w:line="321" w:lineRule="auto"/>
        <w:rPr>
          <w:sz w:val="20"/>
          <w:szCs w:val="20"/>
          <w:color w:val="auto"/>
        </w:rPr>
      </w:pPr>
      <w:r>
        <w:rPr>
          <w:rFonts w:ascii="Arial" w:cs="Arial" w:eastAsia="Arial" w:hAnsi="Arial"/>
          <w:sz w:val="13"/>
          <w:szCs w:val="13"/>
          <w:color w:val="auto"/>
        </w:rPr>
        <w:t>We accept orders for our products through our own website at www.lifevantage.com and through personalized websites we provide to our independent distributors, which we refer to as “Virtual Offices”. Orders placed through Virtual Offices and through our website are processed daily at our fulfillment centers, where orders are shipped directly to the consumer.</w:t>
      </w:r>
    </w:p>
    <w:p>
      <w:pPr>
        <w:spacing w:after="0" w:line="46" w:lineRule="exact"/>
        <w:rPr>
          <w:sz w:val="20"/>
          <w:szCs w:val="20"/>
          <w:color w:val="auto"/>
        </w:rPr>
      </w:pPr>
    </w:p>
    <w:p>
      <w:pPr>
        <w:ind w:right="80" w:firstLine="255"/>
        <w:spacing w:after="0" w:line="331" w:lineRule="auto"/>
        <w:rPr>
          <w:sz w:val="20"/>
          <w:szCs w:val="20"/>
          <w:color w:val="auto"/>
        </w:rPr>
      </w:pPr>
      <w:r>
        <w:rPr>
          <w:rFonts w:ascii="Arial" w:cs="Arial" w:eastAsia="Arial" w:hAnsi="Arial"/>
          <w:sz w:val="12"/>
          <w:szCs w:val="12"/>
          <w:color w:val="auto"/>
        </w:rPr>
        <w:t>We offer toll-free numbers for our independent distributors and our customers to order product or ask questions. Our customer service representatives assist customers in placing orders through our web order processing system, answering questions, tracking packages, and initiating refunds. The customer service representatives receive extensive training about our products and our direct selling business model. LifeVantage customers and independent distributors generally pay for products by credit card, prior to shipment, and as a result, we carry minimal accounts receivable.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0" w:right="379" w:bottom="1440" w:gutter="0" w:footer="0" w:header="0"/>
        </w:sectPr>
      </w:pPr>
    </w:p>
    <w:bookmarkStart w:id="14" w:name="page15"/>
    <w:bookmarkEnd w:id="14"/>
    <w:p>
      <w:pPr>
        <w:ind w:right="20" w:firstLine="255"/>
        <w:spacing w:after="0" w:line="297" w:lineRule="auto"/>
        <w:rPr>
          <w:sz w:val="20"/>
          <w:szCs w:val="20"/>
          <w:color w:val="auto"/>
        </w:rPr>
      </w:pPr>
      <w:r>
        <w:rPr>
          <w:rFonts w:ascii="Arial" w:cs="Arial" w:eastAsia="Arial" w:hAnsi="Arial"/>
          <w:sz w:val="13"/>
          <w:szCs w:val="13"/>
          <w:color w:val="auto"/>
        </w:rPr>
        <w:t>In addition to general economic factors, we are impacted by seasonal factors and trends such as major cultural events and vacation patterns. We believe that direct selling in the United States and Japan is also generally negatively impacted during our first fiscal quarter, from July 1 through September 30, when many individuals, including our independent distributors, traditionally take vacations. The timing and size of our training events and incentive trips can also cause revenue and expense to fluctuate in the periods that they are held.</w:t>
      </w:r>
    </w:p>
    <w:p>
      <w:pPr>
        <w:spacing w:after="0" w:line="60"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Although our product launch process may vary by market, we may introduce new products to our customers and independent distributors through limited-time offers and promotions. The limited-time offers and promotions typically generate significant activity and a high level of sales and purchasing, which may result in a higher than normal increase in revenue during the quarter of the limited-time offer and skew year-over-year and sequential comparisons. Similarly, company events for independent distributors typically generate a higher than normal increase in revenue. The timing of these events can also skew year-over-year and sequential comparisons.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Information</w:t>
      </w:r>
    </w:p>
    <w:p>
      <w:pPr>
        <w:spacing w:after="0" w:line="12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 In addition, we sell our products in China through our approved e-commerce business model. In fiscal year 2022, revenue generated in the United States accounted for approximately 63% of our total revenue and revenue generated from Japan accounted for approximately 18% of our total revenue. For reporting purposes, we generally divide our markets into two geographic regions: the Americas region and the Asia/Pacific &amp; Europe region. The following table sets forth net revenue information by region for the periods indicated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7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For the fiscal years ended June 30,</w:t>
            </w: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53"/>
        </w:trPr>
        <w:tc>
          <w:tcPr>
            <w:tcW w:w="37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1"/>
                <w:szCs w:val="11"/>
                <w:b w:val="1"/>
                <w:bCs w:val="1"/>
                <w:color w:val="auto"/>
              </w:rPr>
              <w:t>2022</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29"/>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29"/>
              <w:spacing w:after="0"/>
              <w:rPr>
                <w:sz w:val="20"/>
                <w:szCs w:val="20"/>
                <w:color w:val="auto"/>
              </w:rPr>
            </w:pPr>
            <w:r>
              <w:rPr>
                <w:rFonts w:ascii="Arial" w:cs="Arial" w:eastAsia="Arial" w:hAnsi="Arial"/>
                <w:sz w:val="11"/>
                <w:szCs w:val="11"/>
                <w:b w:val="1"/>
                <w:bCs w:val="1"/>
                <w:color w:val="auto"/>
                <w:w w:val="97"/>
              </w:rPr>
              <w:t>2020</w:t>
            </w:r>
          </w:p>
        </w:tc>
      </w:tr>
      <w:tr>
        <w:trPr>
          <w:trHeight w:val="177"/>
        </w:trPr>
        <w:tc>
          <w:tcPr>
            <w:tcW w:w="3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138,323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154,655</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70.2 %</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166,336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71.4 %</w:t>
            </w:r>
          </w:p>
        </w:tc>
      </w:tr>
      <w:tr>
        <w:trPr>
          <w:trHeight w:val="180"/>
        </w:trPr>
        <w:tc>
          <w:tcPr>
            <w:tcW w:w="3740" w:type="dxa"/>
            <w:vAlign w:val="bottom"/>
          </w:tcPr>
          <w:p>
            <w:pPr>
              <w:ind w:left="20"/>
              <w:spacing w:after="0"/>
              <w:rPr>
                <w:sz w:val="20"/>
                <w:szCs w:val="20"/>
                <w:color w:val="auto"/>
              </w:rPr>
            </w:pPr>
            <w:r>
              <w:rPr>
                <w:rFonts w:ascii="Arial" w:cs="Arial" w:eastAsia="Arial" w:hAnsi="Arial"/>
                <w:sz w:val="14"/>
                <w:szCs w:val="14"/>
                <w:color w:val="auto"/>
              </w:rPr>
              <w:t>Asia/Pacific &amp; Europe</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68,037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65,526</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29.8 %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66,579</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28.6 %</w:t>
            </w:r>
          </w:p>
        </w:tc>
      </w:tr>
      <w:tr>
        <w:trPr>
          <w:trHeight w:val="196"/>
        </w:trPr>
        <w:tc>
          <w:tcPr>
            <w:tcW w:w="37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960" w:firstLine="255"/>
        <w:spacing w:after="0" w:line="427" w:lineRule="auto"/>
        <w:rPr>
          <w:sz w:val="20"/>
          <w:szCs w:val="20"/>
          <w:color w:val="auto"/>
        </w:rPr>
      </w:pPr>
      <w:r>
        <w:rPr>
          <w:rFonts w:ascii="Arial" w:cs="Arial" w:eastAsia="Arial" w:hAnsi="Arial"/>
          <w:sz w:val="14"/>
          <w:szCs w:val="14"/>
          <w:color w:val="auto"/>
        </w:rPr>
        <w:t>Additional comparative revenue and related financial information is presented in the section captioned "</w:t>
      </w:r>
      <w:r>
        <w:rPr>
          <w:rFonts w:ascii="Arial" w:cs="Arial" w:eastAsia="Arial" w:hAnsi="Arial"/>
          <w:sz w:val="14"/>
          <w:szCs w:val="14"/>
          <w:i w:val="1"/>
          <w:iCs w:val="1"/>
          <w:color w:val="auto"/>
        </w:rPr>
        <w:t>Segment Information"</w:t>
      </w:r>
      <w:r>
        <w:rPr>
          <w:rFonts w:ascii="Arial" w:cs="Arial" w:eastAsia="Arial" w:hAnsi="Arial"/>
          <w:sz w:val="14"/>
          <w:szCs w:val="14"/>
          <w:color w:val="auto"/>
        </w:rPr>
        <w:t xml:space="preserve"> in Note 2 to our consolidated financial statements. </w:t>
      </w:r>
      <w:r>
        <w:rPr>
          <w:rFonts w:ascii="Arial" w:cs="Arial" w:eastAsia="Arial" w:hAnsi="Arial"/>
          <w:sz w:val="14"/>
          <w:szCs w:val="14"/>
          <w:b w:val="1"/>
          <w:bCs w:val="1"/>
          <w:color w:val="auto"/>
        </w:rPr>
        <w:t>Marketing</w:t>
      </w:r>
    </w:p>
    <w:p>
      <w:pPr>
        <w:ind w:firstLine="255"/>
        <w:spacing w:after="0" w:line="284" w:lineRule="auto"/>
        <w:rPr>
          <w:sz w:val="20"/>
          <w:szCs w:val="20"/>
          <w:color w:val="auto"/>
        </w:rPr>
      </w:pPr>
      <w:r>
        <w:rPr>
          <w:rFonts w:ascii="Arial" w:cs="Arial" w:eastAsia="Arial" w:hAnsi="Arial"/>
          <w:sz w:val="13"/>
          <w:szCs w:val="13"/>
          <w:color w:val="auto"/>
        </w:rPr>
        <w:t>We utilize our network of independent distributors located throughout the United States, Mexico, Japan, Australia, Hong Kong, Canada, Thailand, the United Kingdom, the Netherlands, Germany, Taiwan, Austria, Spain, Ireland, Belgium, New Zealand, Singapore, and the Philippines to market and sell our products. In addition, we utilize our network of in-country social marketers to market and sell our US products in China through our cross-border e-commerce business model. In addition, we have in-house sales, marketing, IT, and customer service groups dedicated to supporting our independent distributors. Support includes training and education, personalized assistance, in-person and digital events, recognition, incentives and promotions, digital and social media content, press coverage, regular communications, as well as a full suite of marketing assets, including content for their websites.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Raw Materials and Manufacturing</w:t>
      </w:r>
    </w:p>
    <w:p>
      <w:pPr>
        <w:spacing w:after="0" w:line="129" w:lineRule="exact"/>
        <w:rPr>
          <w:sz w:val="20"/>
          <w:szCs w:val="20"/>
          <w:color w:val="auto"/>
        </w:rPr>
      </w:pPr>
    </w:p>
    <w:p>
      <w:pPr>
        <w:ind w:right="140" w:firstLine="255"/>
        <w:spacing w:after="0" w:line="321" w:lineRule="auto"/>
        <w:rPr>
          <w:sz w:val="20"/>
          <w:szCs w:val="20"/>
          <w:color w:val="auto"/>
        </w:rPr>
      </w:pPr>
      <w:r>
        <w:rPr>
          <w:rFonts w:ascii="Arial" w:cs="Arial" w:eastAsia="Arial" w:hAnsi="Arial"/>
          <w:sz w:val="13"/>
          <w:szCs w:val="13"/>
          <w:color w:val="auto"/>
        </w:rPr>
        <w:t>We outsource the primary manufacturing, fulfillment, and shipping components of our business to third-party companies we believe possess a high degree of expertise. We believe outsourcing provides us access to advanced manufacturing process capabilities and expertise without incurring fixed costs associated with manufacturing our own products in house.</w:t>
      </w:r>
    </w:p>
    <w:p>
      <w:pPr>
        <w:spacing w:after="0" w:line="56"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We currently outsource the manufacture of our products to multiple third-party contract manufacturers. Our contract manufacturers have a legal obligation to comply with the current Good Manufacturing Practices regulations that are applicable to those who manufacture, package, label and hold dietary supplements and personal care products. Additionally, we are subject to regulations that, among other things, obligate us to know what and how manufacturing activities are performed so that we can make decisions related to whether the packaged and labeled product conforms to our established specifications and whether to approve and release product for distribution to consumers. We maintain and qualify alternative manufacturing options in order to keep our costs low, maintain the quality of our products, and prepare for unanticipated spikes in demand or manufacturing failure. Our contract manufacturers deliver products to our fulfillment centers based on our purchase orders.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15" w:name="page16"/>
    <w:bookmarkEnd w:id="15"/>
    <w:p>
      <w:pPr>
        <w:jc w:val="both"/>
        <w:ind w:firstLine="255"/>
        <w:spacing w:after="0" w:line="297" w:lineRule="auto"/>
        <w:rPr>
          <w:sz w:val="20"/>
          <w:szCs w:val="20"/>
          <w:color w:val="auto"/>
        </w:rPr>
      </w:pPr>
      <w:r>
        <w:rPr>
          <w:rFonts w:ascii="Arial" w:cs="Arial" w:eastAsia="Arial" w:hAnsi="Arial"/>
          <w:sz w:val="13"/>
          <w:szCs w:val="13"/>
          <w:color w:val="auto"/>
        </w:rPr>
        <w:t>We acquire raw materials for our products from third-party suppliers. Although we generally have good relationships with our suppliers, we believe we could replace any of our current suppliers without great difficulty or significant increase to our cost of goods sold. We also have ongoing relationships with secondary and tertiary suppliers. Please refer to "</w:t>
      </w:r>
      <w:r>
        <w:rPr>
          <w:rFonts w:ascii="Arial" w:cs="Arial" w:eastAsia="Arial" w:hAnsi="Arial"/>
          <w:sz w:val="13"/>
          <w:szCs w:val="13"/>
          <w:i w:val="1"/>
          <w:iCs w:val="1"/>
          <w:color w:val="auto"/>
        </w:rPr>
        <w:t>Risk Factors - High quality material</w:t>
      </w:r>
      <w:r>
        <w:rPr>
          <w:rFonts w:ascii="Arial" w:cs="Arial" w:eastAsia="Arial" w:hAnsi="Arial"/>
          <w:sz w:val="13"/>
          <w:szCs w:val="13"/>
          <w:color w:val="auto"/>
        </w:rPr>
        <w:t xml:space="preserve"> </w:t>
      </w:r>
      <w:r>
        <w:rPr>
          <w:rFonts w:ascii="Arial" w:cs="Arial" w:eastAsia="Arial" w:hAnsi="Arial"/>
          <w:sz w:val="13"/>
          <w:szCs w:val="13"/>
          <w:i w:val="1"/>
          <w:iCs w:val="1"/>
          <w:color w:val="auto"/>
        </w:rPr>
        <w:t>for our products may be difficult to obtain or expensive</w:t>
      </w:r>
      <w:r>
        <w:rPr>
          <w:rFonts w:ascii="Arial" w:cs="Arial" w:eastAsia="Arial" w:hAnsi="Arial"/>
          <w:sz w:val="13"/>
          <w:szCs w:val="13"/>
          <w:color w:val="auto"/>
        </w:rPr>
        <w:t>" for a discussion of the risks and uncertainties associated with our sourcing of raw materials.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Liability and Other Insurance</w:t>
      </w:r>
    </w:p>
    <w:p>
      <w:pPr>
        <w:spacing w:after="0" w:line="129" w:lineRule="exact"/>
        <w:rPr>
          <w:sz w:val="20"/>
          <w:szCs w:val="20"/>
          <w:color w:val="auto"/>
        </w:rPr>
      </w:pPr>
    </w:p>
    <w:p>
      <w:pPr>
        <w:ind w:right="280" w:firstLine="255"/>
        <w:spacing w:after="0" w:line="321" w:lineRule="auto"/>
        <w:rPr>
          <w:sz w:val="20"/>
          <w:szCs w:val="20"/>
          <w:color w:val="auto"/>
        </w:rPr>
      </w:pPr>
      <w:r>
        <w:rPr>
          <w:rFonts w:ascii="Arial" w:cs="Arial" w:eastAsia="Arial" w:hAnsi="Arial"/>
          <w:sz w:val="13"/>
          <w:szCs w:val="13"/>
          <w:color w:val="auto"/>
        </w:rPr>
        <w:t>We have product liability insurance coverage for our products that we believe is adequate for our needs. We also maintain commercial property and liability coverage, directors’ and officers’ liability insurance, workers compensation coverage and cyber information security risk insurance policies as well as foreign and other miscellaneous coverage.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19" w:lineRule="exact"/>
        <w:rPr>
          <w:sz w:val="20"/>
          <w:szCs w:val="20"/>
          <w:color w:val="auto"/>
        </w:rPr>
      </w:pPr>
    </w:p>
    <w:p>
      <w:pPr>
        <w:ind w:right="360" w:firstLine="255"/>
        <w:spacing w:after="0" w:line="281" w:lineRule="auto"/>
        <w:rPr>
          <w:sz w:val="20"/>
          <w:szCs w:val="20"/>
          <w:color w:val="auto"/>
        </w:rPr>
      </w:pPr>
      <w:r>
        <w:rPr>
          <w:rFonts w:ascii="Arial" w:cs="Arial" w:eastAsia="Arial" w:hAnsi="Arial"/>
          <w:sz w:val="14"/>
          <w:szCs w:val="14"/>
          <w:color w:val="auto"/>
        </w:rPr>
        <w:t>We use commercially reasonable efforts to protect our intellectual property through patent protection, trademarks and trade secrets, licensed rights and contractual protections, and intend to continue to develop a strong brand identity for our company and our products.</w:t>
      </w:r>
    </w:p>
    <w:p>
      <w:pPr>
        <w:spacing w:after="0" w:line="74" w:lineRule="exact"/>
        <w:rPr>
          <w:sz w:val="20"/>
          <w:szCs w:val="20"/>
          <w:color w:val="auto"/>
        </w:rPr>
      </w:pPr>
    </w:p>
    <w:p>
      <w:pPr>
        <w:ind w:right="20" w:firstLine="255"/>
        <w:spacing w:after="0" w:line="234" w:lineRule="auto"/>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proprietary, patented dietary supplement formulation for enhancing antioxidant enzymes including superoxide dismutase and catalase. The patents and patent applications protecting its formulations are held by LifeVantage Corporation or our wholly-owned subsidiary, Lifeline Nutraceuticals Corporation. Our intellectual property is covered, in part, by many issued U.S. patents. Our patents and patent applications claim the benefit of priority of multiple U.S. provisional patent applications, the earliest of which was filed on March 23, 2004, and relate to compositions, methods of use, and methods of manufacture of various compositions, including those embodied by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formulation. The expected duration of our patent protection via some granted patents for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at least through approximately March 2025 and we continue to research and file new composition and method patents in the U.S. for enhanced and improved product formulations that will extend our patent protection for a variety of product formulations and methods. During fiscal year 2018, we received other patents for personal care or skin care products. These patents expire approximately February 2036. In fiscal year 2021, we filed additional U.S. patents that, if granted, will protect the combined effects and synergistic benefits of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Nrf1 Synergizer</w:t>
      </w:r>
      <w:r>
        <w:rPr>
          <w:rFonts w:ascii="Arial" w:cs="Arial" w:eastAsia="Arial" w:hAnsi="Arial"/>
          <w:sz w:val="18"/>
          <w:szCs w:val="18"/>
          <w:color w:val="auto"/>
          <w:vertAlign w:val="superscript"/>
        </w:rPr>
        <w:t>®</w:t>
      </w:r>
      <w:r>
        <w:rPr>
          <w:rFonts w:ascii="Arial" w:cs="Arial" w:eastAsia="Arial" w:hAnsi="Arial"/>
          <w:sz w:val="14"/>
          <w:szCs w:val="14"/>
          <w:color w:val="auto"/>
        </w:rPr>
        <w:t>;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NAD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when these three products (also called the Tri-Synergizer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pack) are used together.</w:t>
      </w:r>
    </w:p>
    <w:p>
      <w:pPr>
        <w:spacing w:after="0" w:line="53" w:lineRule="exact"/>
        <w:rPr>
          <w:sz w:val="20"/>
          <w:szCs w:val="20"/>
          <w:color w:val="auto"/>
        </w:rPr>
      </w:pPr>
    </w:p>
    <w:p>
      <w:pPr>
        <w:jc w:val="both"/>
        <w:ind w:right="20" w:firstLine="255"/>
        <w:spacing w:after="0" w:line="218" w:lineRule="auto"/>
        <w:rPr>
          <w:sz w:val="20"/>
          <w:szCs w:val="20"/>
          <w:color w:val="auto"/>
        </w:rPr>
      </w:pPr>
      <w:r>
        <w:rPr>
          <w:rFonts w:ascii="Arial" w:cs="Arial" w:eastAsia="Arial" w:hAnsi="Arial"/>
          <w:sz w:val="14"/>
          <w:szCs w:val="14"/>
          <w:color w:val="auto"/>
        </w:rPr>
        <w:t>We continue to protect our products and brands using trademarks. We have filed and successfully procured registered trademarks for our key brands consisting of Protandim</w:t>
      </w:r>
      <w:r>
        <w:rPr>
          <w:rFonts w:ascii="Arial" w:cs="Arial" w:eastAsia="Arial" w:hAnsi="Arial"/>
          <w:sz w:val="18"/>
          <w:szCs w:val="18"/>
          <w:color w:val="auto"/>
          <w:vertAlign w:val="superscript"/>
        </w:rPr>
        <w:t>®</w:t>
      </w:r>
      <w:r>
        <w:rPr>
          <w:rFonts w:ascii="Arial" w:cs="Arial" w:eastAsia="Arial" w:hAnsi="Arial"/>
          <w:sz w:val="14"/>
          <w:szCs w:val="14"/>
          <w:color w:val="auto"/>
        </w:rPr>
        <w:t>, LifeVantage</w:t>
      </w:r>
      <w:r>
        <w:rPr>
          <w:rFonts w:ascii="Arial" w:cs="Arial" w:eastAsia="Arial" w:hAnsi="Arial"/>
          <w:sz w:val="18"/>
          <w:szCs w:val="18"/>
          <w:color w:val="auto"/>
          <w:vertAlign w:val="superscript"/>
        </w:rPr>
        <w:t>®</w:t>
      </w:r>
      <w:r>
        <w:rPr>
          <w:rFonts w:ascii="Arial" w:cs="Arial" w:eastAsia="Arial" w:hAnsi="Arial"/>
          <w:sz w:val="14"/>
          <w:szCs w:val="14"/>
          <w:color w:val="auto"/>
        </w:rPr>
        <w:t>,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many countries around the world, and we have pending trademark applications for these and other marks in many other countries. We anticipate seeking protection in other countries, as we deem appropriate.</w:t>
      </w:r>
    </w:p>
    <w:p>
      <w:pPr>
        <w:spacing w:after="0" w:line="98" w:lineRule="exact"/>
        <w:rPr>
          <w:sz w:val="20"/>
          <w:szCs w:val="20"/>
          <w:color w:val="auto"/>
        </w:rPr>
      </w:pPr>
    </w:p>
    <w:p>
      <w:pPr>
        <w:ind w:right="240" w:firstLine="255"/>
        <w:spacing w:after="0" w:line="368" w:lineRule="auto"/>
        <w:rPr>
          <w:sz w:val="20"/>
          <w:szCs w:val="20"/>
          <w:color w:val="auto"/>
        </w:rPr>
      </w:pPr>
      <w:r>
        <w:rPr>
          <w:rFonts w:ascii="Arial" w:cs="Arial" w:eastAsia="Arial" w:hAnsi="Arial"/>
          <w:sz w:val="12"/>
          <w:szCs w:val="12"/>
          <w:color w:val="auto"/>
        </w:rPr>
        <w:t>In order to protect the confidentiality of our intellectual property, including trade secrets, know-how and other proprietary technical and business information, it is our policy to limit access to such information to those who require access in order to perform their functions and to enter into agreements with employees, consultants and vendors to contractually protect such information.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 Selling Companies</w:t>
      </w:r>
    </w:p>
    <w:p>
      <w:pPr>
        <w:spacing w:after="0" w:line="115"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compete with other direct selling companies, many of which have longer operating histories and greater visibility, name recognition and financial resources than we do. We also compete with newer direct selling companies that may attempt to solicit our distributors by offering the possibility of a more financially rewarding opportunity or by being among the company's early distributor base. We compete for new distributors with these companies on the basis of our business opportunity, product offerings, sales compensation plan, management and our operations. In order to successfully compete in the direct selling industry and attract and retain quality distributors, we must maintain the attractiveness of our business opportunity, product offerings and sales compensation plan.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Dietary Supplement Market</w:t>
      </w:r>
    </w:p>
    <w:p>
      <w:pPr>
        <w:spacing w:after="0" w:line="125" w:lineRule="exact"/>
        <w:rPr>
          <w:sz w:val="20"/>
          <w:szCs w:val="20"/>
          <w:color w:val="auto"/>
        </w:rPr>
      </w:pPr>
    </w:p>
    <w:p>
      <w:pPr>
        <w:ind w:right="160" w:firstLine="255"/>
        <w:spacing w:after="0" w:line="288" w:lineRule="auto"/>
        <w:rPr>
          <w:sz w:val="20"/>
          <w:szCs w:val="20"/>
          <w:color w:val="auto"/>
        </w:rPr>
      </w:pPr>
      <w:r>
        <w:rPr>
          <w:rFonts w:ascii="Arial" w:cs="Arial" w:eastAsia="Arial" w:hAnsi="Arial"/>
          <w:sz w:val="13"/>
          <w:szCs w:val="13"/>
          <w:color w:val="auto"/>
        </w:rPr>
        <w:t>We compete with other companies that sell dietary supplements. We believe the dietary supplement market is highly fragmented and competitive. We believe competition in the dietary supplement market is based primarily on quality, price, efficacy of products, brand name and recognition of product benefits. In the dietary supplement industry, our competition includes numerous nutritional supplement companies, pharmaceutical companies and packaged food and beverage companies. Many of these companies have broader product lines, larger sales volumes and greater financial resources than we do. Additionally, some of these companies are able to compete more effectively due to greater vertical integration. Increased</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competition in the dietary supplement market could have a material adverse effect on our results of operations and financial condition.</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Nrf2 Activators</w:t>
      </w:r>
    </w:p>
    <w:p>
      <w:pPr>
        <w:spacing w:after="0" w:line="129"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In the last few years we have seen the number of products marketed as Nrf2 activators increase. We anticipate the number of products that claim to activate Nrf2 will continue to increase as the technology becomes more popular and more broadly accepted.</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Direct Antioxidants</w:t>
      </w:r>
    </w:p>
    <w:p>
      <w:pPr>
        <w:spacing w:after="0" w:line="119" w:lineRule="exact"/>
        <w:rPr>
          <w:sz w:val="20"/>
          <w:szCs w:val="20"/>
          <w:color w:val="auto"/>
        </w:rPr>
      </w:pPr>
    </w:p>
    <w:p>
      <w:pPr>
        <w:ind w:right="40" w:firstLine="255"/>
        <w:spacing w:after="0" w:line="224" w:lineRule="auto"/>
        <w:rPr>
          <w:sz w:val="20"/>
          <w:szCs w:val="20"/>
          <w:color w:val="auto"/>
        </w:rPr>
      </w:pPr>
      <w:r>
        <w:rPr>
          <w:rFonts w:ascii="Arial" w:cs="Arial" w:eastAsia="Arial" w:hAnsi="Arial"/>
          <w:sz w:val="13"/>
          <w:szCs w:val="13"/>
          <w:color w:val="auto"/>
        </w:rPr>
        <w:t>Vitamin C, Vitamin E, other vitamin/mineral antioxidants, and other sources of externally derived antioxidants may be considered competitors of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but they are mechanistically distinct from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These other sources of antioxidants do not increase the body’s elimination of oxidants using internal antioxidant enzymes. Our research indicates that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increases production of anti-fibrotic gene products including antioxidant enzymes, such as superoxide dismutase and catalase, within the cells of the body. We believe that the body’s internally produced antioxidant enzymes provide a better defense against oxidative stress than externally derived sources of antioxidants.</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Oral Superoxide Dismutase and Catalase</w:t>
      </w:r>
    </w:p>
    <w:p>
      <w:pPr>
        <w:spacing w:after="0" w:line="125" w:lineRule="exact"/>
        <w:rPr>
          <w:sz w:val="20"/>
          <w:szCs w:val="20"/>
          <w:color w:val="auto"/>
        </w:rPr>
      </w:pPr>
    </w:p>
    <w:p>
      <w:pPr>
        <w:ind w:firstLine="255"/>
        <w:spacing w:after="0" w:line="223" w:lineRule="auto"/>
        <w:rPr>
          <w:sz w:val="20"/>
          <w:szCs w:val="20"/>
          <w:color w:val="auto"/>
        </w:rPr>
      </w:pPr>
      <w:r>
        <w:rPr>
          <w:rFonts w:ascii="Arial" w:cs="Arial" w:eastAsia="Arial" w:hAnsi="Arial"/>
          <w:sz w:val="14"/>
          <w:szCs w:val="14"/>
          <w:color w:val="auto"/>
        </w:rPr>
        <w:t>There are many companies performing research into antioxidants. Several companies sell oral forms of superoxide dismutase and catalase. Although we believe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a superior alternative to oral forms of superoxide dismutase and catalase, these products do compete with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the marketplace. We anticipate additional companies will likely develop, purchase or in-license products that are competitive with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Omega Fatty Acid Products</w:t>
      </w:r>
    </w:p>
    <w:p>
      <w:pPr>
        <w:spacing w:after="0" w:line="125" w:lineRule="exact"/>
        <w:rPr>
          <w:sz w:val="20"/>
          <w:szCs w:val="20"/>
          <w:color w:val="auto"/>
        </w:rPr>
      </w:pPr>
    </w:p>
    <w:p>
      <w:pPr>
        <w:ind w:right="40" w:firstLine="255"/>
        <w:spacing w:after="0" w:line="236" w:lineRule="auto"/>
        <w:rPr>
          <w:sz w:val="20"/>
          <w:szCs w:val="20"/>
          <w:color w:val="auto"/>
        </w:rPr>
      </w:pPr>
      <w:r>
        <w:rPr>
          <w:rFonts w:ascii="Arial" w:cs="Arial" w:eastAsia="Arial" w:hAnsi="Arial"/>
          <w:sz w:val="14"/>
          <w:szCs w:val="14"/>
          <w:color w:val="auto"/>
        </w:rPr>
        <w:t>There are many companies that market Omega supplements, including Omega-3. Although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contains a unique combination of DHA and EPA Omega-3 fatty acids, Omega-7 fatty acids, and Vitamin D3, we anticipate additional companies will likely develop products that are competitive with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Probiotic Products</w:t>
      </w:r>
    </w:p>
    <w:p>
      <w:pPr>
        <w:spacing w:after="0" w:line="119" w:lineRule="exact"/>
        <w:rPr>
          <w:sz w:val="20"/>
          <w:szCs w:val="20"/>
          <w:color w:val="auto"/>
        </w:rPr>
      </w:pPr>
    </w:p>
    <w:p>
      <w:pPr>
        <w:ind w:right="60" w:firstLine="255"/>
        <w:spacing w:after="0" w:line="228" w:lineRule="auto"/>
        <w:rPr>
          <w:sz w:val="20"/>
          <w:szCs w:val="20"/>
          <w:color w:val="auto"/>
        </w:rPr>
      </w:pPr>
      <w:r>
        <w:rPr>
          <w:rFonts w:ascii="Arial" w:cs="Arial" w:eastAsia="Arial" w:hAnsi="Arial"/>
          <w:sz w:val="14"/>
          <w:szCs w:val="14"/>
          <w:color w:val="auto"/>
        </w:rPr>
        <w:t>There are many companies that market probiotic supplements and we anticipate additional companies will likely continue to develop products that are competitive with our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ProBio supplement.</w:t>
      </w:r>
    </w:p>
    <w:p>
      <w:pPr>
        <w:spacing w:after="0" w:line="10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Eye Health Products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There are many companies that market eye health supplements and we anticipate additional companies will likely continue to develop products that are competitive with our IC Bright</w:t>
      </w:r>
      <w:r>
        <w:rPr>
          <w:rFonts w:ascii="Arial" w:cs="Arial" w:eastAsia="Arial" w:hAnsi="Arial"/>
          <w:sz w:val="17"/>
          <w:szCs w:val="17"/>
          <w:color w:val="auto"/>
          <w:vertAlign w:val="superscript"/>
        </w:rPr>
        <w:t>®</w:t>
      </w:r>
      <w:r>
        <w:rPr>
          <w:rFonts w:ascii="Arial" w:cs="Arial" w:eastAsia="Arial" w:hAnsi="Arial"/>
          <w:sz w:val="13"/>
          <w:szCs w:val="13"/>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Personal Skin Care Market</w:t>
      </w:r>
    </w:p>
    <w:p>
      <w:pPr>
        <w:spacing w:after="0" w:line="115" w:lineRule="exact"/>
        <w:rPr>
          <w:sz w:val="20"/>
          <w:szCs w:val="20"/>
          <w:color w:val="auto"/>
        </w:rPr>
      </w:pPr>
    </w:p>
    <w:p>
      <w:pPr>
        <w:ind w:firstLine="255"/>
        <w:spacing w:after="0" w:line="261" w:lineRule="auto"/>
        <w:rPr>
          <w:sz w:val="20"/>
          <w:szCs w:val="20"/>
          <w:color w:val="auto"/>
        </w:rPr>
      </w:pPr>
      <w:r>
        <w:rPr>
          <w:rFonts w:ascii="Arial" w:cs="Arial" w:eastAsia="Arial" w:hAnsi="Arial"/>
          <w:sz w:val="13"/>
          <w:szCs w:val="13"/>
          <w:color w:val="auto"/>
        </w:rPr>
        <w:t>In the personal skin care market, we compete principally with large, well-known cosmetics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Nrf2 and CBD enhanced skin and personal care products. We also now compete in the growing global liquid collagen market and believe we can compete with our triple action formula that has been shown to deliver visible results in only 30 days as it activates, replenishes and maintains collagen levels. Our product is a unique blend featuring sustainably sourced, hydrolyzed fish collagen that delivers 10 different types of peptides – significantly more than most competitive products – plus a unique red quinoa extract that has been shown to up regulate genes associated with collagen production and down regulate those that produce enzymes that break down collagen.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Personal Hair Care Market</w:t>
      </w:r>
    </w:p>
    <w:p>
      <w:pPr>
        <w:spacing w:after="0" w:line="125"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In the personal hair care market, we compete principally with large, well-known hair care companies that manufacture and sell broad product lines through retail establishments. Many of these competitors have greater financial resources and brand recognition than we do. We believe, however, we can compete with these larger companies by leveraging our direct selling model and emphasizing our unique, science-based hair care products.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i w:val="1"/>
          <w:iCs w:val="1"/>
          <w:color w:val="auto"/>
        </w:rPr>
        <w:t>Animal Supplement Market</w:t>
      </w:r>
    </w:p>
    <w:p>
      <w:pPr>
        <w:spacing w:after="0" w:line="115"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We compete principally with large, well-known companies in the animal supplement market. Most of the companies we compete with in the animal supplement market have broad distribution channels that include retail establishments. Many of these competitors have greater financial resources and brand recognition than we do. We believe, however, we can compete with these larger companies by leveraging our direct selling model and emphasizing our unique, science-based animal supplement product.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Energy Drink Market</w:t>
      </w:r>
    </w:p>
    <w:p>
      <w:pPr>
        <w:spacing w:after="0" w:line="125" w:lineRule="exact"/>
        <w:rPr>
          <w:sz w:val="20"/>
          <w:szCs w:val="20"/>
          <w:color w:val="auto"/>
        </w:rPr>
      </w:pPr>
    </w:p>
    <w:p>
      <w:pPr>
        <w:ind w:right="120" w:firstLine="255"/>
        <w:spacing w:after="0" w:line="329" w:lineRule="auto"/>
        <w:rPr>
          <w:sz w:val="20"/>
          <w:szCs w:val="20"/>
          <w:color w:val="auto"/>
        </w:rPr>
      </w:pPr>
      <w:r>
        <w:rPr>
          <w:rFonts w:ascii="Arial" w:cs="Arial" w:eastAsia="Arial" w:hAnsi="Arial"/>
          <w:sz w:val="12"/>
          <w:szCs w:val="12"/>
          <w:color w:val="auto"/>
        </w:rPr>
        <w:t>We compete with large, well-known companies in the energy drink market. Most of the companies we compete with in the energy drink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energy drink product. 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no sugar, low-carbohydrate and low-calorie energy drink that is also non-GMO, gluten-free and vegan.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Weight Management Market</w:t>
      </w:r>
    </w:p>
    <w:p>
      <w:pPr>
        <w:spacing w:after="0" w:line="125"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We compete with large, well-known companies in the weight management market. Most of the companies we compete with in the weight management market have broad distribution channels that include big box retail establishments. Many of these competitors have greater financial resources and brand recognition than we do. We intend to compete with these larger companies by leveraging our direct selling model and emphasizing our unique, science-based weight management products.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Environment</w:t>
      </w:r>
    </w:p>
    <w:p>
      <w:pPr>
        <w:spacing w:after="0" w:line="119"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The formulation, manufacturing, packaging, labeling, and advertising of our products in the United States are subject to regulation by the Food and Drug Administration, or FDA, and the Federal Trade Commission, or FTC, as well as comparable state laws.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FDA Regulations and DSHEA</w:t>
      </w:r>
    </w:p>
    <w:p>
      <w:pPr>
        <w:spacing w:after="0" w:line="121" w:lineRule="exact"/>
        <w:rPr>
          <w:sz w:val="20"/>
          <w:szCs w:val="20"/>
          <w:color w:val="auto"/>
        </w:rPr>
      </w:pPr>
    </w:p>
    <w:p>
      <w:pPr>
        <w:ind w:right="20" w:firstLine="255"/>
        <w:spacing w:after="0" w:line="263" w:lineRule="auto"/>
        <w:rPr>
          <w:sz w:val="20"/>
          <w:szCs w:val="20"/>
          <w:color w:val="auto"/>
        </w:rPr>
      </w:pPr>
      <w:r>
        <w:rPr>
          <w:rFonts w:ascii="Arial" w:cs="Arial" w:eastAsia="Arial" w:hAnsi="Arial"/>
          <w:sz w:val="13"/>
          <w:szCs w:val="13"/>
          <w:color w:val="auto"/>
        </w:rPr>
        <w:t>We market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products as “dietary supplements” as defined in the Dietary Supplement Health and Education Act of 1994, or DSHEA. DSHEA is intended to promote access to safe, quality dietary supplements, and information about dietary supplements. DSHEA established a new framework governing the composition and labeling of dietary supplements. DSHEA does not apply to animal supplements like Petandim</w:t>
      </w:r>
      <w:r>
        <w:rPr>
          <w:rFonts w:ascii="Arial" w:cs="Arial" w:eastAsia="Arial" w:hAnsi="Arial"/>
          <w:sz w:val="17"/>
          <w:szCs w:val="17"/>
          <w:color w:val="auto"/>
          <w:vertAlign w:val="superscript"/>
        </w:rPr>
        <w:t>®</w:t>
      </w:r>
      <w:r>
        <w:rPr>
          <w:rFonts w:ascii="Arial" w:cs="Arial" w:eastAsia="Arial" w:hAnsi="Arial"/>
          <w:sz w:val="13"/>
          <w:szCs w:val="13"/>
          <w:color w:val="auto"/>
        </w:rPr>
        <w:t>. We are not required to obtain FDA pre-market approval to sell our products in the United States under current laws.</w:t>
      </w:r>
    </w:p>
    <w:p>
      <w:pPr>
        <w:spacing w:after="0" w:line="28"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DSHEA permits statements of nutritional support, called “structure-function” statements, to be included in labeling for dietary supplements without FDA marketing approval. Such statements may claim a benefit related to a classical nutrient deficiency disease and disclose the prevalence of such disease in the United States, describe the role of a nutrient or dietary ingredient intended to affect the structure or function in humans, characterize the documented mechanism by which a nutrient or dietary ingredient acts to maintain such structure or function, or describe general well-being from consumption of a nutrient or dietary ingredient. Such statements may not expressly or impliedly claim that a dietary supplement is intended to diagnose, cure, mitigate, treat, or prevent a disease. A company that uses a structure-function statement in labeling must possess evidence substantiating that the statement is truthful and not misleading and is supported by competent and reliable scientific evidence.</w:t>
      </w:r>
    </w:p>
    <w:p>
      <w:pPr>
        <w:spacing w:after="0" w:line="97"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The FDA may assert that a particular structure-function statement that a company is using is an illegal claim; that assertion, normally, is in the form of a warning letter to that company. We have a duty to send to the FDA a notice that lists each new structure-function statement made by us; we are obligated to send that notice within 30 days after the first marketing of a supplement with such a statement.</w:t>
      </w:r>
    </w:p>
    <w:p>
      <w:pPr>
        <w:spacing w:after="0" w:line="89" w:lineRule="exact"/>
        <w:rPr>
          <w:sz w:val="20"/>
          <w:szCs w:val="20"/>
          <w:color w:val="auto"/>
        </w:rPr>
      </w:pPr>
    </w:p>
    <w:p>
      <w:pPr>
        <w:ind w:right="300" w:firstLine="255"/>
        <w:spacing w:after="0" w:line="267" w:lineRule="auto"/>
        <w:rPr>
          <w:sz w:val="20"/>
          <w:szCs w:val="20"/>
          <w:color w:val="auto"/>
        </w:rPr>
      </w:pPr>
      <w:r>
        <w:rPr>
          <w:rFonts w:ascii="Arial" w:cs="Arial" w:eastAsia="Arial" w:hAnsi="Arial"/>
          <w:sz w:val="14"/>
          <w:szCs w:val="14"/>
          <w:color w:val="auto"/>
        </w:rPr>
        <w:t>DSHEA also permits certain scientific literature, for example a reprint of a peer-reviewed scientific publication, to be used in connection with the sale of a dietary supplement to consumers without the literature being subject to regulation as labeling. However, such literature must not be false or misleading, the literature may not promote a particular manufacturer or brand of dietary supplement and it must include a balanced view of the available scientific information on the subject matter, among other requirements.</w:t>
      </w:r>
    </w:p>
    <w:p>
      <w:pPr>
        <w:spacing w:after="0" w:line="78" w:lineRule="exact"/>
        <w:rPr>
          <w:sz w:val="20"/>
          <w:szCs w:val="20"/>
          <w:color w:val="auto"/>
        </w:rPr>
      </w:pPr>
    </w:p>
    <w:p>
      <w:pPr>
        <w:ind w:right="40" w:firstLine="255"/>
        <w:spacing w:after="0" w:line="245" w:lineRule="auto"/>
        <w:rPr>
          <w:sz w:val="20"/>
          <w:szCs w:val="20"/>
          <w:color w:val="auto"/>
        </w:rPr>
      </w:pPr>
      <w:r>
        <w:rPr>
          <w:rFonts w:ascii="Arial" w:cs="Arial" w:eastAsia="Arial" w:hAnsi="Arial"/>
          <w:sz w:val="14"/>
          <w:szCs w:val="14"/>
          <w:color w:val="auto"/>
        </w:rPr>
        <w:t>The FDA's Center for Veterinary Medicine, or CVM, is responsible for enforcing the portion of the Federal Food, Drug, and Cosmetic Act, or the Act, that relates to animal supplements, like our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CVM's primary responsibility in enforcing the Act is to ensure that animal supplements are safe, effective, and can be manufactured to a consistent standard. CVM has taken the position that DSHEA does not apply to products intended for animals, but it is clear that products like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are under FDA jurisdiction.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18" w:name="page19"/>
    <w:bookmarkEnd w:id="18"/>
    <w:p>
      <w:pPr>
        <w:ind w:right="220" w:firstLine="255"/>
        <w:spacing w:after="0" w:line="231" w:lineRule="auto"/>
        <w:rPr>
          <w:sz w:val="20"/>
          <w:szCs w:val="20"/>
          <w:color w:val="auto"/>
        </w:rPr>
      </w:pPr>
      <w:r>
        <w:rPr>
          <w:rFonts w:ascii="Arial" w:cs="Arial" w:eastAsia="Arial" w:hAnsi="Arial"/>
          <w:sz w:val="14"/>
          <w:szCs w:val="14"/>
          <w:color w:val="auto"/>
        </w:rPr>
        <w:t>Our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follows the labeling rules of the National Animal Supplement Council (NASC) of which LifeVantage is a member. Under the NASC rules, Petandim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classified as a dosage form animal health product.</w:t>
      </w:r>
    </w:p>
    <w:p>
      <w:pPr>
        <w:spacing w:after="0" w:line="96" w:lineRule="exact"/>
        <w:rPr>
          <w:sz w:val="20"/>
          <w:szCs w:val="20"/>
          <w:color w:val="auto"/>
        </w:rPr>
      </w:pPr>
    </w:p>
    <w:p>
      <w:pPr>
        <w:ind w:right="40" w:firstLine="255"/>
        <w:spacing w:after="0" w:line="280" w:lineRule="auto"/>
        <w:rPr>
          <w:sz w:val="20"/>
          <w:szCs w:val="20"/>
          <w:color w:val="auto"/>
        </w:rPr>
      </w:pPr>
      <w:r>
        <w:rPr>
          <w:rFonts w:ascii="Arial" w:cs="Arial" w:eastAsia="Arial" w:hAnsi="Arial"/>
          <w:sz w:val="13"/>
          <w:szCs w:val="13"/>
          <w:color w:val="auto"/>
        </w:rPr>
        <w:t>While we exercise care in our formulation, manufacturing, packaging, labeling, and advertising of our products, we cannot guarantee the FDA will never inform us that the FDA believes some violation of law has occurred either by us or by our independent distributors. Any allegations of our non-compliance may result in time-consuming and expensive defense of our activities. The FDA’s normal course of action is to issue a warning letter if it believes that a product is misbranded or adulterated. The responsive action requested by the FDA differs depending upon the nature of the product and claims in question. Typically, the FDA expects a written response within 15 working days of the receipt of a warning letter. The warning letter is public information posted on the FDA’s web site. That information could affect our relationships with our customers/consumers, investors, independent distributors, vendors, and employees. Warning letters also often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FTC Regulations</w:t>
      </w:r>
    </w:p>
    <w:p>
      <w:pPr>
        <w:spacing w:after="0" w:line="125" w:lineRule="exact"/>
        <w:rPr>
          <w:sz w:val="20"/>
          <w:szCs w:val="20"/>
          <w:color w:val="auto"/>
        </w:rPr>
      </w:pPr>
    </w:p>
    <w:p>
      <w:pPr>
        <w:ind w:firstLine="255"/>
        <w:spacing w:after="0" w:line="302" w:lineRule="auto"/>
        <w:rPr>
          <w:sz w:val="20"/>
          <w:szCs w:val="20"/>
          <w:color w:val="auto"/>
        </w:rPr>
      </w:pPr>
      <w:r>
        <w:rPr>
          <w:rFonts w:ascii="Arial" w:cs="Arial" w:eastAsia="Arial" w:hAnsi="Arial"/>
          <w:sz w:val="12"/>
          <w:szCs w:val="12"/>
          <w:color w:val="auto"/>
        </w:rPr>
        <w:t>Advertising and marketing of our products in the United States are also subject to regulation by the FTC under the Federal Trade Commission Act, or FTC Act. Among other things, the FTC Act prohibits unfair methods of competition and unfair false or deceptive acts or practices in or affecting commerce. The FTC Act also makes it illegal to disseminate or cause to be disseminated any false advertisement for “food, drugs, devices, services, or cosmetics." The FTC Act provides that disseminating any false advertisement pertaining to foods, which would include dietary supplements, is an unfair or deceptive act or practice. An advertiser is required to have competent and reliable scientific evidence for all express and implied health-related product claims at the time the claims are first made. We are required to have adequate scientific substantiation for all material advertising claims made for our products in the United States. The FTC routinely reviews websites to identify questionable advertising claims and practices. Competitors sometimes inform the FTC when they believe other competitors are violating the FTC Act and consumers may also notify the FTC of what they believe may be wrongful advertising. The FTC may initiate a non-public investigation that focuses on our advertising claims, which usually involves non-public pre-lawsuit extensive formal discovery. Such an investigation may be very expensive to defend, be lengthy, and result in a publicly disclosed Consent Decree, which is a settlement agreement. If no settlement can be reached, the FTC may start an administrative proceeding or a federal court lawsuit against us and/or our principal officers. The FTC often seeks to recover from the defendants, whether in a Consent Decree or a proceeding, any or all of the following: (i) consumer redress in the form of monetary relief or disgorgement of profits; (ii) significant reporting requirements for several years; and (iii) injunctive relief. In addition, most, if not all, states have statutes prohibiting deceptive and unfair acts and practices. The requirements under these state statutes are similar to those of the FTC Act.</w:t>
      </w:r>
    </w:p>
    <w:p>
      <w:pPr>
        <w:spacing w:after="0" w:line="63"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The National Advertising Division, or NAD, of the national Better Business Bureau, a non-governmental not-for-profit organization through its Advertising Self-Regulatory Council, or ASRC, is also actively engaged in conducting investigations, called inquiries, which are focused on determining whether the requisite claim substantiation standard exists for advertising claims, including specific structure-function claims. Although the results of each inquiry or proceeding are not binding on the recipient, they are posted on NAD’s website, and the NAD often refers cases to the FTC, if the advertisers do not agree to modify their advertising in conformance with the NAD decision. We have been the subject of a NAD proceeding in 2008 and 2009, which was concluded in 2009.</w:t>
      </w:r>
    </w:p>
    <w:p>
      <w:pPr>
        <w:spacing w:after="0" w:line="78"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In January 2019, the Direct Selling Self-Regulatory Council (DSSRC) was introduced. This program monitors the entire direct selling channel — including Direct Selling Association member companies and non-members. The DSSRC provides impartial monitoring, enforcement, and dispute resolution regarding product claims or income representations (including lifestyle claims) disseminated by direct selling companies and their sales force members (distributors). The failure of a company to resolve DSSRC complaints will ultimately result in the DSSRC reporting the matter to the FTC, which may or may not pursue enforcement action in any given case.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 of Direct Selling Activities</w:t>
      </w:r>
    </w:p>
    <w:p>
      <w:pPr>
        <w:spacing w:after="0" w:line="115" w:lineRule="exact"/>
        <w:rPr>
          <w:sz w:val="20"/>
          <w:szCs w:val="20"/>
          <w:color w:val="auto"/>
        </w:rPr>
      </w:pPr>
    </w:p>
    <w:p>
      <w:pPr>
        <w:ind w:right="340" w:firstLine="255"/>
        <w:spacing w:after="0" w:line="267" w:lineRule="auto"/>
        <w:rPr>
          <w:sz w:val="20"/>
          <w:szCs w:val="20"/>
          <w:color w:val="auto"/>
        </w:rPr>
      </w:pPr>
      <w:r>
        <w:rPr>
          <w:rFonts w:ascii="Arial" w:cs="Arial" w:eastAsia="Arial" w:hAnsi="Arial"/>
          <w:sz w:val="14"/>
          <w:szCs w:val="14"/>
          <w:color w:val="auto"/>
        </w:rPr>
        <w:t>Direct selling activities are regulated by the FTC, as well as various federal, state and local governmental agencies in the United States and foreign countries. These laws and regulations are generally intended to prevent fraudulent or deceptive schemes, often referred to as “pyramid” schemes, which compensate participants primarily for recruiting additional participants without sufficient emphasis on product sales. The laws and regulations may often:</w:t>
      </w:r>
    </w:p>
    <w:p>
      <w:pPr>
        <w:spacing w:after="0" w:line="89"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require us or our independent distributors to register with governmental agencies;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impose caps on the amount or type of sales commission we can pay;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5" w:right="319" w:bottom="1440" w:gutter="0" w:footer="0" w:header="0"/>
        </w:sectPr>
      </w:pPr>
    </w:p>
    <w:bookmarkStart w:id="19" w:name="page20"/>
    <w:bookmarkEnd w:id="19"/>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impose reporting requirements; and</w:t>
      </w:r>
    </w:p>
    <w:p>
      <w:pPr>
        <w:spacing w:after="0" w:line="114"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require that we ensure, among other things, that our independent distributors maintain levels of product sales to qualify to receive sales commissions and that our independent distributors are being compensated primarily for sales of products and not primarily for recruiting additional participants.</w:t>
      </w:r>
    </w:p>
    <w:p>
      <w:pPr>
        <w:spacing w:after="0" w:line="79"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The laws and regulations governing direct selling are modified from time to time, and, like other direct selling companies, we may be subject from time to time to government investigations related to our direct selling activities. This may require us to make changes to our business model and our sales compensation plan.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State Regulations</w:t>
      </w:r>
    </w:p>
    <w:p>
      <w:pPr>
        <w:spacing w:after="0" w:line="115" w:lineRule="exact"/>
        <w:rPr>
          <w:sz w:val="20"/>
          <w:szCs w:val="20"/>
          <w:color w:val="auto"/>
        </w:rPr>
      </w:pPr>
    </w:p>
    <w:p>
      <w:pPr>
        <w:ind w:right="240" w:firstLine="255"/>
        <w:spacing w:after="0" w:line="262" w:lineRule="auto"/>
        <w:rPr>
          <w:sz w:val="20"/>
          <w:szCs w:val="20"/>
          <w:color w:val="auto"/>
        </w:rPr>
      </w:pPr>
      <w:r>
        <w:rPr>
          <w:rFonts w:ascii="Arial" w:cs="Arial" w:eastAsia="Arial" w:hAnsi="Arial"/>
          <w:sz w:val="14"/>
          <w:szCs w:val="14"/>
          <w:color w:val="auto"/>
        </w:rPr>
        <w:t>In addition to United States federal regulation, each state has enacted its own food and drug laws. We may receive requests to supply information regarding our sales or advertising to state regulatory agencies. We remain subject to the risk that, in one or more of our present or future markets, our products, sales, and advertising could be found non-compliant with state laws and regulations. If we fail to comply with these laws and regulations, it could have a material adverse effect on our business in a particular market or in general. In addition, these laws and regulations could affect our ability to enter new markets.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FDA Food Safety Modernization Act</w:t>
      </w:r>
    </w:p>
    <w:p>
      <w:pPr>
        <w:spacing w:after="0" w:line="125"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The FDA Food Safety Modernization Act, or FSMA, was enacted in 2011 and is now part of the Federal Food, Drug and Cosmetic Act, or FFDCA. The FSMA is a comprehensive set of laws that gives the FDA considerable authority with respect to the prevention of food contamination and the serious problems associated with such contamination. Among other things, it does the following:</w:t>
      </w:r>
    </w:p>
    <w:p>
      <w:pPr>
        <w:spacing w:after="0" w:line="78"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gives the FDA explicit authority to compel a recall if the FDA believes there is a reasonable probability of serious adverse health consequences or death;</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places strict obligations on food and dietary supplement importers to verify that food from foreign suppliers is not adulterated or misbranded;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provides whistle blower protection for employees of conventional food or dietary supplement companies who provide information to governmental authorities about violations of the</w:t>
      </w:r>
    </w:p>
    <w:p>
      <w:pPr>
        <w:spacing w:after="0" w:line="30"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4"/>
          <w:szCs w:val="14"/>
          <w:color w:val="auto"/>
        </w:rPr>
        <w:t>FFDCA.</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International Regulations</w:t>
      </w:r>
    </w:p>
    <w:p>
      <w:pPr>
        <w:spacing w:after="0" w:line="125" w:lineRule="exact"/>
        <w:rPr>
          <w:sz w:val="20"/>
          <w:szCs w:val="20"/>
          <w:color w:val="auto"/>
        </w:rPr>
      </w:pPr>
    </w:p>
    <w:p>
      <w:pPr>
        <w:ind w:firstLine="255"/>
        <w:spacing w:after="0" w:line="248" w:lineRule="auto"/>
        <w:rPr>
          <w:sz w:val="20"/>
          <w:szCs w:val="20"/>
          <w:color w:val="auto"/>
        </w:rPr>
      </w:pPr>
      <w:r>
        <w:rPr>
          <w:rFonts w:ascii="Arial" w:cs="Arial" w:eastAsia="Arial" w:hAnsi="Arial"/>
          <w:sz w:val="13"/>
          <w:szCs w:val="13"/>
          <w:color w:val="auto"/>
        </w:rPr>
        <w:t>In addition to the regulations applicable to our activities in the United States, all other markets in which we operate our business regulate our products under a variety of statutory and regulatory schemes. We typically market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line of products in international markets as foods, health foods or dietary supplements under applicable regulatory regimes. However, because of varied regulations, some products or ingredients that are recognized as a “food” in certain markets may be treated as a “pharmaceutical” or equivalent in other markets. In the event a product, or an ingredient in a product, is classified as a drug or pharmaceutical product in any market, we will generally not be able to distribute that product through our independent distributors channel because of pre-marketing approval requirements and strict regulations applicable to drug and pharmaceutical products. In Japan, for example, ashwagandha was determined to be inappropriate for inclusion in food products. Ashwagandha is one of the ingredients in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While we disagree with the assessment of ashwagandha by Japanese regulatory authorities, we are restricted from selling a formulation of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that contains ashwagandha in Japan. As such, we reformulated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for the Japan market to exclude ashwagandha and include black pepper extract. This reformulated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was introduced in Japan in fiscal year 2013.</w:t>
      </w:r>
    </w:p>
    <w:p>
      <w:pPr>
        <w:spacing w:after="0" w:line="49" w:lineRule="exact"/>
        <w:rPr>
          <w:sz w:val="20"/>
          <w:szCs w:val="20"/>
          <w:color w:val="auto"/>
        </w:rPr>
      </w:pPr>
    </w:p>
    <w:p>
      <w:pPr>
        <w:ind w:right="60" w:firstLine="255"/>
        <w:spacing w:after="0" w:line="239" w:lineRule="auto"/>
        <w:rPr>
          <w:sz w:val="20"/>
          <w:szCs w:val="20"/>
          <w:color w:val="auto"/>
        </w:rPr>
      </w:pPr>
      <w:r>
        <w:rPr>
          <w:rFonts w:ascii="Arial" w:cs="Arial" w:eastAsia="Arial" w:hAnsi="Arial"/>
          <w:sz w:val="14"/>
          <w:szCs w:val="14"/>
          <w:color w:val="auto"/>
        </w:rPr>
        <w:t>Similarly, our other markets outside the United States regulate advertising and product claims regarding the efficacy of our products and require adequate substantiation of claims. As such, we are unable to claim that any of our products will diagnose, cure, mitigate, treat or prevent diseases. For example, in Japan,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Nrf2 Synergizer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considered a food product, which significantly limits our ability to make claims regarding the product. If marketing materials make claims that exceed the scope of allowed claims for dietary supplements, regulatory authorities could deem our products to be unapproved drugs and we could experience substantial harm.</w:t>
      </w:r>
    </w:p>
    <w:p>
      <w:pPr>
        <w:spacing w:after="0" w:line="98" w:lineRule="exact"/>
        <w:rPr>
          <w:sz w:val="20"/>
          <w:szCs w:val="20"/>
          <w:color w:val="auto"/>
        </w:rPr>
      </w:pPr>
    </w:p>
    <w:p>
      <w:pPr>
        <w:jc w:val="both"/>
        <w:ind w:right="500" w:firstLine="255"/>
        <w:spacing w:after="0" w:line="297" w:lineRule="auto"/>
        <w:rPr>
          <w:sz w:val="20"/>
          <w:szCs w:val="20"/>
          <w:color w:val="auto"/>
        </w:rPr>
      </w:pPr>
      <w:r>
        <w:rPr>
          <w:rFonts w:ascii="Arial" w:cs="Arial" w:eastAsia="Arial" w:hAnsi="Arial"/>
          <w:sz w:val="13"/>
          <w:szCs w:val="13"/>
          <w:color w:val="auto"/>
        </w:rPr>
        <w:t>Our business model is also subject to regulatory frameworks that may limit or significantly alter the way business is done in foreign markets vis-à-vis the United States. For example, our marketing of products or business opportunity as a distributor in the United Kingdom differs significantly from marketing to United States customers and distributors. Consequently, we may experience additional costs and delays in entering or continuing to do business in foreign markets in order to comply with local regulations.</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i w:val="1"/>
          <w:iCs w:val="1"/>
          <w:color w:val="auto"/>
        </w:rPr>
        <w:t>Potential FDA and Other Regulation</w:t>
      </w:r>
    </w:p>
    <w:p>
      <w:pPr>
        <w:spacing w:after="0" w:line="115"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We could become subject to additional laws or regulations administered by the FDA, FTC, or other federal, state, local or international regulatory authorities, to the repeal of laws or regulations that we consider favorable, such as DSHEA, or to more stringent interpretations of current laws or regulations. 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impose additional restrictions or requirements in the future. In recent years, there also has been increased pressure in the United States to further regulate cosmetics. In general, the regulatory environment is becoming more complex with increasingly strict regulations. In March of 2022, the FTC gave notice of a new potential rulemaking concerning false, misleading and unsubstantiated earnings claims. The Direct Selling Association, which represents many direct selling companies publicized its filed comments and cited “already robust ethics and self-regulation in direct selling.” The Direct Selling Association asserted that the DSSRC “has a strong track record of monitoring the market for potentially problematic claims and engaging in quick and effective follow-up to address the relatively rare instances where it finds that distributors are making questionable claims, usually in social media.”</w:t>
      </w:r>
    </w:p>
    <w:p>
      <w:pPr>
        <w:spacing w:after="0" w:line="84" w:lineRule="exact"/>
        <w:rPr>
          <w:sz w:val="20"/>
          <w:szCs w:val="20"/>
          <w:color w:val="auto"/>
        </w:rPr>
      </w:pPr>
    </w:p>
    <w:p>
      <w:pPr>
        <w:ind w:right="120" w:firstLine="255"/>
        <w:spacing w:after="0" w:line="242" w:lineRule="auto"/>
        <w:rPr>
          <w:sz w:val="20"/>
          <w:szCs w:val="20"/>
          <w:color w:val="auto"/>
        </w:rPr>
      </w:pPr>
      <w:r>
        <w:rPr>
          <w:rFonts w:ascii="Arial" w:cs="Arial" w:eastAsia="Arial" w:hAnsi="Arial"/>
          <w:sz w:val="14"/>
          <w:szCs w:val="14"/>
          <w:color w:val="auto"/>
        </w:rPr>
        <w:t>The Dietary Supplement and Nonprescription Drug Consumer Protection Act requires us to report to the FDA all serious adverse events and to maintain for six years, records of all adverse events, whether or not serious. An adverse event is defined as any health-related event associated with the use of a dietary supplement that is adverse. In addition, this law requires the label of each dietary supplement, including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to include a domestic address or telephone number by which the company selling the product may receive a report of a serious adverse event associated with such product. The labels of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comply with that statutory provision.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119" w:lineRule="exact"/>
        <w:rPr>
          <w:sz w:val="20"/>
          <w:szCs w:val="20"/>
          <w:color w:val="auto"/>
        </w:rPr>
      </w:pPr>
    </w:p>
    <w:p>
      <w:pPr>
        <w:ind w:right="60" w:firstLine="255"/>
        <w:spacing w:after="0" w:line="331" w:lineRule="auto"/>
        <w:rPr>
          <w:sz w:val="20"/>
          <w:szCs w:val="20"/>
          <w:color w:val="auto"/>
        </w:rPr>
      </w:pPr>
      <w:r>
        <w:rPr>
          <w:rFonts w:ascii="Arial" w:cs="Arial" w:eastAsia="Arial" w:hAnsi="Arial"/>
          <w:sz w:val="12"/>
          <w:szCs w:val="12"/>
          <w:color w:val="auto"/>
        </w:rPr>
        <w:t>As of June 30, 2022 and 2021, we had 259 and 263 full-time employees, respectively. As of June 30, 2022, 187 of our full-time employees were based in the United States, 31 were based in Japan and a total of 10 were based in the Philippines, 9 in Thailand, 9 in Taiwan, 4 in Mexico, 4 in Australia, 3 in Singapore, 1 in Hong Kong, and 1 in Canada. We do not include our independent distributors in our number of employees because our independent distributors are independent contractors and not employees. We outsource our manufacturing, warehousing and shipping operations.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Responsibility and Sustainability</w:t>
      </w:r>
    </w:p>
    <w:p>
      <w:pPr>
        <w:spacing w:after="0" w:line="129" w:lineRule="exact"/>
        <w:rPr>
          <w:sz w:val="20"/>
          <w:szCs w:val="20"/>
          <w:color w:val="auto"/>
        </w:rPr>
      </w:pPr>
    </w:p>
    <w:p>
      <w:pPr>
        <w:ind w:right="100" w:firstLine="255"/>
        <w:spacing w:after="0" w:line="321" w:lineRule="auto"/>
        <w:rPr>
          <w:sz w:val="20"/>
          <w:szCs w:val="20"/>
          <w:color w:val="auto"/>
        </w:rPr>
      </w:pPr>
      <w:r>
        <w:rPr>
          <w:rFonts w:ascii="Arial" w:cs="Arial" w:eastAsia="Arial" w:hAnsi="Arial"/>
          <w:sz w:val="13"/>
          <w:szCs w:val="13"/>
          <w:color w:val="auto"/>
        </w:rPr>
        <w:t>We understand that long-term value creation for stockholders is our core responsibility. We are investing in a number of sustainability initiatives, including reducing the environmental impact of our business activities and products, improving the global human condition, providing a positive working environment and engaging with our stakeholders regarding these initiatives.</w:t>
      </w:r>
    </w:p>
    <w:p>
      <w:pPr>
        <w:spacing w:after="0" w:line="46"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u w:val="single" w:color="auto"/>
          <w:color w:val="auto"/>
        </w:rPr>
        <w:t>Employees</w:t>
      </w:r>
      <w:r>
        <w:rPr>
          <w:rFonts w:ascii="Arial" w:cs="Arial" w:eastAsia="Arial" w:hAnsi="Arial"/>
          <w:sz w:val="14"/>
          <w:szCs w:val="14"/>
          <w:color w:val="auto"/>
        </w:rPr>
        <w:t>: We believe that our employees are an essential asset. We have a dedicated team of professionals that support our customers and independent distributors, work to generate long-term value for our stockholders and contribute to the broader public through charitable programs, including LifeVantage Legacy LLC. In turn, we offer competitive compensation and direct their focus on the long-term goals of our stockholders and independent distributors. We have been named one of the Best Places to Work by the Direct Selling News for six years in a row, which reflects our commitment to create a great work environment for our employees.</w:t>
      </w:r>
    </w:p>
    <w:p>
      <w:pPr>
        <w:spacing w:after="0" w:line="93"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u w:val="single" w:color="auto"/>
          <w:color w:val="auto"/>
        </w:rPr>
        <w:t>Environment</w:t>
      </w:r>
      <w:r>
        <w:rPr>
          <w:rFonts w:ascii="Arial" w:cs="Arial" w:eastAsia="Arial" w:hAnsi="Arial"/>
          <w:sz w:val="13"/>
          <w:szCs w:val="13"/>
          <w:color w:val="auto"/>
        </w:rPr>
        <w:t>: We are committed to reducing our impact on the environment and creating awareness about sustainability. We will strive to improve our environmental performance over time and to initiate additional projects and activities that will further reduce our impacts on the environment. Our commitment to the environment extends to our customers, our independent distributors, our employees, and the global communities in which we operate. We comply with applicable environmental regulations and strive to prevent pollution whenever possible. We are increasing our efforts to train our employees and independent distributors on our environmental program and empower them to contribute and participate. We are committed to continually improve over time by striving to measure our environmental impacts and by setting goals to reduce these impacts each year. Some examples of our efforts include:</w:t>
      </w:r>
    </w:p>
    <w:p>
      <w:pPr>
        <w:spacing w:after="0" w:line="81"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Created a digital starter kit to replace the prior hard copy version in an effort to reduce the use of materials like paper and plastic;</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Utilized furniture in our new office made from 80+% recycled content;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Designed our corporate office with furniture sourced from U.S. Green Building Council and LEED Platinum certified vendor;</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1" w:name="page22"/>
    <w:bookmarkEnd w:id="21"/>
    <w:p>
      <w:pPr>
        <w:ind w:left="520" w:right="320" w:hanging="260"/>
        <w:spacing w:after="0" w:line="28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Included sustainability as one of our corporate core values, and committed to continually look for ways to minimize our impact on the environment including using more easily recycled packaging for the launch of our new products in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line and ensuring the new products score low on the Think Dirty scale;</w:t>
      </w:r>
    </w:p>
    <w:p>
      <w:pPr>
        <w:spacing w:after="0" w:line="16" w:lineRule="exact"/>
        <w:rPr>
          <w:rFonts w:ascii="Arial" w:cs="Arial" w:eastAsia="Arial" w:hAnsi="Arial"/>
          <w:sz w:val="14"/>
          <w:szCs w:val="14"/>
          <w:color w:val="auto"/>
        </w:rPr>
      </w:pPr>
    </w:p>
    <w:p>
      <w:pPr>
        <w:ind w:left="520" w:right="20" w:hanging="260"/>
        <w:spacing w:after="0" w:line="321" w:lineRule="auto"/>
        <w:tabs>
          <w:tab w:leader="none" w:pos="516" w:val="left"/>
        </w:tabs>
        <w:numPr>
          <w:ilvl w:val="0"/>
          <w:numId w:val="19"/>
        </w:numPr>
        <w:rPr>
          <w:rFonts w:ascii="Arial" w:cs="Arial" w:eastAsia="Arial" w:hAnsi="Arial"/>
          <w:sz w:val="13"/>
          <w:szCs w:val="13"/>
          <w:color w:val="auto"/>
        </w:rPr>
      </w:pPr>
      <w:r>
        <w:rPr>
          <w:rFonts w:ascii="Arial" w:cs="Arial" w:eastAsia="Arial" w:hAnsi="Arial"/>
          <w:sz w:val="13"/>
          <w:szCs w:val="13"/>
          <w:color w:val="auto"/>
        </w:rPr>
        <w:t>Engaged our stakeholders by establishing a sustainability committee comprised of independent distributors to meet periodically during the year to receive feedback on initiatives important to them. This committee met three times during the year and discussed potential sustainability partners, finding more easily recyclable packaging and other packaging concerns;</w:t>
      </w:r>
    </w:p>
    <w:p>
      <w:pPr>
        <w:spacing w:after="0" w:line="56" w:lineRule="exact"/>
        <w:rPr>
          <w:rFonts w:ascii="Arial" w:cs="Arial" w:eastAsia="Arial" w:hAnsi="Arial"/>
          <w:sz w:val="13"/>
          <w:szCs w:val="13"/>
          <w:color w:val="auto"/>
        </w:rPr>
      </w:pPr>
    </w:p>
    <w:p>
      <w:pPr>
        <w:ind w:left="520" w:right="120" w:hanging="260"/>
        <w:spacing w:after="0" w:line="28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Continued a more flexible work from home structure for corporate employees, including positions that are now permanently work from home, reducing our impact on the environment with fewer vehicles on the road commuting to and from the office;</w:t>
      </w:r>
    </w:p>
    <w:p>
      <w:pPr>
        <w:spacing w:after="0" w:line="79"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Implemented an environmental policy using the feedback from our stakeholders to help formalize our focus on sustainability and began using environmental auditing in our selection process for new partners;</w:t>
      </w:r>
    </w:p>
    <w:p>
      <w:pPr>
        <w:spacing w:after="0" w:line="68" w:lineRule="exact"/>
        <w:rPr>
          <w:rFonts w:ascii="Arial" w:cs="Arial" w:eastAsia="Arial" w:hAnsi="Arial"/>
          <w:sz w:val="14"/>
          <w:szCs w:val="14"/>
          <w:color w:val="auto"/>
        </w:rPr>
      </w:pPr>
    </w:p>
    <w:p>
      <w:pPr>
        <w:ind w:left="520" w:right="160" w:hanging="260"/>
        <w:spacing w:after="0" w:line="292"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Switched to more easily recyclable bottles and cartons for product packaging, including replacing plastic bags with paper cartons for our energy drink products and using a fully recyclable glass bottle and cap for the recently launched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Liquid Collagen product line;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Began sourcing shipping boxes made from Sustainable Forestry Initiative (SFI) certified corrugate material;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Created sharable videos that our independent distributors can use with our sustainability efforts;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Focused on working with fish oil suppliers and fisheries who are Marine Stewardship Council (MSC) certified.</w:t>
      </w:r>
    </w:p>
    <w:p>
      <w:pPr>
        <w:spacing w:after="0" w:line="125"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u w:val="single" w:color="auto"/>
          <w:color w:val="auto"/>
        </w:rPr>
        <w:t>Social/Community:</w:t>
      </w:r>
      <w:r>
        <w:rPr>
          <w:rFonts w:ascii="Arial" w:cs="Arial" w:eastAsia="Arial" w:hAnsi="Arial"/>
          <w:sz w:val="14"/>
          <w:szCs w:val="14"/>
          <w:color w:val="auto"/>
        </w:rPr>
        <w:t xml:space="preserve"> We believe that our legacy isn’t the past, it’s the future we create. This belief informed our effort to sponsor the formation of LifeVantage Legacy – an independent charitable organization focused on bettering the lives of children throughout the world. LifeVantage Legacy helps the leaders of tomorrow by touching a million lives across the world today. From simply helping a child in need to supporting initiatives that uplift entire communities, our goal is simple - give future generations the support and resources they need to live happier, healthier lives one child at a time. One of the best parts of LifeVantage is our commitment to leaving places better than we find them.</w:t>
      </w:r>
    </w:p>
    <w:p>
      <w:pPr>
        <w:spacing w:after="0" w:line="93" w:lineRule="exact"/>
        <w:rPr>
          <w:sz w:val="20"/>
          <w:szCs w:val="20"/>
          <w:color w:val="auto"/>
        </w:rPr>
      </w:pPr>
    </w:p>
    <w:p>
      <w:pPr>
        <w:ind w:left="520" w:right="20" w:hanging="260"/>
        <w:spacing w:after="0" w:line="28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the past 8 years, other than in 2020 due to the COVID-19 pandemic, during the holidays, employees, independent distributors and their families have traveled to Puerto Penasco, Mexico, and built over 25 homes for families in need.</w:t>
      </w:r>
    </w:p>
    <w:p>
      <w:pPr>
        <w:spacing w:after="0" w:line="6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fiscal year 2022, we provided monetary donations through our 501(c)(3) non-profit organization, to those affected by the war in Ukraine, typhoon Odette in the Philippines, relief efforts in Louisiana, USA after hurricane Ida and women's shelters in Orlando, FL and Cabo San Lucas, Mexico.</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have partnered with local refugee foundations to provide needed items for kids and cleaning supplies for their homes.</w:t>
      </w:r>
    </w:p>
    <w:p>
      <w:pPr>
        <w:spacing w:after="0" w:line="125" w:lineRule="exact"/>
        <w:rPr>
          <w:rFonts w:ascii="Arial" w:cs="Arial" w:eastAsia="Arial" w:hAnsi="Arial"/>
          <w:sz w:val="14"/>
          <w:szCs w:val="14"/>
          <w:color w:val="auto"/>
        </w:rPr>
      </w:pPr>
    </w:p>
    <w:p>
      <w:pPr>
        <w:ind w:left="520" w:right="60" w:hanging="260"/>
        <w:spacing w:after="0" w:line="297" w:lineRule="auto"/>
        <w:tabs>
          <w:tab w:leader="none" w:pos="516" w:val="left"/>
        </w:tabs>
        <w:numPr>
          <w:ilvl w:val="0"/>
          <w:numId w:val="20"/>
        </w:numPr>
        <w:rPr>
          <w:rFonts w:ascii="Arial" w:cs="Arial" w:eastAsia="Arial" w:hAnsi="Arial"/>
          <w:sz w:val="13"/>
          <w:szCs w:val="13"/>
          <w:color w:val="auto"/>
        </w:rPr>
      </w:pPr>
      <w:r>
        <w:rPr>
          <w:rFonts w:ascii="Arial" w:cs="Arial" w:eastAsia="Arial" w:hAnsi="Arial"/>
          <w:sz w:val="13"/>
          <w:szCs w:val="13"/>
          <w:color w:val="auto"/>
        </w:rPr>
        <w:t>At our company-sponsored incentive trips, we make sure to take time and give back to the local communities. At our global convention, those who attended in person tied fleece blankets for local children’s hospitals. At our Elite training event, we spent a day working with a local after school center organizing the building, cleaning and providing new kitchen equipment so that the school could better serve the community, as well as participated in a local cleanup effort at a historic local pond that was impacted by flooding the day before.</w:t>
      </w:r>
    </w:p>
    <w:p>
      <w:pPr>
        <w:spacing w:after="0" w:line="60" w:lineRule="exact"/>
        <w:rPr>
          <w:rFonts w:ascii="Arial" w:cs="Arial" w:eastAsia="Arial" w:hAnsi="Arial"/>
          <w:sz w:val="13"/>
          <w:szCs w:val="13"/>
          <w:color w:val="auto"/>
        </w:rPr>
      </w:pPr>
    </w:p>
    <w:p>
      <w:pPr>
        <w:ind w:left="520" w:right="80" w:hanging="260"/>
        <w:spacing w:after="0" w:line="28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engaged our stakeholders by establishing a social committee comprised of independent distributors to meet periodically during fiscal 2022 to receive feedback on initiatives important to them. This committee met three times during the year and discussed diversity, inclusive marketing materials and community service opportunities.</w:t>
      </w:r>
    </w:p>
    <w:p>
      <w:pPr>
        <w:spacing w:after="0" w:line="79" w:lineRule="exact"/>
        <w:rPr>
          <w:rFonts w:ascii="Arial" w:cs="Arial" w:eastAsia="Arial" w:hAnsi="Arial"/>
          <w:sz w:val="14"/>
          <w:szCs w:val="14"/>
          <w:color w:val="auto"/>
        </w:rPr>
      </w:pPr>
    </w:p>
    <w:p>
      <w:pPr>
        <w:ind w:left="520" w:right="20" w:hanging="260"/>
        <w:spacing w:after="0" w:line="28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have a human rights policy to formalize our auditing and commitment to align internationally with human rights philosophies in how we conduct business. LifeVantage began auditing its key partners in fiscal 2022.</w:t>
      </w:r>
    </w:p>
    <w:p>
      <w:pPr>
        <w:spacing w:after="0" w:line="79" w:lineRule="exact"/>
        <w:rPr>
          <w:rFonts w:ascii="Arial" w:cs="Arial" w:eastAsia="Arial" w:hAnsi="Arial"/>
          <w:sz w:val="14"/>
          <w:szCs w:val="14"/>
          <w:color w:val="auto"/>
        </w:rPr>
      </w:pPr>
    </w:p>
    <w:p>
      <w:pPr>
        <w:ind w:left="520" w:right="40" w:hanging="260"/>
        <w:spacing w:after="0" w:line="267"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We measured our employee's engagement level and requested anonymous feedback during the fiscal year and implemented changes to address the feedback. We are pleased with being named a Best Place to Work by Direct Selling News (as nominated by our employees) for the sixth year in a row. We have set up monthly lunches between our employees and our executives to continue the culture of asking questions and providing transparency.</w:t>
      </w:r>
    </w:p>
    <w:p>
      <w:pPr>
        <w:spacing w:after="0" w:line="78"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u w:val="single" w:color="auto"/>
          <w:color w:val="auto"/>
        </w:rPr>
        <w:t>Governance</w:t>
      </w:r>
      <w:r>
        <w:rPr>
          <w:rFonts w:ascii="Arial" w:cs="Arial" w:eastAsia="Arial" w:hAnsi="Arial"/>
          <w:sz w:val="14"/>
          <w:szCs w:val="14"/>
          <w:color w:val="auto"/>
        </w:rPr>
        <w:t>: We endeavor to continue to strengthen and improve our corporate governance and executive compensation practices. We adopted an equity ownership policy to reinforce our belief that executives and directors who believe in the future</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of our company should have meaningful equity holdings in LifeVantage. In addition, we adopted a majority standard for the election of directors on our board.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29"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Our principal offices are located at 3300 N. Triumph Blvd, Suite 700, Lehi, UT 84043. Our telephone number is (801) 432-9000 and our fax number is (801) 880-0699. Our website address is www.lifevantage.com; however, information found on our website is not incorporated by reference into this report. Our website address is included in this annual report as an inactive textual reference only.</w:t>
      </w:r>
    </w:p>
    <w:p>
      <w:pPr>
        <w:spacing w:after="0" w:line="89" w:lineRule="exact"/>
        <w:rPr>
          <w:sz w:val="20"/>
          <w:szCs w:val="20"/>
          <w:color w:val="auto"/>
        </w:rPr>
      </w:pPr>
    </w:p>
    <w:p>
      <w:pPr>
        <w:ind w:right="240" w:firstLine="255"/>
        <w:spacing w:after="0" w:line="267" w:lineRule="auto"/>
        <w:rPr>
          <w:sz w:val="20"/>
          <w:szCs w:val="20"/>
          <w:color w:val="auto"/>
        </w:rPr>
      </w:pPr>
      <w:r>
        <w:rPr>
          <w:rFonts w:ascii="Arial" w:cs="Arial" w:eastAsia="Arial" w:hAnsi="Arial"/>
          <w:sz w:val="14"/>
          <w:szCs w:val="14"/>
          <w:color w:val="auto"/>
        </w:rPr>
        <w:t xml:space="preserve">The reports filed with the Securities and Exchange Commission, or SEC, by us and by our officers, directors, and significant stockholders are available for review on the SEC’s website at www.sec.gov. </w:t>
      </w:r>
      <w:r>
        <w:rPr>
          <w:rFonts w:ascii="Arial" w:cs="Arial" w:eastAsia="Arial" w:hAnsi="Arial"/>
          <w:sz w:val="14"/>
          <w:szCs w:val="14"/>
          <w:color w:val="212529"/>
        </w:rPr>
        <w:t>Such reports are also available free of charge through the investor relations section of our website at www.lifevantage.com and are accessible as soon as reasonably practicable after</w:t>
      </w:r>
      <w:r>
        <w:rPr>
          <w:rFonts w:ascii="Arial" w:cs="Arial" w:eastAsia="Arial" w:hAnsi="Arial"/>
          <w:sz w:val="14"/>
          <w:szCs w:val="14"/>
          <w:color w:val="auto"/>
        </w:rPr>
        <w:t xml:space="preserve"> </w:t>
      </w:r>
      <w:r>
        <w:rPr>
          <w:rFonts w:ascii="Arial" w:cs="Arial" w:eastAsia="Arial" w:hAnsi="Arial"/>
          <w:sz w:val="14"/>
          <w:szCs w:val="14"/>
          <w:color w:val="212529"/>
        </w:rPr>
        <w:t>being electronically filed with or furnished to the SEC.</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 RISK FACTORS</w:t>
      </w:r>
    </w:p>
    <w:p>
      <w:pPr>
        <w:spacing w:after="0" w:line="12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Because of the following risks, as well as other risks affecting our financial condition and operating results, past financial performance should not be considered to be a reliable indicator of future performance, and investors should not use historical trends to anticipate results or trends in future periods. The risks described below are those we currently believe could materially affect us. The following risks are not necessarily all of the important factors that could cause our actual results of operations to differ materially from those expressed in the forward-looking statements in this report.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Company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 inability to properly motivate and incentivize sales from our independent distributors could harm our business.</w:t>
      </w:r>
    </w:p>
    <w:p>
      <w:pPr>
        <w:spacing w:after="0" w:line="125" w:lineRule="exact"/>
        <w:rPr>
          <w:sz w:val="20"/>
          <w:szCs w:val="20"/>
          <w:color w:val="auto"/>
        </w:rPr>
      </w:pPr>
    </w:p>
    <w:p>
      <w:pPr>
        <w:ind w:right="40" w:firstLine="255"/>
        <w:spacing w:after="0" w:line="276" w:lineRule="auto"/>
        <w:rPr>
          <w:sz w:val="20"/>
          <w:szCs w:val="20"/>
          <w:color w:val="auto"/>
        </w:rPr>
      </w:pPr>
      <w:r>
        <w:rPr>
          <w:rFonts w:ascii="Arial" w:cs="Arial" w:eastAsia="Arial" w:hAnsi="Arial"/>
          <w:sz w:val="13"/>
          <w:szCs w:val="13"/>
          <w:color w:val="auto"/>
        </w:rPr>
        <w:t>Motivating our independent distributors and providing them with appropriate sales resources, including technology, tools and training, are important to the growth and success of our business. From time to time, we face challenges in motivating and incentivizing sales from our independent distributors. For example, as we previously disclosed in Item 9A of our Annual Report on Form 10-K for the year ended June 30, 2016, the audit committee of our board of directors conducted an independent review related to the distribution of our products into countries outside the U.S. in which those products were not registered or that otherwise imposed stringent restrictions on our direct selling model, and the associated revenue and tax and other accruals associated with such sales. This independent review was initiated following internal reviews conducted by Company personnel and was further informed by the content of employee complaints. Actions we take from time to time to enforce our policies and procedures, may cause discord among some of our independent distributors. The loss of key independent distributors due to various factors including, but not limited to, voluntary termination or involuntary termination or suspension resulting from non-compliance with our policies and procedures, could distract our independent distributors and disrupt our business. For example, in the past, we have experienced discord among our leading independent distributors in Japan, which is a significant part of our business. If we fail to properly respond to any discord among our leading independent distributors in Japan and other markets, we could lose additional leaders, including to competing direct selling companies, which could have a significant negative impact on our revenue. Further, from time to time, we are involved in legal proceedings with former independent distributors. Such legal proceedings can be a distraction to our active independent distributors and can be expensive, time-consuming and cause a disruption to our business. Our inability to properly respond to these and other distractions may have a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23" w:name="page24"/>
    <w:bookmarkEnd w:id="23"/>
    <w:p>
      <w:pPr>
        <w:ind w:right="180"/>
        <w:spacing w:after="0" w:line="281" w:lineRule="auto"/>
        <w:rPr>
          <w:sz w:val="20"/>
          <w:szCs w:val="20"/>
          <w:color w:val="auto"/>
        </w:rPr>
      </w:pPr>
      <w:r>
        <w:rPr>
          <w:rFonts w:ascii="Arial" w:cs="Arial" w:eastAsia="Arial" w:hAnsi="Arial"/>
          <w:sz w:val="14"/>
          <w:szCs w:val="14"/>
          <w:b w:val="1"/>
          <w:bCs w:val="1"/>
          <w:i w:val="1"/>
          <w:iCs w:val="1"/>
          <w:color w:val="auto"/>
        </w:rPr>
        <w:t>The COVID-19 pandemic or the widespread outbreak of any other illness or communicable disease, or any other public health crisis, could adversely affect our business, results of operations and financial condition.</w:t>
      </w:r>
    </w:p>
    <w:p>
      <w:pPr>
        <w:spacing w:after="0" w:line="69"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We could be negatively impacted by the widespread outbreak of an illness or any other communicable disease, or any other public health crisis that results in economic and trade disruptions, including the disruption of global supply chains. In December 2019, an outbreak of COVID-19 began in China and in March 2020, the World Health Organization declared COVID-19 a pandemic. The COVID-19 pandemic has negatively impacted the global economy, disrupted global supply chains and created significant volatility and disruption of financial markets. This pandemic has resulted, and is likely to continue to result, in significant national and global economic disruption and may adversely affect our business. Uncertainty exists concerning the magnitude of the impact and duration of the COVID-19 pandemic.</w:t>
      </w:r>
    </w:p>
    <w:p>
      <w:pPr>
        <w:spacing w:after="0" w:line="93" w:lineRule="exact"/>
        <w:rPr>
          <w:sz w:val="20"/>
          <w:szCs w:val="20"/>
          <w:color w:val="auto"/>
        </w:rPr>
      </w:pPr>
    </w:p>
    <w:p>
      <w:pPr>
        <w:ind w:right="20" w:firstLine="255"/>
        <w:spacing w:after="0" w:line="276" w:lineRule="auto"/>
        <w:rPr>
          <w:sz w:val="20"/>
          <w:szCs w:val="20"/>
          <w:color w:val="auto"/>
        </w:rPr>
      </w:pPr>
      <w:r>
        <w:rPr>
          <w:rFonts w:ascii="Arial" w:cs="Arial" w:eastAsia="Arial" w:hAnsi="Arial"/>
          <w:sz w:val="13"/>
          <w:szCs w:val="13"/>
          <w:color w:val="auto"/>
        </w:rPr>
        <w:t>During fiscal year 2022, we have continued to be mindful of COVID-19 and the disruptions it can have on an office environment. From July 2021 through the date of this filing, we have experienced fewer disruptions at the corporate level as we transitioned our corporate workforce from a remote working environment to a hybrid work from home / work from the office environment. Our independent distributors continue to experience disruptions related to the COVID-19 pandemic. In Japan, independent distributors are still required to provide a hard-copy introductory packet (gaiyoshomen) in person to each person they approach to possibly enroll as an independent distributor before presenting our products and business opportunity. This requirement has inhibited independent distributors from connecting with potential new independent distributors virtually or through social media from time to time during the fiscal year whenever temporary lockdown responses to COVID-19 were issued. Accordingly, quarantines, avoidance of public places and general concerns about physical distancing related to COVID-19 or otherwise continue to significantly reduce the ability for our independent distributors to meet people in person and commence the enrollment process in some areas of the world. Our independent distributors have begun to adapt their approach for customer outreach and sales,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customers or independent distributors to continue to purchase our products due to decreased disposable income.</w:t>
      </w:r>
    </w:p>
    <w:p>
      <w:pPr>
        <w:spacing w:after="0" w:line="89" w:lineRule="exact"/>
        <w:rPr>
          <w:sz w:val="20"/>
          <w:szCs w:val="20"/>
          <w:color w:val="auto"/>
        </w:rPr>
      </w:pPr>
    </w:p>
    <w:p>
      <w:pPr>
        <w:jc w:val="both"/>
        <w:ind w:right="160" w:firstLine="255"/>
        <w:spacing w:after="0" w:line="297" w:lineRule="auto"/>
        <w:rPr>
          <w:sz w:val="20"/>
          <w:szCs w:val="20"/>
          <w:color w:val="auto"/>
        </w:rPr>
      </w:pPr>
      <w:r>
        <w:rPr>
          <w:rFonts w:ascii="Arial" w:cs="Arial" w:eastAsia="Arial" w:hAnsi="Arial"/>
          <w:sz w:val="13"/>
          <w:szCs w:val="13"/>
          <w:color w:val="auto"/>
        </w:rPr>
        <w:t>The extent of the impact of the COVID-19 pandemic on our operational and financial performance, including our ability to execute our business strategies and initiatives in the expected time frame, will depend on future developments, including the duration of the pandemic and related restrictions on travel and transports, all of which are uncertain and cannot be predicted. An extended period of global supply chain and economic disruption could have a material adverse effect on our business, results of operations, access to sources of liquidity and financial condition.</w:t>
      </w:r>
    </w:p>
    <w:p>
      <w:pPr>
        <w:spacing w:after="0" w:line="60"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Cyber security risks and the failure to maintain the integrity of data belonging to our company, employees, customers, and independent distributors could expose us to data loss, litigation and liability, and our reputation could be significantly harmed.</w:t>
      </w:r>
    </w:p>
    <w:p>
      <w:pPr>
        <w:spacing w:after="0" w:line="79"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We collect and retain large volumes of data relating to our business and from our customers, independent distributors and employees for business purposes, including for transactional and promotional purposes, and our various information technology systems enter, process, summarize and report such data. The integrity and protection of this data is critical to our business. We are subject to significant security and privacy regulations, as well as requirements imposed by the payment card industry. Maintaining compliance with these evolving regulations and requirements could be difficult and may increase our expenses. In addition, a penetrated or compromised data system or the intentional, inadvertent or negligent release or disclosure of data could result in theft, loss or fraudulent or unlawful use of data relating to our company or our customers, independent distributors and/or employees, which could harm our brand and reputation, disrupt our operations, or result in remedial and other costs, fines or lawsuits, all of which would substantially harm our business and operating results.</w:t>
      </w:r>
    </w:p>
    <w:p>
      <w:pPr>
        <w:spacing w:after="0" w:line="81"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Further, we are subject to changes in the regulatory environment regarding privacy and data protection. Our growth and expansion into a variety of new markets may potentially involve new regulatory issues and requirements. For example, many countries, such as European Union member countries as a result of the General Data Protection Regulation (GDPR) have introduced into local law some form of traffic and user data retention requirements. Compliance with these retention requirements can be difficult and costly from a legal, operational and technical perspective and could harm our business and operational results.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i w:val="1"/>
          <w:iCs w:val="1"/>
          <w:color w:val="auto"/>
        </w:rPr>
        <w:t>We may not be successful in expanding our operations.</w:t>
      </w:r>
    </w:p>
    <w:p>
      <w:pPr>
        <w:spacing w:after="0" w:line="104" w:lineRule="exact"/>
        <w:rPr>
          <w:sz w:val="20"/>
          <w:szCs w:val="20"/>
          <w:color w:val="auto"/>
        </w:rPr>
      </w:pPr>
    </w:p>
    <w:p>
      <w:pPr>
        <w:ind w:right="140" w:firstLine="255"/>
        <w:spacing w:after="0" w:line="262" w:lineRule="auto"/>
        <w:rPr>
          <w:sz w:val="20"/>
          <w:szCs w:val="20"/>
          <w:color w:val="auto"/>
        </w:rPr>
      </w:pPr>
      <w:r>
        <w:rPr>
          <w:rFonts w:ascii="Arial" w:cs="Arial" w:eastAsia="Arial" w:hAnsi="Arial"/>
          <w:sz w:val="13"/>
          <w:szCs w:val="13"/>
          <w:color w:val="auto"/>
        </w:rPr>
        <w:t>We may not be successful in expanding our operations. Although we have been selling our products through our direct selling network since fiscal year 2009, we still may have limited insight into trends, disruptions and other factors that may emerge and affect our business. For example, primarily as a result of the impact of our business of the COVID-19 pandemic, our total revenue has declined each year for the past two fiscal years. In addition, from time to time, we are compelled to terminate one or more of our independent distributors for actions contrary to their contractual obligations with us. In the past, some of these terminations have caused disruption among our independent distributors, and such terminations or resulting disruption in the future may negatively impact our revenue. Additionally, we may not be successful in keeping our leading independent distributors focused and motivated or in aligning their goals with our company goals. We also have limited experience expanding into new geographic markets. This limited experience was a contributing factor to the conduct that led to the independent review conducted by our audit committee in 2016. Although we are seeking to grow our business, if we fail to effectively manage operations in our existing markets and/or expand our operations into additional markets, we may be unable to generate consistent operating profit growth in future periods.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succeed in growing existing markets or opening new markets.</w:t>
      </w:r>
    </w:p>
    <w:p>
      <w:pPr>
        <w:spacing w:after="0" w:line="125" w:lineRule="exact"/>
        <w:rPr>
          <w:sz w:val="20"/>
          <w:szCs w:val="20"/>
          <w:color w:val="auto"/>
        </w:rPr>
      </w:pPr>
    </w:p>
    <w:p>
      <w:pPr>
        <w:ind w:right="60" w:firstLine="255"/>
        <w:spacing w:after="0" w:line="301" w:lineRule="auto"/>
        <w:rPr>
          <w:sz w:val="20"/>
          <w:szCs w:val="20"/>
          <w:color w:val="auto"/>
        </w:rPr>
      </w:pPr>
      <w:r>
        <w:rPr>
          <w:rFonts w:ascii="Arial" w:cs="Arial" w:eastAsia="Arial" w:hAnsi="Arial"/>
          <w:sz w:val="12"/>
          <w:szCs w:val="12"/>
          <w:color w:val="auto"/>
        </w:rPr>
        <w:t>We sell our products in the United States, Mexico, Japan, Australia, Hong Kong, Canada, Thailand, the United Kingdom, the Netherlands, Germany, Taiwan, Austria, Spain, Ireland, Belgium, New Zealand, Singapore, and the Philippines. We also sell our products in a number of countries to customers for personal consumption only. In addition, we sell our products in China through our China approved cross-border e-commerce business model. In fiscal year 2022, we generated approximately 37% of our revenue from our international operations, a majority of which was generated in Japan. We believe that our ability to achieve future growth is dependent in part on our ability to effectively expand into new international markets and grow our existing markets. In some of our international markets, we have experienced unexpected difficulties which have resulted in adverse consequences to our business and financial results, including declining revenue, limitations on in person meetings as a result of the COVID-19 pandemic, and disruption to our business as we implemented changes to our systems and independent distributor enrollment requirements as a result of the independent review conducted by our audit committee in 2016. In addition, the COVID-19 pandemic delayed our plans to also expand into other markets and may adversely impact our plans to expand into new markets in the near future. Our business and financial results may also be negatively impacted if a particular market or new business model, such as our China cross border e-commerce business model, is not widely accepted and adopted. We must overcome significant regulatory and legal barriers before we can begin marketing in any international market. Also, before marketing commences in a new country or market, it is difficult to assess the extent to which our products and sales techniques will be accepted or successful. In addition to significant regulatory barriers, we may also encounter problems conducting operations in new markets with different cultures and legal systems from those encountered elsewhere. We may be required to reformulate one or more of our products before commencing sales of that product in a given country. Once we have entered a market, we must adhere to the regulatory and legal requirements of that market. We may not be able to obtain and retain necessary permits and approvals in new markets, or we may have insufficient capital to finance our expansion efforts in a timely manner.</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independent distributors could fail to comply with applicable legal requirements or our policies and procedures, which could result in claims against us that could harm our business.</w:t>
      </w:r>
    </w:p>
    <w:p>
      <w:pPr>
        <w:spacing w:after="0" w:line="138" w:lineRule="exact"/>
        <w:rPr>
          <w:sz w:val="20"/>
          <w:szCs w:val="20"/>
          <w:color w:val="auto"/>
        </w:rPr>
      </w:pPr>
    </w:p>
    <w:p>
      <w:pPr>
        <w:jc w:val="both"/>
        <w:ind w:right="80" w:firstLine="255"/>
        <w:spacing w:after="0" w:line="267" w:lineRule="auto"/>
        <w:rPr>
          <w:sz w:val="20"/>
          <w:szCs w:val="20"/>
          <w:color w:val="auto"/>
        </w:rPr>
      </w:pPr>
      <w:r>
        <w:rPr>
          <w:rFonts w:ascii="Arial" w:cs="Arial" w:eastAsia="Arial" w:hAnsi="Arial"/>
          <w:sz w:val="14"/>
          <w:szCs w:val="14"/>
          <w:color w:val="auto"/>
        </w:rPr>
        <w:t>Our independent distributors are independent contractors and, accordingly, we are not in a position to directly provide the same oversight, direction and motivation as we would if they were our employees. As a result, there can be no assurance that our independent distributors will comply with applicable laws or regulations or our independent distributor policies and procedures, participate in our marketing strategies or plans, or accept our introduction of new products.</w:t>
      </w:r>
    </w:p>
    <w:p>
      <w:pPr>
        <w:spacing w:after="0" w:line="89" w:lineRule="exact"/>
        <w:rPr>
          <w:sz w:val="20"/>
          <w:szCs w:val="20"/>
          <w:color w:val="auto"/>
        </w:rPr>
      </w:pPr>
    </w:p>
    <w:p>
      <w:pPr>
        <w:ind w:firstLine="255"/>
        <w:spacing w:after="0" w:line="304" w:lineRule="auto"/>
        <w:rPr>
          <w:sz w:val="20"/>
          <w:szCs w:val="20"/>
          <w:color w:val="auto"/>
        </w:rPr>
      </w:pPr>
      <w:r>
        <w:rPr>
          <w:rFonts w:ascii="Arial" w:cs="Arial" w:eastAsia="Arial" w:hAnsi="Arial"/>
          <w:sz w:val="12"/>
          <w:szCs w:val="12"/>
          <w:color w:val="auto"/>
        </w:rPr>
        <w:t>Extensive federal, state, local and international laws regulate our business, products and direct selling activities. Because we have expanded into foreign countries, our policies and procedures for our independent distributors differ slightly in some countries due to the different legal requirements of each country in which we do business. In addition, as we have expanded internationally, some of our independent distributors have carried or shipped our products into countries in which such products are not registered or that otherwise impose stringent restrictions on our direct selling model. While we have taken steps to stop or restrict these sales from occurring, including through our independent distributor policies and procedures, it can be difficult to enforce these policies and procedures because of the large number of independent distributors and their independent status. If relevant regulatory authorities determined that any such independent distributor activities are not compliant with all regulatory requirements, we could be subject to related fines, penalties and other assessments. Activities by our independent distributors that violate applicable laws or regulations could result in government or third-party actions against us, which could harm our business. In addition, violations by our independent distributors of our policies and procedures could reflect negatively on our products and operations and harm our business reputation. Further, it is possible that a court could hold us civilly or criminally accountable based on vicarious liability because of the actions of our independent distributors. In the past, some of our independent distributors have been investigated by government agencies for conduct alleged to have violated the law and our</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t>policies. This type of investigation can have an adverse effect on us even if we are not involved in the independent distributor's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Inability of new products and technological innovations to gain market acceptance by customers and/or independent distributors could harm our business.</w:t>
      </w:r>
    </w:p>
    <w:p>
      <w:pPr>
        <w:spacing w:after="0" w:line="125"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We believe our ability to introduce new products that gain acceptance among our customers and independent distributors is an important part of our ability to grow our revenue in future periods. However, any new products we introduce may not gain market acceptance by customers and/or independent distributors to the extent we anticipate or project. Factors that could affect our ability to introduce new products include, among others, government regulations, the inability to attract and retain qualified research and development staff, the termination of third-party research and collaborative arrangements, proprietary protections of competitors that may limit our ability to offer comparable products and the difficulties in anticipating changes in consumer tastes and buying preferences. In addition, new products we introduce may not be successful or generate substantial sales revenue. The introduction of a new product could also negatively impact other product lines to the extent our independent distributor leaders focus their sales efforts on the new product instead of an existing product. If any of our products fails to gain customer and/or independent distributor acceptance, we could see an increase in product returns.</w:t>
      </w:r>
    </w:p>
    <w:p>
      <w:pPr>
        <w:spacing w:after="0" w:line="98" w:lineRule="exact"/>
        <w:rPr>
          <w:sz w:val="20"/>
          <w:szCs w:val="20"/>
          <w:color w:val="auto"/>
        </w:rPr>
      </w:pPr>
    </w:p>
    <w:p>
      <w:pPr>
        <w:ind w:right="380" w:firstLine="255"/>
        <w:spacing w:after="0" w:line="368" w:lineRule="auto"/>
        <w:rPr>
          <w:sz w:val="20"/>
          <w:szCs w:val="20"/>
          <w:color w:val="auto"/>
        </w:rPr>
      </w:pPr>
      <w:r>
        <w:rPr>
          <w:rFonts w:ascii="Arial" w:cs="Arial" w:eastAsia="Arial" w:hAnsi="Arial"/>
          <w:sz w:val="12"/>
          <w:szCs w:val="12"/>
          <w:color w:val="auto"/>
        </w:rPr>
        <w:t>In addition, we believe our ability to introduce new technologies that gain acceptance among our customers and independent distributors is an important part of our ability to grow our sales revenue in future periods. However, these or other new technologies that we introduce may not gain customer and/or independent distributor acceptance to the extent we anticipate or project.</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stock price may be adversely affected if our internal control over financial reporting is not effective.</w:t>
      </w:r>
    </w:p>
    <w:p>
      <w:pPr>
        <w:spacing w:after="0" w:line="125"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As a public company, we are required to maintain internal controls over financial reporting and to report any material weaknesses in such internal controls. Section 404 of the Sarbanes-Oxley Act of 2002 (the Sarbanes-Oxley Act) requires that we evaluate and determine the effectiveness of our internal controls over financial reporting and provide a management report on the internal controls over financial reporting, which must be attested to by our independent registered public accounting firm.</w:t>
      </w:r>
    </w:p>
    <w:p>
      <w:pPr>
        <w:spacing w:after="0" w:line="89" w:lineRule="exact"/>
        <w:rPr>
          <w:sz w:val="20"/>
          <w:szCs w:val="20"/>
          <w:color w:val="auto"/>
        </w:rPr>
      </w:pPr>
    </w:p>
    <w:p>
      <w:pPr>
        <w:ind w:firstLine="255"/>
        <w:spacing w:after="0" w:line="304" w:lineRule="auto"/>
        <w:rPr>
          <w:sz w:val="20"/>
          <w:szCs w:val="20"/>
          <w:color w:val="auto"/>
        </w:rPr>
      </w:pPr>
      <w:r>
        <w:rPr>
          <w:rFonts w:ascii="Arial" w:cs="Arial" w:eastAsia="Arial" w:hAnsi="Arial"/>
          <w:sz w:val="12"/>
          <w:szCs w:val="12"/>
          <w:color w:val="auto"/>
        </w:rPr>
        <w:t>In September 2016, our audit committee, with the assistance of outside legal counsel, commenced an independent review related to the distribution of our products into countries outside the U.S. in which such products are not registered or that otherwise impose stringent restrictions on our direct selling model, and the associated revenue and tax and other accruals associated with such sales. Based on its review, the audit committee determined that we had sold our products to independent distributors who carried or shipped such products primarily into four countries outside the U.S. in which those products are not registered or that otherwise impose stringent restrictions on our direct selling model and that we had allowed individuals who were resident in countries that impose stringent restrictions on our direct selling model to enroll as our independent distributors. Accordingly, we concluded that we had a material weakness in our internal control over financial reporting related to our business policies, practices, monitoring and training governing our international business operations, including the sale and distribution of our products in international markets.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also evaluated the effectiveness of the design and operation of our disclosure controls and procedures as of June 30, 2016 and concluded that our disclosure controls and procedures were not effective as of that date, because of the material weakness in our internal control over financial reporting.</w:t>
      </w:r>
    </w:p>
    <w:p>
      <w:pPr>
        <w:spacing w:after="0" w:line="61"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We adopted various measures that were designed to remediate the material weakness in our internal control over financial reporting, including the development and implementation of new control policies and procedures regarding the international business policies, practices, monitoring and training for each country outside the U.S. in which we do business. However, we cannot be assured that significant deficiencies or material weaknesses in our internal control over financial reporting will not exist in the future. Any failure to maintain or implement required new or improved controls, or any difficulties we encounter in their implementation, could result in significant deficiencies or material weaknesses, cause us to fail to timely meet our periodic reporting obligations, or result in material misstatements in our financial statements. Any such failure could also adversely affect the results of periodic management evaluations and annual auditor attestation reports regarding disclosure controls and the effectiveness of our internal control over financial reporting required under Section 404 of the Sarbanes-Oxley Act of 2002 and the rules promulgated thereunder. The existence of a material weakness could result in errors in our financial statements that could result in a restatement of financial statements, cause us to fail to timely meet our reporting obligations and cause investors to lose confidence in our reported financial information, leading to a decline in our stock price.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i w:val="1"/>
          <w:iCs w:val="1"/>
          <w:color w:val="auto"/>
        </w:rPr>
        <w:t>Our business could be negatively impacted if we fail to execute our product launch process due to increased pressure on our supply chain, information systems and management.</w:t>
      </w:r>
    </w:p>
    <w:p>
      <w:pPr>
        <w:spacing w:after="0" w:line="126"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Although our product launch process may vary by market, we generally introduce new products to our customers and independent distributors through live events or cyber launches, limited-time offers and promotions. The limited-time offers typically generate significant activity and a high level of purchasing, which may result in a higher than normal increase in sales revenue during the quarter of the limited-time offer and skew year-over-year and sequential comparisons. We may experience difficulty effectively managing growth associated with these limited-time offers. In addition, the size and condensed schedule of these product launches increases pressure on our supply chain. If we are unable to accurately forecast sales levels in each market, obtain sufficient ingredients or produce a sufficient supply to meet demand, we may incur higher expedited shipping costs and we may temporarily run out of stock of certain products, which could negatively impact the enthusiasm of our independent distributors and their customers. Conversely, if demand does not meet our expectations for a product launch, we could incur increased inventory write-offs. Any inventory write-off would negatively impact our gross margins. In addition, our order processing systems could have difficulties handling the high volume of orders generated by limited-time offers. Although our previous limited-time offers have not materially affected our product return rate, these events may increase our product return rate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may be harmed if we are unable to appropriately manage our inventory.</w:t>
      </w:r>
    </w:p>
    <w:p>
      <w:pPr>
        <w:spacing w:after="0" w:line="125"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In the past, we have experienced difficulties in appropriately managing our inventory. For example, when we launched our PhysIQ product line in December 2015, we experienced higher than expected demand and did not have sufficient inventory to meet demand. Subsequently, our inventory balances increased significantly, causing us to engage in a deliberate effort to manage our inventory balances down to levels we viewed as appropriate. We review all inventory items quarterly for obsolescence, and when items become obsolete or are expired we write down our inventory accordingly. If we are unable to sell our inventory in a timely manner, we may experience additional inventory obsolescence charges, including for finished products in inventory that have expired. If we are unable to appropriately manage our inventory balances, our business may be harmed.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our information technology systems to manage numerous aspects of our business, and a disruption in these systems could adversely affect our business.</w:t>
      </w:r>
    </w:p>
    <w:p>
      <w:pPr>
        <w:spacing w:after="0" w:line="125"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We depend on our information technology, or IT, systems to manage numerous aspects of our business, including our finance and accounting transactions, to manage our independent distributor sales compensation plan and to provide analytical information to management. Our IT systems are an essential component of our business and growth strategies, and a serious disruption to our IT systems could significantly limit our ability to manage and operate our business efficiently. These systems are vulnerable to, among other things, damage and interruption from power loss or natural disasters, computer system and network failures, loss of telecommunications services, physical and electronic loss of data, security breaches and computer viruses. Any disruption could cause our business and competitive position to suffer and adversely affect our business and operating results. In addition, if we experience future growth, we will need to scale or change some of our systems to accommodate the increasing number of independent distributors and their customers.</w:t>
      </w:r>
    </w:p>
    <w:p>
      <w:pPr>
        <w:spacing w:after="0" w:line="81" w:lineRule="exact"/>
        <w:rPr>
          <w:sz w:val="20"/>
          <w:szCs w:val="20"/>
          <w:color w:val="auto"/>
        </w:rPr>
      </w:pPr>
    </w:p>
    <w:p>
      <w:pPr>
        <w:ind w:right="560"/>
        <w:spacing w:after="0" w:line="281" w:lineRule="auto"/>
        <w:rPr>
          <w:sz w:val="20"/>
          <w:szCs w:val="20"/>
          <w:color w:val="auto"/>
        </w:rPr>
      </w:pPr>
      <w:r>
        <w:rPr>
          <w:rFonts w:ascii="Arial" w:cs="Arial" w:eastAsia="Arial" w:hAnsi="Arial"/>
          <w:sz w:val="14"/>
          <w:szCs w:val="14"/>
          <w:b w:val="1"/>
          <w:bCs w:val="1"/>
          <w:i w:val="1"/>
          <w:iCs w:val="1"/>
          <w:color w:val="auto"/>
        </w:rPr>
        <w:t>A substantial portion of our business is conducted in foreign markets, exposing us to the risks of trade or foreign exchange restrictions, increased tariffs, foreign currency fluctuations, disruptions or conflicts with our third-party importers and similar risks associated with foreign operations.</w:t>
      </w:r>
    </w:p>
    <w:p>
      <w:pPr>
        <w:spacing w:after="0" w:line="69" w:lineRule="exact"/>
        <w:rPr>
          <w:sz w:val="20"/>
          <w:szCs w:val="20"/>
          <w:color w:val="auto"/>
        </w:rPr>
      </w:pPr>
    </w:p>
    <w:p>
      <w:pPr>
        <w:ind w:firstLine="255"/>
        <w:spacing w:after="0" w:line="277" w:lineRule="auto"/>
        <w:rPr>
          <w:sz w:val="20"/>
          <w:szCs w:val="20"/>
          <w:color w:val="auto"/>
        </w:rPr>
      </w:pPr>
      <w:r>
        <w:rPr>
          <w:rFonts w:ascii="Arial" w:cs="Arial" w:eastAsia="Arial" w:hAnsi="Arial"/>
          <w:sz w:val="13"/>
          <w:szCs w:val="13"/>
          <w:color w:val="auto"/>
        </w:rPr>
        <w:t>Global economic conditions continue to be challenging and unpredictable. A substantial portion of our sales are generated outside the United States. If we are successful in entering additional foreign markets, we anticipate that the percentage of our sales generated outside the United States will increase. There are substantial risks associated with foreign operations. For example, a foreign government may impose trade or foreign exchange restrictions, increased tariffs or other legal, tax, customs or other financial burdens on us or our independent distributors, due, for example, to the structure of our operations in various markets. Any such actions could negatively impact our operations and financial results. We are also exposed to risks associated with foreign currency fluctuations. For instance, in preparing our financial statements, we translate revenue and expenses in our markets outside the United States from their local currencies into U.S. Dollars using weighted average exchange rates. If the U.S. Dollar strengthens relative to local currencies, our reported revenue, gross profit and net income will likely be reduced. Foreign currency fluctuations can also result in losses and gains resulting from translation of foreign currency denominated balances on our balance sheet. Additionally, purchases from suppliers are generally made in U.S. Dollars while sales to customers and independent distributors are generally made in local currencies. Accordingly, strengthening of the U.S. Dollar versus a foreign currency could have a negative impact on us. Specifically, because a significant percentage of our revenue is generated in Japan, strengthening of the U.S. Dollar versus the Japanese yen has had and, in the future, could have an adverse impact on our financial results. Although we may engage in transactions intended to reduce our exposure to foreign currency fluctuations, there can be no assurance that these transactions will be effective. Given the complex global political and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27" w:name="page28"/>
    <w:bookmarkEnd w:id="27"/>
    <w:p>
      <w:pPr>
        <w:ind w:right="260"/>
        <w:spacing w:after="0" w:line="281" w:lineRule="auto"/>
        <w:rPr>
          <w:sz w:val="20"/>
          <w:szCs w:val="20"/>
          <w:color w:val="auto"/>
        </w:rPr>
      </w:pPr>
      <w:r>
        <w:rPr>
          <w:rFonts w:ascii="Arial" w:cs="Arial" w:eastAsia="Arial" w:hAnsi="Arial"/>
          <w:sz w:val="14"/>
          <w:szCs w:val="14"/>
          <w:color w:val="auto"/>
        </w:rPr>
        <w:t>economic dynamics that affect exchange rate fluctuations, it is difficult to predict future fluctuations and the effect these fluctuations may have upon future reported results or our overall financial condition.</w:t>
      </w:r>
    </w:p>
    <w:p>
      <w:pPr>
        <w:spacing w:after="0" w:line="69" w:lineRule="exact"/>
        <w:rPr>
          <w:sz w:val="20"/>
          <w:szCs w:val="20"/>
          <w:color w:val="auto"/>
        </w:rPr>
      </w:pPr>
    </w:p>
    <w:p>
      <w:pPr>
        <w:ind w:right="360" w:firstLine="255"/>
        <w:spacing w:after="0" w:line="281" w:lineRule="auto"/>
        <w:rPr>
          <w:sz w:val="20"/>
          <w:szCs w:val="20"/>
          <w:color w:val="auto"/>
        </w:rPr>
      </w:pPr>
      <w:r>
        <w:rPr>
          <w:rFonts w:ascii="Arial" w:cs="Arial" w:eastAsia="Arial" w:hAnsi="Arial"/>
          <w:sz w:val="14"/>
          <w:szCs w:val="14"/>
          <w:color w:val="auto"/>
        </w:rPr>
        <w:t>Additionally, we may be negatively impacted by conflicts with or disruptions caused or faced by third party importers, as well as conflicts between such importers and local governments or regulatory agencies. Our operations in some markets also may be adversely affected by political, economic and social instability in foreign countries.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to expand our product offerings, we may need to raise additional capital.</w:t>
      </w:r>
    </w:p>
    <w:p>
      <w:pPr>
        <w:spacing w:after="0" w:line="125" w:lineRule="exact"/>
        <w:rPr>
          <w:sz w:val="20"/>
          <w:szCs w:val="20"/>
          <w:color w:val="auto"/>
        </w:rPr>
      </w:pPr>
    </w:p>
    <w:p>
      <w:pPr>
        <w:jc w:val="both"/>
        <w:ind w:right="300" w:firstLine="255"/>
        <w:spacing w:after="0" w:line="267" w:lineRule="auto"/>
        <w:rPr>
          <w:sz w:val="20"/>
          <w:szCs w:val="20"/>
          <w:color w:val="auto"/>
        </w:rPr>
      </w:pPr>
      <w:r>
        <w:rPr>
          <w:rFonts w:ascii="Arial" w:cs="Arial" w:eastAsia="Arial" w:hAnsi="Arial"/>
          <w:sz w:val="14"/>
          <w:szCs w:val="14"/>
          <w:color w:val="auto"/>
        </w:rPr>
        <w:t>We intend to continue our efforts to expand our product portfolio and may seek to do so by acquiring products by license or through product or company acquisitions. If cash generated from operations is insufficient to satisfy our requirements in this regard, we may need to raise additional capital, which may be dilutive to our existing stockholders. If we are unable to raise additional required capital in a timely manner, we could be forced to reduce our growth plans.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2"/>
          <w:szCs w:val="12"/>
          <w:b w:val="1"/>
          <w:bCs w:val="1"/>
          <w:i w:val="1"/>
          <w:iCs w:val="1"/>
          <w:color w:val="auto"/>
        </w:rPr>
        <w:t>Inability to comply with financial covenants imposed by our credit facility and the impact of debt service obligations and restrictive covenants could impede our operations and flexibility.</w:t>
      </w:r>
    </w:p>
    <w:p>
      <w:pPr>
        <w:spacing w:after="0" w:line="148" w:lineRule="exact"/>
        <w:rPr>
          <w:sz w:val="20"/>
          <w:szCs w:val="20"/>
          <w:color w:val="auto"/>
        </w:rPr>
      </w:pPr>
    </w:p>
    <w:p>
      <w:pPr>
        <w:ind w:right="20" w:firstLine="255"/>
        <w:spacing w:after="0" w:line="278" w:lineRule="auto"/>
        <w:rPr>
          <w:sz w:val="20"/>
          <w:szCs w:val="20"/>
          <w:color w:val="auto"/>
        </w:rPr>
      </w:pPr>
      <w:r>
        <w:rPr>
          <w:rFonts w:ascii="Arial" w:cs="Arial" w:eastAsia="Arial" w:hAnsi="Arial"/>
          <w:sz w:val="13"/>
          <w:szCs w:val="13"/>
          <w:color w:val="auto"/>
        </w:rPr>
        <w:t>We entered into a Financing Agreement in March 2016, which was subsequently amended in May 2018 and February 2019, that provides for a credit facility consisting of a term loan in an aggregate principal amount of $10 million and a revolving loan facility in an aggregate principal amount not to exceed $5 million. During the fiscal year ended June 30, 2020, we repaid, in full, the remaining balance of the 2016 Term Loan. The revolving loan facility was again amended in April 2021 to extend the maturity date to March 2024. As of June 30, 2022 and 2021, there is no outstanding balance on the revolving loan facility. The principal amount of any borrowings under the credit facility is repayable in consecutive quarterly installments. We expect to generate the cash necessary to pay any future principal and interest on the credit facility from our cash flows provided by operating activities. However, our ability to meet our debt service obligations will depend on our future performance, which may be affected by financial, business, economic, demographic and other factors. If we do not have enough money to pay our debt service obligations, we may be required to refinance all or part of our debt, sell assets, borrow more money or raise cash through the sale of equity. In such an event, we may not be able to refinance our debt, sell assets, borrow more money or raise cash through the sale of equity on terms acceptable to us or at all. Also, our ability to carry out any of these activities on favorable terms, if at all, may be further impacted by any financial or credit crisis which may limit access to the credit markets and increase the cost of capital.</w:t>
      </w:r>
    </w:p>
    <w:p>
      <w:pPr>
        <w:spacing w:after="0" w:line="86"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The credit facility is secured by a lien on substantially all of our assets, and the assets of our subsidiaries, and contains customary covenants, including affirmative and negative covenants, that restrict our ability to incur or guarantee additional indebtedness, declare or pay dividends on or redeem capital stock, make other payments to holders of our equity interests, make certain investments, purchase or otherwise acquire all or substantially all the assets or equity interests of other companies, sell our assets and enter into consolidations, mergers or transfers of all or substantially all of our assets. The credit facility requires that we maintain specified financial ratios and satisfy certain financial condition tests and meet certain informational requirements in order to draw on the revolving loan facility, if needed. Our ability to meet these financial ratios and tests and informational requirements can be affected by events beyond our control and we may be unable to meet these ratios and tests and informational requirements. A breach of any of the covenants, ratios, tests or restrictions imposed by the credit facility would result in an event of default and the lender could declare any and all amounts outstanding under the credit facility to be immediately due and payable or limit our ability to draw on the revolving loan facility. Our assets may not be sufficient to repay the indebtedness if the lenders accelerate our repayment of the indebtedness under the credit facility.</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 and Industry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primarily depend on a few products for our revenue.</w:t>
      </w:r>
    </w:p>
    <w:p>
      <w:pPr>
        <w:spacing w:after="0" w:line="121" w:lineRule="exact"/>
        <w:rPr>
          <w:sz w:val="20"/>
          <w:szCs w:val="20"/>
          <w:color w:val="auto"/>
        </w:rPr>
      </w:pPr>
    </w:p>
    <w:p>
      <w:pPr>
        <w:ind w:right="240" w:firstLine="255"/>
        <w:spacing w:after="0" w:line="226" w:lineRule="auto"/>
        <w:rPr>
          <w:sz w:val="20"/>
          <w:szCs w:val="20"/>
          <w:color w:val="auto"/>
        </w:rPr>
      </w:pPr>
      <w:r>
        <w:rPr>
          <w:rFonts w:ascii="Arial" w:cs="Arial" w:eastAsia="Arial" w:hAnsi="Arial"/>
          <w:sz w:val="14"/>
          <w:szCs w:val="14"/>
          <w:color w:val="auto"/>
        </w:rPr>
        <w:t>Although we generate revenue through the sale of other products, we primarily rely on our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lines for our revenue, which collectively represent approximately 76.8% of our total revenue. We do not currently have a diversified portfolio of other products that we could rely on to support our operations if we were to experience any difficulty with the manufacture, marketing, sale or distribution of these product lines. If we are unable to sustain or increase the price or sales levels for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lines, our business could be harmed.</w:t>
      </w:r>
    </w:p>
    <w:p>
      <w:pPr>
        <w:spacing w:after="0" w:line="97"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b w:val="1"/>
          <w:bCs w:val="1"/>
          <w:i w:val="1"/>
          <w:iCs w:val="1"/>
          <w:color w:val="auto"/>
        </w:rPr>
        <w:t>If we are unable to retain our existing customers and independent distributors or attract additional customers and independent distributors, our revenue will not increase and may decline further.</w:t>
      </w:r>
    </w:p>
    <w:p>
      <w:pPr>
        <w:spacing w:after="0" w:line="111"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Our customers may cease purchasing product at any time and for any reason. Our independent distributors may terminate their services at any time, and we can and have in the past terminated distributors for conduct violative of our policies and procedures. As such, like most direct selling companies, we have experienced and are likely to continue to experience turnover among both customers and independent distributors. Over the past two years, we have seen a decrease in the number of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8" w:name="page29"/>
    <w:bookmarkEnd w:id="28"/>
    <w:p>
      <w:pPr>
        <w:ind w:right="60"/>
        <w:spacing w:after="0" w:line="331" w:lineRule="auto"/>
        <w:rPr>
          <w:sz w:val="20"/>
          <w:szCs w:val="20"/>
          <w:color w:val="auto"/>
        </w:rPr>
      </w:pPr>
      <w:r>
        <w:rPr>
          <w:rFonts w:ascii="Arial" w:cs="Arial" w:eastAsia="Arial" w:hAnsi="Arial"/>
          <w:sz w:val="12"/>
          <w:szCs w:val="12"/>
          <w:color w:val="auto"/>
        </w:rPr>
        <w:t>domestic independent distributors. The departure for any reason of one of our leading independent distributors can be a major disruption to other independent distributors and can have a significant negative impact on our sales and operating results. Independent distributors who join our Company to purchase our products for personal consumption or for short-term income goals may only stay with us for a short time. While we take steps to help train, motivate, and retain independent distributors, we cannot accurately predict the number or sales productivity of our independent distributors.</w:t>
      </w:r>
    </w:p>
    <w:p>
      <w:pPr>
        <w:spacing w:after="0" w:line="44" w:lineRule="exact"/>
        <w:rPr>
          <w:sz w:val="20"/>
          <w:szCs w:val="20"/>
          <w:color w:val="auto"/>
        </w:rPr>
      </w:pPr>
    </w:p>
    <w:p>
      <w:pPr>
        <w:ind w:right="80" w:firstLine="255"/>
        <w:spacing w:after="0" w:line="321" w:lineRule="auto"/>
        <w:rPr>
          <w:sz w:val="20"/>
          <w:szCs w:val="20"/>
          <w:color w:val="auto"/>
        </w:rPr>
      </w:pPr>
      <w:r>
        <w:rPr>
          <w:rFonts w:ascii="Arial" w:cs="Arial" w:eastAsia="Arial" w:hAnsi="Arial"/>
          <w:sz w:val="13"/>
          <w:szCs w:val="13"/>
          <w:color w:val="auto"/>
        </w:rPr>
        <w:t>Our operating results will be harmed if we and our independent distributor leaders do not generate sufficient interest in our business to retain existing customers and independent distributors and attract new customers and independent distributors. The number and sales productivity of our independent distributors could be harmed by several factors, including:</w:t>
      </w:r>
    </w:p>
    <w:p>
      <w:pPr>
        <w:spacing w:after="0" w:line="56"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adverse publicity regarding us, our products, our distribution channel, or our competitors;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non-compliance by our independent distributors with applicable legal requirements or our policies and procedures;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lack of interest in existing or new products or their failure to achieve desired sales results;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lack of a compelling business opportunity sufficient to generate the interest and commitment of new independent distributors;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changes we might make to our independent distributor sales compensation plan;</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negative public perception of our Company or our products or their ingredients;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negative public perception of our independent distributors and direct selling business in general;</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actions to enforce our policies and procedures;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efforts to sell our products through competitive channels;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regulatory actions or charges against us or others in our industry;</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challenges resulting from the COVID-19 pandemic, including illness among our distributor base and their families;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general economic and business conditions.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High quality materials for our products may be difficult to obtain or expensive.</w:t>
      </w:r>
    </w:p>
    <w:p>
      <w:pPr>
        <w:spacing w:after="0" w:line="125"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Raw materials account for a significant portion of our manufacturing costs and we rely on third-party suppliers to provide raw materials. Suppliers may be unable or unwilling to provide the raw materials our manufacturers need in the quantities requested, at a price we are willing to pay, or that meet our quality standards. We are also subject to potential delays in the delivery of raw materials caused by events beyond our control, including the COVID-19 pandemic, labor disputes, transportation interruptions and changes in government regulations. Our business could be adversely affected if we are unable to obtain a reliable source of any of the raw materials used in the manufacturing of our products that meets our quality standards. Additionally, if demand for our products exceeds our forecasts, we may have difficulties in obtaining additional raw materials in time to meet the excess demand. Any significant delay in or disruption of the supply of raw materials could, among other things, substantially increase the cost of such materials, require reformulation or repackaging of products, require the qualification of new suppliers, or result in our inability to meet customer demands.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Although our independent distributors are independent contractors, improper actions by independent distributors that violate laws or regulations could harm our business.</w:t>
      </w:r>
    </w:p>
    <w:p>
      <w:pPr>
        <w:spacing w:after="0" w:line="137"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Our independent distributors are not employees and act independent of us. However, activities by our independent distributors that allegedly violate applicable laws or regulations could result in government or third-party actions against us, which could harm our business. Our independent distributors agree to abide by our policies and procedures which are designed to ensure our independent distributors will comply with legal requirements. We have a distributor compliance department that addresses violations of our independent distributors when they become known to us. However, given the size of our independent distributor network, we experience problems with independent distributors violating our policies and procedures from time to time and are not always able to discover or remedy such violations.</w:t>
      </w:r>
    </w:p>
    <w:p>
      <w:pPr>
        <w:spacing w:after="0" w:line="83"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One of our most significant areas of risk with respect to independent distributor activities relates to improper product claims and claims regarding the distributor business opportunity of being an independent distributor. Any determination by the Food and Drug Administration, Federal Trade Commission, any state agency or other similar governmental agency outside the United States that we or our independent distributors are not in compliance with applicable laws could materially harm our business. Even if governmental actions do not result in rulings or orders against us, they could create negative publicity that</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29" w:name="page30"/>
    <w:bookmarkEnd w:id="29"/>
    <w:p>
      <w:pPr>
        <w:ind w:right="40"/>
        <w:spacing w:after="0" w:line="307" w:lineRule="auto"/>
        <w:rPr>
          <w:sz w:val="20"/>
          <w:szCs w:val="20"/>
          <w:color w:val="auto"/>
        </w:rPr>
      </w:pPr>
      <w:r>
        <w:rPr>
          <w:rFonts w:ascii="Arial" w:cs="Arial" w:eastAsia="Arial" w:hAnsi="Arial"/>
          <w:sz w:val="12"/>
          <w:szCs w:val="12"/>
          <w:color w:val="auto"/>
        </w:rPr>
        <w:t>could detrimentally affect our efforts to recruit or motivate independent distributors and attract customers or lead to consumer lawsuits against us. When we experience growth in the number of our independent distributors, we have seen an increase in sales aids and promotional material being produced by independent distributors and distributor groups in some markets. This places an increased burden on us to monitor compliance of such materials and increases the risk that such materials could contain problematic product, marketing, or business opportunity claims in violation of our policies and applicable regulations. As we expand internationally, our independent distributors sometimes attempt to anticipate additional new markets that we may enter in the future and begin marketing and sponsoring activities in markets where we are not qualified to conduct business. For example, some of our independent distributors have carried or shipped our products into countries in which such products are not registered or that otherwise impose stringent restrictions on our direct selling model. These or other activities by our independent distributors that violate applicable laws or regulations could subject us to legal or regulatory claims or actions, which could result in fines, penalties or negative publicity, any of which could have an adverse impact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dependent upon third parties to manufacture our products.</w:t>
      </w:r>
    </w:p>
    <w:p>
      <w:pPr>
        <w:spacing w:after="0" w:line="125" w:lineRule="exact"/>
        <w:rPr>
          <w:sz w:val="20"/>
          <w:szCs w:val="20"/>
          <w:color w:val="auto"/>
        </w:rPr>
      </w:pPr>
    </w:p>
    <w:p>
      <w:pPr>
        <w:ind w:right="260" w:firstLine="255"/>
        <w:spacing w:after="0" w:line="260" w:lineRule="auto"/>
        <w:rPr>
          <w:sz w:val="20"/>
          <w:szCs w:val="20"/>
          <w:color w:val="auto"/>
        </w:rPr>
      </w:pPr>
      <w:r>
        <w:rPr>
          <w:rFonts w:ascii="Arial" w:cs="Arial" w:eastAsia="Arial" w:hAnsi="Arial"/>
          <w:sz w:val="14"/>
          <w:szCs w:val="14"/>
          <w:color w:val="auto"/>
        </w:rPr>
        <w:t>We currently rely on third parties to manufacture the products we sell. We are dependent on the uninterrupted and efficient operation of third-party manufacturers’ facilities. We currently use multiple third-party manufacturers for our products. If any of our current manufacturers are unable or unwilling, including as a result of the COVID-19 pandemic, to fulfill our manufacturing requirements or seek to impose unfavorable terms, we will likely have to seek out other manufacturers, which could disrupt our operations and we may not be successful in finding alternative manufacturing resources. In addition, competitors who perform their own manufacturing may have an advantage over us with respect to pricing, availability of product, and in other areas through their control of the manufacturing process.</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Disruptions to or significantly increased costs associated with transportation and other distribution channels for our products may adversely affect our margins and profitability.</w:t>
      </w:r>
    </w:p>
    <w:p>
      <w:pPr>
        <w:spacing w:after="0" w:line="126" w:lineRule="exact"/>
        <w:rPr>
          <w:sz w:val="20"/>
          <w:szCs w:val="20"/>
          <w:color w:val="auto"/>
        </w:rPr>
      </w:pPr>
    </w:p>
    <w:p>
      <w:pPr>
        <w:ind w:right="40" w:firstLine="255"/>
        <w:spacing w:after="0" w:line="313" w:lineRule="auto"/>
        <w:rPr>
          <w:sz w:val="20"/>
          <w:szCs w:val="20"/>
          <w:color w:val="auto"/>
        </w:rPr>
      </w:pPr>
      <w:r>
        <w:rPr>
          <w:rFonts w:ascii="Arial" w:cs="Arial" w:eastAsia="Arial" w:hAnsi="Arial"/>
          <w:sz w:val="12"/>
          <w:szCs w:val="12"/>
          <w:color w:val="auto"/>
        </w:rPr>
        <w:t>We generally rely on the uninterrupted and efficient operation of third-party logistics companies to transport and deliver our products. These third-party logistics companies may experience disruptions to the transportation channels used to distribute our products, including disruptions caused by the COVID-19 pandemic, increased airport and shipping port congestion, a lack of transportation capacity, increased fuel expenses, and a shortage of manpower. Disruptions to the transportation channels experienced by our third-party logistics companies may result in increased costs, including the additional use of airfreight to meet demand. In addition, for our China cross-border e-commerce business model, we rely on a third party to process transactions, fulfill orders, and manage logistic and money flows. Disruptions to this business model or our relationship with the third party if, for example, performance fails to meet our expectations, could harm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related to product recalls.</w:t>
      </w:r>
    </w:p>
    <w:p>
      <w:pPr>
        <w:spacing w:after="0" w:line="125" w:lineRule="exact"/>
        <w:rPr>
          <w:sz w:val="20"/>
          <w:szCs w:val="20"/>
          <w:color w:val="auto"/>
        </w:rPr>
      </w:pPr>
    </w:p>
    <w:p>
      <w:pPr>
        <w:ind w:right="80" w:firstLine="255"/>
        <w:spacing w:after="0" w:line="254" w:lineRule="auto"/>
        <w:rPr>
          <w:sz w:val="20"/>
          <w:szCs w:val="20"/>
          <w:color w:val="auto"/>
        </w:rPr>
      </w:pPr>
      <w:r>
        <w:rPr>
          <w:rFonts w:ascii="Arial" w:cs="Arial" w:eastAsia="Arial" w:hAnsi="Arial"/>
          <w:sz w:val="13"/>
          <w:szCs w:val="13"/>
          <w:color w:val="auto"/>
        </w:rPr>
        <w:t>We have implemented measures in our manufacturing process that are designed to prevent and detect defects in our products, including contaminants. However, such measures may not prevent or reveal defects or detect contaminants in our products and such defects and contaminants may not become apparent until after our products have been sold into the market. Accordingly, there is a risk that product defects will occur, or that our products will contain foreign contaminants, and that such defects and contaminants will require a product recall. We do not maintain product recall insurance. In the past, we commenced a voluntary recall of certain lots of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 alleviate safety concerns related to certain batches of turmeric extract, an ingredient in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we purchase from third-party suppliers. Product recalls and subsequent remedial actions can be expensive to implement and could have a material adverse effect on our business, results of operations and financial condition. In addition, product recalls could result in negative publicity and public concerns regarding the safety of our products, either of which could harm the reputation of our products and our business and could cause the market value of our common stock to decline.</w:t>
      </w:r>
    </w:p>
    <w:p>
      <w:pPr>
        <w:spacing w:after="0" w:line="90" w:lineRule="exact"/>
        <w:rPr>
          <w:sz w:val="20"/>
          <w:szCs w:val="20"/>
          <w:color w:val="auto"/>
        </w:rPr>
      </w:pPr>
    </w:p>
    <w:p>
      <w:pPr>
        <w:ind w:firstLine="255"/>
        <w:spacing w:after="0" w:line="331" w:lineRule="auto"/>
        <w:rPr>
          <w:sz w:val="20"/>
          <w:szCs w:val="20"/>
          <w:color w:val="auto"/>
        </w:rPr>
      </w:pPr>
      <w:r>
        <w:rPr>
          <w:rFonts w:ascii="Arial" w:cs="Arial" w:eastAsia="Arial" w:hAnsi="Arial"/>
          <w:sz w:val="12"/>
          <w:szCs w:val="12"/>
          <w:color w:val="auto"/>
        </w:rPr>
        <w:t>The events that lead to and followed our voluntary product recall in December 2012 strained our relationships with some of our third-party manufacturers. Additionally, following the voluntary recall we implemented more stringent measures, including several redundant measures, in our manufacturing process to detect contaminants. Third-party manufacturers may be reluctant to implement these redundant measures, may refuse to manufacture our products, and additional safety measures such as these may increase our cost of goods sold and strain our relationships with manufacturers.</w:t>
      </w:r>
    </w:p>
    <w:p>
      <w:pPr>
        <w:spacing w:after="0" w:line="55"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Laws and regulations may prohibit or severely restrict direct selling and cause our revenue and profitability to decline, and regulators could adopt new regulations that negatively impact our business.</w:t>
      </w:r>
    </w:p>
    <w:p>
      <w:pPr>
        <w:spacing w:after="0" w:line="7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Various government agencies throughout the world regulate direct selling practices. The laws and regulations applicable to us and our independent distributors in Japan are particularly stringent. These laws and regulations are generally intended to prevent fraudulent or deceptive schemes, often referred to as “pyramid” schemes, which compensate participants primarily for recruiting additional participants without significant emphasis on the sale of product to end consumers. The laws and regulations in some of our markets impose cancellations, product returns, inventory buy-backs and cooling-off rights for our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0" w:name="page31"/>
    <w:bookmarkEnd w:id="30"/>
    <w:p>
      <w:pPr>
        <w:ind w:right="20"/>
        <w:spacing w:after="0" w:line="267" w:lineRule="auto"/>
        <w:rPr>
          <w:sz w:val="20"/>
          <w:szCs w:val="20"/>
          <w:color w:val="auto"/>
        </w:rPr>
      </w:pPr>
      <w:r>
        <w:rPr>
          <w:rFonts w:ascii="Arial" w:cs="Arial" w:eastAsia="Arial" w:hAnsi="Arial"/>
          <w:sz w:val="14"/>
          <w:szCs w:val="14"/>
          <w:color w:val="auto"/>
        </w:rPr>
        <w:t>independent distributors and/or customers. Excessive refunds and/or product returns pursuant to local laws and regulations could have a negative impact on our operating results. Complying with these rules and regulations can be difficult and requires the devotion of significant resources on our part. We may not be able to continue business in existing markets or commence operations in new markets if we are unable to comply with these laws or adjust to changes in these laws.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publicity could materially harm our business.</w:t>
      </w:r>
    </w:p>
    <w:p>
      <w:pPr>
        <w:spacing w:after="0" w:line="125" w:lineRule="exact"/>
        <w:rPr>
          <w:sz w:val="20"/>
          <w:szCs w:val="20"/>
          <w:color w:val="auto"/>
        </w:rPr>
      </w:pPr>
    </w:p>
    <w:p>
      <w:pPr>
        <w:ind w:right="140" w:firstLine="255"/>
        <w:spacing w:after="0" w:line="282" w:lineRule="auto"/>
        <w:rPr>
          <w:sz w:val="20"/>
          <w:szCs w:val="20"/>
          <w:color w:val="auto"/>
        </w:rPr>
      </w:pPr>
      <w:r>
        <w:rPr>
          <w:rFonts w:ascii="Arial" w:cs="Arial" w:eastAsia="Arial" w:hAnsi="Arial"/>
          <w:sz w:val="13"/>
          <w:szCs w:val="13"/>
          <w:color w:val="auto"/>
        </w:rPr>
        <w:t>We are highly dependent upon consumers' perceptions of the safety, quality, and efficacy of our products, as well as competitive products distributed by other companies. In the past, we have experienced negative publicity that has harmed our business. Critics of our industry and other individuals whose interests are not aligned with our interests, have in the past and may in the future utilize the Internet, the press and other means to publish criticism of the industry, our company, our products and our competitors, or make allegations regarding our business and operations, or the business and operations of our competitors. For instance, several prominent companies in our industry have been targeted by short sellers who profit if a company's stock price decreases. One such company was targeted by a short seller who, after taking a significant short position, publicly made allegations regarding the legality of the company's direct selling model. Short sellers have an incentive to publicly criticize our industry and business model and any such criticism may adversely affect our stock price.</w:t>
      </w:r>
    </w:p>
    <w:p>
      <w:pPr>
        <w:spacing w:after="0" w:line="81"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Future scientific research or publicity may not be favorable to our industry or any particular product. Because of our dependence upon consumer perceptions, adverse publicity associated with illness or other adverse effects resulting or claimed to have resulted from the consumption or use of our products or any similar products distributed by other companies could have a material adverse impact on us. Such adverse publicity could arise even if the claims are unsubstantiated or if the adverse effects associated with such products resulted from failure to consume or use such products as directed. Adverse publicity could also increase our product liability exposure, result in increased regulatory scrutiny and lead to the initiation of private lawsuits.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risks related to a Global Not For Resale Program</w:t>
      </w:r>
    </w:p>
    <w:p>
      <w:pPr>
        <w:spacing w:after="0" w:line="125" w:lineRule="exact"/>
        <w:rPr>
          <w:sz w:val="20"/>
          <w:szCs w:val="20"/>
          <w:color w:val="auto"/>
        </w:rPr>
      </w:pPr>
    </w:p>
    <w:p>
      <w:pPr>
        <w:ind w:right="120" w:firstLine="255"/>
        <w:spacing w:after="0" w:line="297" w:lineRule="auto"/>
        <w:rPr>
          <w:sz w:val="20"/>
          <w:szCs w:val="20"/>
          <w:color w:val="auto"/>
        </w:rPr>
      </w:pPr>
      <w:r>
        <w:rPr>
          <w:rFonts w:ascii="Arial" w:cs="Arial" w:eastAsia="Arial" w:hAnsi="Arial"/>
          <w:sz w:val="13"/>
          <w:szCs w:val="13"/>
          <w:color w:val="auto"/>
        </w:rPr>
        <w:t>We have opened a Global Not For Resale program, which allows customers from around the world to purchase limited amounts of our products for their individual consumption. Under this program, customers from other countries are able to set up a U.S. customer account and associated U.S. address and payment method to drop-ship their order to a third-party vendor in the US, who will then ship the products to the customer’s global location with any customs and/or duties being the sole responsibility of the ordering customer.</w:t>
      </w:r>
    </w:p>
    <w:p>
      <w:pPr>
        <w:spacing w:after="0" w:line="103"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This program may raise questions from tax regulators about the appropriate sales tax jurisdiction due to the varied and complex tax regulations in the U.S. and around the world. Further, any regulatory review of our facilitation to ship U.S. product to existing LifeVantage markets, where such product has not been registered, may raise issues against the local subsidiary from the foreign jurisdiction equivalents of the FDA or FTC or the relevant trade associations, should any agency or association perceive that we or our independent distributors are advertising and/or facilitating the sale of unregistered product in their country.</w:t>
      </w:r>
    </w:p>
    <w:p>
      <w:pPr>
        <w:spacing w:after="0" w:line="82"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Our direct selling program could be found to be not in compliance with current or newly adopted laws or regulations in one or more markets, which could prevent us from conducting our business in these markets and harm our financial condition and operating results.</w:t>
      </w:r>
    </w:p>
    <w:p>
      <w:pPr>
        <w:spacing w:after="0" w:line="79"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Some of the legal and regulatory requirements concerning the direct selling business model are ambiguous and subject to interpretation. As a result, regulators and courts have discretion in their application of these laws and regulations, and the enforcement or interpretation of these laws and regulations by governmental agencies or courts can change. Recent allegations by short sellers regarding the legality of multi-level marketing companies generally have also created intense public scrutiny of our industry and could cause governmental agencies to change their enforcement and interpretation of applicable laws and regulations. The failure of our business to comply with current or newly adopted regulations or interpretations could negatively impact our business in a particular market or in general and may adversely affect our stock price.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legal proceedings that are expensive, time consuming and, if adversely adjudicated or settled, could adversely affect our financial results.</w:t>
      </w:r>
    </w:p>
    <w:p>
      <w:pPr>
        <w:spacing w:after="0" w:line="115" w:lineRule="exact"/>
        <w:rPr>
          <w:sz w:val="20"/>
          <w:szCs w:val="20"/>
          <w:color w:val="auto"/>
        </w:rPr>
      </w:pPr>
    </w:p>
    <w:p>
      <w:pPr>
        <w:ind w:right="40" w:firstLine="255"/>
        <w:spacing w:after="0" w:line="368" w:lineRule="auto"/>
        <w:rPr>
          <w:sz w:val="20"/>
          <w:szCs w:val="20"/>
          <w:color w:val="auto"/>
        </w:rPr>
      </w:pPr>
      <w:r>
        <w:rPr>
          <w:rFonts w:ascii="Arial" w:cs="Arial" w:eastAsia="Arial" w:hAnsi="Arial"/>
          <w:sz w:val="12"/>
          <w:szCs w:val="12"/>
          <w:color w:val="auto"/>
        </w:rPr>
        <w:t>Litigation claims can be expensive and time consuming to bring or defend against and could result in settlements or damages that could significantly affect our financial results. It is not possible to predict the final resolution of litigation to which we may become a party, and the impact of litigation proceedings on our business, results of operations and financial condition could be material.</w:t>
      </w:r>
    </w:p>
    <w:p>
      <w:pPr>
        <w:spacing w:after="0" w:line="33"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From time to time, we are involved in various legal matters, both as a plaintiff and as defendant. While we believe the suits against us are without merit, they are costly to defend and we cannot be assured that we will ultimately prevail. If we do not prevail and are required to pay damages, it could harm our business.</w:t>
      </w: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0"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Our business is subject to strict government regulations.</w:t>
      </w:r>
    </w:p>
    <w:p>
      <w:pPr>
        <w:spacing w:after="0" w:line="115"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The manufacturing, packaging, labeling, advertising, sale and distribution of our products are subject to federal laws and regulations by one or more federal agencies, including, in the United States, the Food and Drug Administration, or FDA, the Federal Trade Commission, or FTC, the Consumer Product Safety Commission, and the United States Department of Agriculture. These activities are also regulated by various state, local, and international laws and agencies of the states, localities and countries in which our products are sold. For instance, the FDA regulates, among other things, the composition, safety, labeling, and marketing of dietary supplements (including vitamins, minerals, herbs and other dietary ingredients for human use). Government regulations may prevent or delay the introduction of our products, or require us to reformulate our products or change the claims we make about them, which could result in lost revenue, increased costs and delay our expansion into new international markets.</w:t>
      </w:r>
    </w:p>
    <w:p>
      <w:pPr>
        <w:spacing w:after="0" w:line="97" w:lineRule="exact"/>
        <w:rPr>
          <w:sz w:val="20"/>
          <w:szCs w:val="20"/>
          <w:color w:val="auto"/>
        </w:rPr>
      </w:pPr>
    </w:p>
    <w:p>
      <w:pPr>
        <w:ind w:right="120" w:firstLine="255"/>
        <w:spacing w:after="0" w:line="282" w:lineRule="auto"/>
        <w:rPr>
          <w:sz w:val="20"/>
          <w:szCs w:val="20"/>
          <w:color w:val="auto"/>
        </w:rPr>
      </w:pPr>
      <w:r>
        <w:rPr>
          <w:rFonts w:ascii="Arial" w:cs="Arial" w:eastAsia="Arial" w:hAnsi="Arial"/>
          <w:sz w:val="13"/>
          <w:szCs w:val="13"/>
          <w:color w:val="auto"/>
        </w:rPr>
        <w:t>The FDA may determine that a particular dietary supplement or ingredient is adulterated or misbranded or both and may determine that a particular claim or statement of nutritional support that we make to support the marketing of a dietary supplement is an impermissible drug claim, or is an unauthorized version of a “health claim.” The FDA, the FTC, or state attorneys general may also determine that a particular claim we make for our products is not substantiated. Determining whether a claim is improper frequently involves a degree of subjectivity by the regulatory agency or individual regulator. Any of these determinations by the FDA or other regulators could prevent us from marketing that particular dietary supplement product, or making certain claims for that product. The FDA could also require us to remove a particular product from the market. Any future recall or removal would result in additional costs to us, including lost revenue from any product that we are required to remove from the market, which could be material. Any product recalls or removals could also lead to liability, substantial costs, and reduced growth prospects.</w:t>
      </w:r>
    </w:p>
    <w:p>
      <w:pPr>
        <w:spacing w:after="0" w:line="76" w:lineRule="exact"/>
        <w:rPr>
          <w:sz w:val="20"/>
          <w:szCs w:val="20"/>
          <w:color w:val="auto"/>
        </w:rPr>
      </w:pPr>
    </w:p>
    <w:p>
      <w:pPr>
        <w:ind w:right="40" w:firstLine="255"/>
        <w:spacing w:after="0" w:line="269" w:lineRule="auto"/>
        <w:rPr>
          <w:sz w:val="20"/>
          <w:szCs w:val="20"/>
          <w:color w:val="auto"/>
        </w:rPr>
      </w:pPr>
      <w:r>
        <w:rPr>
          <w:rFonts w:ascii="Arial" w:cs="Arial" w:eastAsia="Arial" w:hAnsi="Arial"/>
          <w:sz w:val="13"/>
          <w:szCs w:val="13"/>
          <w:color w:val="auto"/>
        </w:rPr>
        <w:t>In April 2017, we received a warning letter from the FDA alleging that information on our website contained impermissible drug claims relating to our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Nrf2 Synergizer</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We believe the letter from the FDA contained factual inaccuracies and we responded promptly to the FDA. The FDA subsequently concluded that the issues set forth in the warning letter have been fully resolved. We believe we do not claim that any of our products prevent, diagnose, treat or cure any disease in any of our marketing materials or labeling and we proactively and consistently engage distinguished experts in FDA law and regulation to ensure our promotional materials and websites adhere to applicable requirements and restrictions. Nevertheless, in the future, we may receive similar warning letters from the FDA if it believes some violation of law has occurred either by us or by our independent distributors. Any allegations of our non-compliance may result in time-consuming and expensive defense of our activities. FDA warning letters are available to the public on the FDA’s website. That information could negatively affect our relationships with our customers, investors, independent distributors, vendors, employees and consumers. Warning letters may also spark private class action litigation under state consumer protection statutes. The FDA could also order compliance activities, such as an inspection of our facilities and products, and could file a civil lawsuit in which an arrest warrant (seizure) could be issued as to some or all of our products. In extraordinary cases, we could be named a defendant and sued for declaratory and injunctive relief.</w:t>
      </w:r>
    </w:p>
    <w:p>
      <w:pPr>
        <w:spacing w:after="0" w:line="7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Additional or more stringent regulations of dietary supplements and other products have been considered from time to time. In recent years, there has been increased pressure in the United States and other markets to increase regulation of dietary supplements. New regulations, or new interpretations of those regulations, could impose additional restrictions, including requiring reformulation of some products to meet new standards, recalls or discontinuance of some products not able to be reformulated, additional record-keeping requirements, increased documentation of the properties of some products, additional or different labeling, additional scientific substantiation, additional adverse event reporting, or other new requirements. Any of these developments could increase our costs significantly.</w:t>
      </w:r>
    </w:p>
    <w:p>
      <w:pPr>
        <w:spacing w:after="0" w:line="93" w:lineRule="exact"/>
        <w:rPr>
          <w:sz w:val="20"/>
          <w:szCs w:val="20"/>
          <w:color w:val="auto"/>
        </w:rPr>
      </w:pPr>
    </w:p>
    <w:p>
      <w:pPr>
        <w:ind w:right="60" w:firstLine="255"/>
        <w:spacing w:after="0" w:line="256" w:lineRule="auto"/>
        <w:rPr>
          <w:sz w:val="20"/>
          <w:szCs w:val="20"/>
          <w:color w:val="auto"/>
        </w:rPr>
      </w:pPr>
      <w:r>
        <w:rPr>
          <w:rFonts w:ascii="Arial" w:cs="Arial" w:eastAsia="Arial" w:hAnsi="Arial"/>
          <w:sz w:val="14"/>
          <w:szCs w:val="14"/>
          <w:color w:val="auto"/>
        </w:rPr>
        <w:t>In the United States, for example, some legislators and industry critics continue to push for increased regulatory authority by the FDA over dietary supplements and the FTC over the direct selling industry. The FDA may strengthen the regulation of dietary supplements by modernizing its oversight of dietary supplements and the FTC may strengthen the regulation of business opportunity claims, among other things. Our business could be harmed if more restrictive legislation or regulation is successfully introduced and adopted in the future. In the United States, the FTC’s Guides Concerning the Use of Endorsements and Testimonials in Advertising, or Guides, require disclosure of material connections between an endorser and the company they are endorsing and generally do not allow marketing using atypical results. Our independent distributors have historically used testimonials to market and sell our products. Producing marketing materials that conform to the requirements and restrictions of the Guides may diminish the impact of our marketing efforts and negatively impact our sales results. If we or our independent distributors fail to comply with these Guides, the FTC could bring an enforcement action against us and we could be forced to alter our marketing materials and/or refund or disgorge funds. Our operations also could be harmed if new laws or regulations are enacted that restrict our ability to market or distribute dietary supplements or impose additional burdens or requirements on dietary supplement companies or require us to reformulate our products.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2" w:name="page33"/>
    <w:bookmarkEnd w:id="32"/>
    <w:p>
      <w:pPr>
        <w:ind w:right="40" w:firstLine="255"/>
        <w:spacing w:after="0" w:line="257" w:lineRule="auto"/>
        <w:rPr>
          <w:sz w:val="20"/>
          <w:szCs w:val="20"/>
          <w:color w:val="auto"/>
        </w:rPr>
      </w:pPr>
      <w:r>
        <w:rPr>
          <w:rFonts w:ascii="Arial" w:cs="Arial" w:eastAsia="Arial" w:hAnsi="Arial"/>
          <w:sz w:val="14"/>
          <w:szCs w:val="14"/>
          <w:color w:val="auto"/>
        </w:rPr>
        <w:t>In addition, the Dietary Supplement and Nonprescription Drug Consumer Protection Act imposes significant regulatory requirements on dietary supplement manufacturers, packers and distributors including the reporting of “serious adverse events” to the FDA and record keeping requirements. Complying with this legislation could raise our costs and negatively impact our business. We and our suppliers are also required to comply with FDA regulations with respect to current Good Manufacturing Practices in manufacturing, packaging, or holding dietary ingredients and dietary supplements. These regulations require dietary supplements to be prepared, packaged, and held in compliance with procedures that we and our third-party subcontractors must develop and make available for inspection by the FDA. These regulations could raise our costs and negatively impact our business. Additionally, our third-party suppliers or vendors may not be able to comply with these rules without incurring substantial expenses. If our third-party suppliers or vendors are not able to comply with these rules, we may experience increased cost or delays in obtaining certain raw materials and third-party products.</w:t>
      </w:r>
    </w:p>
    <w:p>
      <w:pPr>
        <w:spacing w:after="0" w:line="88"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In 2016, the FDA published an updated draft guidance which is intended, among other things, to help manufacturers and distributors of dietary supplement products determine when they are required to file with the FDA a New Dietary Ingredient, or NDI, notification with respect to a dietary supplement product. In this draft guidance, the FDA highlighted the necessity for marketers of dietary supplements to submit NDI notifications as an important preventive control to ensure that consumers are not exposed to potential unnecessary public health risks in the form of new ingredients with unknown safety profiles. Although we do not believe that any of our products contain an NDI, if the FDA were to conclude that we should have filed an NDI notification for any of our products, then we could be subject to enforcement actions by the FDA. Such enforcement actions could include product seizures and injunctive relief being granted against us, any of which would harm our business.</w:t>
      </w:r>
    </w:p>
    <w:p>
      <w:pPr>
        <w:spacing w:after="0" w:line="97"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In May 2016, the FDA released a final rule updating the Nutrition Facts label for packaged foods and the Supplement Facts label for dietary supplements, with the objective to help consumers make better informed decisions. While the original compliance deadline for manufacturers of food and dietary supplements to use the new label was July 26, 2018, FDA subsequently extended the compliance deadline to January 1, 2020, and later announced it would exercise enforcement discretion (i.e., not enforce the new label requirements) until January 1, 2021. Further, in December 2018, the U.S. Department of Agriculture promulgated regulations requiring that, by January 1, 2022, the labels of certain bioengineered foods, including dietary supplements, must include a disclosure that the food is bioengineered. Implementation of the new label requirements may result in additional costs to our business.</w:t>
      </w:r>
    </w:p>
    <w:p>
      <w:pPr>
        <w:spacing w:after="0" w:line="81" w:lineRule="exact"/>
        <w:rPr>
          <w:sz w:val="20"/>
          <w:szCs w:val="20"/>
          <w:color w:val="auto"/>
        </w:rPr>
      </w:pPr>
    </w:p>
    <w:p>
      <w:pPr>
        <w:ind w:right="400"/>
        <w:spacing w:after="0" w:line="281" w:lineRule="auto"/>
        <w:rPr>
          <w:sz w:val="20"/>
          <w:szCs w:val="20"/>
          <w:color w:val="auto"/>
        </w:rPr>
      </w:pPr>
      <w:r>
        <w:rPr>
          <w:rFonts w:ascii="Arial" w:cs="Arial" w:eastAsia="Arial" w:hAnsi="Arial"/>
          <w:sz w:val="14"/>
          <w:szCs w:val="14"/>
          <w:b w:val="1"/>
          <w:bCs w:val="1"/>
          <w:i w:val="1"/>
          <w:iCs w:val="1"/>
          <w:color w:val="auto"/>
        </w:rPr>
        <w:t>Our Cannabidiol (“CBD”) products are subject to varying, rapidly changing federal, state and local laws, regulations, and rules, which could adversely affect our results of operations and financial condition.</w:t>
      </w:r>
    </w:p>
    <w:p>
      <w:pPr>
        <w:spacing w:after="0" w:line="69"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 xml:space="preserve">We launched new hemp-derived CBD personal care products during fiscal year 2021. The CBD industry is evolving and subject to varying, and rapidly changing, laws, regulations and administrative practices. For example, the Agricultural Improvement Act of 2018 (the “2018 Farm Bill”) formally defined “hemp” as the </w:t>
      </w:r>
      <w:r>
        <w:rPr>
          <w:rFonts w:ascii="Arial" w:cs="Arial" w:eastAsia="Arial" w:hAnsi="Arial"/>
          <w:sz w:val="13"/>
          <w:szCs w:val="13"/>
          <w:i w:val="1"/>
          <w:iCs w:val="1"/>
          <w:color w:val="auto"/>
        </w:rPr>
        <w:t>Cannabis sativa</w:t>
      </w:r>
      <w:r>
        <w:rPr>
          <w:rFonts w:ascii="Arial" w:cs="Arial" w:eastAsia="Arial" w:hAnsi="Arial"/>
          <w:sz w:val="13"/>
          <w:szCs w:val="13"/>
          <w:color w:val="auto"/>
        </w:rPr>
        <w:t xml:space="preserve"> plant and its derivatives, extracts and cannabinoids with a delta-9 tetrahydrocannabinol (“THC”) concentration of not more than 0.3%, and removed hemp from the federal definition of marijuana, making it no longer a Schedule I illegal drug under the Controlled Substances Act. The 2018 Farm Bill thus opened a pathway for the production and marketing of hemp and hemp derivatives, subject to compliance with certain federal requirements and state and local law. Our CBD products are derived from hemp as defined in the 2018 Farm Bill. Continued development of CBD-related industries is dependent upon continued legalization of CBD-related products at the federal and state levels, and a number of factors could slow or halt progress in this area.</w:t>
      </w:r>
    </w:p>
    <w:p>
      <w:pPr>
        <w:spacing w:after="0" w:line="81" w:lineRule="exact"/>
        <w:rPr>
          <w:sz w:val="20"/>
          <w:szCs w:val="20"/>
          <w:color w:val="auto"/>
        </w:rPr>
      </w:pPr>
    </w:p>
    <w:p>
      <w:pPr>
        <w:ind w:firstLine="255"/>
        <w:spacing w:after="0" w:line="309" w:lineRule="auto"/>
        <w:rPr>
          <w:sz w:val="20"/>
          <w:szCs w:val="20"/>
          <w:color w:val="auto"/>
        </w:rPr>
      </w:pPr>
      <w:r>
        <w:rPr>
          <w:rFonts w:ascii="Arial" w:cs="Arial" w:eastAsia="Arial" w:hAnsi="Arial"/>
          <w:sz w:val="12"/>
          <w:szCs w:val="12"/>
          <w:color w:val="auto"/>
        </w:rPr>
        <w:t>In addition, the manufacture, labeling, and distribution of our CBD products are regulated by various federal, state and local agencies. These governmental authorities or litigators, such as class action lawyers or attorneys general, may commence regulatory or legal proceedings, which could restrict the permissible scope of our product claims or our ability to sell products in the future. Violations of applicable laws, or allegations of such violations, could disrupt our business and result in material adverse effects on our operations and financial condition. We cannot predict the nature of any future laws, regulations, interpretations or applications, and it is possible that regulations may be enacted in the future that will have a material adverse effect on our business, including our ability to develop, sell, and expand our CBD-infused products. Further, in the event of either repeal of federal, state or local laws and regulations, or amendments thereto that are adverse to our intended products, we may be restricted or limited with respect to those products that we may sell or distribute, which could adversely impact our intended business plan with respect to such products.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Regulations governing the production and marketing of our products could harm our business.</w:t>
      </w:r>
    </w:p>
    <w:p>
      <w:pPr>
        <w:spacing w:after="0" w:line="115" w:lineRule="exact"/>
        <w:rPr>
          <w:sz w:val="20"/>
          <w:szCs w:val="20"/>
          <w:color w:val="auto"/>
        </w:rPr>
      </w:pPr>
    </w:p>
    <w:p>
      <w:pPr>
        <w:ind w:right="160" w:firstLine="255"/>
        <w:spacing w:after="0" w:line="264" w:lineRule="auto"/>
        <w:rPr>
          <w:sz w:val="20"/>
          <w:szCs w:val="20"/>
          <w:color w:val="auto"/>
        </w:rPr>
      </w:pPr>
      <w:r>
        <w:rPr>
          <w:rFonts w:ascii="Arial" w:cs="Arial" w:eastAsia="Arial" w:hAnsi="Arial"/>
          <w:sz w:val="13"/>
          <w:szCs w:val="13"/>
          <w:color w:val="auto"/>
        </w:rPr>
        <w:t>We are subject to various domestic and foreign laws and regulations that regulate the production and marketing of our products. If, for example, a determination that our dietary supplement products are used to diagnose, treat, cure, or prevent any disease or illness, including due to improper marketing claims by our independent distributors, it may lead to a determination that the LifeVantage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supplements require pre-market approval as a drug. Such regulations in any given market can limit our ability to import products and can delay product launches as we go through the registration and approval process for those products. Furthermore, if we fail to comply with these regulations, we could face enforcement action against us and we could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3" w:name="page34"/>
    <w:bookmarkEnd w:id="33"/>
    <w:p>
      <w:pPr>
        <w:ind w:right="160"/>
        <w:spacing w:after="0" w:line="281" w:lineRule="auto"/>
        <w:rPr>
          <w:sz w:val="20"/>
          <w:szCs w:val="20"/>
          <w:color w:val="auto"/>
        </w:rPr>
      </w:pPr>
      <w:r>
        <w:rPr>
          <w:rFonts w:ascii="Arial" w:cs="Arial" w:eastAsia="Arial" w:hAnsi="Arial"/>
          <w:sz w:val="14"/>
          <w:szCs w:val="14"/>
          <w:color w:val="auto"/>
        </w:rPr>
        <w:t>be fined, forced to alter or stop selling our products and/or be required to adjust our operations. Our operations also could be harmed if new laws or regulations are enacted that restrict our ability to market or distribute our products or impose additional burdens or requirements on the contents of our products or require us to reformulate our products.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the risk of investigatory and enforcement action.</w:t>
      </w:r>
    </w:p>
    <w:p>
      <w:pPr>
        <w:spacing w:after="0" w:line="125" w:lineRule="exact"/>
        <w:rPr>
          <w:sz w:val="20"/>
          <w:szCs w:val="20"/>
          <w:color w:val="auto"/>
        </w:rPr>
      </w:pPr>
    </w:p>
    <w:p>
      <w:pPr>
        <w:ind w:right="120" w:firstLine="255"/>
        <w:spacing w:after="0" w:line="257" w:lineRule="auto"/>
        <w:rPr>
          <w:sz w:val="20"/>
          <w:szCs w:val="20"/>
          <w:color w:val="auto"/>
        </w:rPr>
      </w:pPr>
      <w:r>
        <w:rPr>
          <w:rFonts w:ascii="Arial" w:cs="Arial" w:eastAsia="Arial" w:hAnsi="Arial"/>
          <w:sz w:val="14"/>
          <w:szCs w:val="14"/>
          <w:color w:val="auto"/>
        </w:rPr>
        <w:t>We are subject to the risk of investigatory and enforcement action by various government agencies, both domestic and international. For instance, the FTC and state attorneys general may open an investigation or bring an enforcement action against us based on our advertising claims and marketing practices. The FTC routinely reviews product advertising, including websites, to identify significant questionable advertising claims and practices. The FTC has brought many actions against dietary supplement companies, including some actions that were brought jointly with state attorneys general, based upon allegations that applicable advertising claims or practices were deceptive or not substantiated. If the FTC initiates an investigation, the FTC can initiate pre-complaint discovery that may be nonpublic in nature. In addition, we are subject to the risk of investigatory and enforcement action by other agencies including, but not limited to, the FDA, including warning letters and other sanctions, enforcement actions by the SEC and by other international regulatory agencies. Any investigation may be very expensive to defend and may result in an adverse ruling or in a consent decree.</w:t>
      </w:r>
    </w:p>
    <w:p>
      <w:pPr>
        <w:spacing w:after="0" w:line="98" w:lineRule="exact"/>
        <w:rPr>
          <w:sz w:val="20"/>
          <w:szCs w:val="20"/>
          <w:color w:val="auto"/>
        </w:rPr>
      </w:pPr>
    </w:p>
    <w:p>
      <w:pPr>
        <w:jc w:val="center"/>
        <w:ind w:right="220"/>
        <w:spacing w:after="0"/>
        <w:rPr>
          <w:sz w:val="20"/>
          <w:szCs w:val="20"/>
          <w:color w:val="auto"/>
        </w:rPr>
      </w:pPr>
      <w:r>
        <w:rPr>
          <w:rFonts w:ascii="Arial" w:cs="Arial" w:eastAsia="Arial" w:hAnsi="Arial"/>
          <w:sz w:val="12"/>
          <w:szCs w:val="12"/>
          <w:b w:val="1"/>
          <w:bCs w:val="1"/>
          <w:i w:val="1"/>
          <w:iCs w:val="1"/>
          <w:color w:val="auto"/>
        </w:rPr>
        <w:t>Government authorities may question our tax positions or transfer pricing policies or change their laws in a manner that could increase our effective tax rate or otherwise harm our business.</w:t>
      </w:r>
    </w:p>
    <w:p>
      <w:pPr>
        <w:spacing w:after="0" w:line="138" w:lineRule="exact"/>
        <w:rPr>
          <w:sz w:val="20"/>
          <w:szCs w:val="20"/>
          <w:color w:val="auto"/>
        </w:rPr>
      </w:pPr>
    </w:p>
    <w:p>
      <w:pPr>
        <w:ind w:right="60" w:firstLine="255"/>
        <w:spacing w:after="0" w:line="278" w:lineRule="auto"/>
        <w:rPr>
          <w:sz w:val="20"/>
          <w:szCs w:val="20"/>
          <w:color w:val="auto"/>
        </w:rPr>
      </w:pPr>
      <w:r>
        <w:rPr>
          <w:rFonts w:ascii="Arial" w:cs="Arial" w:eastAsia="Arial" w:hAnsi="Arial"/>
          <w:sz w:val="13"/>
          <w:szCs w:val="13"/>
          <w:color w:val="auto"/>
        </w:rPr>
        <w:t>As a U.S. company doing business in international markets through subsidiaries, we are subject to various tax and intercompany pricing laws, including those relating to the flow of funds between our Company and our subsidiaries. From time to time, we are audited by tax regulators in the United States and in our foreign markets. If regulators challenge our tax positions, corporate structure, transfer pricing mechanisms or intercompany transfers, we may be subject to fines and payment of back taxes, our effective tax rate may increase and our operations may be harmed. Tax rates vary from country to country, and, if tax authorities determine that our profits in one jurisdiction may need to be increased, we may not be able to fully utilize all foreign tax credits that are generated, which will increase our effective tax rate. The various customs, exchange control and transfer pricing laws are continually changing and are subject to the interpretation of government agencies. We may experience increased efforts by customs authorities in foreign countries to reclassify our products or otherwise increase the level of duties we pay on our products. Despite our efforts to be aware of and comply with such laws, and changes to and interpretations thereof, there is a risk that we may not continue to operate in compliance with such laws. We may need to adjust our operating procedures in response to such changes and, as a result, our business may suffer. In addition, due to the international nature of our business, from time to time, we are subject to reviews and audits by taxing authorities of other jurisdictions in which we conduct business throughout the world.</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Non-compliance with anti-corruption laws could harm our business.</w:t>
      </w:r>
    </w:p>
    <w:p>
      <w:pPr>
        <w:spacing w:after="0" w:line="125"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Our international operations are subject to anti-corruption laws, including the Foreign Corrupt Practices Act, also known as the FCPA. Any allegations that we are not in compliance with anti-corruption laws may require us to dedicate time and resources to an internal investigation of the allegations or may result in a government investigation. Any determination that our operations or activities are not in compliance with existing anti-corruption laws or regulations could result in the imposition of substantial fines, and other penalties. Although we have implemented anti-corruption policies and controls to protect against violation of these laws, we cannot be certain that these efforts will be effective.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loss of or inability to attract key personnel could negatively impact our business.</w:t>
      </w:r>
    </w:p>
    <w:p>
      <w:pPr>
        <w:spacing w:after="0" w:line="125"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Our future performance will depend, in part, upon our ability to attract, retain, and motivate our executive and senior management team and scientific staff. Our success depends to a significant extent both upon the continued services of our current executive and senior management team and scientific staff, as well as our ability to attract, hire, motivate, and retain additional qualified management and scientific staff in the future. Specifically, competition for executive and senior staff in the direct selling and dietary supplement markets is intense, and our operations could be adversely affected if we cannot attract and retain qualified personnel. Additionally, former members of our executive and senior management team have in the past, and could in the future join or form companies that compete against us in the direct selling industry.</w:t>
      </w:r>
    </w:p>
    <w:p>
      <w:pPr>
        <w:spacing w:after="0" w:line="93" w:lineRule="exact"/>
        <w:rPr>
          <w:sz w:val="20"/>
          <w:szCs w:val="20"/>
          <w:color w:val="auto"/>
        </w:rPr>
      </w:pPr>
    </w:p>
    <w:p>
      <w:pPr>
        <w:ind w:right="520" w:firstLine="255"/>
        <w:spacing w:after="0" w:line="281" w:lineRule="auto"/>
        <w:rPr>
          <w:sz w:val="20"/>
          <w:szCs w:val="20"/>
          <w:color w:val="auto"/>
        </w:rPr>
      </w:pPr>
      <w:r>
        <w:rPr>
          <w:rFonts w:ascii="Arial" w:cs="Arial" w:eastAsia="Arial" w:hAnsi="Arial"/>
          <w:sz w:val="14"/>
          <w:szCs w:val="14"/>
          <w:color w:val="auto"/>
        </w:rPr>
        <w:t>All of our employees are “at will” employees, which means any employee may quit at any time and we may terminate any employee at any time. We do not carry “key person” insurance covering members of senior management or our employees.</w:t>
      </w:r>
    </w:p>
    <w:p>
      <w:pPr>
        <w:spacing w:after="0" w:line="69"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b w:val="1"/>
          <w:bCs w:val="1"/>
          <w:i w:val="1"/>
          <w:iCs w:val="1"/>
          <w:color w:val="auto"/>
        </w:rPr>
        <w:t>We may be held responsible for certain taxes or assessments and other obligations relating to the activities of our independent distributors, which could harm our financial condition and operating results.</w:t>
      </w:r>
    </w:p>
    <w:p>
      <w:pPr>
        <w:spacing w:after="0" w:line="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Our independent distributors are subject to taxation, and in some instances, legislation or governmental agencies impose an obligation on us to collect or withhold taxes, such as value added taxes or income taxes, and to maintain appropriate records. 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4" w:name="page35"/>
    <w:bookmarkEnd w:id="34"/>
    <w:p>
      <w:pPr>
        <w:ind w:right="80"/>
        <w:spacing w:after="0" w:line="282" w:lineRule="auto"/>
        <w:rPr>
          <w:sz w:val="20"/>
          <w:szCs w:val="20"/>
          <w:color w:val="auto"/>
        </w:rPr>
      </w:pPr>
      <w:r>
        <w:rPr>
          <w:rFonts w:ascii="Arial" w:cs="Arial" w:eastAsia="Arial" w:hAnsi="Arial"/>
          <w:sz w:val="13"/>
          <w:szCs w:val="13"/>
          <w:color w:val="auto"/>
        </w:rPr>
        <w:t>the event that local laws and regulations or the interpretation of local laws and regulations change to require us to treat our independent distributors as employees, or that our independent distributors are deemed by local regulatory authorities in one or more of the jurisdictions in which we operate to be our employees rather than independent contractors under existing laws and interpretations, or our independent distributors are deemed to be conducting business in countries outside of the country in which they are authorized to do business, we may be held responsible for social security, income, and other related taxes in those jurisdictions, plus any related assessments and penalties, which could harm our financial condition and operating results. If our independent distributors were deemed to be employees rather than independent contractors, we may be obligated to pay certain employee benefits, such as workers compensation and unemployment insurance. Further, if our independent distributors are misclassified as employees, we would also face the threat of increased vicarious liability for their actions.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dietary supplement market is highly competitive.</w:t>
      </w:r>
    </w:p>
    <w:p>
      <w:pPr>
        <w:spacing w:after="0" w:line="121" w:lineRule="exact"/>
        <w:rPr>
          <w:sz w:val="20"/>
          <w:szCs w:val="20"/>
          <w:color w:val="auto"/>
        </w:rPr>
      </w:pPr>
    </w:p>
    <w:p>
      <w:pPr>
        <w:ind w:right="40" w:firstLine="255"/>
        <w:spacing w:after="0" w:line="282" w:lineRule="auto"/>
        <w:rPr>
          <w:sz w:val="20"/>
          <w:szCs w:val="20"/>
          <w:color w:val="auto"/>
        </w:rPr>
      </w:pPr>
      <w:r>
        <w:rPr>
          <w:rFonts w:ascii="Arial" w:cs="Arial" w:eastAsia="Arial" w:hAnsi="Arial"/>
          <w:sz w:val="12"/>
          <w:szCs w:val="12"/>
          <w:color w:val="auto"/>
        </w:rPr>
        <w:t>Our flagship product line, Protandim</w:t>
      </w:r>
      <w:r>
        <w:rPr>
          <w:rFonts w:ascii="Arial" w:cs="Arial" w:eastAsia="Arial" w:hAnsi="Arial"/>
          <w:sz w:val="15"/>
          <w:szCs w:val="15"/>
          <w:color w:val="auto"/>
          <w:vertAlign w:val="superscript"/>
        </w:rPr>
        <w:t>®</w:t>
      </w:r>
      <w:r>
        <w:rPr>
          <w:rFonts w:ascii="Arial" w:cs="Arial" w:eastAsia="Arial" w:hAnsi="Arial"/>
          <w:sz w:val="12"/>
          <w:szCs w:val="12"/>
          <w:color w:val="auto"/>
        </w:rPr>
        <w:t>, competes in the dietary supplements market, which is large, highly competitive and fragmented. Participants include specialty retailers, supermarkets, drugstores, mass merchants, multi-level marketing organizations, on-line merchants, mail-order companies, and a variety of other smaller participants. Many of our competitors have greater financial and other resources available to them and possess better manufacturing, independent distribution and marketing capabilities than we do. We believe some of these competitors with greater resources are currently working on developing and releasing products that will compete directly with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 and be marketed as NRF1 and Nrf2 activators. One or more of these products could significantly reduce the demand for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 and have a material adverse effect on our revenue. We believe that the market is also highly sensitive to the introduction of new products, including various prescription drugs, which may rapidly capture a significant share of the market. Moreover, because of regulatory restrictions concerning claims about the efficacy of dietary supplements, we may have difficulty differentiating our products from our competitors’ products and competing products entering the dietary supplements market could harm our revenue. In the United States and Japan, we also compete for sales with heavily advertised national brands manufactured by large pharmaceutical and food companies, as well as other retailers. In addition, as some products become more mainstream, we experience increased competition for those products as more participants enter the market. Our international competitors include large international pharmacy chains, major international supermarket chains, and other large U.S.-based companies with international operations. We may not be able to compete effectively and our attempt to do so may result in increased pricing pressure, which may result in lower margins and have a material adverse effect on our results of operations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intellectual property rights are valuable, and any inability to protect them could reduce the value of our products and brand.</w:t>
      </w:r>
    </w:p>
    <w:p>
      <w:pPr>
        <w:spacing w:after="0" w:line="115" w:lineRule="exact"/>
        <w:rPr>
          <w:sz w:val="20"/>
          <w:szCs w:val="20"/>
          <w:color w:val="auto"/>
        </w:rPr>
      </w:pPr>
    </w:p>
    <w:p>
      <w:pPr>
        <w:ind w:right="120" w:firstLine="255"/>
        <w:spacing w:after="0" w:line="288" w:lineRule="auto"/>
        <w:rPr>
          <w:sz w:val="20"/>
          <w:szCs w:val="20"/>
          <w:color w:val="auto"/>
        </w:rPr>
      </w:pPr>
      <w:r>
        <w:rPr>
          <w:rFonts w:ascii="Arial" w:cs="Arial" w:eastAsia="Arial" w:hAnsi="Arial"/>
          <w:sz w:val="13"/>
          <w:szCs w:val="13"/>
          <w:color w:val="auto"/>
        </w:rPr>
        <w:t>The loss of our intellectual property rights in our products could permit our competitors to manufacture their own version of our products. We have attempted to protect our intellectual property rights in our products through a combination of patents, patent applications, trademarks, trade secrets, confidentiality agreements, non-compete agreements and other contractual protection mechanisms, and we will continue to do so. While we intend to defend against any threats to our intellectual property, our patents or various contractual protections may not adequately protect our intellectual property. In addition, we could be required to expend significant resources to defend our rights to proprietary information and may not be successful in such defense.</w:t>
      </w:r>
    </w:p>
    <w:p>
      <w:pPr>
        <w:spacing w:after="0" w:line="78"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Moreover, our intellectual property rights are more limited outside of the United States than they are in the United States. As such, we may not be successful in preventing third parties from copying or misappropriating our intellectual property. There can also be no assurance that pending patent applications owned by us will result in patents being issued to us, that patents issued to or licensed by us in the past or in the future will not be challenged or circumvented by competitors or that such patents will be found to be valid or sufficiently broad to protect our products or to provide us with any competitive advantage. Third-parties could also obtain patents that may require us to negotiate to obtain licenses to conduct our business, and any required licenses may not be available on reasonable terms or at all. We also rely on confidentiality and non-compete agreements with certain employees, independent distributors, consultants and other parties to protect, in part, trade secrets and other proprietary rights. There can be no assurance that these agreements will not be breached, that we will have adequate remedies for any breach, that others will not independently develop substantially equivalent proprietary information or that third-parties will not otherwise gain access to our trade secrets or proprietary knowledge.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Third parties might claim that we infringe on their intellectual property rights.</w:t>
      </w:r>
    </w:p>
    <w:p>
      <w:pPr>
        <w:spacing w:after="0" w:line="115"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Although the dietary supplement industry has historically been characterized by products with naturally occurring ingredients, recently it is becoming more common for suppliers and competitors to apply for patents or develop proprietary technologies and processes. Third-parties may assert intellectual property infringement claims against us despite our efforts to avoid such infringement. Such claims could prevent us from offering competitive products or result in litigation or threatened litigation.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Our business is susceptible to product liability claims.</w:t>
      </w:r>
    </w:p>
    <w:p>
      <w:pPr>
        <w:spacing w:after="0" w:line="115" w:lineRule="exact"/>
        <w:rPr>
          <w:sz w:val="20"/>
          <w:szCs w:val="20"/>
          <w:color w:val="auto"/>
        </w:rPr>
      </w:pPr>
    </w:p>
    <w:p>
      <w:pPr>
        <w:ind w:right="40" w:firstLine="255"/>
        <w:spacing w:after="0" w:line="256" w:lineRule="auto"/>
        <w:rPr>
          <w:sz w:val="20"/>
          <w:szCs w:val="20"/>
          <w:color w:val="auto"/>
        </w:rPr>
      </w:pPr>
      <w:r>
        <w:rPr>
          <w:rFonts w:ascii="Arial" w:cs="Arial" w:eastAsia="Arial" w:hAnsi="Arial"/>
          <w:sz w:val="14"/>
          <w:szCs w:val="14"/>
          <w:color w:val="auto"/>
        </w:rPr>
        <w:t>The manufacture and sale of any product for human consumption raises the risk of product liability claims. These claims may derive from the product itself or a contaminant found in the product from the manufacturing, packaging, sales process or even due to tampering by unauthorized third parties. Our products consist of vitamins, minerals, herbs, and other ingredients that are classified as foods or dietary supplements and are not subject to pre-market regulatory approval in the United States. Our products could contain contaminated substances, and some of our products contain ingredients that do not have long histories of human consumption. Previously unknown adverse reactions resulting from human consumption of these ingredients could occur. In addition, third-party manufacturers produce all of the products we sell. As a distributor of products manufactured by third parties, we may also be liable for various product liability claims for these products despite not manufacturing them. We may be subject to various product liability claims, including, among others, that our products include inadequate instructions for use or inadequate warnings concerning possible side effects and interactions with other substances. Any product liability claim against us could result in increased costs and could adversely affect our reputation with our customers, which in turn could adversely affect our revenue and operating income. Although we maintain insurance coverage, there is a risk that our insurance will not cover our potential exposure completely or would fail to cover a particular claim, in which case we may not have the financial resources to satisfy such claim. In addition, certain types of damages, such as punitive damages, are not covered by our insurance policy.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consumer discretionary spending and may be adversely affected by economic downturns and other macroeconomic conditions or trends.</w:t>
      </w:r>
    </w:p>
    <w:p>
      <w:pPr>
        <w:spacing w:after="0" w:line="125" w:lineRule="exact"/>
        <w:rPr>
          <w:sz w:val="20"/>
          <w:szCs w:val="20"/>
          <w:color w:val="auto"/>
        </w:rPr>
      </w:pPr>
    </w:p>
    <w:p>
      <w:pPr>
        <w:ind w:firstLine="255"/>
        <w:spacing w:after="0" w:line="313" w:lineRule="auto"/>
        <w:rPr>
          <w:sz w:val="20"/>
          <w:szCs w:val="20"/>
          <w:color w:val="auto"/>
        </w:rPr>
      </w:pPr>
      <w:r>
        <w:rPr>
          <w:rFonts w:ascii="Arial" w:cs="Arial" w:eastAsia="Arial" w:hAnsi="Arial"/>
          <w:sz w:val="12"/>
          <w:szCs w:val="12"/>
          <w:color w:val="auto"/>
        </w:rPr>
        <w:t>Macroeconomic conditions may adversely affect our business. If general economic conditions deteriorate globally or in specific markets where we operate, consumer discretionary spending may decline and demand for our products may be reduced. A decrease in consumer discretionary spending would cause sales in our products to decline and adversely impact our business. If our costs were to become subject to significant inflationary pressures, we may not be able to fully offset such higher costs through increases in revenue as increases in core inflation rates may also affect consumers’ willingness to make discretionary purchases on our products. Our inability or failure to do so could harm our business, financial condition, and results of operations. As the world moves into new phases of the pandemic, with new variants emerging, and inflation on the rise, macroeconomic conditions may continue to trend downward for a more prolonged period than expected.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Economic, political, and other risks associated with our international operations could adversely affect our revenue and international growth prospects.</w:t>
      </w:r>
    </w:p>
    <w:p>
      <w:pPr>
        <w:spacing w:after="0" w:line="125"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As part of our business strategy, we intend to continue to expand and grow our international presence. Our international operations are subject to a number of risks inherent to operating in foreign countries, and any expansion or growth of our international operations will increase the effects of these risks. These risks include, among others:</w:t>
      </w:r>
    </w:p>
    <w:p>
      <w:pPr>
        <w:spacing w:after="0" w:line="79"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political and economic instability of foreign markets;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foreign governments’ restrictive trade policies;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lack of well-established or reliable legal systems in certain areas in which we operate;</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inconsistent product regulation or sudden policy changes by foreign agencies or governments;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imposition of, or increase in, duties, taxes, government royalties, or non-tariff trade barriers;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difficulty in collecting international accounts receivable and potentially longer payment cycles;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possibility that a foreign government may limit our ability to repatriate cash;</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increased costs in maintaining international marketing efforts;</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problems entering international markets with different cultural bases and consumer preferences; and</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fluctuations in foreign currency exchange rates.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Any of these risks could have a material adverse effect on our international operations and our growth strategy.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maintain compliance with Nasdaq requirements for continued listing, our common stock could be delisted from trading.</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6" w:name="page37"/>
    <w:bookmarkEnd w:id="36"/>
    <w:p>
      <w:pPr>
        <w:ind w:right="20" w:firstLine="255"/>
        <w:spacing w:after="0" w:line="282" w:lineRule="auto"/>
        <w:rPr>
          <w:sz w:val="20"/>
          <w:szCs w:val="20"/>
          <w:color w:val="auto"/>
        </w:rPr>
      </w:pPr>
      <w:r>
        <w:rPr>
          <w:rFonts w:ascii="Arial" w:cs="Arial" w:eastAsia="Arial" w:hAnsi="Arial"/>
          <w:sz w:val="13"/>
          <w:szCs w:val="13"/>
          <w:color w:val="auto"/>
        </w:rPr>
        <w:t>As previously disclosed, in fiscal year 2016, we were delinquent in the filing of our periodic reports with the SEC and, as a result, were not in compliance with the continued listing requirements of the Nasdaq Stock Market. Accordingly, we were subject to having our stock delisted from trading on Nasdaq though we later were successful in regaining compliance with the Nasdaq continued listing requirements. However, there can be no assurance that our common stock will not be subject to delisting by Nasdaq in the future. If our common stock were to be delisted, there can be no assurance whether or when it would again be listed for trading on Nasdaq or any other exchange. In addition, if our common stock were to be delisted, the market price of our shares will likely decline and become more volatile, and our stockholders may find that their ability to trade in our stock will be adversely affected. Furthermore, institutions whose charters do not allow them to hold securities in unlisted companies might sell our shares, which could have a further adverse effect on the price of our stock.</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may experience future volatility.</w:t>
      </w:r>
    </w:p>
    <w:p>
      <w:pPr>
        <w:spacing w:after="0" w:line="125"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The trading price of our common stock has historically been subject to wide fluctuations. The price of our common stock may fluctuate in the future in response to quarter-to-quarter variations in operating results, material announcements by us or competitors, governmental regulatory action, conditions in the dietary supplement industry, or other events or factors, many of which are beyond our control, and some of which do not have a strong correlation to our operating performance.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Substantial sales of shares may impact the market price of our common stock.</w:t>
      </w:r>
    </w:p>
    <w:p>
      <w:pPr>
        <w:spacing w:after="0" w:line="115"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If our stockholders sell substantial amounts of our common stock, the market price of our common stock may decline. These sales also might make it more difficult for us to sell equity or equity-related securities in the future at a time and price that we consider appropriate.</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 UNRESOLVED STAFF COMMENTS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 PROPERTIES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Offices</w:t>
      </w:r>
    </w:p>
    <w:p>
      <w:pPr>
        <w:spacing w:after="0" w:line="129"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On November 14, 2019, we entered into a lease agreement with Traverse Ridge Center III LLC, a Utah limited liability company, for our new corporate headquarters located at 3300 N. Triumph Blvd., Suite 700, Lehi, Utah 84043. The lease is for approximately 51,674 square feet with a right of first refusal to lease certain additional space in the building when such space becomes available. The term of the lease began on January 1, 2021 and will continue for a period of eleven years.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subsidiary, LifeVantage Japan K.K., leases approximately 10,400 square feet of office space in Tokyo, Japan. The lease for the Tokyo, Japan property expires in July 2023.</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believe that the facilities under our leases are sufficient to meet our needs for the foreseeable future.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Warehouse Facilities</w:t>
      </w:r>
    </w:p>
    <w:p>
      <w:pPr>
        <w:spacing w:after="0" w:line="129" w:lineRule="exact"/>
        <w:rPr>
          <w:sz w:val="20"/>
          <w:szCs w:val="20"/>
          <w:color w:val="auto"/>
        </w:rPr>
      </w:pPr>
    </w:p>
    <w:p>
      <w:pPr>
        <w:jc w:val="both"/>
        <w:ind w:right="60" w:firstLine="255"/>
        <w:spacing w:after="0" w:line="321" w:lineRule="auto"/>
        <w:rPr>
          <w:sz w:val="20"/>
          <w:szCs w:val="20"/>
          <w:color w:val="auto"/>
        </w:rPr>
      </w:pPr>
      <w:r>
        <w:rPr>
          <w:rFonts w:ascii="Arial" w:cs="Arial" w:eastAsia="Arial" w:hAnsi="Arial"/>
          <w:sz w:val="13"/>
          <w:szCs w:val="13"/>
          <w:color w:val="auto"/>
        </w:rPr>
        <w:t>Since fiscal year 2010, Maersk E-Commerce Logistics (formerly Visible Supply Chain Management and IntegraCore, LLC) has provided fulfillment services to us, including services relating to procurement, warehousing, ordering, processing and shipping. We have also entered into arrangements to receive similar services in each of our international markets.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 LEGAL PROCEEDINGS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Note 14 of the Notes to the Consolidated Financial Statements contained within this Annual Report on Form 10-K for a discussion of the Company's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 MINE SAFETY DISCLOSURES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w:t>
      </w:r>
    </w:p>
    <w:p>
      <w:pPr>
        <w:spacing w:after="0" w:line="125" w:lineRule="exact"/>
        <w:rPr>
          <w:sz w:val="20"/>
          <w:szCs w:val="20"/>
          <w:color w:val="auto"/>
        </w:rPr>
      </w:pPr>
    </w:p>
    <w:p>
      <w:pPr>
        <w:ind w:right="1060"/>
        <w:spacing w:after="0" w:line="422" w:lineRule="auto"/>
        <w:rPr>
          <w:sz w:val="20"/>
          <w:szCs w:val="20"/>
          <w:color w:val="auto"/>
        </w:rPr>
      </w:pPr>
      <w:r>
        <w:rPr>
          <w:rFonts w:ascii="Arial" w:cs="Arial" w:eastAsia="Arial" w:hAnsi="Arial"/>
          <w:sz w:val="14"/>
          <w:szCs w:val="14"/>
          <w:b w:val="1"/>
          <w:bCs w:val="1"/>
          <w:color w:val="auto"/>
        </w:rPr>
        <w:t>ITEM 5 — MARKET FOR REGISTRANT’S COMMON EQUITY, RELATED STOCKHOLDER MATTERS AND ISSUER PURCHASES OF EQUITY SECURITIES Market Information and Holders</w:t>
      </w:r>
    </w:p>
    <w:p>
      <w:pPr>
        <w:ind w:right="120" w:firstLine="255"/>
        <w:spacing w:after="0" w:line="281" w:lineRule="auto"/>
        <w:rPr>
          <w:sz w:val="20"/>
          <w:szCs w:val="20"/>
          <w:color w:val="auto"/>
        </w:rPr>
      </w:pPr>
      <w:r>
        <w:rPr>
          <w:rFonts w:ascii="Arial" w:cs="Arial" w:eastAsia="Arial" w:hAnsi="Arial"/>
          <w:sz w:val="14"/>
          <w:szCs w:val="14"/>
          <w:color w:val="auto"/>
        </w:rPr>
        <w:t>Our common stock began trading on the Nasdaq Capital Market under the symbol "LFVN" in September 2012. Our common stock was previously quoted on the OTC Bulletin Board under the symbol “LFVN". On October 19, 2015, the Company effected a one-for-seven reverse stock split.</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37" w:name="page38"/>
    <w:bookmarkEnd w:id="37"/>
    <w:p>
      <w:pPr>
        <w:jc w:val="both"/>
        <w:ind w:right="40" w:firstLine="255"/>
        <w:spacing w:after="0" w:line="267" w:lineRule="auto"/>
        <w:rPr>
          <w:sz w:val="20"/>
          <w:szCs w:val="20"/>
          <w:color w:val="auto"/>
        </w:rPr>
      </w:pPr>
      <w:r>
        <w:rPr>
          <w:rFonts w:ascii="Arial" w:cs="Arial" w:eastAsia="Arial" w:hAnsi="Arial"/>
          <w:sz w:val="14"/>
          <w:szCs w:val="14"/>
          <w:color w:val="auto"/>
        </w:rPr>
        <w:t>Our common stock is issued in registered form and the following information is taken from the records of our current transfer agent, Computershare Trust Company, Inc. As of June 30, 2022, we had 92 stockholders of record and 12.5 million shares of common stock outstanding. This does not include an unknown number of persons who hold shares in street name through brokers and dealers and who are not listed on our stockholder records.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12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following line graph and table compares the cumulative total stockholder return on our common stock with the cumulative total return of (i) the Nasdaq Composite Index and (ii) a market-weighted index of publicly-traded peer companies (the "Peer Group") for the period from June 30, 2017 through June 30, 2022. The data shown assumes an investment on June 30, 2017 of $100 and reinvestment of all dividends into additional shares of the same class of equity, if applicable, to the stock or index. There is no expectation that the rate of return achieved in the prior 5 years will be achievable in the upcoming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65405</wp:posOffset>
            </wp:positionV>
            <wp:extent cx="4594860" cy="3018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94860" cy="301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780" w:firstLine="255"/>
        <w:spacing w:after="0" w:line="281" w:lineRule="auto"/>
        <w:rPr>
          <w:sz w:val="20"/>
          <w:szCs w:val="20"/>
          <w:color w:val="auto"/>
        </w:rPr>
      </w:pPr>
      <w:r>
        <w:rPr>
          <w:rFonts w:ascii="Arial" w:cs="Arial" w:eastAsia="Arial" w:hAnsi="Arial"/>
          <w:sz w:val="14"/>
          <w:szCs w:val="14"/>
          <w:color w:val="auto"/>
        </w:rPr>
        <w:t>The Peer Group consists of the following companies, which compete in our industry and product categories: Nature's Sunshine Products, Inc.; Nu Skin Enterprises, Inc.; Mannatech, Incorporated; Herbalife LTD.; Reliv International, Inc.; Avon Products, Inc.; USANA Health Sciences, Inc. and Tupperware Brands Corporation.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Measured Period</w:t>
            </w: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LFVN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Nasdaq Composite</w:t>
            </w:r>
          </w:p>
        </w:tc>
        <w:tc>
          <w:tcPr>
            <w:tcW w:w="24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Peer Group</w:t>
            </w:r>
          </w:p>
        </w:tc>
      </w:tr>
      <w:tr>
        <w:trPr>
          <w:trHeight w:val="171"/>
        </w:trPr>
        <w:tc>
          <w:tcPr>
            <w:tcW w:w="3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June 30, 2017</w:t>
            </w:r>
          </w:p>
        </w:tc>
        <w:tc>
          <w:tcPr>
            <w:tcW w:w="3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100.00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r>
      <w:tr>
        <w:trPr>
          <w:trHeight w:val="180"/>
        </w:trPr>
        <w:tc>
          <w:tcPr>
            <w:tcW w:w="3320" w:type="dxa"/>
            <w:vAlign w:val="bottom"/>
          </w:tcPr>
          <w:p>
            <w:pPr>
              <w:ind w:left="20"/>
              <w:spacing w:after="0"/>
              <w:rPr>
                <w:sz w:val="20"/>
                <w:szCs w:val="20"/>
                <w:color w:val="auto"/>
              </w:rPr>
            </w:pPr>
            <w:r>
              <w:rPr>
                <w:rFonts w:ascii="Arial" w:cs="Arial" w:eastAsia="Arial" w:hAnsi="Arial"/>
                <w:sz w:val="14"/>
                <w:szCs w:val="14"/>
                <w:color w:val="auto"/>
              </w:rPr>
              <w:t>June 30, 2018</w:t>
            </w:r>
          </w:p>
        </w:tc>
        <w:tc>
          <w:tcPr>
            <w:tcW w:w="4160" w:type="dxa"/>
            <w:vAlign w:val="bottom"/>
            <w:gridSpan w:val="3"/>
          </w:tcPr>
          <w:p>
            <w:pPr>
              <w:jc w:val="right"/>
              <w:ind w:right="86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147.11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123.60</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118.48</w:t>
            </w:r>
          </w:p>
        </w:tc>
        <w:tc>
          <w:tcPr>
            <w:tcW w:w="40" w:type="dxa"/>
            <w:vAlign w:val="bottom"/>
          </w:tcPr>
          <w:p>
            <w:pPr>
              <w:spacing w:after="0"/>
              <w:rPr>
                <w:sz w:val="15"/>
                <w:szCs w:val="15"/>
                <w:color w:val="auto"/>
              </w:rPr>
            </w:pPr>
          </w:p>
        </w:tc>
      </w:tr>
      <w:tr>
        <w:trPr>
          <w:trHeight w:val="18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2019</w:t>
            </w:r>
          </w:p>
        </w:tc>
        <w:tc>
          <w:tcPr>
            <w:tcW w:w="4160" w:type="dxa"/>
            <w:vAlign w:val="bottom"/>
            <w:gridSpan w:val="3"/>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299.77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92.53</w:t>
            </w:r>
          </w:p>
        </w:tc>
        <w:tc>
          <w:tcPr>
            <w:tcW w:w="40" w:type="dxa"/>
            <w:vAlign w:val="bottom"/>
          </w:tcPr>
          <w:p>
            <w:pPr>
              <w:spacing w:after="0"/>
              <w:rPr>
                <w:sz w:val="15"/>
                <w:szCs w:val="15"/>
                <w:color w:val="auto"/>
              </w:rPr>
            </w:pPr>
          </w:p>
        </w:tc>
      </w:tr>
      <w:tr>
        <w:trPr>
          <w:trHeight w:val="180"/>
        </w:trPr>
        <w:tc>
          <w:tcPr>
            <w:tcW w:w="3320" w:type="dxa"/>
            <w:vAlign w:val="bottom"/>
          </w:tcPr>
          <w:p>
            <w:pPr>
              <w:ind w:left="20"/>
              <w:spacing w:after="0"/>
              <w:rPr>
                <w:sz w:val="20"/>
                <w:szCs w:val="20"/>
                <w:color w:val="auto"/>
              </w:rPr>
            </w:pPr>
            <w:r>
              <w:rPr>
                <w:rFonts w:ascii="Arial" w:cs="Arial" w:eastAsia="Arial" w:hAnsi="Arial"/>
                <w:sz w:val="14"/>
                <w:szCs w:val="14"/>
                <w:color w:val="auto"/>
              </w:rPr>
              <w:t>June 30, 2020</w:t>
            </w:r>
          </w:p>
        </w:tc>
        <w:tc>
          <w:tcPr>
            <w:tcW w:w="4160" w:type="dxa"/>
            <w:vAlign w:val="bottom"/>
            <w:gridSpan w:val="3"/>
          </w:tcPr>
          <w:p>
            <w:pPr>
              <w:jc w:val="right"/>
              <w:ind w:right="86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312.24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169.11</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90.69</w:t>
            </w:r>
          </w:p>
        </w:tc>
        <w:tc>
          <w:tcPr>
            <w:tcW w:w="40" w:type="dxa"/>
            <w:vAlign w:val="bottom"/>
          </w:tcPr>
          <w:p>
            <w:pPr>
              <w:spacing w:after="0"/>
              <w:rPr>
                <w:sz w:val="15"/>
                <w:szCs w:val="15"/>
                <w:color w:val="auto"/>
              </w:rPr>
            </w:pPr>
          </w:p>
        </w:tc>
      </w:tr>
      <w:tr>
        <w:trPr>
          <w:trHeight w:val="18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2021</w:t>
            </w:r>
          </w:p>
        </w:tc>
        <w:tc>
          <w:tcPr>
            <w:tcW w:w="4160" w:type="dxa"/>
            <w:vAlign w:val="bottom"/>
            <w:gridSpan w:val="3"/>
            <w:shd w:val="clear" w:color="auto" w:fill="CCEEFF"/>
          </w:tcPr>
          <w:p>
            <w:pPr>
              <w:jc w:val="right"/>
              <w:ind w:right="86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169.75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123.75</w:t>
            </w:r>
          </w:p>
        </w:tc>
        <w:tc>
          <w:tcPr>
            <w:tcW w:w="40" w:type="dxa"/>
            <w:vAlign w:val="bottom"/>
          </w:tcPr>
          <w:p>
            <w:pPr>
              <w:spacing w:after="0"/>
              <w:rPr>
                <w:sz w:val="15"/>
                <w:szCs w:val="15"/>
                <w:color w:val="auto"/>
              </w:rPr>
            </w:pPr>
          </w:p>
        </w:tc>
      </w:tr>
      <w:tr>
        <w:trPr>
          <w:trHeight w:val="180"/>
        </w:trPr>
        <w:tc>
          <w:tcPr>
            <w:tcW w:w="3320" w:type="dxa"/>
            <w:vAlign w:val="bottom"/>
          </w:tcPr>
          <w:p>
            <w:pPr>
              <w:ind w:left="20"/>
              <w:spacing w:after="0"/>
              <w:rPr>
                <w:sz w:val="20"/>
                <w:szCs w:val="20"/>
                <w:color w:val="auto"/>
              </w:rPr>
            </w:pPr>
            <w:r>
              <w:rPr>
                <w:rFonts w:ascii="Arial" w:cs="Arial" w:eastAsia="Arial" w:hAnsi="Arial"/>
                <w:sz w:val="14"/>
                <w:szCs w:val="14"/>
                <w:color w:val="auto"/>
              </w:rPr>
              <w:t>June 30, 2022</w:t>
            </w:r>
          </w:p>
        </w:tc>
        <w:tc>
          <w:tcPr>
            <w:tcW w:w="4160" w:type="dxa"/>
            <w:vAlign w:val="bottom"/>
            <w:gridSpan w:val="3"/>
          </w:tcPr>
          <w:p>
            <w:pPr>
              <w:jc w:val="right"/>
              <w:ind w:right="869"/>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101.22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188.07</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65.93</w:t>
            </w:r>
          </w:p>
        </w:tc>
        <w:tc>
          <w:tcPr>
            <w:tcW w:w="40" w:type="dxa"/>
            <w:vAlign w:val="bottom"/>
          </w:tcPr>
          <w:p>
            <w:pPr>
              <w:spacing w:after="0"/>
              <w:rPr>
                <w:sz w:val="15"/>
                <w:szCs w:val="15"/>
                <w:color w:val="auto"/>
              </w:rPr>
            </w:pPr>
          </w:p>
        </w:tc>
      </w:tr>
      <w:tr>
        <w:trPr>
          <w:trHeight w:val="796"/>
        </w:trPr>
        <w:tc>
          <w:tcPr>
            <w:tcW w:w="3320" w:type="dxa"/>
            <w:vAlign w:val="bottom"/>
          </w:tcPr>
          <w:p>
            <w:pPr>
              <w:spacing w:after="0"/>
              <w:rPr>
                <w:sz w:val="24"/>
                <w:szCs w:val="24"/>
                <w:color w:val="auto"/>
              </w:rPr>
            </w:pPr>
          </w:p>
        </w:tc>
        <w:tc>
          <w:tcPr>
            <w:tcW w:w="3040" w:type="dxa"/>
            <w:vAlign w:val="bottom"/>
          </w:tcPr>
          <w:p>
            <w:pPr>
              <w:jc w:val="right"/>
              <w:ind w:right="56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3320" w:type="dxa"/>
            <w:vAlign w:val="bottom"/>
            <w:tcBorders>
              <w:bottom w:val="single" w:sz="8" w:color="9A9A9A"/>
            </w:tcBorders>
          </w:tcPr>
          <w:p>
            <w:pPr>
              <w:spacing w:after="0"/>
              <w:rPr>
                <w:sz w:val="7"/>
                <w:szCs w:val="7"/>
                <w:color w:val="auto"/>
              </w:rPr>
            </w:pPr>
          </w:p>
        </w:tc>
        <w:tc>
          <w:tcPr>
            <w:tcW w:w="3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Dividends</w:t>
      </w:r>
    </w:p>
    <w:p>
      <w:pPr>
        <w:spacing w:after="0" w:line="11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On May 3, 2022, we announced a quarterly cash dividend of $0.03 per common share in an aggregate amount of $0.4 million that was paid on May 31, 2022, to stockholders of record on May 17, 2022. Additionally, the 2016 Credit Facility, as amended, contains customary covenants that, among other things, restrict our ability to pay dividends absent consent from our lender. In May 2022, we received consent from our lender to pay out the quarterly cash dividend of $0.03 per common share to our stockholders. We currently expect that a comparable cash dividend will be paid each quarter for the foreseeable future.</w:t>
      </w:r>
    </w:p>
    <w:p>
      <w:pPr>
        <w:spacing w:after="0" w:line="93"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The declaration of dividends is subject to the discretion of our board of directors and will depend upon various factors, including our earnings, financial condition, restrictions imposed by any indebtedness that may be outstanding, cash requirements, future prospects and other factors deemed relevant by our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w:t>
      </w:r>
    </w:p>
    <w:p>
      <w:pPr>
        <w:spacing w:after="0" w:line="119" w:lineRule="exact"/>
        <w:rPr>
          <w:sz w:val="20"/>
          <w:szCs w:val="20"/>
          <w:color w:val="auto"/>
        </w:rPr>
      </w:pPr>
    </w:p>
    <w:p>
      <w:pPr>
        <w:ind w:firstLine="255"/>
        <w:spacing w:after="0" w:line="256" w:lineRule="auto"/>
        <w:rPr>
          <w:sz w:val="20"/>
          <w:szCs w:val="20"/>
          <w:color w:val="auto"/>
        </w:rPr>
      </w:pPr>
      <w:r>
        <w:rPr>
          <w:rFonts w:ascii="Arial" w:cs="Arial" w:eastAsia="Arial" w:hAnsi="Arial"/>
          <w:sz w:val="14"/>
          <w:szCs w:val="14"/>
          <w:color w:val="auto"/>
        </w:rPr>
        <w:t>On November 27, 2017, our board of directors approved a stock repurchase plan, which was subsequently amended on February 1, 2019. Under the plan, we are authorized to repurchase up to $15.0 million of the outstanding shares through November 27, 2020. On August 27, 2020, our board of directors approved an amendment to the share repurchase program to increase the authorized share repurchase amount from $15 million to $35 million and to extend the duration of the program through November 30, 2023 and, on February 17, 2022, the Board of Directors approved an amendment to the share repurchase program to increase the authorized share repurchase amount from $35 million to $60 million.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authorization may be suspended or discontinued at any time. During the three months ended June 30, 2022, we repurchase 0.1 million shares of our common stock under this repurchase plan.</w:t>
      </w:r>
    </w:p>
    <w:p>
      <w:pPr>
        <w:spacing w:after="0" w:line="99" w:lineRule="exact"/>
        <w:rPr>
          <w:sz w:val="20"/>
          <w:szCs w:val="20"/>
          <w:color w:val="auto"/>
        </w:rPr>
      </w:pPr>
    </w:p>
    <w:p>
      <w:pPr>
        <w:ind w:right="120" w:firstLine="318"/>
        <w:spacing w:after="0" w:line="273" w:lineRule="auto"/>
        <w:rPr>
          <w:sz w:val="20"/>
          <w:szCs w:val="20"/>
          <w:color w:val="auto"/>
        </w:rPr>
      </w:pPr>
      <w:r>
        <w:rPr>
          <w:rFonts w:ascii="Arial" w:cs="Arial" w:eastAsia="Arial" w:hAnsi="Arial"/>
          <w:sz w:val="14"/>
          <w:szCs w:val="14"/>
          <w:color w:val="auto"/>
        </w:rPr>
        <w:t>The following table provides information with respect to all purchases made by the Company during the three months ended June 30, 2022. All purchases listed below were made at prevailing market prices.</w:t>
      </w:r>
    </w:p>
    <w:tbl>
      <w:tblPr>
        <w:tblLayout w:type="fixed"/>
        <w:tblInd w:w="0" w:type="dxa"/>
        <w:tblCellMar>
          <w:top w:w="0" w:type="dxa"/>
          <w:left w:w="0" w:type="dxa"/>
          <w:bottom w:w="0" w:type="dxa"/>
          <w:right w:w="0" w:type="dxa"/>
        </w:tblCellMar>
      </w:tblPr>
      <w:tr>
        <w:trPr>
          <w:trHeight w:val="143"/>
        </w:trPr>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Total Number of Shares</w:t>
            </w:r>
          </w:p>
        </w:tc>
        <w:tc>
          <w:tcPr>
            <w:tcW w:w="80" w:type="dxa"/>
            <w:vAlign w:val="bottom"/>
          </w:tcPr>
          <w:p>
            <w:pPr>
              <w:spacing w:after="0"/>
              <w:rPr>
                <w:sz w:val="12"/>
                <w:szCs w:val="12"/>
                <w:color w:val="auto"/>
              </w:rPr>
            </w:pPr>
          </w:p>
        </w:tc>
        <w:tc>
          <w:tcPr>
            <w:tcW w:w="206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w w:val="93"/>
              </w:rPr>
              <w:t>Maximum Dollar Value of Shares</w:t>
            </w:r>
          </w:p>
        </w:tc>
        <w:tc>
          <w:tcPr>
            <w:tcW w:w="0" w:type="dxa"/>
            <w:vAlign w:val="bottom"/>
          </w:tcPr>
          <w:p>
            <w:pPr>
              <w:spacing w:after="0"/>
              <w:rPr>
                <w:sz w:val="1"/>
                <w:szCs w:val="1"/>
                <w:color w:val="auto"/>
              </w:rPr>
            </w:pPr>
          </w:p>
        </w:tc>
      </w:tr>
      <w:tr>
        <w:trPr>
          <w:trHeight w:val="138"/>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0"/>
              </w:rPr>
              <w:t>Purchased as Part of the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jc w:val="right"/>
              <w:ind w:right="129"/>
              <w:spacing w:after="0" w:line="138" w:lineRule="exact"/>
              <w:rPr>
                <w:sz w:val="20"/>
                <w:szCs w:val="20"/>
                <w:color w:val="auto"/>
              </w:rPr>
            </w:pPr>
            <w:r>
              <w:rPr>
                <w:rFonts w:ascii="Arial" w:cs="Arial" w:eastAsia="Arial" w:hAnsi="Arial"/>
                <w:sz w:val="14"/>
                <w:szCs w:val="14"/>
                <w:b w:val="1"/>
                <w:bCs w:val="1"/>
                <w:color w:val="auto"/>
                <w:w w:val="95"/>
              </w:rPr>
              <w:t>that May Yet Be Purchased</w:t>
            </w:r>
          </w:p>
        </w:tc>
        <w:tc>
          <w:tcPr>
            <w:tcW w:w="0" w:type="dxa"/>
            <w:vAlign w:val="bottom"/>
          </w:tcPr>
          <w:p>
            <w:pPr>
              <w:spacing w:after="0"/>
              <w:rPr>
                <w:sz w:val="1"/>
                <w:szCs w:val="1"/>
                <w:color w:val="auto"/>
              </w:rPr>
            </w:pPr>
          </w:p>
        </w:tc>
      </w:tr>
      <w:tr>
        <w:trPr>
          <w:trHeight w:val="191"/>
        </w:trPr>
        <w:tc>
          <w:tcPr>
            <w:tcW w:w="2780" w:type="dxa"/>
            <w:vAlign w:val="bottom"/>
            <w:gridSpan w:val="2"/>
          </w:tcPr>
          <w:p>
            <w:pPr>
              <w:ind w:left="1140"/>
              <w:spacing w:after="0"/>
              <w:rPr>
                <w:sz w:val="20"/>
                <w:szCs w:val="20"/>
                <w:color w:val="auto"/>
              </w:rPr>
            </w:pPr>
            <w:r>
              <w:rPr>
                <w:rFonts w:ascii="Arial" w:cs="Arial" w:eastAsia="Arial" w:hAnsi="Arial"/>
                <w:sz w:val="14"/>
                <w:szCs w:val="14"/>
                <w:b w:val="1"/>
                <w:bCs w:val="1"/>
                <w:color w:val="auto"/>
              </w:rPr>
              <w:t>Period</w:t>
            </w:r>
          </w:p>
        </w:tc>
        <w:tc>
          <w:tcPr>
            <w:tcW w:w="2000" w:type="dxa"/>
            <w:vAlign w:val="bottom"/>
          </w:tcPr>
          <w:p>
            <w:pPr>
              <w:jc w:val="right"/>
              <w:ind w:right="609"/>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Average Price Paid Per Share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 or Programs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jc w:val="right"/>
              <w:ind w:right="69"/>
              <w:spacing w:after="0"/>
              <w:rPr>
                <w:sz w:val="20"/>
                <w:szCs w:val="20"/>
                <w:color w:val="auto"/>
              </w:rPr>
            </w:pPr>
            <w:r>
              <w:rPr>
                <w:rFonts w:ascii="Arial" w:cs="Arial" w:eastAsia="Arial" w:hAnsi="Arial"/>
                <w:sz w:val="14"/>
                <w:szCs w:val="14"/>
                <w:b w:val="1"/>
                <w:bCs w:val="1"/>
                <w:color w:val="auto"/>
                <w:w w:val="91"/>
              </w:rPr>
              <w:t>Under the Plans or Programs</w:t>
            </w:r>
          </w:p>
        </w:tc>
        <w:tc>
          <w:tcPr>
            <w:tcW w:w="0" w:type="dxa"/>
            <w:vAlign w:val="bottom"/>
          </w:tcPr>
          <w:p>
            <w:pPr>
              <w:spacing w:after="0"/>
              <w:rPr>
                <w:sz w:val="1"/>
                <w:szCs w:val="1"/>
                <w:color w:val="auto"/>
              </w:rPr>
            </w:pPr>
          </w:p>
        </w:tc>
      </w:tr>
      <w:tr>
        <w:trPr>
          <w:trHeight w:val="171"/>
        </w:trPr>
        <w:tc>
          <w:tcPr>
            <w:tcW w:w="2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April 1 - April 30</w:t>
            </w: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28,133,664</w:t>
            </w:r>
          </w:p>
        </w:tc>
        <w:tc>
          <w:tcPr>
            <w:tcW w:w="0" w:type="dxa"/>
            <w:vAlign w:val="bottom"/>
          </w:tcPr>
          <w:p>
            <w:pPr>
              <w:spacing w:after="0"/>
              <w:rPr>
                <w:sz w:val="1"/>
                <w:szCs w:val="1"/>
                <w:color w:val="auto"/>
              </w:rPr>
            </w:pPr>
          </w:p>
        </w:tc>
      </w:tr>
      <w:tr>
        <w:trPr>
          <w:trHeight w:val="180"/>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May 1 - May 31</w:t>
            </w:r>
          </w:p>
        </w:tc>
        <w:tc>
          <w:tcPr>
            <w:tcW w:w="2000" w:type="dxa"/>
            <w:vAlign w:val="bottom"/>
          </w:tcPr>
          <w:p>
            <w:pPr>
              <w:jc w:val="right"/>
              <w:spacing w:after="0"/>
              <w:rPr>
                <w:sz w:val="20"/>
                <w:szCs w:val="20"/>
                <w:color w:val="auto"/>
              </w:rPr>
            </w:pPr>
            <w:r>
              <w:rPr>
                <w:rFonts w:ascii="Arial" w:cs="Arial" w:eastAsia="Arial" w:hAnsi="Arial"/>
                <w:sz w:val="14"/>
                <w:szCs w:val="14"/>
                <w:color w:val="auto"/>
              </w:rPr>
              <w:t>18,748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92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5"/>
                <w:szCs w:val="15"/>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18,748</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28,055,645</w:t>
            </w:r>
          </w:p>
        </w:tc>
        <w:tc>
          <w:tcPr>
            <w:tcW w:w="0" w:type="dxa"/>
            <w:vAlign w:val="bottom"/>
          </w:tcPr>
          <w:p>
            <w:pPr>
              <w:spacing w:after="0"/>
              <w:rPr>
                <w:sz w:val="1"/>
                <w:szCs w:val="1"/>
                <w:color w:val="auto"/>
              </w:rPr>
            </w:pPr>
          </w:p>
        </w:tc>
      </w:tr>
      <w:tr>
        <w:trPr>
          <w:trHeight w:val="18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1 - June 30</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5"/>
                <w:szCs w:val="15"/>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84,643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27,674,586</w:t>
            </w:r>
          </w:p>
        </w:tc>
        <w:tc>
          <w:tcPr>
            <w:tcW w:w="0" w:type="dxa"/>
            <w:vAlign w:val="bottom"/>
          </w:tcPr>
          <w:p>
            <w:pPr>
              <w:spacing w:after="0"/>
              <w:rPr>
                <w:sz w:val="1"/>
                <w:szCs w:val="1"/>
                <w:color w:val="auto"/>
              </w:rPr>
            </w:pPr>
          </w:p>
        </w:tc>
      </w:tr>
      <w:tr>
        <w:trPr>
          <w:trHeight w:val="171"/>
        </w:trPr>
        <w:tc>
          <w:tcPr>
            <w:tcW w:w="27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 of Unregistered Securities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information is incorporated by reference to Part III, Item 12 of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 SELECTED FINANCIAL DATA</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certain historical financial information at the dates and for the periods indicated prepared in accordance with GAAP.</w:t>
      </w:r>
    </w:p>
    <w:p>
      <w:pPr>
        <w:spacing w:after="0" w:line="115"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The consolidated statement of operations data for each of the fiscal years ended June 30, 2022, 2021 and 2020, and the consolidated balance sheet data as of June 30, 2022 and 2021, have been derived from our consolidated financial statements audited by WSRP, LLC, an independent registered public accounting firm, included elsewhere in this annual report on Form 10-K. The consolidated statement of operations data for each of the fiscal years ended June 30, 2019 and 2018, and the consolidated balance sheet data as of June 30, 2021, 2020, 2019 and 2018, have been derived from our financial statements not included herein. The selected consolidated financial data should be read in conjunction with “Management's Discussion and Analysis of Financial Condition and Results of Operations” and the consolidated financial statements and notes thereto, which</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are included elsewhere in this annual report on Form 10-K. Our historical results are not necessarily indicative of operating results to be expected in the future.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rPr>
              <w:t>Years Ended June 30,</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Revenue, net</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206,360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220,181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232,915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225,958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203,204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Cost of sales</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38,097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ind w:left="360"/>
              <w:spacing w:after="0"/>
              <w:rPr>
                <w:sz w:val="20"/>
                <w:szCs w:val="20"/>
                <w:color w:val="auto"/>
              </w:rPr>
            </w:pPr>
            <w:r>
              <w:rPr>
                <w:rFonts w:ascii="Arial" w:cs="Arial" w:eastAsia="Arial" w:hAnsi="Arial"/>
                <w:sz w:val="14"/>
                <w:szCs w:val="14"/>
                <w:color w:val="auto"/>
              </w:rPr>
              <w:t>Gross profit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168,263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181,994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194,951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187,985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168,356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Operating expenses: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ind w:left="360"/>
              <w:spacing w:after="0"/>
              <w:rPr>
                <w:sz w:val="20"/>
                <w:szCs w:val="20"/>
                <w:color w:val="auto"/>
              </w:rPr>
            </w:pPr>
            <w:r>
              <w:rPr>
                <w:rFonts w:ascii="Arial" w:cs="Arial" w:eastAsia="Arial" w:hAnsi="Arial"/>
                <w:sz w:val="14"/>
                <w:szCs w:val="14"/>
                <w:color w:val="auto"/>
              </w:rPr>
              <w:t>Commissions and incentives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97,263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103,541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111,571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108,620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98,193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Selling, general and administrative</w:t>
            </w: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34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Total operating expenses</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160,688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164,379</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179,485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178,171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Other expense: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expense</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ind w:left="340"/>
              <w:spacing w:after="0"/>
              <w:rPr>
                <w:sz w:val="20"/>
                <w:szCs w:val="20"/>
                <w:color w:val="auto"/>
              </w:rPr>
            </w:pPr>
            <w:r>
              <w:rPr>
                <w:rFonts w:ascii="Arial" w:cs="Arial" w:eastAsia="Arial" w:hAnsi="Arial"/>
                <w:sz w:val="14"/>
                <w:szCs w:val="14"/>
                <w:color w:val="auto"/>
              </w:rPr>
              <w:t>Other income (expense), net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Impairment of investment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0"/>
              </w:rPr>
              <w:t>(2,205)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340" w:type="dxa"/>
            <w:vAlign w:val="bottom"/>
            <w:tcBorders>
              <w:bottom w:val="single" w:sz="8" w:color="CCEEFF"/>
            </w:tcBorders>
          </w:tcPr>
          <w:p>
            <w:pPr>
              <w:ind w:left="700"/>
              <w:spacing w:after="0"/>
              <w:rPr>
                <w:sz w:val="20"/>
                <w:szCs w:val="20"/>
                <w:color w:val="auto"/>
              </w:rPr>
            </w:pPr>
            <w:r>
              <w:rPr>
                <w:rFonts w:ascii="Arial" w:cs="Arial" w:eastAsia="Arial" w:hAnsi="Arial"/>
                <w:sz w:val="14"/>
                <w:szCs w:val="14"/>
                <w:color w:val="auto"/>
              </w:rPr>
              <w:t>Total other expense</w:t>
            </w: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90"/>
              </w:rPr>
              <w:t>(2,884)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(805)</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Income tax expense</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w w:val="90"/>
              </w:rPr>
              <w:t>(1,571)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(1,801)</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12,894</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Net income per share:</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continue"/>
          </w:tcPr>
          <w:p>
            <w:pPr>
              <w:spacing w:after="0"/>
              <w:rPr>
                <w:sz w:val="10"/>
                <w:szCs w:val="10"/>
                <w:color w:val="auto"/>
              </w:rPr>
            </w:pPr>
          </w:p>
        </w:tc>
        <w:tc>
          <w:tcPr>
            <w:tcW w:w="5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Basic</w:t>
            </w: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ind w:left="340"/>
              <w:spacing w:after="0"/>
              <w:rPr>
                <w:sz w:val="20"/>
                <w:szCs w:val="20"/>
                <w:color w:val="auto"/>
              </w:rPr>
            </w:pPr>
            <w:r>
              <w:rPr>
                <w:rFonts w:ascii="Arial" w:cs="Arial" w:eastAsia="Arial" w:hAnsi="Arial"/>
                <w:sz w:val="14"/>
                <w:szCs w:val="14"/>
                <w:color w:val="auto"/>
              </w:rPr>
              <w:t>Diluted</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shares outstanding:</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ind w:left="340"/>
              <w:spacing w:after="0"/>
              <w:rPr>
                <w:sz w:val="20"/>
                <w:szCs w:val="20"/>
                <w:color w:val="auto"/>
              </w:rPr>
            </w:pPr>
            <w:r>
              <w:rPr>
                <w:rFonts w:ascii="Arial" w:cs="Arial" w:eastAsia="Arial" w:hAnsi="Arial"/>
                <w:sz w:val="14"/>
                <w:szCs w:val="14"/>
                <w:color w:val="auto"/>
              </w:rPr>
              <w:t>Basic</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Diluted</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14,980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As of June 30,</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2019</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1"/>
                <w:szCs w:val="11"/>
                <w:b w:val="1"/>
                <w:bCs w:val="1"/>
                <w:color w:val="auto"/>
              </w:rPr>
              <w:t>2018</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Sheet Data:</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w w:val="93"/>
              </w:rPr>
              <w:t>20,190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23,174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22,138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18,824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16,652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Working capital</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21,229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Total assets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420"/>
              <w:spacing w:after="0"/>
              <w:rPr>
                <w:sz w:val="20"/>
                <w:szCs w:val="20"/>
                <w:color w:val="auto"/>
              </w:rPr>
            </w:pPr>
            <w:r>
              <w:rPr>
                <w:rFonts w:ascii="Arial" w:cs="Arial" w:eastAsia="Arial" w:hAnsi="Arial"/>
                <w:sz w:val="14"/>
                <w:szCs w:val="14"/>
                <w:color w:val="auto"/>
                <w:w w:val="93"/>
              </w:rPr>
              <w:t>70,706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78,732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58,877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55,273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51,142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25,728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Long-term debt, net of unamortized discount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3"/>
          </w:tcPr>
          <w:p>
            <w:pPr>
              <w:ind w:left="6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39,190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29,195</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420"/>
              <w:spacing w:after="0"/>
              <w:rPr>
                <w:sz w:val="20"/>
                <w:szCs w:val="20"/>
                <w:color w:val="auto"/>
              </w:rPr>
            </w:pPr>
            <w:r>
              <w:rPr>
                <w:rFonts w:ascii="Arial" w:cs="Arial" w:eastAsia="Arial" w:hAnsi="Arial"/>
                <w:sz w:val="14"/>
                <w:szCs w:val="14"/>
                <w:color w:val="auto"/>
                <w:w w:val="93"/>
              </w:rPr>
              <w:t>31,516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36,807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33,254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27,199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21,947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 MANAGEMENT’S DISCUSSION AND ANALYSIS OF FINANCIAL CONDITION AND RESULTS OF OPERATIONS</w:t>
      </w:r>
    </w:p>
    <w:p>
      <w:pPr>
        <w:spacing w:after="0" w:line="119"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the consolidated financial statements and related notes, which are included 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9" w:lineRule="exact"/>
        <w:rPr>
          <w:sz w:val="20"/>
          <w:szCs w:val="20"/>
          <w:color w:val="auto"/>
        </w:rPr>
      </w:pPr>
    </w:p>
    <w:p>
      <w:pPr>
        <w:ind w:right="60" w:firstLine="255"/>
        <w:spacing w:after="0" w:line="260" w:lineRule="auto"/>
        <w:rPr>
          <w:sz w:val="20"/>
          <w:szCs w:val="20"/>
          <w:color w:val="auto"/>
        </w:rPr>
      </w:pPr>
      <w:r>
        <w:rPr>
          <w:rFonts w:ascii="Arial" w:cs="Arial" w:eastAsia="Arial" w:hAnsi="Arial"/>
          <w:sz w:val="14"/>
          <w:szCs w:val="14"/>
          <w:color w:val="auto"/>
        </w:rPr>
        <w:t>We are a company focused on nutrigenomics, the study of how nutrition and naturally occurring compounds affect human genes to support good health. We are dedicated to helping people achieve their health, wellness and financial goals. We provide quality, scientifically-validated products to customers and independent distributors as well as a financially rewarding commission-based direct sales opportunity to our independent distributors. We engage in the identification, research, development, formulation and sale of advanced nutrigenomic activators, dietary supplements, nootropics, pre- and pro-biotics, weight management, skin and hair care, bath &amp; body, and targeted relief products. We currently sell our products to customers and independent distributors in two geographic regions that we have classified as the Americas region and the Asia/Pacific &amp;</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t>Europe region.</w:t>
      </w:r>
    </w:p>
    <w:p>
      <w:pPr>
        <w:spacing w:after="0" w:line="115"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74" w:lineRule="exact"/>
        <w:rPr>
          <w:sz w:val="20"/>
          <w:szCs w:val="20"/>
          <w:color w:val="auto"/>
        </w:rPr>
      </w:pPr>
    </w:p>
    <w:p>
      <w:pPr>
        <w:ind w:left="520" w:right="80" w:hanging="260"/>
        <w:spacing w:after="0" w:line="223"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products, including our flagship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family of scientifically-validated dietary supplements,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ProBio, IC Bright</w:t>
      </w:r>
      <w:r>
        <w:rPr>
          <w:rFonts w:ascii="Arial" w:cs="Arial" w:eastAsia="Arial" w:hAnsi="Arial"/>
          <w:sz w:val="18"/>
          <w:szCs w:val="18"/>
          <w:color w:val="auto"/>
          <w:vertAlign w:val="superscript"/>
        </w:rPr>
        <w:t>®</w:t>
      </w:r>
      <w:r>
        <w:rPr>
          <w:rFonts w:ascii="Arial" w:cs="Arial" w:eastAsia="Arial" w:hAnsi="Arial"/>
          <w:sz w:val="14"/>
          <w:szCs w:val="14"/>
          <w:color w:val="auto"/>
        </w:rPr>
        <w:t>, and Daily Wellness dietary supplements, our line of Nrf2 enhanced TrueScience® skin, hair, bath &amp; body, and targeted relief products, Petandim</w:t>
      </w:r>
      <w:r>
        <w:rPr>
          <w:rFonts w:ascii="Arial" w:cs="Arial" w:eastAsia="Arial" w:hAnsi="Arial"/>
          <w:sz w:val="18"/>
          <w:szCs w:val="18"/>
          <w:color w:val="auto"/>
          <w:vertAlign w:val="superscript"/>
        </w:rPr>
        <w:t>®</w:t>
      </w:r>
      <w:r>
        <w:rPr>
          <w:rFonts w:ascii="Arial" w:cs="Arial" w:eastAsia="Arial" w:hAnsi="Arial"/>
          <w:sz w:val="14"/>
          <w:szCs w:val="14"/>
          <w:color w:val="auto"/>
        </w:rPr>
        <w:t>, our companion pet supplement formulated to combat oxidative stress in dogs, Axio</w:t>
      </w:r>
      <w:r>
        <w:rPr>
          <w:rFonts w:ascii="Arial" w:cs="Arial" w:eastAsia="Arial" w:hAnsi="Arial"/>
          <w:sz w:val="18"/>
          <w:szCs w:val="18"/>
          <w:color w:val="auto"/>
          <w:vertAlign w:val="superscript"/>
        </w:rPr>
        <w:t>®</w:t>
      </w:r>
      <w:r>
        <w:rPr>
          <w:rFonts w:ascii="Arial" w:cs="Arial" w:eastAsia="Arial" w:hAnsi="Arial"/>
          <w:sz w:val="14"/>
          <w:szCs w:val="14"/>
          <w:color w:val="auto"/>
        </w:rPr>
        <w:t>, our nootropic energy drink mixes, and PhysIQ, our smart weight management system;</w:t>
      </w:r>
    </w:p>
    <w:p>
      <w:pPr>
        <w:spacing w:after="0" w:line="53"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sales compensation plan and other sales initiatives and incentives; and</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Our delivery of superior customer service.</w:t>
      </w:r>
    </w:p>
    <w:p>
      <w:pPr>
        <w:spacing w:after="0" w:line="125"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Singapore, and the Philippines. In addition, we sell our products in a number of countries to customers for personal consumption only and in China through a China approved cross-border e-commerce business model. Entering a new market requires a considerable amount of time, resources and continued support. If we are unable to properly support an existing or new market, our revenue growth may be negatively impacted.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COVID-19 on Our Business</w:t>
      </w:r>
    </w:p>
    <w:p>
      <w:pPr>
        <w:spacing w:after="0" w:line="119" w:lineRule="exact"/>
        <w:rPr>
          <w:sz w:val="20"/>
          <w:szCs w:val="20"/>
          <w:color w:val="auto"/>
        </w:rPr>
      </w:pPr>
    </w:p>
    <w:p>
      <w:pPr>
        <w:ind w:right="40" w:firstLine="255"/>
        <w:spacing w:after="0" w:line="276" w:lineRule="auto"/>
        <w:rPr>
          <w:sz w:val="20"/>
          <w:szCs w:val="20"/>
          <w:color w:val="auto"/>
        </w:rPr>
      </w:pPr>
      <w:r>
        <w:rPr>
          <w:rFonts w:ascii="Arial" w:cs="Arial" w:eastAsia="Arial" w:hAnsi="Arial"/>
          <w:sz w:val="13"/>
          <w:szCs w:val="13"/>
          <w:color w:val="auto"/>
        </w:rPr>
        <w:t>The pandemic caused by COVID-19 has continued to disrupt and adversely affect our business in fiscal year 2022. As of the date of this filing, we have experienced multiple disruptions at times at the corporate level as we have transitioned our corporate workforce from a remote working environment, to a hybrid work from home/work in the office schedule. We have continued to experience temporary closures of some of our overseas showrooms and will call locations in international markets and have experienced cancelled multiple planned large group events in order to comply with group meeting restrictions in certain markets.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independent distributors from connecting with potential new independent distributors virtually or through social media. Accordingly, quarantines, avoidance of public places and general concerns about physical distancing related to COVID-19 or otherwise negatively affected the ability for independent distributors to meet people in person and commence the enrollment process. To mitigate these effects and in an effort to sustain their sales volume, our independent distributors have adapted their approach for customer outreach and enrollment, including transitioning to a stronger social media presence.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89"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We have made modifications and are evaluating additional potential modifications that may be needed, to protect our supply chain and preserve adequate liquidity to ensure that our business can continue to operate during uncertain times. Near the end of fiscal year 2020 we transitioned all of our corporate employees to a work from home model and during July 2021 we began to implement a hybrid schedule with opportunities for employees to return back to the office. That hybrid schedule continues to be in effect today. To date, our employees are performing and adapting well with the evolving environment. With respect to liquidity, we are evaluating and taking actions to ensure that we continue to responsibly manage expenses across our organization.</w:t>
      </w:r>
    </w:p>
    <w:p>
      <w:pPr>
        <w:spacing w:after="0" w:line="78"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Our Products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Our products are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line of scientifically-validated dietary supplements,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 ProBio and Daily Wellness dietary supplements, TrueScience</w:t>
      </w:r>
      <w:r>
        <w:rPr>
          <w:rFonts w:ascii="Arial" w:cs="Arial" w:eastAsia="Arial" w:hAnsi="Arial"/>
          <w:sz w:val="15"/>
          <w:szCs w:val="15"/>
          <w:color w:val="auto"/>
          <w:vertAlign w:val="superscript"/>
        </w:rPr>
        <w:t>®</w:t>
      </w:r>
      <w:r>
        <w:rPr>
          <w:rFonts w:ascii="Arial" w:cs="Arial" w:eastAsia="Arial" w:hAnsi="Arial"/>
          <w:sz w:val="12"/>
          <w:szCs w:val="12"/>
          <w:color w:val="auto"/>
        </w:rPr>
        <w:t>, our line of skin, bath</w:t>
      </w:r>
    </w:p>
    <w:p>
      <w:pPr>
        <w:spacing w:after="0" w:line="9" w:lineRule="exact"/>
        <w:rPr>
          <w:sz w:val="20"/>
          <w:szCs w:val="20"/>
          <w:color w:val="auto"/>
        </w:rPr>
      </w:pPr>
    </w:p>
    <w:p>
      <w:pPr>
        <w:ind w:firstLine="5"/>
        <w:spacing w:after="0" w:line="248" w:lineRule="auto"/>
        <w:tabs>
          <w:tab w:leader="none" w:pos="145" w:val="left"/>
        </w:tabs>
        <w:numPr>
          <w:ilvl w:val="0"/>
          <w:numId w:val="24"/>
        </w:numPr>
        <w:rPr>
          <w:rFonts w:ascii="Arial" w:cs="Arial" w:eastAsia="Arial" w:hAnsi="Arial"/>
          <w:sz w:val="12"/>
          <w:szCs w:val="12"/>
          <w:color w:val="auto"/>
        </w:rPr>
      </w:pPr>
      <w:r>
        <w:rPr>
          <w:rFonts w:ascii="Arial" w:cs="Arial" w:eastAsia="Arial" w:hAnsi="Arial"/>
          <w:sz w:val="12"/>
          <w:szCs w:val="12"/>
          <w:color w:val="auto"/>
        </w:rPr>
        <w:t>body, target relief, and hair care products, Petandim</w:t>
      </w:r>
      <w:r>
        <w:rPr>
          <w:rFonts w:ascii="Arial" w:cs="Arial" w:eastAsia="Arial" w:hAnsi="Arial"/>
          <w:sz w:val="15"/>
          <w:szCs w:val="15"/>
          <w:color w:val="auto"/>
          <w:vertAlign w:val="superscript"/>
        </w:rPr>
        <w:t>®</w:t>
      </w:r>
      <w:r>
        <w:rPr>
          <w:rFonts w:ascii="Arial" w:cs="Arial" w:eastAsia="Arial" w:hAnsi="Arial"/>
          <w:sz w:val="12"/>
          <w:szCs w:val="12"/>
          <w:color w:val="auto"/>
        </w:rPr>
        <w:t>, our companion pet supplement formulated to combat oxidative stress in dogs, Axio</w:t>
      </w:r>
      <w:r>
        <w:rPr>
          <w:rFonts w:ascii="Arial" w:cs="Arial" w:eastAsia="Arial" w:hAnsi="Arial"/>
          <w:sz w:val="15"/>
          <w:szCs w:val="15"/>
          <w:color w:val="auto"/>
          <w:vertAlign w:val="superscript"/>
        </w:rPr>
        <w:t>®</w:t>
      </w:r>
      <w:r>
        <w:rPr>
          <w:rFonts w:ascii="Arial" w:cs="Arial" w:eastAsia="Arial" w:hAnsi="Arial"/>
          <w:sz w:val="12"/>
          <w:szCs w:val="12"/>
          <w:color w:val="auto"/>
        </w:rPr>
        <w:t>, our nootropic energy drink mixes, and PhysIQ, our smart weight management system.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 line includes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NRF1 Synergizer</w:t>
      </w:r>
      <w:r>
        <w:rPr>
          <w:rFonts w:ascii="Arial" w:cs="Arial" w:eastAsia="Arial" w:hAnsi="Arial"/>
          <w:sz w:val="15"/>
          <w:szCs w:val="15"/>
          <w:color w:val="auto"/>
          <w:vertAlign w:val="superscript"/>
        </w:rPr>
        <w:t>®</w:t>
      </w:r>
      <w:r>
        <w:rPr>
          <w:rFonts w:ascii="Arial" w:cs="Arial" w:eastAsia="Arial" w:hAnsi="Arial"/>
          <w:sz w:val="12"/>
          <w:szCs w:val="12"/>
          <w:color w:val="auto"/>
        </w:rPr>
        <w:t>,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and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NRF1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formulated to increase cellular energy and performance by boosting mitochondria production to improve cellular repair and slow cellular aging.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Nrf2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NAD Synergizer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Use of the three Protandim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products together has been shown to produce synergistic benefits greater than using the single products on their own.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ProBio is a dietary supplement designed to support optimal digestion and immune system function. LifeVantage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Daily Wellness is a dietary supplement designed to support and strengthen immune health. Our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line of anti-aging skin and hair care, and CBD Nrf2 enhanced, bath &amp; body, targeted relief products includes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Facial Cleanser,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Perfecting Lotion,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Eye Serum,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Anti-Aging Cream,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Beauty Serum,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Hand Cream,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Invigorating Shampoo,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Nourishing Conditioner,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Scalp Serum,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Body Lotion,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Body Wash,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Body Butter,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Deodorant,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Soothing Balm,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Body Rub, and TrueScience</w:t>
      </w:r>
      <w:r>
        <w:rPr>
          <w:rFonts w:ascii="Arial" w:cs="Arial" w:eastAsia="Arial" w:hAnsi="Arial"/>
          <w:sz w:val="15"/>
          <w:szCs w:val="15"/>
          <w:color w:val="auto"/>
          <w:vertAlign w:val="superscript"/>
        </w:rPr>
        <w:t>®</w:t>
      </w:r>
      <w:r>
        <w:rPr>
          <w:rFonts w:ascii="Arial" w:cs="Arial" w:eastAsia="Arial" w:hAnsi="Arial"/>
          <w:sz w:val="12"/>
          <w:szCs w:val="12"/>
          <w:color w:val="auto"/>
        </w:rPr>
        <w:t xml:space="preserve"> Liquid Collagen. Petandim</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a supplement specially formulated to combat oxidative stress in dogs through Nrf2 activation. Axio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our line of our nootropic energy drink mixes formulated to promote alertness and support mental performance. PhysIQ is our smart weight management system, which includes PhysIQ Fat Burn, PhysIQ Prebiotic and PhysIQ Whey Protein, all formulated to aid in weight management. IC Bright</w:t>
      </w:r>
      <w:r>
        <w:rPr>
          <w:rFonts w:ascii="Arial" w:cs="Arial" w:eastAsia="Arial" w:hAnsi="Arial"/>
          <w:sz w:val="15"/>
          <w:szCs w:val="15"/>
          <w:color w:val="auto"/>
          <w:vertAlign w:val="superscript"/>
        </w:rPr>
        <w:t>®</w:t>
      </w:r>
      <w:r>
        <w:rPr>
          <w:rFonts w:ascii="Arial" w:cs="Arial" w:eastAsia="Arial" w:hAnsi="Arial"/>
          <w:sz w:val="12"/>
          <w:szCs w:val="12"/>
          <w:color w:val="auto"/>
        </w:rPr>
        <w:t xml:space="preserve"> helps support eye and brain health, reduce eye fatigue and strain, supports cognitive functions, and may help support normal sleep patterns. We believe our significant number of customers who regularly and repeatedly purchase our products is a strong indicator of the health benefits of our products. The following table shows revenues by major product line for the fiscal years ended June 30, 2022, 2021 and 2020:</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174"/>
              <w:spacing w:after="0"/>
              <w:rPr>
                <w:sz w:val="20"/>
                <w:szCs w:val="20"/>
                <w:color w:val="auto"/>
              </w:rPr>
            </w:pPr>
            <w:r>
              <w:rPr>
                <w:rFonts w:ascii="Arial" w:cs="Arial" w:eastAsia="Arial" w:hAnsi="Arial"/>
                <w:sz w:val="11"/>
                <w:szCs w:val="11"/>
                <w:b w:val="1"/>
                <w:bCs w:val="1"/>
                <w:color w:val="auto"/>
                <w:w w:val="90"/>
              </w:rPr>
              <w:t>Years ended June 30,</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3"/>
        </w:trPr>
        <w:tc>
          <w:tcPr>
            <w:tcW w:w="39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2022</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1009"/>
              <w:spacing w:after="0"/>
              <w:rPr>
                <w:sz w:val="20"/>
                <w:szCs w:val="20"/>
                <w:color w:val="auto"/>
              </w:rPr>
            </w:pPr>
            <w:r>
              <w:rPr>
                <w:rFonts w:ascii="Arial" w:cs="Arial" w:eastAsia="Arial" w:hAnsi="Arial"/>
                <w:sz w:val="11"/>
                <w:szCs w:val="11"/>
                <w:b w:val="1"/>
                <w:bCs w:val="1"/>
                <w:color w:val="auto"/>
                <w:w w:val="89"/>
              </w:rPr>
              <w:t>2020</w:t>
            </w:r>
          </w:p>
        </w:tc>
      </w:tr>
      <w:tr>
        <w:trPr>
          <w:trHeight w:val="177"/>
        </w:trPr>
        <w:tc>
          <w:tcPr>
            <w:tcW w:w="3980" w:type="dxa"/>
            <w:vAlign w:val="bottom"/>
            <w:shd w:val="clear" w:color="auto" w:fill="CCEEFF"/>
          </w:tcPr>
          <w:p>
            <w:pPr>
              <w:spacing w:after="0" w:line="177" w:lineRule="exact"/>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150,272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156,335</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67.1 %</w:t>
            </w:r>
          </w:p>
        </w:tc>
      </w:tr>
      <w:tr>
        <w:trPr>
          <w:trHeight w:val="180"/>
        </w:trPr>
        <w:tc>
          <w:tcPr>
            <w:tcW w:w="3980" w:type="dxa"/>
            <w:vAlign w:val="bottom"/>
          </w:tcPr>
          <w:p>
            <w:pPr>
              <w:spacing w:after="0" w:line="181" w:lineRule="exact"/>
              <w:rPr>
                <w:sz w:val="20"/>
                <w:szCs w:val="20"/>
                <w:color w:val="auto"/>
              </w:rPr>
            </w:pPr>
            <w:r>
              <w:rPr>
                <w:rFonts w:ascii="Arial" w:cs="Arial" w:eastAsia="Arial" w:hAnsi="Arial"/>
                <w:sz w:val="14"/>
                <w:szCs w:val="14"/>
                <w:color w:val="auto"/>
              </w:rPr>
              <w:t>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22,617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10.3 %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23,739</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10.2 %</w:t>
            </w:r>
          </w:p>
        </w:tc>
      </w:tr>
      <w:tr>
        <w:trPr>
          <w:trHeight w:val="180"/>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47,867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23.2 %</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47,292</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52,841</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22.7 %</w:t>
            </w:r>
          </w:p>
        </w:tc>
      </w:tr>
      <w:tr>
        <w:trPr>
          <w:trHeight w:val="171"/>
        </w:trPr>
        <w:tc>
          <w:tcPr>
            <w:tcW w:w="3980" w:type="dxa"/>
            <w:vAlign w:val="bottom"/>
          </w:tcPr>
          <w:p>
            <w:pPr>
              <w:ind w:left="26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206,360</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220,181</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232,915</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140" w:firstLine="255"/>
        <w:spacing w:after="0" w:line="237" w:lineRule="auto"/>
        <w:rPr>
          <w:sz w:val="20"/>
          <w:szCs w:val="20"/>
          <w:color w:val="auto"/>
        </w:rPr>
      </w:pPr>
      <w:r>
        <w:rPr>
          <w:rFonts w:ascii="Arial" w:cs="Arial" w:eastAsia="Arial" w:hAnsi="Arial"/>
          <w:sz w:val="14"/>
          <w:szCs w:val="14"/>
          <w:color w:val="auto"/>
        </w:rPr>
        <w:t>Our revenue is largely attributed to two product lines,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TrueScience</w:t>
      </w:r>
      <w:r>
        <w:rPr>
          <w:rFonts w:ascii="Arial" w:cs="Arial" w:eastAsia="Arial" w:hAnsi="Arial"/>
          <w:sz w:val="18"/>
          <w:szCs w:val="18"/>
          <w:color w:val="auto"/>
          <w:vertAlign w:val="superscript"/>
        </w:rPr>
        <w:t>®</w:t>
      </w:r>
      <w:r>
        <w:rPr>
          <w:rFonts w:ascii="Arial" w:cs="Arial" w:eastAsia="Arial" w:hAnsi="Arial"/>
          <w:sz w:val="14"/>
          <w:szCs w:val="14"/>
          <w:color w:val="auto"/>
        </w:rPr>
        <w:t>, which each accounted for more than 10% of total revenue for each of the fiscal years ended June 30, 2022, 2021 and 2020. On a combined basis, these product lines represent approximately 76.8%, 78.5% and 77.3% of our total net revenue for the fiscal years ended June 30, 2022, 2021 and 2020, respectively.</w:t>
      </w:r>
    </w:p>
    <w:p>
      <w:pPr>
        <w:spacing w:after="0" w:line="109"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w:t>
      </w:r>
    </w:p>
    <w:p>
      <w:pPr>
        <w:spacing w:after="0" w:line="129"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Because we primarily utilize a direct selling model for the distribution of a majority of our products, the success and growth of our business depends in large part on the effectiveness of our independent distributors to attract and retain customers to sell our products to, and our ability to attract new and retain existing independent distributors. Changes in our product sales are typically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93"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The following tables summarize the changes in our active accounts by geographic region. These numbers have been rounded to the nearest thousand as of the dates indicated. For purposes of this report, we define "Active Accounts" as only those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independent distributors and customers who have purchased from us at any time during the most recent three-month period, either for personal use or for resale.</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9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As of June 30,</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3980" w:type="dxa"/>
            <w:vAlign w:val="bottom"/>
          </w:tcPr>
          <w:p>
            <w:pPr>
              <w:spacing w:after="0"/>
              <w:rPr>
                <w:sz w:val="8"/>
                <w:szCs w:val="8"/>
                <w:color w:val="auto"/>
              </w:rPr>
            </w:pPr>
          </w:p>
        </w:tc>
        <w:tc>
          <w:tcPr>
            <w:tcW w:w="1580" w:type="dxa"/>
            <w:vAlign w:val="bottom"/>
            <w:gridSpan w:val="3"/>
            <w:vMerge w:val="restart"/>
          </w:tcPr>
          <w:p>
            <w:pPr>
              <w:jc w:val="right"/>
              <w:ind w:right="280"/>
              <w:spacing w:after="0"/>
              <w:rPr>
                <w:sz w:val="20"/>
                <w:szCs w:val="20"/>
                <w:color w:val="auto"/>
              </w:rPr>
            </w:pPr>
            <w:r>
              <w:rPr>
                <w:rFonts w:ascii="Arial" w:cs="Arial" w:eastAsia="Arial" w:hAnsi="Arial"/>
                <w:sz w:val="11"/>
                <w:szCs w:val="11"/>
                <w:b w:val="1"/>
                <w:bCs w:val="1"/>
                <w:color w:val="auto"/>
              </w:rPr>
              <w:t>2022</w:t>
            </w: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1"/>
                <w:szCs w:val="11"/>
                <w:b w:val="1"/>
                <w:bCs w:val="1"/>
                <w:color w:val="auto"/>
              </w:rPr>
              <w:t>2021</w:t>
            </w: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jc w:val="right"/>
              <w:ind w:right="12"/>
              <w:spacing w:after="0" w:line="100" w:lineRule="exact"/>
              <w:rPr>
                <w:sz w:val="20"/>
                <w:szCs w:val="20"/>
                <w:color w:val="auto"/>
              </w:rPr>
            </w:pPr>
            <w:r>
              <w:rPr>
                <w:rFonts w:ascii="Arial" w:cs="Arial" w:eastAsia="Arial" w:hAnsi="Arial"/>
                <w:sz w:val="11"/>
                <w:szCs w:val="11"/>
                <w:b w:val="1"/>
                <w:bCs w:val="1"/>
                <w:color w:val="auto"/>
              </w:rPr>
              <w:t>Change from Prior</w:t>
            </w:r>
          </w:p>
        </w:tc>
        <w:tc>
          <w:tcPr>
            <w:tcW w:w="80" w:type="dxa"/>
            <w:vAlign w:val="bottom"/>
          </w:tcPr>
          <w:p>
            <w:pPr>
              <w:spacing w:after="0"/>
              <w:rPr>
                <w:sz w:val="8"/>
                <w:szCs w:val="8"/>
                <w:color w:val="auto"/>
              </w:rPr>
            </w:pPr>
          </w:p>
        </w:tc>
        <w:tc>
          <w:tcPr>
            <w:tcW w:w="1200" w:type="dxa"/>
            <w:vAlign w:val="bottom"/>
            <w:vMerge w:val="restart"/>
          </w:tcPr>
          <w:p>
            <w:pPr>
              <w:jc w:val="right"/>
              <w:ind w:right="156"/>
              <w:spacing w:after="0"/>
              <w:rPr>
                <w:sz w:val="20"/>
                <w:szCs w:val="20"/>
                <w:color w:val="auto"/>
              </w:rPr>
            </w:pPr>
            <w:r>
              <w:rPr>
                <w:rFonts w:ascii="Arial" w:cs="Arial" w:eastAsia="Arial" w:hAnsi="Arial"/>
                <w:sz w:val="11"/>
                <w:szCs w:val="11"/>
                <w:b w:val="1"/>
                <w:bCs w:val="1"/>
                <w:color w:val="auto"/>
              </w:rPr>
              <w:t>Percent Change</w:t>
            </w:r>
          </w:p>
        </w:tc>
        <w:tc>
          <w:tcPr>
            <w:tcW w:w="0" w:type="dxa"/>
            <w:vAlign w:val="bottom"/>
          </w:tcPr>
          <w:p>
            <w:pPr>
              <w:spacing w:after="0"/>
              <w:rPr>
                <w:sz w:val="1"/>
                <w:szCs w:val="1"/>
                <w:color w:val="auto"/>
              </w:rPr>
            </w:pPr>
          </w:p>
        </w:tc>
      </w:tr>
      <w:tr>
        <w:trPr>
          <w:trHeight w:val="151"/>
        </w:trPr>
        <w:tc>
          <w:tcPr>
            <w:tcW w:w="39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vMerge w:val="continue"/>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Year</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Active Independent Distributors</w:t>
            </w: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40"/>
              <w:spacing w:after="0"/>
              <w:rPr>
                <w:sz w:val="20"/>
                <w:szCs w:val="20"/>
                <w:color w:val="auto"/>
              </w:rPr>
            </w:pPr>
            <w:r>
              <w:rPr>
                <w:rFonts w:ascii="Arial" w:cs="Arial" w:eastAsia="Arial" w:hAnsi="Arial"/>
                <w:sz w:val="14"/>
                <w:szCs w:val="14"/>
                <w:color w:val="auto"/>
              </w:rPr>
              <w:t>Americas</w:t>
            </w:r>
          </w:p>
        </w:tc>
        <w:tc>
          <w:tcPr>
            <w:tcW w:w="1080" w:type="dxa"/>
            <w:vAlign w:val="bottom"/>
          </w:tcPr>
          <w:p>
            <w:pPr>
              <w:jc w:val="right"/>
              <w:spacing w:after="0"/>
              <w:rPr>
                <w:sz w:val="20"/>
                <w:szCs w:val="20"/>
                <w:color w:val="auto"/>
              </w:rPr>
            </w:pPr>
            <w:r>
              <w:rPr>
                <w:rFonts w:ascii="Arial" w:cs="Arial" w:eastAsia="Arial" w:hAnsi="Arial"/>
                <w:sz w:val="14"/>
                <w:szCs w:val="14"/>
                <w:color w:val="auto"/>
              </w:rPr>
              <w:t>37,000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58.7 %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41,000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Asia/Pacific &amp; Europe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34.9 %</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18.2 %</w:t>
            </w: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Arial" w:cs="Arial" w:eastAsia="Arial" w:hAnsi="Arial"/>
                <w:sz w:val="14"/>
                <w:szCs w:val="14"/>
                <w:color w:val="auto"/>
              </w:rPr>
              <w:t>Total Active Independent Distributors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63,000</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20"/>
                <w:szCs w:val="20"/>
                <w:color w:val="auto"/>
              </w:rPr>
            </w:pPr>
            <w:r>
              <w:rPr>
                <w:rFonts w:ascii="Arial" w:cs="Arial" w:eastAsia="Arial" w:hAnsi="Arial"/>
                <w:sz w:val="14"/>
                <w:szCs w:val="14"/>
                <w:color w:val="auto"/>
              </w:rPr>
              <w:t>Active Customers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Americas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74.2 %</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80"/>
        </w:trPr>
        <w:tc>
          <w:tcPr>
            <w:tcW w:w="3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Asia/Pacific &amp; Europe</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24,000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25.8 %</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27.1 %</w:t>
            </w:r>
          </w:p>
        </w:tc>
        <w:tc>
          <w:tcPr>
            <w:tcW w:w="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Active Customers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93,000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107,000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Active Accounts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80" w:type="dxa"/>
            <w:vAlign w:val="bottom"/>
          </w:tcPr>
          <w:p>
            <w:pPr>
              <w:ind w:left="140"/>
              <w:spacing w:after="0"/>
              <w:rPr>
                <w:sz w:val="20"/>
                <w:szCs w:val="20"/>
                <w:color w:val="auto"/>
              </w:rPr>
            </w:pPr>
            <w:r>
              <w:rPr>
                <w:rFonts w:ascii="Arial" w:cs="Arial" w:eastAsia="Arial" w:hAnsi="Arial"/>
                <w:sz w:val="14"/>
                <w:szCs w:val="14"/>
                <w:color w:val="auto"/>
              </w:rPr>
              <w:t>Americas</w:t>
            </w:r>
          </w:p>
        </w:tc>
        <w:tc>
          <w:tcPr>
            <w:tcW w:w="1080" w:type="dxa"/>
            <w:vAlign w:val="bottom"/>
          </w:tcPr>
          <w:p>
            <w:pPr>
              <w:jc w:val="right"/>
              <w:spacing w:after="0"/>
              <w:rPr>
                <w:sz w:val="20"/>
                <w:szCs w:val="20"/>
                <w:color w:val="auto"/>
              </w:rPr>
            </w:pPr>
            <w:r>
              <w:rPr>
                <w:rFonts w:ascii="Arial" w:cs="Arial" w:eastAsia="Arial" w:hAnsi="Arial"/>
                <w:sz w:val="14"/>
                <w:szCs w:val="14"/>
                <w:color w:val="auto"/>
              </w:rPr>
              <w:t>106,000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67.9 %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119,000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70.0 %</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0"/>
        </w:trPr>
        <w:tc>
          <w:tcPr>
            <w:tcW w:w="3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Asia/Pacific &amp; Europe</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32.1 %</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51,000</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1"/>
        </w:trPr>
        <w:tc>
          <w:tcPr>
            <w:tcW w:w="3980" w:type="dxa"/>
            <w:vAlign w:val="bottom"/>
          </w:tcPr>
          <w:p>
            <w:pPr>
              <w:ind w:left="280"/>
              <w:spacing w:after="0"/>
              <w:rPr>
                <w:sz w:val="20"/>
                <w:szCs w:val="20"/>
                <w:color w:val="auto"/>
              </w:rPr>
            </w:pPr>
            <w:r>
              <w:rPr>
                <w:rFonts w:ascii="Arial" w:cs="Arial" w:eastAsia="Arial" w:hAnsi="Arial"/>
                <w:sz w:val="14"/>
                <w:szCs w:val="14"/>
                <w:color w:val="auto"/>
              </w:rPr>
              <w:t>Total Active Accounts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156,000</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170,000</w:t>
            </w:r>
          </w:p>
        </w:tc>
        <w:tc>
          <w:tcPr>
            <w:tcW w:w="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Statement Presentation</w:t>
      </w:r>
    </w:p>
    <w:p>
      <w:pPr>
        <w:spacing w:after="0" w:line="129"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We report revenue in two geographic regions and we translate revenue from each market's local currency into U.S. Dollars using weighted-average exchange rates. Revenue consists primarily of product sales, fee revenue, and shipping and handling fees, net of applicable sales discounts. Revenue is recognized at the time of shipment, which is when the passage of title and risk of loss to customers occurs. Also reflected in revenue is a provision for product returns and allowances, which is estimated based on our historical experience. The following table sets forth net revenue information by region for the years indicated. The following table should be reviewed in connection with the tables presented under "Results of Operations"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ind w:left="120"/>
              <w:spacing w:after="0"/>
              <w:rPr>
                <w:sz w:val="20"/>
                <w:szCs w:val="20"/>
                <w:color w:val="auto"/>
              </w:rPr>
            </w:pPr>
            <w:r>
              <w:rPr>
                <w:rFonts w:ascii="Arial" w:cs="Arial" w:eastAsia="Arial" w:hAnsi="Arial"/>
                <w:sz w:val="11"/>
                <w:szCs w:val="11"/>
                <w:b w:val="1"/>
                <w:bCs w:val="1"/>
                <w:color w:val="auto"/>
              </w:rPr>
              <w:t>For the fiscal years ended June 30,</w:t>
            </w: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3"/>
        </w:trPr>
        <w:tc>
          <w:tcPr>
            <w:tcW w:w="39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2022</w:t>
            </w: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989"/>
              <w:spacing w:after="0"/>
              <w:rPr>
                <w:sz w:val="20"/>
                <w:szCs w:val="20"/>
                <w:color w:val="auto"/>
              </w:rPr>
            </w:pPr>
            <w:r>
              <w:rPr>
                <w:rFonts w:ascii="Arial" w:cs="Arial" w:eastAsia="Arial" w:hAnsi="Arial"/>
                <w:sz w:val="11"/>
                <w:szCs w:val="11"/>
                <w:b w:val="1"/>
                <w:bCs w:val="1"/>
                <w:color w:val="auto"/>
                <w:w w:val="97"/>
              </w:rPr>
              <w:t>2021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989"/>
              <w:spacing w:after="0"/>
              <w:rPr>
                <w:sz w:val="20"/>
                <w:szCs w:val="20"/>
                <w:color w:val="auto"/>
              </w:rPr>
            </w:pPr>
            <w:r>
              <w:rPr>
                <w:rFonts w:ascii="Arial" w:cs="Arial" w:eastAsia="Arial" w:hAnsi="Arial"/>
                <w:sz w:val="11"/>
                <w:szCs w:val="11"/>
                <w:b w:val="1"/>
                <w:bCs w:val="1"/>
                <w:color w:val="auto"/>
                <w:w w:val="97"/>
              </w:rPr>
              <w:t>2020</w:t>
            </w:r>
          </w:p>
        </w:tc>
      </w:tr>
      <w:tr>
        <w:trPr>
          <w:trHeight w:val="177"/>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138,323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67.0 %</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154,655</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70.2 %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166,336</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71.4 %</w:t>
            </w:r>
          </w:p>
        </w:tc>
      </w:tr>
      <w:tr>
        <w:trPr>
          <w:trHeight w:val="180"/>
        </w:trPr>
        <w:tc>
          <w:tcPr>
            <w:tcW w:w="3980" w:type="dxa"/>
            <w:vAlign w:val="bottom"/>
          </w:tcPr>
          <w:p>
            <w:pPr>
              <w:ind w:left="20"/>
              <w:spacing w:after="0"/>
              <w:rPr>
                <w:sz w:val="20"/>
                <w:szCs w:val="20"/>
                <w:color w:val="auto"/>
              </w:rPr>
            </w:pPr>
            <w:r>
              <w:rPr>
                <w:rFonts w:ascii="Arial" w:cs="Arial" w:eastAsia="Arial" w:hAnsi="Arial"/>
                <w:sz w:val="14"/>
                <w:szCs w:val="14"/>
                <w:color w:val="auto"/>
              </w:rPr>
              <w:t>Asia/Pacific &amp; Europe</w:t>
            </w: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68,037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65,526</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66,579</w:t>
            </w: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28.6 %</w:t>
            </w:r>
          </w:p>
        </w:tc>
      </w:tr>
      <w:tr>
        <w:trPr>
          <w:trHeight w:val="196"/>
        </w:trPr>
        <w:tc>
          <w:tcPr>
            <w:tcW w:w="39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Cost of sales primarily consists of costs of products purchased from and manufactured by third-party vendors, shipping and order fulfillment costs, costs of adjustments to inventory carrying value, and costs of marketing materials which we sell to our independent distributor sales force, as well as freight, duties and taxes associated with the import and export of our products. As our international revenue increases as a percentage of total revenue, cost of sales as a percentage of revenue likely will increase as a result of additional duties, freight, and other factors, such as changes in currency exchange rates.</w:t>
      </w:r>
    </w:p>
    <w:p>
      <w:pPr>
        <w:spacing w:after="0" w:line="82" w:lineRule="exact"/>
        <w:rPr>
          <w:sz w:val="20"/>
          <w:szCs w:val="20"/>
          <w:color w:val="auto"/>
        </w:rPr>
      </w:pPr>
    </w:p>
    <w:p>
      <w:pPr>
        <w:ind w:firstLine="255"/>
        <w:spacing w:after="0" w:line="307" w:lineRule="auto"/>
        <w:rPr>
          <w:sz w:val="20"/>
          <w:szCs w:val="20"/>
          <w:color w:val="auto"/>
        </w:rPr>
      </w:pPr>
      <w:r>
        <w:rPr>
          <w:rFonts w:ascii="Arial" w:cs="Arial" w:eastAsia="Arial" w:hAnsi="Arial"/>
          <w:sz w:val="12"/>
          <w:szCs w:val="12"/>
          <w:color w:val="auto"/>
        </w:rPr>
        <w:t>Commissions and incentives expenses are our most significant expenses and are classified as operating expenses. Commissions and incentives expenses include sales commissions paid to our independent distributors, special incentives and costs for incentive trips and other rewards. Commissions and incentives expenses do not include any amounts we pay to our independent distributors related to their personal purchases. Commissions paid to independent distributors on personal purchases are considered a sales discount and are reported as a reduction to net revenue. Our global sales compensation plan is an important factor in our ability to attract and retain our independent distributors. Under our global sales compensation plan, independent distributors can earn commissions for product sales to their customers as well as the product sales made through the sales networks they have developed and trained. We do not pay commissions on marketing materials that are sold to our independent distributors. Commissions and incentives expenses, as a percentage of net revenue, may be impacted by the timing and magnitude of non-commissionable revenue derived from the sales of marketing materials, event tickets, and promotional items, investment in our red carpet program, limited-time offers and the timing, magnitude and number of incentive trips and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3" w:name="page44"/>
    <w:bookmarkEnd w:id="43"/>
    <w:p>
      <w:pPr>
        <w:ind w:right="160"/>
        <w:spacing w:after="0" w:line="281" w:lineRule="auto"/>
        <w:rPr>
          <w:sz w:val="20"/>
          <w:szCs w:val="20"/>
          <w:color w:val="auto"/>
        </w:rPr>
      </w:pPr>
      <w:r>
        <w:rPr>
          <w:rFonts w:ascii="Arial" w:cs="Arial" w:eastAsia="Arial" w:hAnsi="Arial"/>
          <w:sz w:val="14"/>
          <w:szCs w:val="14"/>
          <w:color w:val="auto"/>
        </w:rPr>
        <w:t>other promotional activities. From time to time, we make modifications and enhancements to our global sales compensation plan in an effort to help motivate our sales force and develop leadership characteristics, which can have an impact on commissions and incentives expenses.</w:t>
      </w:r>
    </w:p>
    <w:p>
      <w:pPr>
        <w:spacing w:after="0" w:line="69" w:lineRule="exact"/>
        <w:rPr>
          <w:sz w:val="20"/>
          <w:szCs w:val="20"/>
          <w:color w:val="auto"/>
        </w:rPr>
      </w:pPr>
    </w:p>
    <w:p>
      <w:pPr>
        <w:ind w:right="40" w:firstLine="255"/>
        <w:spacing w:after="0" w:line="288" w:lineRule="auto"/>
        <w:rPr>
          <w:sz w:val="20"/>
          <w:szCs w:val="20"/>
          <w:color w:val="auto"/>
        </w:rPr>
      </w:pPr>
      <w:r>
        <w:rPr>
          <w:rFonts w:ascii="Arial" w:cs="Arial" w:eastAsia="Arial" w:hAnsi="Arial"/>
          <w:sz w:val="13"/>
          <w:szCs w:val="13"/>
          <w:color w:val="auto"/>
        </w:rPr>
        <w:t>Selling, general and administrative expenses include wages and benefits, stock compensation expenses, marketing and event costs, professional fees, rents and utilities, depreciation and amortization, research and development, travel costs and other operating expenses. Wages and benefits and stock compensation expenses represent the largest component of selling, general and administrative expenses. Marketing and event costs include costs of distributor conventions and events held in various markets worldwide, which we expense in the period in which they are incurred. Marketing and event costs also include expenses associated with our sponsorship of the Major League Soccer team, Real Salt Lake.</w:t>
      </w:r>
    </w:p>
    <w:p>
      <w:pPr>
        <w:spacing w:after="0" w:line="78" w:lineRule="exact"/>
        <w:rPr>
          <w:sz w:val="20"/>
          <w:szCs w:val="20"/>
          <w:color w:val="auto"/>
        </w:rPr>
      </w:pPr>
    </w:p>
    <w:p>
      <w:pPr>
        <w:ind w:right="160" w:firstLine="255"/>
        <w:spacing w:after="0" w:line="260" w:lineRule="auto"/>
        <w:rPr>
          <w:sz w:val="20"/>
          <w:szCs w:val="20"/>
          <w:color w:val="auto"/>
        </w:rPr>
      </w:pPr>
      <w:r>
        <w:rPr>
          <w:rFonts w:ascii="Arial" w:cs="Arial" w:eastAsia="Arial" w:hAnsi="Arial"/>
          <w:sz w:val="14"/>
          <w:szCs w:val="14"/>
          <w:color w:val="auto"/>
        </w:rPr>
        <w:t>Sales to customers outside the United States are transacted in the respective local currencies and are translated to U.S. Dollars at weighted-average currency exchange rates for each monthly accounting period to which they relate. Consequently, our net sales and earnings are affected by changes in currency exchange rates. In general, sales and gross profit are affected positively by a weakening U.S. Dollar and negatively by a strengthening U.S. Dollar. Currency fluctuations, however, have the opposite effect on our commissions paid to independent distributors and selling, and general and administrative expenses. In our revenue discussions that follow, we approximate the impact of currency fluctuations on revenue by translating current year revenue at the average exchange rates in effect during the comparable prior year periods.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19" w:lineRule="exact"/>
        <w:rPr>
          <w:sz w:val="20"/>
          <w:szCs w:val="20"/>
          <w:color w:val="auto"/>
        </w:rPr>
      </w:pPr>
    </w:p>
    <w:p>
      <w:pPr>
        <w:ind w:right="400" w:firstLine="255"/>
        <w:spacing w:after="0" w:line="281" w:lineRule="auto"/>
        <w:rPr>
          <w:sz w:val="20"/>
          <w:szCs w:val="20"/>
          <w:color w:val="auto"/>
        </w:rPr>
      </w:pPr>
      <w:r>
        <w:rPr>
          <w:rFonts w:ascii="Arial" w:cs="Arial" w:eastAsia="Arial" w:hAnsi="Arial"/>
          <w:sz w:val="14"/>
          <w:szCs w:val="14"/>
          <w:color w:val="auto"/>
        </w:rPr>
        <w:t>For the fiscal years ended June 30, 2022, 2021 and 2020, we generated net revenue of $206.4 million, $220.2 million and $232.9 million, respectively, recognized operating income of $7.6 million, $17.6 million and $15.5 million, respectively, and recognized net income of $3.1 million, $12.9 million and $11.5 million, respectively.</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certain consolidated earnings data as a percentage of net revenue for the years indicated</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173" w:lineRule="exact"/>
        <w:rPr>
          <w:sz w:val="20"/>
          <w:szCs w:val="20"/>
          <w:color w:val="auto"/>
        </w:rPr>
      </w:pPr>
    </w:p>
    <w:p>
      <w:pPr>
        <w:ind w:left="7700"/>
        <w:spacing w:after="0"/>
        <w:rPr>
          <w:sz w:val="20"/>
          <w:szCs w:val="20"/>
          <w:color w:val="auto"/>
        </w:rPr>
      </w:pPr>
      <w:r>
        <w:rPr>
          <w:rFonts w:ascii="Arial" w:cs="Arial" w:eastAsia="Arial" w:hAnsi="Arial"/>
          <w:sz w:val="11"/>
          <w:szCs w:val="11"/>
          <w:b w:val="1"/>
          <w:bCs w:val="1"/>
          <w:color w:val="auto"/>
        </w:rPr>
        <w:t>For the fiscal years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840" w:type="dxa"/>
            <w:vAlign w:val="bottom"/>
            <w:tcBorders>
              <w:bottom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174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1"/>
                <w:szCs w:val="11"/>
                <w:b w:val="1"/>
                <w:bCs w:val="1"/>
                <w:color w:val="auto"/>
              </w:rPr>
              <w:t>2020</w:t>
            </w:r>
          </w:p>
        </w:tc>
      </w:tr>
      <w:tr>
        <w:trPr>
          <w:trHeight w:val="177"/>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net</w:t>
            </w:r>
          </w:p>
        </w:tc>
        <w:tc>
          <w:tcPr>
            <w:tcW w:w="1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80"/>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Cost of sales</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16.3</w:t>
            </w:r>
          </w:p>
        </w:tc>
      </w:tr>
      <w:tr>
        <w:trPr>
          <w:trHeight w:val="171"/>
        </w:trPr>
        <w:tc>
          <w:tcPr>
            <w:tcW w:w="58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1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81.5</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82.7</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83.7</w:t>
            </w:r>
          </w:p>
        </w:tc>
      </w:tr>
      <w:tr>
        <w:trPr>
          <w:trHeight w:val="180"/>
        </w:trPr>
        <w:tc>
          <w:tcPr>
            <w:tcW w:w="694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181"/>
        </w:trPr>
        <w:tc>
          <w:tcPr>
            <w:tcW w:w="6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Commissions and incentives</w:t>
            </w:r>
          </w:p>
        </w:tc>
        <w:tc>
          <w:tcPr>
            <w:tcW w:w="6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47.1</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47.9</w:t>
            </w:r>
          </w:p>
        </w:tc>
      </w:tr>
      <w:tr>
        <w:trPr>
          <w:trHeight w:val="180"/>
        </w:trPr>
        <w:tc>
          <w:tcPr>
            <w:tcW w:w="6940" w:type="dxa"/>
            <w:vAlign w:val="bottom"/>
            <w:gridSpan w:val="2"/>
          </w:tcPr>
          <w:p>
            <w:pPr>
              <w:ind w:left="280"/>
              <w:spacing w:after="0"/>
              <w:rPr>
                <w:sz w:val="20"/>
                <w:szCs w:val="20"/>
                <w:color w:val="auto"/>
              </w:rPr>
            </w:pPr>
            <w:r>
              <w:rPr>
                <w:rFonts w:ascii="Arial" w:cs="Arial" w:eastAsia="Arial" w:hAnsi="Arial"/>
                <w:sz w:val="14"/>
                <w:szCs w:val="14"/>
                <w:color w:val="auto"/>
              </w:rPr>
              <w:t>Selling, general and administrative</w:t>
            </w: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30.7</w:t>
            </w:r>
          </w:p>
        </w:tc>
        <w:tc>
          <w:tcPr>
            <w:tcW w:w="10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5"/>
                <w:szCs w:val="15"/>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29.2</w:t>
            </w:r>
          </w:p>
        </w:tc>
      </w:tr>
      <w:tr>
        <w:trPr>
          <w:trHeight w:val="171"/>
        </w:trPr>
        <w:tc>
          <w:tcPr>
            <w:tcW w:w="58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77.8</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74.6</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77.1</w:t>
            </w:r>
          </w:p>
        </w:tc>
      </w:tr>
      <w:tr>
        <w:trPr>
          <w:trHeight w:val="171"/>
        </w:trPr>
        <w:tc>
          <w:tcPr>
            <w:tcW w:w="5840" w:type="dxa"/>
            <w:vAlign w:val="bottom"/>
          </w:tcPr>
          <w:p>
            <w:pPr>
              <w:ind w:left="280"/>
              <w:spacing w:after="0"/>
              <w:rPr>
                <w:sz w:val="20"/>
                <w:szCs w:val="20"/>
                <w:color w:val="auto"/>
              </w:rPr>
            </w:pPr>
            <w:r>
              <w:rPr>
                <w:rFonts w:ascii="Arial" w:cs="Arial" w:eastAsia="Arial" w:hAnsi="Arial"/>
                <w:sz w:val="14"/>
                <w:szCs w:val="14"/>
                <w:color w:val="auto"/>
              </w:rPr>
              <w:t>Operating income</w:t>
            </w:r>
          </w:p>
        </w:tc>
        <w:tc>
          <w:tcPr>
            <w:tcW w:w="110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4"/>
                <w:szCs w:val="14"/>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6.6</w:t>
            </w:r>
          </w:p>
        </w:tc>
      </w:tr>
      <w:tr>
        <w:trPr>
          <w:trHeight w:val="181"/>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r>
      <w:tr>
        <w:trPr>
          <w:trHeight w:val="180"/>
        </w:trPr>
        <w:tc>
          <w:tcPr>
            <w:tcW w:w="6940" w:type="dxa"/>
            <w:vAlign w:val="bottom"/>
            <w:gridSpan w:val="2"/>
          </w:tcPr>
          <w:p>
            <w:pPr>
              <w:ind w:left="280"/>
              <w:spacing w:after="0"/>
              <w:rPr>
                <w:sz w:val="20"/>
                <w:szCs w:val="20"/>
                <w:color w:val="auto"/>
              </w:rPr>
            </w:pPr>
            <w:r>
              <w:rPr>
                <w:rFonts w:ascii="Arial" w:cs="Arial" w:eastAsia="Arial" w:hAnsi="Arial"/>
                <w:sz w:val="14"/>
                <w:szCs w:val="14"/>
                <w:color w:val="auto"/>
              </w:rPr>
              <w:t>Interest expense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70"/>
              <w:spacing w:after="0"/>
              <w:rPr>
                <w:sz w:val="20"/>
                <w:szCs w:val="20"/>
                <w:color w:val="auto"/>
              </w:rPr>
            </w:pPr>
            <w:r>
              <w:rPr>
                <w:rFonts w:ascii="Arial" w:cs="Arial" w:eastAsia="Arial" w:hAnsi="Arial"/>
                <w:sz w:val="14"/>
                <w:szCs w:val="14"/>
                <w:color w:val="auto"/>
              </w:rPr>
              <w:t>(0.1)</w:t>
            </w:r>
          </w:p>
        </w:tc>
      </w:tr>
      <w:tr>
        <w:trPr>
          <w:trHeight w:val="181"/>
        </w:trPr>
        <w:tc>
          <w:tcPr>
            <w:tcW w:w="6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(0.3)</w:t>
            </w:r>
          </w:p>
        </w:tc>
      </w:tr>
      <w:tr>
        <w:trPr>
          <w:trHeight w:val="180"/>
        </w:trPr>
        <w:tc>
          <w:tcPr>
            <w:tcW w:w="6940" w:type="dxa"/>
            <w:vAlign w:val="bottom"/>
            <w:gridSpan w:val="2"/>
          </w:tcPr>
          <w:p>
            <w:pPr>
              <w:ind w:left="280"/>
              <w:spacing w:after="0"/>
              <w:rPr>
                <w:sz w:val="20"/>
                <w:szCs w:val="20"/>
                <w:color w:val="auto"/>
              </w:rPr>
            </w:pPr>
            <w:r>
              <w:rPr>
                <w:rFonts w:ascii="Arial" w:cs="Arial" w:eastAsia="Arial" w:hAnsi="Arial"/>
                <w:sz w:val="14"/>
                <w:szCs w:val="14"/>
                <w:color w:val="auto"/>
              </w:rPr>
              <w:t>Impairment of investment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171"/>
        </w:trPr>
        <w:tc>
          <w:tcPr>
            <w:tcW w:w="58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other expense</w:t>
            </w:r>
          </w:p>
        </w:tc>
        <w:tc>
          <w:tcPr>
            <w:tcW w:w="110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(0.2)</w:t>
            </w:r>
          </w:p>
        </w:tc>
        <w:tc>
          <w:tcPr>
            <w:tcW w:w="1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(0.3)</w:t>
            </w:r>
          </w:p>
        </w:tc>
      </w:tr>
      <w:tr>
        <w:trPr>
          <w:trHeight w:val="171"/>
        </w:trPr>
        <w:tc>
          <w:tcPr>
            <w:tcW w:w="584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1100" w:type="dxa"/>
            <w:vAlign w:val="bottom"/>
          </w:tcPr>
          <w:p>
            <w:pPr>
              <w:spacing w:after="0"/>
              <w:rPr>
                <w:sz w:val="14"/>
                <w:szCs w:val="14"/>
                <w:color w:val="auto"/>
              </w:rPr>
            </w:pPr>
          </w:p>
        </w:tc>
        <w:tc>
          <w:tcPr>
            <w:tcW w:w="620" w:type="dxa"/>
            <w:vAlign w:val="bottom"/>
          </w:tcPr>
          <w:p>
            <w:pPr>
              <w:jc w:val="right"/>
              <w:ind w:right="89"/>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4"/>
                <w:szCs w:val="14"/>
                <w:color w:val="auto"/>
              </w:rPr>
            </w:pPr>
          </w:p>
        </w:tc>
        <w:tc>
          <w:tcPr>
            <w:tcW w:w="1740" w:type="dxa"/>
            <w:vAlign w:val="bottom"/>
          </w:tcPr>
          <w:p>
            <w:pPr>
              <w:jc w:val="right"/>
              <w:ind w:right="110"/>
              <w:spacing w:after="0"/>
              <w:rPr>
                <w:sz w:val="20"/>
                <w:szCs w:val="20"/>
                <w:color w:val="auto"/>
              </w:rPr>
            </w:pPr>
            <w:r>
              <w:rPr>
                <w:rFonts w:ascii="Arial" w:cs="Arial" w:eastAsia="Arial" w:hAnsi="Arial"/>
                <w:sz w:val="14"/>
                <w:szCs w:val="14"/>
                <w:color w:val="auto"/>
              </w:rPr>
              <w:t>6.3</w:t>
            </w:r>
          </w:p>
        </w:tc>
      </w:tr>
      <w:tr>
        <w:trPr>
          <w:trHeight w:val="181"/>
        </w:trPr>
        <w:tc>
          <w:tcPr>
            <w:tcW w:w="69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Income tax expense</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w:t>
            </w:r>
          </w:p>
        </w:tc>
      </w:tr>
      <w:tr>
        <w:trPr>
          <w:trHeight w:val="171"/>
        </w:trPr>
        <w:tc>
          <w:tcPr>
            <w:tcW w:w="58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4"/>
                <w:szCs w:val="14"/>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0</wp:posOffset>
            </wp:positionV>
            <wp:extent cx="342265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2650" cy="698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1"/>
          <w:szCs w:val="11"/>
          <w:color w:val="auto"/>
        </w:rPr>
        <w:t>(1) Certain percentages may not add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27875" cy="1009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27875" cy="10096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Fiscal Years Ended June 30, 2022 and 2021</w:t>
      </w:r>
    </w:p>
    <w:p>
      <w:pPr>
        <w:spacing w:after="0" w:line="115" w:lineRule="exact"/>
        <w:rPr>
          <w:sz w:val="20"/>
          <w:szCs w:val="20"/>
          <w:color w:val="auto"/>
        </w:rPr>
      </w:pPr>
    </w:p>
    <w:p>
      <w:pPr>
        <w:ind w:firstLine="255"/>
        <w:spacing w:after="0" w:line="223" w:lineRule="auto"/>
        <w:rPr>
          <w:sz w:val="20"/>
          <w:szCs w:val="20"/>
          <w:color w:val="auto"/>
        </w:rPr>
      </w:pPr>
      <w:r>
        <w:rPr>
          <w:rFonts w:ascii="Arial" w:cs="Arial" w:eastAsia="Arial" w:hAnsi="Arial"/>
          <w:sz w:val="14"/>
          <w:szCs w:val="14"/>
          <w:i w:val="1"/>
          <w:iCs w:val="1"/>
          <w:color w:val="auto"/>
        </w:rPr>
        <w:t xml:space="preserve">Revenue, net. </w:t>
      </w:r>
      <w:r>
        <w:rPr>
          <w:rFonts w:ascii="Arial" w:cs="Arial" w:eastAsia="Arial" w:hAnsi="Arial"/>
          <w:sz w:val="14"/>
          <w:szCs w:val="14"/>
          <w:color w:val="auto"/>
        </w:rPr>
        <w:t>We generated net revenue of $206.4 million and $220.2 million during the fiscal years ended June 30, 2022 and 2021, respectively. The overall decrease in revenue is attributed</w:t>
      </w:r>
      <w:r>
        <w:rPr>
          <w:rFonts w:ascii="Arial" w:cs="Arial" w:eastAsia="Arial" w:hAnsi="Arial"/>
          <w:sz w:val="14"/>
          <w:szCs w:val="14"/>
          <w:i w:val="1"/>
          <w:iCs w:val="1"/>
          <w:color w:val="auto"/>
        </w:rPr>
        <w:t xml:space="preserve"> </w:t>
      </w:r>
      <w:r>
        <w:rPr>
          <w:rFonts w:ascii="Arial" w:cs="Arial" w:eastAsia="Arial" w:hAnsi="Arial"/>
          <w:sz w:val="14"/>
          <w:szCs w:val="14"/>
          <w:color w:val="auto"/>
        </w:rPr>
        <w:t>mainly to a reduction of 8.2% in total active accounts during fiscal year 2022. Revenue in the United States, Japan, Canada and Europe declined on a year over year basis, partially offset by increases of 10.7% in our Australia and New Zealand market, 18.5% in our Greater China market, and the addition of the Philippines in fiscal year 2022. During the prior year, we launched several limited time and permanent flavors of Axio</w:t>
      </w:r>
      <w:r>
        <w:rPr>
          <w:rFonts w:ascii="Arial" w:cs="Arial" w:eastAsia="Arial" w:hAnsi="Arial"/>
          <w:sz w:val="18"/>
          <w:szCs w:val="18"/>
          <w:color w:val="auto"/>
          <w:vertAlign w:val="superscript"/>
        </w:rPr>
        <w:t>®</w:t>
      </w:r>
      <w:r>
        <w:rPr>
          <w:rFonts w:ascii="Arial" w:cs="Arial" w:eastAsia="Arial" w:hAnsi="Arial"/>
          <w:sz w:val="14"/>
          <w:szCs w:val="14"/>
          <w:color w:val="auto"/>
        </w:rPr>
        <w:t>, our energy drink mixes, launched our new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Daily Wellness product, and rolled out six new products in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Body &amp; Bath and Targeted Relief product lines and a line extension to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care line. During our October 2021 global convention, we launched our new IC Bright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and rolled out our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Liquid</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Collagen product during our Activate 2022 event held in June 2022. Foreign currency fluctuations negatively impacted our net revenue $4.5 million or 2.0%.</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Americas</w:t>
      </w:r>
      <w:r>
        <w:rPr>
          <w:rFonts w:ascii="Arial" w:cs="Arial" w:eastAsia="Arial" w:hAnsi="Arial"/>
          <w:sz w:val="14"/>
          <w:szCs w:val="14"/>
          <w:color w:val="auto"/>
        </w:rPr>
        <w:t>. The following table sets forth revenue for the fiscal years ended June 30, 2022 and 2021 for the Americas region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6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1"/>
                <w:szCs w:val="11"/>
                <w:b w:val="1"/>
                <w:bCs w:val="1"/>
                <w:color w:val="auto"/>
              </w:rPr>
              <w:t>For the fiscal years ended June 30,</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3"/>
        </w:trPr>
        <w:tc>
          <w:tcPr>
            <w:tcW w:w="59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 change</w:t>
            </w:r>
          </w:p>
        </w:tc>
      </w:tr>
      <w:tr>
        <w:trPr>
          <w:trHeight w:val="177"/>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040" w:type="dxa"/>
            <w:vAlign w:val="bottom"/>
            <w:shd w:val="clear" w:color="auto" w:fill="CCEEFF"/>
          </w:tcPr>
          <w:p>
            <w:pPr>
              <w:jc w:val="right"/>
              <w:ind w:right="896"/>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130,932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144,897</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7,391</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9,758</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(24.3)%</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Americas Total</w:t>
            </w:r>
          </w:p>
        </w:tc>
        <w:tc>
          <w:tcPr>
            <w:tcW w:w="104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138,323</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154,655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ind w:right="140" w:firstLine="255"/>
        <w:spacing w:after="0" w:line="301" w:lineRule="auto"/>
        <w:rPr>
          <w:sz w:val="20"/>
          <w:szCs w:val="20"/>
          <w:color w:val="auto"/>
        </w:rPr>
      </w:pPr>
      <w:r>
        <w:rPr>
          <w:rFonts w:ascii="Arial" w:cs="Arial" w:eastAsia="Arial" w:hAnsi="Arial"/>
          <w:sz w:val="12"/>
          <w:szCs w:val="12"/>
          <w:color w:val="auto"/>
        </w:rPr>
        <w:t>Revenue in the Americas region for the fiscal year ended June 30, 2022 decreased $16.3 million, or 10.6%, compared to the prior year. Total active accounts decreased 10.9% in the region compared to the prior fiscal year which drove the decrease in revenue. We believe that our total active accounts number was negatively impacted by the COVID-19 global pandemic as we were unable to hold some of our in-person training events and our independent distributors were not able to conduct in person opportunity and training meetings as frequently as they had before COVID-</w:t>
      </w:r>
    </w:p>
    <w:p>
      <w:pPr>
        <w:ind w:right="20" w:firstLine="5"/>
        <w:spacing w:after="0" w:line="266" w:lineRule="auto"/>
        <w:tabs>
          <w:tab w:leader="none" w:pos="2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We launched several new products during fiscal year 2022, both during our October 2021 global convention and our Activate 2022 convention held in June 2022. As a result of these launches and continued efforts from our distributors and employees, we hope to see revenue growth in the Americas region in the upcoming fiscal year.</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Asia/Pacific &amp; Europe</w:t>
      </w:r>
      <w:r>
        <w:rPr>
          <w:rFonts w:ascii="Arial" w:cs="Arial" w:eastAsia="Arial" w:hAnsi="Arial"/>
          <w:sz w:val="13"/>
          <w:szCs w:val="13"/>
          <w:color w:val="auto"/>
        </w:rPr>
        <w:t>. The following table sets forth revenue for the fiscal years ended June 30, 2022 and 2021 for the Asia/Pacific &amp; Europe region and its principal markets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60" w:type="dxa"/>
            <w:vAlign w:val="bottom"/>
          </w:tcPr>
          <w:p>
            <w:pPr>
              <w:spacing w:after="0"/>
              <w:rPr>
                <w:sz w:val="13"/>
                <w:szCs w:val="13"/>
                <w:color w:val="auto"/>
              </w:rPr>
            </w:pPr>
          </w:p>
        </w:tc>
        <w:tc>
          <w:tcPr>
            <w:tcW w:w="282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For the fiscal years ended June 30,</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3"/>
        </w:trPr>
        <w:tc>
          <w:tcPr>
            <w:tcW w:w="59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 change</w:t>
            </w:r>
          </w:p>
        </w:tc>
      </w:tr>
      <w:tr>
        <w:trPr>
          <w:trHeight w:val="177"/>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Japan</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41,173</w:t>
            </w:r>
          </w:p>
        </w:tc>
        <w:tc>
          <w:tcPr>
            <w:tcW w:w="1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180"/>
        </w:trPr>
        <w:tc>
          <w:tcPr>
            <w:tcW w:w="5960" w:type="dxa"/>
            <w:vAlign w:val="bottom"/>
          </w:tcPr>
          <w:p>
            <w:pPr>
              <w:ind w:left="20"/>
              <w:spacing w:after="0"/>
              <w:rPr>
                <w:sz w:val="20"/>
                <w:szCs w:val="20"/>
                <w:color w:val="auto"/>
              </w:rPr>
            </w:pPr>
            <w:r>
              <w:rPr>
                <w:rFonts w:ascii="Arial" w:cs="Arial" w:eastAsia="Arial" w:hAnsi="Arial"/>
                <w:sz w:val="14"/>
                <w:szCs w:val="14"/>
                <w:color w:val="auto"/>
              </w:rPr>
              <w:t>Australia &amp; New Zealand</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12,280</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11,095</w:t>
            </w:r>
          </w:p>
        </w:tc>
        <w:tc>
          <w:tcPr>
            <w:tcW w:w="1880" w:type="dxa"/>
            <w:vAlign w:val="bottom"/>
            <w:gridSpan w:val="2"/>
          </w:tcPr>
          <w:p>
            <w:pPr>
              <w:jc w:val="right"/>
              <w:spacing w:after="0"/>
              <w:rPr>
                <w:sz w:val="20"/>
                <w:szCs w:val="20"/>
                <w:color w:val="auto"/>
              </w:rPr>
            </w:pPr>
            <w:r>
              <w:rPr>
                <w:rFonts w:ascii="Arial" w:cs="Arial" w:eastAsia="Arial" w:hAnsi="Arial"/>
                <w:sz w:val="14"/>
                <w:szCs w:val="14"/>
                <w:color w:val="auto"/>
              </w:rPr>
              <w:t>10.7 %</w:t>
            </w:r>
          </w:p>
        </w:tc>
      </w:tr>
      <w:tr>
        <w:trPr>
          <w:trHeight w:val="181"/>
        </w:trPr>
        <w:tc>
          <w:tcPr>
            <w:tcW w:w="5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China</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18.5 %</w:t>
            </w:r>
          </w:p>
        </w:tc>
      </w:tr>
      <w:tr>
        <w:trPr>
          <w:trHeight w:val="180"/>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13,292</w:t>
            </w:r>
          </w:p>
        </w:tc>
        <w:tc>
          <w:tcPr>
            <w:tcW w:w="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8,487</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56.6 %</w:t>
            </w:r>
          </w:p>
        </w:tc>
      </w:tr>
      <w:tr>
        <w:trPr>
          <w:trHeight w:val="19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Asia/Pacific &amp; Europe Total</w:t>
            </w:r>
          </w:p>
        </w:tc>
        <w:tc>
          <w:tcPr>
            <w:tcW w:w="108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68,037</w:t>
            </w:r>
          </w:p>
        </w:tc>
        <w:tc>
          <w:tcPr>
            <w:tcW w:w="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65,526</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3.8 %</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Revenue in the Asia/Pacific and Europe region for the fiscal year ended June 30, 2022 increased $2.5 million, or 3.8%, compared to the prior year. Revenue in the region was negatively impacted approximately $4.6 million, or 7.1%, by foreign currency exchange rate fluctuations.</w:t>
      </w:r>
    </w:p>
    <w:p>
      <w:pPr>
        <w:spacing w:after="0" w:line="79" w:lineRule="exact"/>
        <w:rPr>
          <w:sz w:val="20"/>
          <w:szCs w:val="20"/>
          <w:color w:val="auto"/>
        </w:rPr>
      </w:pPr>
    </w:p>
    <w:p>
      <w:pPr>
        <w:jc w:val="both"/>
        <w:ind w:right="320" w:firstLine="255"/>
        <w:spacing w:after="0" w:line="267" w:lineRule="auto"/>
        <w:rPr>
          <w:sz w:val="20"/>
          <w:szCs w:val="20"/>
          <w:color w:val="auto"/>
        </w:rPr>
      </w:pPr>
      <w:r>
        <w:rPr>
          <w:rFonts w:ascii="Arial" w:cs="Arial" w:eastAsia="Arial" w:hAnsi="Arial"/>
          <w:sz w:val="14"/>
          <w:szCs w:val="14"/>
          <w:color w:val="auto"/>
        </w:rPr>
        <w:t>Revenue in our Japan market decreased 10.6% year over year on a U.S. Dollar basis and 0.7% on a constant currency basis. During the fiscal year ended June 30, 2022, the Japanese yen, on average, weakened against the U.S. Dollar, negatively impacting our revenue in this market by $3.7 million or 8.9%. The decline in revenue related to foreign currency was offset by increase in revenues in our other markets during the fiscal year ended June 30, 2022.</w:t>
      </w:r>
    </w:p>
    <w:p>
      <w:pPr>
        <w:spacing w:after="0" w:line="8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Revenue in our Australia and New Zealand markets increased $1.2 million, or 10.7%, during fiscal year 2022. We continue to see synergies between our Australian and New Zealand independent distributor organizations and customer bases, increasing our ability to attract experienced direct selling leaders and further driving the growth within the region.</w:t>
      </w:r>
    </w:p>
    <w:p>
      <w:pPr>
        <w:spacing w:after="0" w:line="69" w:lineRule="exact"/>
        <w:rPr>
          <w:sz w:val="20"/>
          <w:szCs w:val="20"/>
          <w:color w:val="auto"/>
        </w:rPr>
      </w:pPr>
    </w:p>
    <w:p>
      <w:pPr>
        <w:ind w:right="80" w:firstLine="255"/>
        <w:spacing w:after="0" w:line="321" w:lineRule="auto"/>
        <w:rPr>
          <w:sz w:val="20"/>
          <w:szCs w:val="20"/>
          <w:color w:val="auto"/>
        </w:rPr>
      </w:pPr>
      <w:r>
        <w:rPr>
          <w:rFonts w:ascii="Arial" w:cs="Arial" w:eastAsia="Arial" w:hAnsi="Arial"/>
          <w:sz w:val="13"/>
          <w:szCs w:val="13"/>
          <w:color w:val="auto"/>
        </w:rPr>
        <w:t>Revenue in our Greater China region increased by 18.5% year over year as we experienced revenue growth in our Taiwan market, due, in part, to a slight recovery from the global pandemic. We have refined our mainland China cross-border e-commerce business model and have recognized revenue growth through this channel during the fiscal year ended June 30, 2022.</w:t>
      </w:r>
    </w:p>
    <w:p>
      <w:pPr>
        <w:spacing w:after="0" w:line="56" w:lineRule="exact"/>
        <w:rPr>
          <w:sz w:val="20"/>
          <w:szCs w:val="20"/>
          <w:color w:val="auto"/>
        </w:rPr>
      </w:pPr>
    </w:p>
    <w:p>
      <w:pPr>
        <w:ind w:firstLine="255"/>
        <w:spacing w:after="0" w:line="321" w:lineRule="auto"/>
        <w:rPr>
          <w:sz w:val="20"/>
          <w:szCs w:val="20"/>
          <w:color w:val="auto"/>
        </w:rPr>
      </w:pPr>
      <w:r>
        <w:rPr>
          <w:rFonts w:ascii="Arial" w:cs="Arial" w:eastAsia="Arial" w:hAnsi="Arial"/>
          <w:sz w:val="13"/>
          <w:szCs w:val="13"/>
          <w:color w:val="auto"/>
        </w:rPr>
        <w:t>Revenue in our Philippines market was $4.1 million during fiscal year 2022. This market launched in November 2021 and has seen increase revenues during each month since inception. Revenue in Thailand has grown year over year due to increases in active independent distributors. Europe remained stable during the fiscal year 2022 relative to the prior year.</w:t>
      </w:r>
    </w:p>
    <w:p>
      <w:pPr>
        <w:spacing w:after="0" w:line="56" w:lineRule="exact"/>
        <w:rPr>
          <w:sz w:val="20"/>
          <w:szCs w:val="20"/>
          <w:color w:val="auto"/>
        </w:rPr>
      </w:pPr>
    </w:p>
    <w:p>
      <w:pPr>
        <w:ind w:right="460" w:firstLine="255"/>
        <w:spacing w:after="0" w:line="281" w:lineRule="auto"/>
        <w:rPr>
          <w:sz w:val="20"/>
          <w:szCs w:val="20"/>
          <w:color w:val="auto"/>
        </w:rPr>
      </w:pPr>
      <w:r>
        <w:rPr>
          <w:rFonts w:ascii="Arial" w:cs="Arial" w:eastAsia="Arial" w:hAnsi="Arial"/>
          <w:sz w:val="14"/>
          <w:szCs w:val="14"/>
          <w:color w:val="auto"/>
        </w:rPr>
        <w:t>Overall, we are encouraged with our increase in total active distributor accounts in our Asia/Pacific and Europe region, which grew by 18.2% on a year over year basis, primarily from the Philippines, Thailand and Taiwan.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5" w:name="page46"/>
    <w:bookmarkEnd w:id="45"/>
    <w:p>
      <w:pPr>
        <w:ind w:right="120" w:firstLine="255"/>
        <w:spacing w:after="0" w:line="284" w:lineRule="auto"/>
        <w:rPr>
          <w:sz w:val="20"/>
          <w:szCs w:val="20"/>
          <w:color w:val="auto"/>
        </w:rPr>
      </w:pPr>
      <w:r>
        <w:rPr>
          <w:rFonts w:ascii="Arial" w:cs="Arial" w:eastAsia="Arial" w:hAnsi="Arial"/>
          <w:sz w:val="13"/>
          <w:szCs w:val="13"/>
          <w:color w:val="auto"/>
        </w:rPr>
        <w:t>Globally, our sales and marketing efforts continue to be directed toward strengthening our core business through our fiscal year initiatives and building our worldwide sales. During fiscal year 2022,we successfully launched two new products, completed a full on the ground launch of the Philippines. In October 2021, we held our global convention, our first major event with in person attendance since the start of the COVID-19 global pandemic and held several others throughout fiscal year 2022. We continued the refinement and expansion of our product offerings internationally during fiscal year 2022 and have plans for continued product expansion in fiscal year 2023 and beyond. We expect this expansion will continue to drive revenue growth globally through increased average order size and increased ability to attract and retain new independent distributors and customers with a compelling product lineup.</w:t>
      </w:r>
    </w:p>
    <w:p>
      <w:pPr>
        <w:spacing w:after="0" w:line="70" w:lineRule="exact"/>
        <w:rPr>
          <w:sz w:val="20"/>
          <w:szCs w:val="20"/>
          <w:color w:val="auto"/>
        </w:rPr>
      </w:pPr>
    </w:p>
    <w:p>
      <w:pPr>
        <w:jc w:val="both"/>
        <w:ind w:right="160" w:firstLine="255"/>
        <w:spacing w:after="0" w:line="319" w:lineRule="auto"/>
        <w:rPr>
          <w:sz w:val="20"/>
          <w:szCs w:val="20"/>
          <w:color w:val="auto"/>
        </w:rPr>
      </w:pPr>
      <w:r>
        <w:rPr>
          <w:rFonts w:ascii="Arial" w:cs="Arial" w:eastAsia="Arial" w:hAnsi="Arial"/>
          <w:sz w:val="12"/>
          <w:szCs w:val="12"/>
          <w:color w:val="auto"/>
        </w:rPr>
        <w:t>During fiscal year 2023, our main focus will be to increase our average account base through concentrating our efforts on the enrollment of new independent distributors, who will in turn help grow the business through incremental product sales, and on increasing the number of accounts that place an order in the month following their initial enrollment. We will continue investing in our red carpet program, which we believe has increased our ability to attract and retain strong distributor leadership and is a significant opportunity to drive revenue growth throughout our markets. We remain committed to further expanding the functionality and availability of our mobile application, which we believe will aid independent distributors in initiating and expanding their businesses.</w:t>
      </w:r>
    </w:p>
    <w:p>
      <w:pPr>
        <w:spacing w:after="0" w:line="62"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i w:val="1"/>
          <w:iCs w:val="1"/>
          <w:color w:val="auto"/>
        </w:rPr>
        <w:t xml:space="preserve">Gross Margin. </w:t>
      </w:r>
      <w:r>
        <w:rPr>
          <w:rFonts w:ascii="Arial" w:cs="Arial" w:eastAsia="Arial" w:hAnsi="Arial"/>
          <w:sz w:val="14"/>
          <w:szCs w:val="14"/>
          <w:color w:val="auto"/>
        </w:rPr>
        <w:t>Cost of sales were $38.1 million for the fiscal year ended June 30, 2022, and $38.2 million for the fiscal year ended June 30, 2021, resulting in a gross margin of $168.3 million, or</w:t>
      </w:r>
      <w:r>
        <w:rPr>
          <w:rFonts w:ascii="Arial" w:cs="Arial" w:eastAsia="Arial" w:hAnsi="Arial"/>
          <w:sz w:val="14"/>
          <w:szCs w:val="14"/>
          <w:i w:val="1"/>
          <w:iCs w:val="1"/>
          <w:color w:val="auto"/>
        </w:rPr>
        <w:t xml:space="preserve"> </w:t>
      </w:r>
      <w:r>
        <w:rPr>
          <w:rFonts w:ascii="Arial" w:cs="Arial" w:eastAsia="Arial" w:hAnsi="Arial"/>
          <w:sz w:val="14"/>
          <w:szCs w:val="14"/>
          <w:color w:val="auto"/>
        </w:rPr>
        <w:t>81.5%, and $182.0 million, or 82.7%, respectively. The decrease in gross margin as a percentage of revenue is primarily due to increased raw material and manufacturing related costs, inventory obsolescence costs and shipping to customer expenses during the current fiscal year.</w:t>
      </w:r>
    </w:p>
    <w:p>
      <w:pPr>
        <w:spacing w:after="0" w:line="89" w:lineRule="exact"/>
        <w:rPr>
          <w:sz w:val="20"/>
          <w:szCs w:val="20"/>
          <w:color w:val="auto"/>
        </w:rPr>
      </w:pPr>
    </w:p>
    <w:p>
      <w:pPr>
        <w:ind w:right="60" w:firstLine="255"/>
        <w:spacing w:after="0" w:line="297" w:lineRule="auto"/>
        <w:rPr>
          <w:sz w:val="20"/>
          <w:szCs w:val="20"/>
          <w:color w:val="auto"/>
        </w:rPr>
      </w:pPr>
      <w:r>
        <w:rPr>
          <w:rFonts w:ascii="Arial" w:cs="Arial" w:eastAsia="Arial" w:hAnsi="Arial"/>
          <w:sz w:val="13"/>
          <w:szCs w:val="13"/>
          <w:i w:val="1"/>
          <w:iCs w:val="1"/>
          <w:color w:val="auto"/>
        </w:rPr>
        <w:t xml:space="preserve">Commissions and Incentives. </w:t>
      </w:r>
      <w:r>
        <w:rPr>
          <w:rFonts w:ascii="Arial" w:cs="Arial" w:eastAsia="Arial" w:hAnsi="Arial"/>
          <w:sz w:val="13"/>
          <w:szCs w:val="13"/>
          <w:color w:val="auto"/>
        </w:rPr>
        <w:t>Commissions and incentives expenses for the fiscal year ended June 30, 2022 were $97.3 million or 47.1% of revenue compared to $103.5 million or 47.0% of</w:t>
      </w:r>
      <w:r>
        <w:rPr>
          <w:rFonts w:ascii="Arial" w:cs="Arial" w:eastAsia="Arial" w:hAnsi="Arial"/>
          <w:sz w:val="13"/>
          <w:szCs w:val="13"/>
          <w:i w:val="1"/>
          <w:iCs w:val="1"/>
          <w:color w:val="auto"/>
        </w:rPr>
        <w:t xml:space="preserve"> </w:t>
      </w:r>
      <w:r>
        <w:rPr>
          <w:rFonts w:ascii="Arial" w:cs="Arial" w:eastAsia="Arial" w:hAnsi="Arial"/>
          <w:sz w:val="13"/>
          <w:szCs w:val="13"/>
          <w:color w:val="auto"/>
        </w:rPr>
        <w:t>revenue for the fiscal year ended June 30, 2021. The decrease of $6.2 million in fiscal year 2022 was due to the decrease in revenue. Commissions and incentives expenses as a percentage of revenue increased slightly during the comparable periods due the continued refinement and the timing and magnitude of our various promotional and incentive programs during the year.</w:t>
      </w:r>
    </w:p>
    <w:p>
      <w:pPr>
        <w:spacing w:after="0" w:line="60" w:lineRule="exact"/>
        <w:rPr>
          <w:sz w:val="20"/>
          <w:szCs w:val="20"/>
          <w:color w:val="auto"/>
        </w:rPr>
      </w:pPr>
    </w:p>
    <w:p>
      <w:pPr>
        <w:ind w:right="760" w:firstLine="255"/>
        <w:spacing w:after="0" w:line="281" w:lineRule="auto"/>
        <w:rPr>
          <w:sz w:val="20"/>
          <w:szCs w:val="20"/>
          <w:color w:val="auto"/>
        </w:rPr>
      </w:pPr>
      <w:r>
        <w:rPr>
          <w:rFonts w:ascii="Arial" w:cs="Arial" w:eastAsia="Arial" w:hAnsi="Arial"/>
          <w:sz w:val="14"/>
          <w:szCs w:val="14"/>
          <w:color w:val="auto"/>
        </w:rPr>
        <w:t>Commissions and incentives expenses, as a percentage of revenue, may fluctuate in future periods based on ability to hold incentive trips and events and the timing and magnitude of compensation, incentive and promotional programs.</w:t>
      </w:r>
    </w:p>
    <w:p>
      <w:pPr>
        <w:spacing w:after="0" w:line="79" w:lineRule="exact"/>
        <w:rPr>
          <w:sz w:val="20"/>
          <w:szCs w:val="20"/>
          <w:color w:val="auto"/>
        </w:rPr>
      </w:pPr>
    </w:p>
    <w:p>
      <w:pPr>
        <w:jc w:val="both"/>
        <w:ind w:right="140" w:firstLine="255"/>
        <w:spacing w:after="0" w:line="288"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expenses for the fiscal year ended June 30, 2022 were $63.4 million or 30.7% of revenue compared to $60.8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27.6% of revenue for the fiscal year ended June 30, 2021. The increase in selling, general, and administrative expenses as a percentage of revenue during the current fiscal year primarily was due to the decrease in revenue and increased events and travel expenses as a result of changes to our event schedule and the easing of COVID-19 related travel and associated group meeting restrictions. These increases were partially offset from a decrease in incentive compensation during the year and decreased executive severance and transition expenses.</w:t>
      </w:r>
    </w:p>
    <w:p>
      <w:pPr>
        <w:spacing w:after="0" w:line="78" w:lineRule="exact"/>
        <w:rPr>
          <w:sz w:val="20"/>
          <w:szCs w:val="20"/>
          <w:color w:val="auto"/>
        </w:rPr>
      </w:pPr>
    </w:p>
    <w:p>
      <w:pPr>
        <w:jc w:val="both"/>
        <w:ind w:right="140" w:firstLine="255"/>
        <w:spacing w:after="0" w:line="267" w:lineRule="auto"/>
        <w:rPr>
          <w:sz w:val="20"/>
          <w:szCs w:val="20"/>
          <w:color w:val="auto"/>
        </w:rPr>
      </w:pPr>
      <w:r>
        <w:rPr>
          <w:rFonts w:ascii="Arial" w:cs="Arial" w:eastAsia="Arial" w:hAnsi="Arial"/>
          <w:sz w:val="14"/>
          <w:szCs w:val="14"/>
          <w:color w:val="auto"/>
        </w:rPr>
        <w:t>Primary factors that may cause our selling, general and administrative expenses to fluctuate in the future include changes in the number of employees, the timing and number of events we hold, marketing and branding initiatives and costs related to legal matters, if and as they arise. A fluctuation in our stock price may also impact our share-based compensation expense recorded for equity awards made in future years.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Interest Expense. </w:t>
      </w:r>
      <w:r>
        <w:rPr>
          <w:rFonts w:ascii="Arial" w:cs="Arial" w:eastAsia="Arial" w:hAnsi="Arial"/>
          <w:sz w:val="14"/>
          <w:szCs w:val="14"/>
          <w:color w:val="auto"/>
        </w:rPr>
        <w:t>Interest expense for the fiscal year ended June 30, 2022 was $10,000 as compared to $17,000 for the fiscal year ended June 30, 2021.</w:t>
      </w:r>
    </w:p>
    <w:p>
      <w:pPr>
        <w:spacing w:after="0" w:line="125"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i w:val="1"/>
          <w:iCs w:val="1"/>
          <w:color w:val="auto"/>
        </w:rPr>
        <w:t xml:space="preserve">Other Expense, Net. </w:t>
      </w:r>
      <w:r>
        <w:rPr>
          <w:rFonts w:ascii="Arial" w:cs="Arial" w:eastAsia="Arial" w:hAnsi="Arial"/>
          <w:sz w:val="14"/>
          <w:szCs w:val="14"/>
          <w:color w:val="auto"/>
        </w:rPr>
        <w:t>We recognized other expense, net, for the fiscal year ended June 30, 2022 of $0.7 million as compared to $0.4 million for the fiscal year ended June 30, 2021. The increase of</w:t>
      </w:r>
      <w:r>
        <w:rPr>
          <w:rFonts w:ascii="Arial" w:cs="Arial" w:eastAsia="Arial" w:hAnsi="Arial"/>
          <w:sz w:val="14"/>
          <w:szCs w:val="14"/>
          <w:i w:val="1"/>
          <w:iCs w:val="1"/>
          <w:color w:val="auto"/>
        </w:rPr>
        <w:t xml:space="preserve"> </w:t>
      </w:r>
      <w:r>
        <w:rPr>
          <w:rFonts w:ascii="Arial" w:cs="Arial" w:eastAsia="Arial" w:hAnsi="Arial"/>
          <w:sz w:val="14"/>
          <w:szCs w:val="14"/>
          <w:color w:val="auto"/>
        </w:rPr>
        <w:t>$0.3 million was primarily due to the impact of foreign currency fluctuations recognized during fiscal year 2022.</w:t>
      </w:r>
    </w:p>
    <w:p>
      <w:pPr>
        <w:spacing w:after="0" w:line="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i w:val="1"/>
          <w:iCs w:val="1"/>
          <w:color w:val="auto"/>
        </w:rPr>
        <w:t xml:space="preserve">Impairment of Investment. </w:t>
      </w:r>
      <w:r>
        <w:rPr>
          <w:rFonts w:ascii="Arial" w:cs="Arial" w:eastAsia="Arial" w:hAnsi="Arial"/>
          <w:sz w:val="14"/>
          <w:szCs w:val="14"/>
          <w:color w:val="auto"/>
        </w:rPr>
        <w:t>We recognized an impairment of $2.2 million on our investment in Gig Economy Group ("GEG") during fiscal year 2022 as we determined our investment in GEG had</w:t>
      </w:r>
      <w:r>
        <w:rPr>
          <w:rFonts w:ascii="Arial" w:cs="Arial" w:eastAsia="Arial" w:hAnsi="Arial"/>
          <w:sz w:val="14"/>
          <w:szCs w:val="14"/>
          <w:i w:val="1"/>
          <w:iCs w:val="1"/>
          <w:color w:val="auto"/>
        </w:rPr>
        <w:t xml:space="preserve"> </w:t>
      </w:r>
      <w:r>
        <w:rPr>
          <w:rFonts w:ascii="Arial" w:cs="Arial" w:eastAsia="Arial" w:hAnsi="Arial"/>
          <w:sz w:val="14"/>
          <w:szCs w:val="14"/>
          <w:color w:val="auto"/>
        </w:rPr>
        <w:t>declined significantly as a result of the business failing to achieve profitability due to weak market conditions for its products.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Income Tax Expense</w:t>
      </w:r>
      <w:r>
        <w:rPr>
          <w:rFonts w:ascii="Arial" w:cs="Arial" w:eastAsia="Arial" w:hAnsi="Arial"/>
          <w:sz w:val="12"/>
          <w:szCs w:val="12"/>
          <w:color w:val="auto"/>
        </w:rPr>
        <w:t>. Our income tax expense for the fiscal year ended June 30, 2022 was $1.6 million as compared to income tax expense of $4.3 million for the fiscal year ended June 30, 2021.</w:t>
      </w:r>
    </w:p>
    <w:p>
      <w:pPr>
        <w:spacing w:after="0" w:line="148"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The effective tax rate was 33.5% of pre-tax income for the fiscal year ended June 30, 2022, compared to 25.2% for the fiscal year ended June 30, 2021. The increase in the effective tax rate for fiscal year 2022 compared to the prior year is mainly due to the change in valuation allowance on the impairment of GEG investment.</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6" w:name="page47"/>
    <w:bookmarkEnd w:id="46"/>
    <w:p>
      <w:pPr>
        <w:ind w:right="160" w:firstLine="255"/>
        <w:spacing w:after="0" w:line="281" w:lineRule="auto"/>
        <w:rPr>
          <w:sz w:val="20"/>
          <w:szCs w:val="20"/>
          <w:color w:val="auto"/>
        </w:rPr>
      </w:pPr>
      <w:r>
        <w:rPr>
          <w:rFonts w:ascii="Arial" w:cs="Arial" w:eastAsia="Arial" w:hAnsi="Arial"/>
          <w:sz w:val="14"/>
          <w:szCs w:val="14"/>
          <w:color w:val="auto"/>
        </w:rPr>
        <w:t>Our provision for income taxes for the fiscal year ended June 30, 2022 consisted primarily of federal, state, and foreign tax on anticipated fiscal year 2022 income which was partially offset by tax benefits. We expect our effective rate to fluctuate in future periods based on the impact of permanent items in relation to pre-tax income.</w:t>
      </w:r>
    </w:p>
    <w:p>
      <w:pPr>
        <w:spacing w:after="0" w:line="69" w:lineRule="exact"/>
        <w:rPr>
          <w:sz w:val="20"/>
          <w:szCs w:val="20"/>
          <w:color w:val="auto"/>
        </w:rPr>
      </w:pPr>
    </w:p>
    <w:p>
      <w:pPr>
        <w:ind w:right="140" w:firstLine="255"/>
        <w:spacing w:after="0" w:line="427" w:lineRule="auto"/>
        <w:rPr>
          <w:sz w:val="20"/>
          <w:szCs w:val="20"/>
          <w:color w:val="auto"/>
        </w:rPr>
      </w:pPr>
      <w:r>
        <w:rPr>
          <w:rFonts w:ascii="Arial" w:cs="Arial" w:eastAsia="Arial" w:hAnsi="Arial"/>
          <w:sz w:val="14"/>
          <w:szCs w:val="14"/>
          <w:i w:val="1"/>
          <w:iCs w:val="1"/>
          <w:color w:val="auto"/>
        </w:rPr>
        <w:t xml:space="preserve">Net Income. </w:t>
      </w:r>
      <w:r>
        <w:rPr>
          <w:rFonts w:ascii="Arial" w:cs="Arial" w:eastAsia="Arial" w:hAnsi="Arial"/>
          <w:sz w:val="14"/>
          <w:szCs w:val="14"/>
          <w:color w:val="auto"/>
        </w:rPr>
        <w:t>As a result of the foregoing factors, net income for the fiscal year ended June 30, 2022 decreased to $3.1 million compared to $12.9 million for the fiscal year ended June 30, 2021.</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Comparison of Fiscal Years Ended June 30, 2021 and 2020</w:t>
      </w:r>
    </w:p>
    <w:p>
      <w:pPr>
        <w:ind w:right="140" w:firstLine="255"/>
        <w:spacing w:after="0" w:line="281" w:lineRule="auto"/>
        <w:rPr>
          <w:sz w:val="20"/>
          <w:szCs w:val="20"/>
          <w:color w:val="auto"/>
        </w:rPr>
      </w:pPr>
      <w:r>
        <w:rPr>
          <w:rFonts w:ascii="Arial" w:cs="Arial" w:eastAsia="Arial" w:hAnsi="Arial"/>
          <w:sz w:val="14"/>
          <w:szCs w:val="14"/>
          <w:color w:val="auto"/>
        </w:rPr>
        <w:t>For a discussion of our results of operations for the fiscal year 2021 compared with fiscal year 2020, refer to “Part II. Item 7. Management's Discussion and Analysis of Financial Condition and Results of Operations" in our annual report on Form 10-K for the fiscal year ended June 30, 2021, as filed with the SEC on August 19, 2021.</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Liquidity</w:t>
      </w:r>
    </w:p>
    <w:p>
      <w:pPr>
        <w:spacing w:after="0" w:line="125"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Our primary liquidity and capital resource requirements are to service our debt, which includes any outstanding balances under the 2016 Credit Facility, and finance the cost of our planned operating expenses and working capital (principally inventory purchases), as well as capital expenditures. We have generally relied on cash flow from operations to fund operating activities and we have, at times, incurred long-term debt in order to fund stock repurchases and strategic transactions.</w:t>
      </w:r>
    </w:p>
    <w:p>
      <w:pPr>
        <w:spacing w:after="0" w:line="78" w:lineRule="exact"/>
        <w:rPr>
          <w:sz w:val="20"/>
          <w:szCs w:val="20"/>
          <w:color w:val="auto"/>
        </w:rPr>
      </w:pPr>
    </w:p>
    <w:p>
      <w:pPr>
        <w:ind w:left="260" w:right="240"/>
        <w:spacing w:after="0" w:line="405" w:lineRule="auto"/>
        <w:rPr>
          <w:sz w:val="20"/>
          <w:szCs w:val="20"/>
          <w:color w:val="auto"/>
        </w:rPr>
      </w:pPr>
      <w:r>
        <w:rPr>
          <w:rFonts w:ascii="Arial" w:cs="Arial" w:eastAsia="Arial" w:hAnsi="Arial"/>
          <w:sz w:val="12"/>
          <w:szCs w:val="12"/>
          <w:color w:val="auto"/>
        </w:rPr>
        <w:t>At June 30, 2022, our cash and cash equivalents were $20.2 million. This represented an decrease of $3.0 million from the $23.2 million in cash and cash equivalents as of June 30, 2021. During the fiscal year ended June 30, 2022, our net cash provided by operating activities was $8.0 million as compared to net cash provided by operating activities of $16.3 million during the</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fiscal year ended June 30, 2021. The decrease in cash provided by operating activities during the fiscal year ended June 30, 2022 primarily was due to decreases in net income and increases in prepaid expenses, offset by the impairment of our investment in GEG and increases in accounts payable.</w:t>
      </w:r>
    </w:p>
    <w:p>
      <w:pPr>
        <w:spacing w:after="0" w:line="89"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During the fiscal year ended June 30, 2022, our net cash used in investing activities was $1.5 million, as a result of the purchase of fixed assets. During the fiscal year ended June 30, 2021, our net cash used in investing activities was $3.7 million, as a result of the purchase of fixed assets.</w:t>
      </w:r>
    </w:p>
    <w:p>
      <w:pPr>
        <w:spacing w:after="0" w:line="69"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Cash used in financing activities during the fiscal year ended June 30, 2022 was $9.0 million, as a result of the repurchase of company stock, the payment of a cash dividend and shares purchased as payment of tax withholding upon vesting of employee equity awards, partially offset by proceeds from stock option exercises and proceeds from purchases of company stock under our employee stock purchase plan. Cash used in financing activities during the fiscal year ended June 30, 2021 was $11.5 million, as a result of the repurchase of company stock and shares purchased as payment of tax withholding upon vesting of employee equity awards, partially offset by proceeds from stock option exercises and proceeds from purchases of company stock under our employee stock purchase plan.</w:t>
      </w:r>
    </w:p>
    <w:p>
      <w:pPr>
        <w:spacing w:after="0" w:line="93"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color w:val="auto"/>
        </w:rPr>
        <w:t>At June 30, 2022 and 2021, the total amount of our foreign subsidiary cash was $7.0 million and $9.2 million, respectively. Under current U.S. tax law, in the future, if needed, we expect to be able to repatriate cash from foreign subsidiaries without paying additional U.S. taxes.</w:t>
      </w:r>
    </w:p>
    <w:p>
      <w:pPr>
        <w:spacing w:after="0" w:line="79" w:lineRule="exact"/>
        <w:rPr>
          <w:sz w:val="20"/>
          <w:szCs w:val="20"/>
          <w:color w:val="auto"/>
        </w:rPr>
      </w:pPr>
    </w:p>
    <w:p>
      <w:pPr>
        <w:ind w:right="180" w:firstLine="255"/>
        <w:spacing w:after="0" w:line="280" w:lineRule="auto"/>
        <w:rPr>
          <w:sz w:val="20"/>
          <w:szCs w:val="20"/>
          <w:color w:val="auto"/>
        </w:rPr>
      </w:pPr>
      <w:r>
        <w:rPr>
          <w:rFonts w:ascii="Arial" w:cs="Arial" w:eastAsia="Arial" w:hAnsi="Arial"/>
          <w:sz w:val="13"/>
          <w:szCs w:val="13"/>
          <w:color w:val="auto"/>
        </w:rPr>
        <w:t>At June 30, 2022, we had working capital (current assets minus current liabilities) of $21.2 million compared to working capital of $22.9 million at June 30, 2021. The decrease in working capital primarily was due to decreases in cash offset slightly by increases in accounts receivable and prepaid expenses.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We would also consider realigning our strategic plans including a reduction in capital spending and expenses.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Capital Resources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Shelf Registration Statement</w:t>
      </w:r>
    </w:p>
    <w:p>
      <w:pPr>
        <w:spacing w:after="0" w:line="125"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On March 24, 2020, we filed a shelf registration statement (the "Shelf Registration") on Form S-3 with the SEC that was declared effective April 3, 2020, which permits us to offer up to $75 million of common stock, preferred stock, debt securities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7" w:name="page48"/>
    <w:bookmarkEnd w:id="47"/>
    <w:p>
      <w:pPr>
        <w:ind w:right="360"/>
        <w:spacing w:after="0" w:line="267" w:lineRule="auto"/>
        <w:rPr>
          <w:sz w:val="20"/>
          <w:szCs w:val="20"/>
          <w:color w:val="auto"/>
        </w:rPr>
      </w:pPr>
      <w:r>
        <w:rPr>
          <w:rFonts w:ascii="Arial" w:cs="Arial" w:eastAsia="Arial" w:hAnsi="Arial"/>
          <w:sz w:val="14"/>
          <w:szCs w:val="14"/>
          <w:color w:val="auto"/>
        </w:rPr>
        <w:t>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2016 Credit Facility</w:t>
      </w:r>
    </w:p>
    <w:p>
      <w:pPr>
        <w:spacing w:after="0" w:line="125"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93" w:lineRule="exact"/>
        <w:rPr>
          <w:sz w:val="20"/>
          <w:szCs w:val="20"/>
          <w:color w:val="auto"/>
        </w:rPr>
      </w:pPr>
    </w:p>
    <w:p>
      <w:pPr>
        <w:ind w:right="460" w:firstLine="255"/>
        <w:spacing w:after="0" w:line="281" w:lineRule="auto"/>
        <w:rPr>
          <w:sz w:val="20"/>
          <w:szCs w:val="20"/>
          <w:color w:val="auto"/>
        </w:rPr>
      </w:pPr>
      <w:r>
        <w:rPr>
          <w:rFonts w:ascii="Arial" w:cs="Arial" w:eastAsia="Arial" w:hAnsi="Arial"/>
          <w:sz w:val="14"/>
          <w:szCs w:val="14"/>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69" w:lineRule="exact"/>
        <w:rPr>
          <w:sz w:val="20"/>
          <w:szCs w:val="20"/>
          <w:color w:val="auto"/>
        </w:rPr>
      </w:pPr>
    </w:p>
    <w:p>
      <w:pPr>
        <w:ind w:right="80" w:firstLine="255"/>
        <w:spacing w:after="0" w:line="284" w:lineRule="auto"/>
        <w:rPr>
          <w:sz w:val="20"/>
          <w:szCs w:val="20"/>
          <w:color w:val="auto"/>
        </w:rPr>
      </w:pPr>
      <w:r>
        <w:rPr>
          <w:rFonts w:ascii="Arial" w:cs="Arial" w:eastAsia="Arial" w:hAnsi="Arial"/>
          <w:sz w:val="13"/>
          <w:szCs w:val="13"/>
          <w:color w:val="auto"/>
        </w:rPr>
        <w:t>On May 4, 2018, we entered into a loan modification agreement, which amended the 2016 Credit Facility (“Amendment No. 1”). Amendment No. 1 revised the maturity date 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81"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Loans outstanding under the 2016 Credit Facility, as amended, may be prepaid in whole or in part at any time without premium or penalty. In addition, if, at any time, the aggregate principal amount outstanding under the 2016 Revolving Loan, as amended, exceeds $2.0 million, we must prepay an amount equal to such excess. Any principal amount of the 2016 Term Loan, as amended, which is prepaid or repaid may not be re-borrowed.</w:t>
      </w:r>
    </w:p>
    <w:p>
      <w:pPr>
        <w:spacing w:after="0" w:line="8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On February 1, 2019, we entered into a loan modification agreement, which amended the 2016 Credit Facility, as amended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82" w:lineRule="exact"/>
        <w:rPr>
          <w:sz w:val="20"/>
          <w:szCs w:val="20"/>
          <w:color w:val="auto"/>
        </w:rPr>
      </w:pPr>
    </w:p>
    <w:p>
      <w:pPr>
        <w:jc w:val="both"/>
        <w:ind w:right="20" w:firstLine="255"/>
        <w:spacing w:after="0" w:line="284" w:lineRule="auto"/>
        <w:rPr>
          <w:sz w:val="20"/>
          <w:szCs w:val="20"/>
          <w:color w:val="auto"/>
        </w:rPr>
      </w:pPr>
      <w:r>
        <w:rPr>
          <w:rFonts w:ascii="Arial" w:cs="Arial" w:eastAsia="Arial" w:hAnsi="Arial"/>
          <w:sz w:val="13"/>
          <w:szCs w:val="13"/>
          <w:color w:val="auto"/>
        </w:rPr>
        <w:t>On April 1, 2021, we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As of June 30, 2021, the effective interest rate is 4.00%. Amendment No. 3 also revised the debt (total liabilities) to tangible net worth ratio (as defined in Amendment No. 3) covenant to require that we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as set forth in Amendment No. 2.</w:t>
      </w:r>
    </w:p>
    <w:p>
      <w:pPr>
        <w:spacing w:after="0" w:line="81"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The 2016 Credit Facility, as amended, contains customary covenants, including affirmative and negative covenants that, among other things, restrict our ability to create certain types of liens, incur additional indebtedness, declare or pay dividends 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In May 2022, we received consent from our lender to pay out the quarterly cash dividend of $0.03 per common share to our stockholders.</w:t>
      </w:r>
    </w:p>
    <w:p>
      <w:pPr>
        <w:spacing w:after="0" w:line="93"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69" w:lineRule="exact"/>
        <w:rPr>
          <w:sz w:val="20"/>
          <w:szCs w:val="20"/>
          <w:color w:val="auto"/>
        </w:rPr>
      </w:pPr>
    </w:p>
    <w:p>
      <w:pPr>
        <w:ind w:left="520" w:right="4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Maintain a minimum fixed charge coverage ratio (as defined in the 2016 Loan Agreement, as amended) of at least 1.10 to 1.00 at the end of each fiscal quarter, measured on a trailing twelve month basis;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48" w:name="page49"/>
    <w:bookmarkEnd w:id="48"/>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minimum consolidated working capital (as defined in the 2016 Loan Agreement, as amended) at the end of each fiscal quarter of at least $6.0 million; and</w:t>
      </w:r>
    </w:p>
    <w:p>
      <w:pPr>
        <w:spacing w:after="0" w:line="114"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Maintain a ratio of debt (total liabilities) to tangible net worth (as defined in the 2016 Loan Agreement, as amended) of not greater than 2.00 to 1.00 at the end of each quarter, measured on a trailing twelve month basis.</w:t>
      </w:r>
    </w:p>
    <w:p>
      <w:pPr>
        <w:spacing w:after="0" w:line="79" w:lineRule="exact"/>
        <w:rPr>
          <w:sz w:val="20"/>
          <w:szCs w:val="20"/>
          <w:color w:val="auto"/>
        </w:rPr>
      </w:pPr>
    </w:p>
    <w:p>
      <w:pPr>
        <w:jc w:val="both"/>
        <w:ind w:right="20" w:firstLine="255"/>
        <w:spacing w:after="0" w:line="267" w:lineRule="auto"/>
        <w:rPr>
          <w:sz w:val="20"/>
          <w:szCs w:val="20"/>
          <w:color w:val="auto"/>
        </w:rPr>
      </w:pPr>
      <w:r>
        <w:rPr>
          <w:rFonts w:ascii="Arial" w:cs="Arial" w:eastAsia="Arial" w:hAnsi="Arial"/>
          <w:sz w:val="14"/>
          <w:szCs w:val="14"/>
          <w:color w:val="auto"/>
        </w:rPr>
        <w:t>As of June 30, 2022, we were not in compliance with the financial covenant related to the minimum fixed charge coverage ratio under the 2016 Credit Facility, as amended. As of June 30, 2022, there was no balance outstanding on this credit facility, We have requested, and were granted, a waiver related to this covenant violation as of June 30, 2022. We are in the process of renegotiating the terms of the amended 2016 Credit Facility and expect that a revised loan agreement will be in place in the first quarter of fiscal 2023.</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During the fiscal year ended June 30, 2020, we repaid, in full, the remaining balance of the 2016 Term Loan in accordance with the terms of the 2016 Credit Facility, as amended.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Commitments and Obligations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contractual payment obligations and commitments as of June 30, 2022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5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1"/>
                <w:szCs w:val="11"/>
                <w:b w:val="1"/>
                <w:bCs w:val="1"/>
                <w:color w:val="auto"/>
                <w:w w:val="92"/>
              </w:rPr>
              <w:t>Payments due by period</w:t>
            </w: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Contractual Obligations</w:t>
            </w:r>
          </w:p>
        </w:tc>
        <w:tc>
          <w:tcPr>
            <w:tcW w:w="300" w:type="dxa"/>
            <w:vAlign w:val="bottom"/>
          </w:tcPr>
          <w:p>
            <w:pPr>
              <w:spacing w:after="0"/>
              <w:rPr>
                <w:sz w:val="9"/>
                <w:szCs w:val="9"/>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9"/>
                <w:szCs w:val="9"/>
                <w:color w:val="auto"/>
              </w:rPr>
            </w:pPr>
          </w:p>
        </w:tc>
        <w:tc>
          <w:tcPr>
            <w:tcW w:w="1100" w:type="dxa"/>
            <w:vAlign w:val="bottom"/>
            <w:gridSpan w:val="2"/>
          </w:tcPr>
          <w:p>
            <w:pPr>
              <w:jc w:val="center"/>
              <w:ind w:right="320"/>
              <w:spacing w:after="0" w:line="110" w:lineRule="exact"/>
              <w:rPr>
                <w:sz w:val="20"/>
                <w:szCs w:val="20"/>
                <w:color w:val="auto"/>
              </w:rPr>
            </w:pPr>
            <w:r>
              <w:rPr>
                <w:rFonts w:ascii="Arial" w:cs="Arial" w:eastAsia="Arial" w:hAnsi="Arial"/>
                <w:sz w:val="11"/>
                <w:szCs w:val="11"/>
                <w:b w:val="1"/>
                <w:bCs w:val="1"/>
                <w:color w:val="auto"/>
                <w:w w:val="89"/>
              </w:rPr>
              <w:t>Less than</w:t>
            </w:r>
          </w:p>
        </w:tc>
        <w:tc>
          <w:tcPr>
            <w:tcW w:w="240" w:type="dxa"/>
            <w:vAlign w:val="bottom"/>
          </w:tcPr>
          <w:p>
            <w:pPr>
              <w:spacing w:after="0"/>
              <w:rPr>
                <w:sz w:val="9"/>
                <w:szCs w:val="9"/>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1"/>
                <w:szCs w:val="11"/>
                <w:b w:val="1"/>
                <w:bCs w:val="1"/>
                <w:color w:val="auto"/>
                <w:w w:val="87"/>
              </w:rPr>
              <w:t>1-3 years</w:t>
            </w:r>
          </w:p>
        </w:tc>
        <w:tc>
          <w:tcPr>
            <w:tcW w:w="240" w:type="dxa"/>
            <w:vAlign w:val="bottom"/>
          </w:tcPr>
          <w:p>
            <w:pPr>
              <w:spacing w:after="0"/>
              <w:rPr>
                <w:sz w:val="9"/>
                <w:szCs w:val="9"/>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3-5 years</w:t>
            </w:r>
          </w:p>
        </w:tc>
        <w:tc>
          <w:tcPr>
            <w:tcW w:w="220" w:type="dxa"/>
            <w:vAlign w:val="bottom"/>
          </w:tcPr>
          <w:p>
            <w:pPr>
              <w:spacing w:after="0"/>
              <w:rPr>
                <w:sz w:val="9"/>
                <w:szCs w:val="9"/>
                <w:color w:val="auto"/>
              </w:rPr>
            </w:pPr>
          </w:p>
        </w:tc>
        <w:tc>
          <w:tcPr>
            <w:tcW w:w="1040" w:type="dxa"/>
            <w:vAlign w:val="bottom"/>
            <w:vMerge w:val="restart"/>
          </w:tcPr>
          <w:p>
            <w:pPr>
              <w:jc w:val="right"/>
              <w:ind w:right="313"/>
              <w:spacing w:after="0"/>
              <w:rPr>
                <w:sz w:val="20"/>
                <w:szCs w:val="20"/>
                <w:color w:val="auto"/>
              </w:rPr>
            </w:pPr>
            <w:r>
              <w:rPr>
                <w:rFonts w:ascii="Arial" w:cs="Arial" w:eastAsia="Arial" w:hAnsi="Arial"/>
                <w:sz w:val="11"/>
                <w:szCs w:val="11"/>
                <w:b w:val="1"/>
                <w:bCs w:val="1"/>
                <w:color w:val="auto"/>
              </w:rPr>
              <w:t>Thereafter</w:t>
            </w:r>
          </w:p>
        </w:tc>
        <w:tc>
          <w:tcPr>
            <w:tcW w:w="0" w:type="dxa"/>
            <w:vAlign w:val="bottom"/>
          </w:tcPr>
          <w:p>
            <w:pPr>
              <w:spacing w:after="0"/>
              <w:rPr>
                <w:sz w:val="1"/>
                <w:szCs w:val="1"/>
                <w:color w:val="auto"/>
              </w:rPr>
            </w:pPr>
          </w:p>
        </w:tc>
      </w:tr>
      <w:tr>
        <w:trPr>
          <w:trHeight w:val="151"/>
        </w:trPr>
        <w:tc>
          <w:tcPr>
            <w:tcW w:w="4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1 year</w:t>
            </w:r>
          </w:p>
        </w:tc>
        <w:tc>
          <w:tcPr>
            <w:tcW w:w="2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80" w:type="dxa"/>
            <w:vAlign w:val="bottom"/>
            <w:tcBorders>
              <w:top w:val="single" w:sz="8" w:color="CCEEFF"/>
            </w:tcBorders>
            <w:shd w:val="clear" w:color="auto" w:fill="CCEEFF"/>
          </w:tcPr>
          <w:p>
            <w:pPr>
              <w:ind w:left="20"/>
              <w:spacing w:after="0" w:line="176" w:lineRule="exact"/>
              <w:rPr>
                <w:sz w:val="20"/>
                <w:szCs w:val="20"/>
                <w:color w:val="auto"/>
              </w:rPr>
            </w:pPr>
            <w:r>
              <w:rPr>
                <w:rFonts w:ascii="Arial" w:cs="Arial" w:eastAsia="Arial" w:hAnsi="Arial"/>
                <w:sz w:val="14"/>
                <w:szCs w:val="14"/>
                <w:color w:val="auto"/>
              </w:rPr>
              <w:t xml:space="preserve">Operating lease obligations </w:t>
            </w:r>
            <w:r>
              <w:rPr>
                <w:rFonts w:ascii="Arial" w:cs="Arial" w:eastAsia="Arial" w:hAnsi="Arial"/>
                <w:sz w:val="18"/>
                <w:szCs w:val="18"/>
                <w:color w:val="auto"/>
                <w:vertAlign w:val="superscript"/>
              </w:rPr>
              <w:t>(1)</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18,460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3,369</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8,123</w:t>
            </w:r>
          </w:p>
        </w:tc>
        <w:tc>
          <w:tcPr>
            <w:tcW w:w="0" w:type="dxa"/>
            <w:vAlign w:val="bottom"/>
          </w:tcPr>
          <w:p>
            <w:pPr>
              <w:spacing w:after="0"/>
              <w:rPr>
                <w:sz w:val="1"/>
                <w:szCs w:val="1"/>
                <w:color w:val="auto"/>
              </w:rPr>
            </w:pPr>
          </w:p>
        </w:tc>
      </w:tr>
      <w:tr>
        <w:trPr>
          <w:trHeight w:val="180"/>
        </w:trPr>
        <w:tc>
          <w:tcPr>
            <w:tcW w:w="458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Other operating obligations </w:t>
            </w:r>
            <w:r>
              <w:rPr>
                <w:rFonts w:ascii="Arial" w:cs="Arial" w:eastAsia="Arial" w:hAnsi="Arial"/>
                <w:sz w:val="18"/>
                <w:szCs w:val="18"/>
                <w:color w:val="auto"/>
                <w:vertAlign w:val="superscript"/>
              </w:rPr>
              <w:t>(2)</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15,920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15,920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040" w:hanging="379"/>
        <w:spacing w:after="0"/>
        <w:tabs>
          <w:tab w:leader="none" w:pos="1040" w:val="left"/>
        </w:tabs>
        <w:numPr>
          <w:ilvl w:val="0"/>
          <w:numId w:val="28"/>
        </w:numPr>
        <w:rPr>
          <w:rFonts w:ascii="Arial" w:cs="Arial" w:eastAsia="Arial" w:hAnsi="Arial"/>
          <w:sz w:val="11"/>
          <w:szCs w:val="11"/>
          <w:color w:val="auto"/>
        </w:rPr>
      </w:pPr>
      <w:r>
        <w:rPr>
          <w:rFonts w:ascii="Arial" w:cs="Arial" w:eastAsia="Arial" w:hAnsi="Arial"/>
          <w:sz w:val="11"/>
          <w:szCs w:val="11"/>
          <w:color w:val="auto"/>
        </w:rPr>
        <w:t>Operating lease obligations include current and future obligations associated with corporate office leases.</w:t>
      </w:r>
    </w:p>
    <w:p>
      <w:pPr>
        <w:spacing w:after="0" w:line="138" w:lineRule="exact"/>
        <w:rPr>
          <w:rFonts w:ascii="Arial" w:cs="Arial" w:eastAsia="Arial" w:hAnsi="Arial"/>
          <w:sz w:val="11"/>
          <w:szCs w:val="11"/>
          <w:color w:val="auto"/>
        </w:rPr>
      </w:pPr>
    </w:p>
    <w:p>
      <w:pPr>
        <w:ind w:left="1040" w:hanging="379"/>
        <w:spacing w:after="0"/>
        <w:tabs>
          <w:tab w:leader="none" w:pos="1040" w:val="left"/>
        </w:tabs>
        <w:numPr>
          <w:ilvl w:val="0"/>
          <w:numId w:val="28"/>
        </w:numPr>
        <w:rPr>
          <w:rFonts w:ascii="Arial" w:cs="Arial" w:eastAsia="Arial" w:hAnsi="Arial"/>
          <w:sz w:val="11"/>
          <w:szCs w:val="11"/>
          <w:color w:val="auto"/>
        </w:rPr>
      </w:pPr>
      <w:r>
        <w:rPr>
          <w:rFonts w:ascii="Arial" w:cs="Arial" w:eastAsia="Arial" w:hAnsi="Arial"/>
          <w:sz w:val="11"/>
          <w:szCs w:val="11"/>
          <w:color w:val="auto"/>
        </w:rPr>
        <w:t>Other operating obligations represent contractual obligations primarily related to marketing and sponsorship commitments and purchases of inventory.</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June 30, 2022 and 2021, we had no off-balance sheet arrangements.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29"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98"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Allowances for Product Returns</w:t>
      </w:r>
    </w:p>
    <w:p>
      <w:pPr>
        <w:spacing w:after="0" w:line="125" w:lineRule="exact"/>
        <w:rPr>
          <w:sz w:val="20"/>
          <w:szCs w:val="20"/>
          <w:color w:val="auto"/>
        </w:rPr>
      </w:pPr>
    </w:p>
    <w:p>
      <w:pPr>
        <w:ind w:right="140" w:firstLine="255"/>
        <w:spacing w:after="0" w:line="251" w:lineRule="auto"/>
        <w:rPr>
          <w:sz w:val="20"/>
          <w:szCs w:val="20"/>
          <w:color w:val="auto"/>
        </w:rPr>
      </w:pPr>
      <w:r>
        <w:rPr>
          <w:rFonts w:ascii="Arial" w:cs="Arial" w:eastAsia="Arial" w:hAnsi="Arial"/>
          <w:sz w:val="14"/>
          <w:szCs w:val="14"/>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June 30, 2022, our shipments of products sold totaling approximately $18.5 million were subject to our return policy.</w:t>
      </w:r>
    </w:p>
    <w:p>
      <w:pPr>
        <w:spacing w:after="0" w:line="90"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We monitor our product returns estimate on an ongoing basis and revise the allowances to reflect our experience. Our allowance for product returns was $0.1 million at June 30, 2022, compared with $0.2 million at June 30, 2021. To date, product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49" w:name="page50"/>
    <w:bookmarkEnd w:id="49"/>
    <w:p>
      <w:pPr>
        <w:ind w:right="480"/>
        <w:spacing w:after="0" w:line="281" w:lineRule="auto"/>
        <w:rPr>
          <w:sz w:val="20"/>
          <w:szCs w:val="20"/>
          <w:color w:val="auto"/>
        </w:rPr>
      </w:pPr>
      <w:r>
        <w:rPr>
          <w:rFonts w:ascii="Arial" w:cs="Arial" w:eastAsia="Arial" w:hAnsi="Arial"/>
          <w:sz w:val="14"/>
          <w:szCs w:val="14"/>
          <w:color w:val="auto"/>
        </w:rPr>
        <w:t>expiration dates have not played any role in product returns, and we do not expect they will in the future as it is unlikely that we will ship product with an expiration date earlier than the latest allowable product return date.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Inventory Valuation</w:t>
      </w:r>
    </w:p>
    <w:p>
      <w:pPr>
        <w:spacing w:after="0" w:line="125"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estimated net realizable value. Factors utilized in the determination of estimated net realizable value include (i) current sales data and historical return rates, (ii) estimates of future demand, (iii) competitive pricing pressures, (iv) new production introductions, (v) product expiration dates, and (vi) component and packaging obsolescence.</w:t>
      </w:r>
    </w:p>
    <w:p>
      <w:pPr>
        <w:spacing w:after="0" w:line="93" w:lineRule="exact"/>
        <w:rPr>
          <w:sz w:val="20"/>
          <w:szCs w:val="20"/>
          <w:color w:val="auto"/>
        </w:rPr>
      </w:pPr>
    </w:p>
    <w:p>
      <w:pPr>
        <w:ind w:right="1220" w:firstLine="255"/>
        <w:spacing w:after="0" w:line="419" w:lineRule="auto"/>
        <w:rPr>
          <w:sz w:val="20"/>
          <w:szCs w:val="20"/>
          <w:color w:val="auto"/>
        </w:rPr>
      </w:pPr>
      <w:r>
        <w:rPr>
          <w:rFonts w:ascii="Arial" w:cs="Arial" w:eastAsia="Arial" w:hAnsi="Arial"/>
          <w:sz w:val="14"/>
          <w:szCs w:val="14"/>
          <w:color w:val="auto"/>
        </w:rPr>
        <w:t xml:space="preserve">During the fiscal years ended June 30, 2022 and 2021, we recognized expenses of $1.5 million and $0.4 million, respectively, related to obsolete and slow-moving inventory. </w:t>
      </w:r>
      <w:r>
        <w:rPr>
          <w:rFonts w:ascii="Arial" w:cs="Arial" w:eastAsia="Arial" w:hAnsi="Arial"/>
          <w:sz w:val="14"/>
          <w:szCs w:val="14"/>
          <w:u w:val="single" w:color="auto"/>
          <w:color w:val="auto"/>
        </w:rPr>
        <w:t>Revenue Recognition</w:t>
      </w:r>
    </w:p>
    <w:p>
      <w:pPr>
        <w:ind w:right="320" w:firstLine="255"/>
        <w:spacing w:after="0" w:line="281" w:lineRule="auto"/>
        <w:rPr>
          <w:sz w:val="20"/>
          <w:szCs w:val="20"/>
          <w:color w:val="auto"/>
        </w:rPr>
      </w:pPr>
      <w:r>
        <w:rPr>
          <w:rFonts w:ascii="Arial" w:cs="Arial" w:eastAsia="Arial" w:hAnsi="Arial"/>
          <w:sz w:val="14"/>
          <w:szCs w:val="14"/>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Stock-Based Compensation</w:t>
      </w:r>
    </w:p>
    <w:p>
      <w:pPr>
        <w:spacing w:after="0" w:line="115"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Research and Development Costs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expense all of our costs related to research and development activities as incurred.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Legal Accruals</w:t>
      </w:r>
    </w:p>
    <w:p>
      <w:pPr>
        <w:spacing w:after="0" w:line="125" w:lineRule="exact"/>
        <w:rPr>
          <w:sz w:val="20"/>
          <w:szCs w:val="20"/>
          <w:color w:val="auto"/>
        </w:rPr>
      </w:pPr>
    </w:p>
    <w:p>
      <w:pPr>
        <w:ind w:right="80" w:firstLine="255"/>
        <w:spacing w:after="0" w:line="297" w:lineRule="auto"/>
        <w:rPr>
          <w:sz w:val="20"/>
          <w:szCs w:val="20"/>
          <w:color w:val="auto"/>
        </w:rPr>
      </w:pPr>
      <w:r>
        <w:rPr>
          <w:rFonts w:ascii="Arial" w:cs="Arial" w:eastAsia="Arial" w:hAnsi="Arial"/>
          <w:sz w:val="13"/>
          <w:szCs w:val="13"/>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w:t>
      </w:r>
    </w:p>
    <w:p>
      <w:pPr>
        <w:spacing w:after="0" w:line="119"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Refer to “Item 8. Financial Statements and Supplementary Data” and Note 2 to our consolidated financial statements included in Part IV, Item 15 of this report for discussion regarding the impact of accounting standards that were recently issued but not yet effective, on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 QUANTITATIVE AND QUALITATIVE DISCLOSURES ABOUT MARKET RISK</w:t>
      </w:r>
    </w:p>
    <w:p>
      <w:pPr>
        <w:spacing w:after="0" w:line="12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 policies that govern international investment in countries where we have operations, as well as, to a lesser extent, changes in U.S. laws and regulations relating to international trade and investment.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12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During the fiscal year ended June 30, 2022, approximately 37% of our net revenue was realized outside of the United States. The local currency of each international subsidiary is generally the functional currency. All revenue and expenses are translated at weighted 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0" w:name="page51"/>
    <w:bookmarkEnd w:id="50"/>
    <w:p>
      <w:pPr>
        <w:ind w:right="40"/>
        <w:spacing w:after="0" w:line="257" w:lineRule="auto"/>
        <w:rPr>
          <w:sz w:val="20"/>
          <w:szCs w:val="20"/>
          <w:color w:val="auto"/>
        </w:rPr>
      </w:pPr>
      <w:r>
        <w:rPr>
          <w:rFonts w:ascii="Arial" w:cs="Arial" w:eastAsia="Arial" w:hAnsi="Arial"/>
          <w:sz w:val="14"/>
          <w:szCs w:val="14"/>
          <w:color w:val="auto"/>
        </w:rPr>
        <w:t>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As of June 30, 2022, we did not have any derivative instruments. A 10% strengthening of the U.S. Dollar compared to all of the foreign currencies in which we transact business would have resulted in a 3.3% decrease of our 2022 fiscal year revenue, in the amount of $6.8 million.</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Following are the average currency exchange rates of U.S. $1 into local currency for each of our international or foreign markets: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6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Year ended June 30, 2022</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Year ended June 30, 2021</w:t>
            </w:r>
          </w:p>
        </w:tc>
        <w:tc>
          <w:tcPr>
            <w:tcW w:w="1000" w:type="dxa"/>
            <w:vAlign w:val="bottom"/>
            <w:tcBorders>
              <w:bottom w:val="single" w:sz="8" w:color="auto"/>
            </w:tcBorders>
          </w:tcPr>
          <w:p>
            <w:pPr>
              <w:spacing w:after="0"/>
              <w:rPr>
                <w:sz w:val="13"/>
                <w:szCs w:val="13"/>
                <w:color w:val="auto"/>
              </w:rPr>
            </w:pPr>
          </w:p>
        </w:tc>
      </w:tr>
      <w:tr>
        <w:trPr>
          <w:trHeight w:val="153"/>
        </w:trPr>
        <w:tc>
          <w:tcPr>
            <w:tcW w:w="2680" w:type="dxa"/>
            <w:vAlign w:val="bottom"/>
          </w:tcPr>
          <w:p>
            <w:pPr>
              <w:spacing w:after="0"/>
              <w:rPr>
                <w:sz w:val="13"/>
                <w:szCs w:val="13"/>
                <w:color w:val="auto"/>
              </w:rPr>
            </w:pPr>
          </w:p>
        </w:tc>
        <w:tc>
          <w:tcPr>
            <w:tcW w:w="1060" w:type="dxa"/>
            <w:vAlign w:val="bottom"/>
            <w:gridSpan w:val="2"/>
          </w:tcPr>
          <w:p>
            <w:pPr>
              <w:ind w:left="200"/>
              <w:spacing w:after="0"/>
              <w:rPr>
                <w:sz w:val="20"/>
                <w:szCs w:val="20"/>
                <w:color w:val="auto"/>
              </w:rPr>
            </w:pPr>
            <w:r>
              <w:rPr>
                <w:rFonts w:ascii="Arial" w:cs="Arial" w:eastAsia="Arial" w:hAnsi="Arial"/>
                <w:sz w:val="11"/>
                <w:szCs w:val="11"/>
                <w:b w:val="1"/>
                <w:bCs w:val="1"/>
                <w:color w:val="auto"/>
              </w:rPr>
              <w:t>1st Quarter</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2nd Quarter</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3rd Quarter</w:t>
            </w:r>
          </w:p>
        </w:tc>
        <w:tc>
          <w:tcPr>
            <w:tcW w:w="980" w:type="dxa"/>
            <w:vAlign w:val="bottom"/>
          </w:tcPr>
          <w:p>
            <w:pPr>
              <w:jc w:val="right"/>
              <w:ind w:right="130"/>
              <w:spacing w:after="0"/>
              <w:rPr>
                <w:sz w:val="20"/>
                <w:szCs w:val="20"/>
                <w:color w:val="auto"/>
              </w:rPr>
            </w:pPr>
            <w:r>
              <w:rPr>
                <w:rFonts w:ascii="Arial" w:cs="Arial" w:eastAsia="Arial" w:hAnsi="Arial"/>
                <w:sz w:val="11"/>
                <w:szCs w:val="11"/>
                <w:b w:val="1"/>
                <w:bCs w:val="1"/>
                <w:color w:val="auto"/>
              </w:rPr>
              <w:t>4th Quarter</w:t>
            </w:r>
          </w:p>
        </w:tc>
        <w:tc>
          <w:tcPr>
            <w:tcW w:w="100" w:type="dxa"/>
            <w:vAlign w:val="bottom"/>
          </w:tcPr>
          <w:p>
            <w:pPr>
              <w:spacing w:after="0"/>
              <w:rPr>
                <w:sz w:val="13"/>
                <w:szCs w:val="13"/>
                <w:color w:val="auto"/>
              </w:rPr>
            </w:pPr>
          </w:p>
        </w:tc>
        <w:tc>
          <w:tcPr>
            <w:tcW w:w="1080" w:type="dxa"/>
            <w:vAlign w:val="bottom"/>
            <w:gridSpan w:val="2"/>
          </w:tcPr>
          <w:p>
            <w:pPr>
              <w:ind w:left="200"/>
              <w:spacing w:after="0"/>
              <w:rPr>
                <w:sz w:val="20"/>
                <w:szCs w:val="20"/>
                <w:color w:val="auto"/>
              </w:rPr>
            </w:pPr>
            <w:r>
              <w:rPr>
                <w:rFonts w:ascii="Arial" w:cs="Arial" w:eastAsia="Arial" w:hAnsi="Arial"/>
                <w:sz w:val="11"/>
                <w:szCs w:val="11"/>
                <w:b w:val="1"/>
                <w:bCs w:val="1"/>
                <w:color w:val="auto"/>
              </w:rPr>
              <w:t>1st Quarter</w:t>
            </w:r>
          </w:p>
        </w:tc>
        <w:tc>
          <w:tcPr>
            <w:tcW w:w="1080" w:type="dxa"/>
            <w:vAlign w:val="bottom"/>
            <w:gridSpan w:val="2"/>
          </w:tcPr>
          <w:p>
            <w:pPr>
              <w:ind w:left="180"/>
              <w:spacing w:after="0"/>
              <w:rPr>
                <w:sz w:val="20"/>
                <w:szCs w:val="20"/>
                <w:color w:val="auto"/>
              </w:rPr>
            </w:pPr>
            <w:r>
              <w:rPr>
                <w:rFonts w:ascii="Arial" w:cs="Arial" w:eastAsia="Arial" w:hAnsi="Arial"/>
                <w:sz w:val="11"/>
                <w:szCs w:val="11"/>
                <w:b w:val="1"/>
                <w:bCs w:val="1"/>
                <w:color w:val="auto"/>
              </w:rPr>
              <w:t>2nd Quarter</w:t>
            </w:r>
          </w:p>
        </w:tc>
        <w:tc>
          <w:tcPr>
            <w:tcW w:w="1080" w:type="dxa"/>
            <w:vAlign w:val="bottom"/>
            <w:gridSpan w:val="2"/>
          </w:tcPr>
          <w:p>
            <w:pPr>
              <w:ind w:left="200"/>
              <w:spacing w:after="0"/>
              <w:rPr>
                <w:sz w:val="20"/>
                <w:szCs w:val="20"/>
                <w:color w:val="auto"/>
              </w:rPr>
            </w:pPr>
            <w:r>
              <w:rPr>
                <w:rFonts w:ascii="Arial" w:cs="Arial" w:eastAsia="Arial" w:hAnsi="Arial"/>
                <w:sz w:val="11"/>
                <w:szCs w:val="11"/>
                <w:b w:val="1"/>
                <w:bCs w:val="1"/>
                <w:color w:val="auto"/>
              </w:rPr>
              <w:t>3rd Quarter</w:t>
            </w:r>
          </w:p>
        </w:tc>
        <w:tc>
          <w:tcPr>
            <w:tcW w:w="1000" w:type="dxa"/>
            <w:vAlign w:val="bottom"/>
          </w:tcPr>
          <w:p>
            <w:pPr>
              <w:jc w:val="right"/>
              <w:ind w:right="150"/>
              <w:spacing w:after="0"/>
              <w:rPr>
                <w:sz w:val="20"/>
                <w:szCs w:val="20"/>
                <w:color w:val="auto"/>
              </w:rPr>
            </w:pPr>
            <w:r>
              <w:rPr>
                <w:rFonts w:ascii="Arial" w:cs="Arial" w:eastAsia="Arial" w:hAnsi="Arial"/>
                <w:sz w:val="11"/>
                <w:szCs w:val="11"/>
                <w:b w:val="1"/>
                <w:bCs w:val="1"/>
                <w:color w:val="auto"/>
              </w:rPr>
              <w:t>4th Quarter</w:t>
            </w:r>
          </w:p>
        </w:tc>
      </w:tr>
      <w:tr>
        <w:trPr>
          <w:trHeight w:val="177"/>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Japan</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110.10</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113.64</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116.22</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129.68</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106.14</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104.45</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109.48</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Australia</w:t>
            </w:r>
          </w:p>
        </w:tc>
        <w:tc>
          <w:tcPr>
            <w:tcW w:w="96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1.3</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7.77</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Mexico</w:t>
            </w:r>
          </w:p>
        </w:tc>
        <w:tc>
          <w:tcPr>
            <w:tcW w:w="960" w:type="dxa"/>
            <w:vAlign w:val="bottom"/>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20.36</w:t>
            </w:r>
          </w:p>
        </w:tc>
        <w:tc>
          <w:tcPr>
            <w:tcW w:w="1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20.04</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1.23</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Thailand</w:t>
            </w:r>
          </w:p>
        </w:tc>
        <w:tc>
          <w:tcPr>
            <w:tcW w:w="960" w:type="dxa"/>
            <w:vAlign w:val="bottom"/>
          </w:tcPr>
          <w:p>
            <w:pPr>
              <w:jc w:val="right"/>
              <w:spacing w:after="0"/>
              <w:rPr>
                <w:sz w:val="20"/>
                <w:szCs w:val="20"/>
                <w:color w:val="auto"/>
              </w:rPr>
            </w:pPr>
            <w:r>
              <w:rPr>
                <w:rFonts w:ascii="Arial" w:cs="Arial" w:eastAsia="Arial" w:hAnsi="Arial"/>
                <w:sz w:val="14"/>
                <w:szCs w:val="14"/>
                <w:color w:val="auto"/>
              </w:rPr>
              <w:t>32.98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33.43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33.09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31.38</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30.64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30.33</w:t>
            </w:r>
          </w:p>
        </w:tc>
        <w:tc>
          <w:tcPr>
            <w:tcW w:w="1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31.40</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0.83</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Taiwan</w:t>
            </w:r>
          </w:p>
        </w:tc>
        <w:tc>
          <w:tcPr>
            <w:tcW w:w="960" w:type="dxa"/>
            <w:vAlign w:val="bottom"/>
          </w:tcPr>
          <w:p>
            <w:pPr>
              <w:jc w:val="right"/>
              <w:spacing w:after="0"/>
              <w:rPr>
                <w:sz w:val="20"/>
                <w:szCs w:val="20"/>
                <w:color w:val="auto"/>
              </w:rPr>
            </w:pPr>
            <w:r>
              <w:rPr>
                <w:rFonts w:ascii="Arial" w:cs="Arial" w:eastAsia="Arial" w:hAnsi="Arial"/>
                <w:sz w:val="14"/>
                <w:szCs w:val="14"/>
                <w:color w:val="auto"/>
              </w:rPr>
              <w:t>27.87</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27.84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29.44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29.36</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28.49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28.09</w:t>
            </w:r>
          </w:p>
        </w:tc>
        <w:tc>
          <w:tcPr>
            <w:tcW w:w="1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27.98</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Singapore</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1.33</w:t>
            </w:r>
          </w:p>
        </w:tc>
      </w:tr>
      <w:tr>
        <w:trPr>
          <w:trHeight w:val="180"/>
        </w:trPr>
        <w:tc>
          <w:tcPr>
            <w:tcW w:w="2680" w:type="dxa"/>
            <w:vAlign w:val="bottom"/>
          </w:tcPr>
          <w:p>
            <w:pPr>
              <w:ind w:left="20"/>
              <w:spacing w:after="0"/>
              <w:rPr>
                <w:sz w:val="20"/>
                <w:szCs w:val="20"/>
                <w:color w:val="auto"/>
              </w:rPr>
            </w:pPr>
            <w:r>
              <w:rPr>
                <w:rFonts w:ascii="Arial" w:cs="Arial" w:eastAsia="Arial" w:hAnsi="Arial"/>
                <w:sz w:val="14"/>
                <w:szCs w:val="14"/>
                <w:color w:val="auto"/>
              </w:rPr>
              <w:t>Philippines</w:t>
            </w:r>
          </w:p>
        </w:tc>
        <w:tc>
          <w:tcPr>
            <w:tcW w:w="960" w:type="dxa"/>
            <w:vAlign w:val="bottom"/>
          </w:tcPr>
          <w:p>
            <w:pPr>
              <w:jc w:val="right"/>
              <w:spacing w:after="0"/>
              <w:rPr>
                <w:sz w:val="20"/>
                <w:szCs w:val="20"/>
                <w:color w:val="auto"/>
              </w:rPr>
            </w:pPr>
            <w:r>
              <w:rPr>
                <w:rFonts w:ascii="Arial" w:cs="Arial" w:eastAsia="Arial" w:hAnsi="Arial"/>
                <w:sz w:val="14"/>
                <w:szCs w:val="14"/>
                <w:color w:val="auto"/>
              </w:rPr>
              <w:t>50.20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50.49</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51.60</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52.73</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48.94</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48.32</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48.33</w:t>
            </w:r>
          </w:p>
        </w:tc>
        <w:tc>
          <w:tcPr>
            <w:tcW w:w="1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48.22</w:t>
            </w:r>
          </w:p>
        </w:tc>
      </w:tr>
      <w:tr>
        <w:trPr>
          <w:trHeight w:val="181"/>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6.46</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Inflation Risk</w:t>
      </w:r>
    </w:p>
    <w:p>
      <w:pPr>
        <w:spacing w:after="0" w:line="129" w:lineRule="exact"/>
        <w:rPr>
          <w:sz w:val="20"/>
          <w:szCs w:val="20"/>
          <w:color w:val="auto"/>
        </w:rPr>
      </w:pPr>
    </w:p>
    <w:p>
      <w:pPr>
        <w:ind w:right="140" w:firstLine="255"/>
        <w:spacing w:after="0" w:line="297" w:lineRule="auto"/>
        <w:rPr>
          <w:sz w:val="20"/>
          <w:szCs w:val="20"/>
          <w:color w:val="auto"/>
        </w:rPr>
      </w:pPr>
      <w:r>
        <w:rPr>
          <w:rFonts w:ascii="Arial" w:cs="Arial" w:eastAsia="Arial" w:hAnsi="Arial"/>
          <w:sz w:val="13"/>
          <w:szCs w:val="13"/>
          <w:color w:val="auto"/>
        </w:rPr>
        <w:t>As of the date of filing of this Annual Report, we do not believe that inflation has had a material effect on our business, financial condition, or results of operations. If our costs were to become subject to significant inflationary pressures, we may not be able to fully offset such higher costs through increases in revenue as increases in core inflation rates may also affect consumers’ willingness to make discretionary purchases on our products. Our inability or failure to do so could harm our business, financial condition,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 FINANCIAL STATEMENTS AND SUPPLEMENTARY DATA</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information required by this Item 8 is set forth in the consolidated financial statements included in Part IV, Item 15 of this report and is incorporated into this Item 8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 CHANGES IN AND DISAGREEMENTS WITH ACCOUNTANTS ON ACCOUNTING AND FINANCIAL DISCLOSURE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 CONTROLS AND PROCEDURES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19"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We maintain disclosure controls and procedures (as defined in Rules 13a-15(e) and 15d-15(e) of the Exchange Act) that are designed to ensure that the information required to be disclosed in the reports we file or submit under the Exchange Act is (a) recorded, processed, summarized and reported within the time periods specified in the rules and forms of the SEC and (b) accumulated and communicated to management, including our Chief Executive Officer and Chief Financial Officer, as appropriate, to allow timely decisions regarding required disclosure. As of June 30, 2022, we carried out an evaluation, under the supervision and with the participation of our management, including our Chief Executive Officer and Chief Financial Officer, of the effectiveness and design and operation of such disclosure controls and procedures, as defined in Rules 13a-15(e)</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51" w:name="page52"/>
    <w:bookmarkEnd w:id="51"/>
    <w:p>
      <w:pPr>
        <w:ind w:right="440"/>
        <w:spacing w:after="0" w:line="281" w:lineRule="auto"/>
        <w:rPr>
          <w:sz w:val="20"/>
          <w:szCs w:val="20"/>
          <w:color w:val="auto"/>
        </w:rPr>
      </w:pPr>
      <w:r>
        <w:rPr>
          <w:rFonts w:ascii="Arial" w:cs="Arial" w:eastAsia="Arial" w:hAnsi="Arial"/>
          <w:sz w:val="14"/>
          <w:szCs w:val="14"/>
          <w:color w:val="auto"/>
        </w:rPr>
        <w:t>and 15d-15(e) under the Exchange. Based on that evaluation, our Chief Executive Officer and Chief Financial Officer concluded that our disclosure controls and procedures were designed and operating effectively as of June 30, 2022.</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29"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Exchange Act Rules 13a-15(f) and 15d-15(f). Our system of internal control over financial reporting is designed to provide reasonable assurance to our management and board of directors regarding the preparation and fair presentation of our consolidated and combined financial statements for external purposes in accordance with GAAP.</w:t>
      </w:r>
    </w:p>
    <w:p>
      <w:pPr>
        <w:spacing w:after="0" w:line="89"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Our management, under the supervision of our Chief Executive Officer and Chief Financial Officer, assessed the effectiveness of our internal control over financial reporting as of June 30, 2022. In making this assessment, we used the framework included in Internal Control - Integrated Framework published by the Committee of Sponsoring Organizations of the Treadway Commission 2013 (COSO). Based on that evaluation, our management has concluded that internal control over financing reporting was effective as of June 30, 2022.</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Auditor’s Attestation Report on Internal Control Over Financial Reporting</w:t>
      </w:r>
    </w:p>
    <w:p>
      <w:pPr>
        <w:spacing w:after="0" w:line="129" w:lineRule="exact"/>
        <w:rPr>
          <w:sz w:val="20"/>
          <w:szCs w:val="20"/>
          <w:color w:val="auto"/>
        </w:rPr>
      </w:pPr>
    </w:p>
    <w:p>
      <w:pPr>
        <w:ind w:right="380" w:firstLine="255"/>
        <w:spacing w:after="0" w:line="281" w:lineRule="auto"/>
        <w:rPr>
          <w:sz w:val="20"/>
          <w:szCs w:val="20"/>
          <w:color w:val="auto"/>
        </w:rPr>
      </w:pPr>
      <w:r>
        <w:rPr>
          <w:rFonts w:ascii="Arial" w:cs="Arial" w:eastAsia="Arial" w:hAnsi="Arial"/>
          <w:sz w:val="14"/>
          <w:szCs w:val="14"/>
          <w:color w:val="auto"/>
        </w:rPr>
        <w:t>WSRP, LLC, our independent registered public accounting firm, has audited our consolidated financial statements included in this annual report on Form 10-K and has issued an attestation report, included herein, on the effectiveness of our internal control over financial reporting as of June 30, 2022.</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19"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There were no changes in our internal control over financial reporting during the quarter ended June 30, 2022 that have materially affected or are reasonably likely to materially affect our internal control over financial reporting.</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Effectiveness of Controls</w:t>
      </w:r>
    </w:p>
    <w:p>
      <w:pPr>
        <w:spacing w:after="0" w:line="129" w:lineRule="exact"/>
        <w:rPr>
          <w:sz w:val="20"/>
          <w:szCs w:val="20"/>
          <w:color w:val="auto"/>
        </w:rPr>
      </w:pPr>
    </w:p>
    <w:p>
      <w:pPr>
        <w:ind w:firstLine="255"/>
        <w:spacing w:after="0" w:line="256" w:lineRule="auto"/>
        <w:rPr>
          <w:sz w:val="20"/>
          <w:szCs w:val="20"/>
          <w:color w:val="auto"/>
        </w:rPr>
      </w:pPr>
      <w:r>
        <w:rPr>
          <w:rFonts w:ascii="Arial" w:cs="Arial" w:eastAsia="Arial" w:hAnsi="Arial"/>
          <w:sz w:val="14"/>
          <w:szCs w:val="14"/>
          <w:color w:val="auto"/>
        </w:rPr>
        <w:t>Our management, including our Chief Executive Officer and Chief Financial Officer, cannot provide absolute assurance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 OTHER INFORMATION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III</w:t>
      </w:r>
    </w:p>
    <w:p>
      <w:pPr>
        <w:spacing w:after="0" w:line="119"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Certain information required by Part III of this report is omitted from this report pursuant to General Instruction G(3) of Form 10-K because we will file a definitive proxy statement pursuant to Regulation 14A for our fiscal year 2023 annual meeting of stockholders (the “Proxy Statement”) not later than 120 days after the end of the fiscal year covered by this report, and the information included in the Proxy Statement that is required by Part III of this report is incorporated herein by reference.</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 DIRECTORS, EXECUTIVE OFFICERS AND CORPORATE GOVERNANCE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 EXECUTIVE COMPENSATION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ITEM 12 — SECURITY OWNERSHIP OF CERTAIN BENEFICIAL OWNERS AND MANAGEMENT AND RELATED STOCKHOLDER MATTERS.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 CERTAIN RELATIONSHIP AND RELATED TRANSACTIONS, AND DIRECTORS INDEPENDENCE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 PRINCIPAL ACCOUNTING FEES AND SERVICES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Incorporated herein by reference to the information to be set forth in the Proxy Statement.</w:t>
      </w:r>
    </w:p>
    <w:p>
      <w:pPr>
        <w:spacing w:after="0" w:line="121"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PART IV</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 EXHIBITS, FINANCIAL STATEMENT SCHEDULES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documents are being filed as part of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w:t>
      </w:r>
    </w:p>
    <w:p>
      <w:pPr>
        <w:spacing w:after="0" w:line="119" w:lineRule="exact"/>
        <w:rPr>
          <w:sz w:val="20"/>
          <w:szCs w:val="20"/>
          <w:color w:val="auto"/>
        </w:rPr>
      </w:pPr>
    </w:p>
    <w:p>
      <w:pPr>
        <w:ind w:right="320" w:firstLine="318"/>
        <w:spacing w:after="0" w:line="281" w:lineRule="auto"/>
        <w:rPr>
          <w:sz w:val="20"/>
          <w:szCs w:val="20"/>
          <w:color w:val="auto"/>
        </w:rPr>
      </w:pPr>
      <w:r>
        <w:rPr>
          <w:rFonts w:ascii="Arial" w:cs="Arial" w:eastAsia="Arial" w:hAnsi="Arial"/>
          <w:sz w:val="14"/>
          <w:szCs w:val="14"/>
          <w:color w:val="auto"/>
        </w:rPr>
        <w:t>(a)(1) Financial Statements. The following consolidated financial statements of LifeVantage Corporation and Report of Independent Registered Public Accounting Firm are included in a separate section of this Annual Report on Form 10-K.</w:t>
      </w:r>
    </w:p>
    <w:p>
      <w:pPr>
        <w:spacing w:after="0" w:line="79"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(a)(2) All schedules for which provision is made in the applicable accounting regulations of the SEC are not required under the related instructions or are inapplicable and therefore have been omitted.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(a)(3) The following exhibits are filed as part of, or incorporated by reference into, the Annual Report on Form 10-K.</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1560" w:type="dxa"/>
            <w:vAlign w:val="bottom"/>
          </w:tcPr>
          <w:p>
            <w:pPr>
              <w:jc w:val="center"/>
              <w:ind w:right="1143"/>
              <w:spacing w:after="0"/>
              <w:rPr>
                <w:sz w:val="20"/>
                <w:szCs w:val="20"/>
                <w:color w:val="auto"/>
              </w:rPr>
            </w:pPr>
            <w:r>
              <w:rPr>
                <w:rFonts w:ascii="Arial" w:cs="Arial" w:eastAsia="Arial" w:hAnsi="Arial"/>
                <w:sz w:val="11"/>
                <w:szCs w:val="11"/>
                <w:b w:val="1"/>
                <w:bCs w:val="1"/>
                <w:color w:val="auto"/>
                <w:w w:val="98"/>
              </w:rPr>
              <w:t>Exhibit</w:t>
            </w:r>
          </w:p>
        </w:tc>
        <w:tc>
          <w:tcPr>
            <w:tcW w:w="3940" w:type="dxa"/>
            <w:vAlign w:val="bottom"/>
            <w:vMerge w:val="restart"/>
          </w:tcPr>
          <w:p>
            <w:pPr>
              <w:ind w:left="1180"/>
              <w:spacing w:after="0"/>
              <w:rPr>
                <w:sz w:val="20"/>
                <w:szCs w:val="20"/>
                <w:color w:val="auto"/>
              </w:rPr>
            </w:pPr>
            <w:r>
              <w:rPr>
                <w:rFonts w:ascii="Arial" w:cs="Arial" w:eastAsia="Arial" w:hAnsi="Arial"/>
                <w:sz w:val="11"/>
                <w:szCs w:val="11"/>
                <w:b w:val="1"/>
                <w:bCs w:val="1"/>
                <w:color w:val="auto"/>
              </w:rPr>
              <w:t>Document Description</w:t>
            </w:r>
          </w:p>
        </w:tc>
        <w:tc>
          <w:tcPr>
            <w:tcW w:w="4140" w:type="dxa"/>
            <w:vAlign w:val="bottom"/>
            <w:vMerge w:val="restart"/>
          </w:tcPr>
          <w:p>
            <w:pPr>
              <w:ind w:left="1660"/>
              <w:spacing w:after="0"/>
              <w:rPr>
                <w:sz w:val="20"/>
                <w:szCs w:val="20"/>
                <w:color w:val="auto"/>
              </w:rPr>
            </w:pPr>
            <w:r>
              <w:rPr>
                <w:rFonts w:ascii="Arial" w:cs="Arial" w:eastAsia="Arial" w:hAnsi="Arial"/>
                <w:sz w:val="11"/>
                <w:szCs w:val="11"/>
                <w:b w:val="1"/>
                <w:bCs w:val="1"/>
                <w:color w:val="auto"/>
                <w:w w:val="93"/>
              </w:rPr>
              <w:t>Filed Herewith or Incorporated by Reference From</w:t>
            </w:r>
          </w:p>
        </w:tc>
        <w:tc>
          <w:tcPr>
            <w:tcW w:w="0" w:type="dxa"/>
            <w:vAlign w:val="bottom"/>
          </w:tcPr>
          <w:p>
            <w:pPr>
              <w:spacing w:after="0"/>
              <w:rPr>
                <w:sz w:val="1"/>
                <w:szCs w:val="1"/>
                <w:color w:val="auto"/>
              </w:rPr>
            </w:pPr>
          </w:p>
        </w:tc>
      </w:tr>
      <w:tr>
        <w:trPr>
          <w:trHeight w:val="147"/>
        </w:trPr>
        <w:tc>
          <w:tcPr>
            <w:tcW w:w="1560" w:type="dxa"/>
            <w:vAlign w:val="bottom"/>
          </w:tcPr>
          <w:p>
            <w:pPr>
              <w:jc w:val="center"/>
              <w:ind w:right="1143"/>
              <w:spacing w:after="0"/>
              <w:rPr>
                <w:sz w:val="20"/>
                <w:szCs w:val="20"/>
                <w:color w:val="auto"/>
              </w:rPr>
            </w:pPr>
            <w:r>
              <w:rPr>
                <w:rFonts w:ascii="Arial" w:cs="Arial" w:eastAsia="Arial" w:hAnsi="Arial"/>
                <w:sz w:val="11"/>
                <w:szCs w:val="11"/>
                <w:b w:val="1"/>
                <w:bCs w:val="1"/>
                <w:color w:val="auto"/>
                <w:w w:val="90"/>
              </w:rPr>
              <w:t>No.</w:t>
            </w:r>
          </w:p>
        </w:tc>
        <w:tc>
          <w:tcPr>
            <w:tcW w:w="3940" w:type="dxa"/>
            <w:vAlign w:val="bottom"/>
            <w:vMerge w:val="continue"/>
          </w:tcPr>
          <w:p>
            <w:pPr>
              <w:spacing w:after="0"/>
              <w:rPr>
                <w:sz w:val="12"/>
                <w:szCs w:val="12"/>
                <w:color w:val="auto"/>
              </w:rPr>
            </w:pPr>
          </w:p>
        </w:tc>
        <w:tc>
          <w:tcPr>
            <w:tcW w:w="4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12787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27875" cy="6985"/>
                    </a:xfrm>
                    <a:prstGeom prst="rect">
                      <a:avLst/>
                    </a:prstGeom>
                    <a:noFill/>
                  </pic:spPr>
                </pic:pic>
              </a:graphicData>
            </a:graphic>
          </wp:anchor>
        </w:drawing>
      </w:r>
    </w:p>
    <w:p>
      <w:pPr>
        <w:sectPr>
          <w:pgSz w:w="11900" w:h="16838" w:orient="portrait"/>
          <w:cols w:equalWidth="0" w:num="1">
            <w:col w:w="11140"/>
          </w:cols>
          <w:pgMar w:left="300" w:top="846" w:right="459" w:bottom="1440" w:gutter="0" w:footer="0" w:header="0"/>
        </w:sectPr>
      </w:pP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4"/>
                <w:szCs w:val="14"/>
                <w:color w:val="auto"/>
              </w:rPr>
              <w:t>3.1</w:t>
            </w:r>
          </w:p>
        </w:tc>
        <w:tc>
          <w:tcPr>
            <w:tcW w:w="4980" w:type="dxa"/>
            <w:vAlign w:val="bottom"/>
            <w:gridSpan w:val="14"/>
          </w:tcPr>
          <w:p>
            <w:pPr>
              <w:spacing w:after="0"/>
              <w:rPr>
                <w:rFonts w:ascii="Arial" w:cs="Arial" w:eastAsia="Arial" w:hAnsi="Arial"/>
                <w:sz w:val="14"/>
                <w:szCs w:val="14"/>
                <w:color w:val="0000FF"/>
              </w:rPr>
            </w:pPr>
            <w:hyperlink r:id="rId66">
              <w:r>
                <w:rPr>
                  <w:rFonts w:ascii="Arial" w:cs="Arial" w:eastAsia="Arial" w:hAnsi="Arial"/>
                  <w:sz w:val="14"/>
                  <w:szCs w:val="14"/>
                  <w:color w:val="0000FF"/>
                </w:rPr>
                <w:t>Certificate of Incorporation</w:t>
              </w:r>
            </w:hyperlink>
          </w:p>
        </w:tc>
      </w:tr>
      <w:tr>
        <w:trPr>
          <w:trHeight w:val="20"/>
        </w:trPr>
        <w:tc>
          <w:tcPr>
            <w:tcW w:w="11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Arial" w:cs="Arial" w:eastAsia="Arial" w:hAnsi="Arial"/>
                <w:sz w:val="14"/>
                <w:szCs w:val="14"/>
                <w:color w:val="auto"/>
              </w:rPr>
              <w:t>3.2</w:t>
            </w:r>
          </w:p>
        </w:tc>
        <w:tc>
          <w:tcPr>
            <w:tcW w:w="4980" w:type="dxa"/>
            <w:vAlign w:val="bottom"/>
            <w:gridSpan w:val="14"/>
          </w:tcPr>
          <w:p>
            <w:pPr>
              <w:spacing w:after="0"/>
              <w:rPr>
                <w:rFonts w:ascii="Arial" w:cs="Arial" w:eastAsia="Arial" w:hAnsi="Arial"/>
                <w:sz w:val="14"/>
                <w:szCs w:val="14"/>
                <w:color w:val="0000FF"/>
              </w:rPr>
            </w:pPr>
            <w:hyperlink r:id="rId67">
              <w:r>
                <w:rPr>
                  <w:rFonts w:ascii="Arial" w:cs="Arial" w:eastAsia="Arial" w:hAnsi="Arial"/>
                  <w:sz w:val="14"/>
                  <w:szCs w:val="14"/>
                  <w:color w:val="0000FF"/>
                </w:rPr>
                <w:t>Amended and Restated Bylaws</w:t>
              </w:r>
            </w:hyperlink>
          </w:p>
        </w:tc>
      </w:tr>
      <w:tr>
        <w:trPr>
          <w:trHeight w:val="20"/>
        </w:trPr>
        <w:tc>
          <w:tcPr>
            <w:tcW w:w="11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Arial" w:cs="Arial" w:eastAsia="Arial" w:hAnsi="Arial"/>
                <w:sz w:val="14"/>
                <w:szCs w:val="14"/>
                <w:color w:val="auto"/>
              </w:rPr>
              <w:t>4.1</w:t>
            </w:r>
          </w:p>
        </w:tc>
        <w:tc>
          <w:tcPr>
            <w:tcW w:w="4980" w:type="dxa"/>
            <w:vAlign w:val="bottom"/>
            <w:gridSpan w:val="14"/>
          </w:tcPr>
          <w:p>
            <w:pPr>
              <w:spacing w:after="0"/>
              <w:rPr>
                <w:rFonts w:ascii="Arial" w:cs="Arial" w:eastAsia="Arial" w:hAnsi="Arial"/>
                <w:sz w:val="14"/>
                <w:szCs w:val="14"/>
                <w:color w:val="0000FF"/>
              </w:rPr>
            </w:pPr>
            <w:hyperlink r:id="rId68">
              <w:r>
                <w:rPr>
                  <w:rFonts w:ascii="Arial" w:cs="Arial" w:eastAsia="Arial" w:hAnsi="Arial"/>
                  <w:sz w:val="14"/>
                  <w:szCs w:val="14"/>
                  <w:color w:val="0000FF"/>
                </w:rPr>
                <w:t>Form of Common Stock Certificate</w:t>
              </w:r>
            </w:hyperlink>
          </w:p>
        </w:tc>
      </w:tr>
      <w:tr>
        <w:trPr>
          <w:trHeight w:val="288"/>
        </w:trPr>
        <w:tc>
          <w:tcPr>
            <w:tcW w:w="1100" w:type="dxa"/>
            <w:vAlign w:val="bottom"/>
          </w:tcPr>
          <w:p>
            <w:pPr>
              <w:spacing w:after="0"/>
              <w:rPr>
                <w:sz w:val="20"/>
                <w:szCs w:val="20"/>
                <w:color w:val="auto"/>
              </w:rPr>
            </w:pPr>
            <w:r>
              <w:rPr>
                <w:rFonts w:ascii="Arial" w:cs="Arial" w:eastAsia="Arial" w:hAnsi="Arial"/>
                <w:sz w:val="14"/>
                <w:szCs w:val="14"/>
                <w:color w:val="auto"/>
              </w:rPr>
              <w:t>4.2</w:t>
            </w:r>
          </w:p>
        </w:tc>
        <w:tc>
          <w:tcPr>
            <w:tcW w:w="2000" w:type="dxa"/>
            <w:vAlign w:val="bottom"/>
            <w:tcBorders>
              <w:top w:val="single" w:sz="8" w:color="0000FF"/>
            </w:tcBorders>
            <w:gridSpan w:val="5"/>
          </w:tcPr>
          <w:p>
            <w:pPr>
              <w:spacing w:after="0"/>
              <w:rPr>
                <w:sz w:val="20"/>
                <w:szCs w:val="20"/>
                <w:color w:val="auto"/>
              </w:rPr>
            </w:pPr>
            <w:r>
              <w:rPr>
                <w:rFonts w:ascii="Arial" w:cs="Arial" w:eastAsia="Arial" w:hAnsi="Arial"/>
                <w:sz w:val="14"/>
                <w:szCs w:val="14"/>
                <w:color w:val="0000FF"/>
              </w:rPr>
              <w:t>Description of Capital Stock</w:t>
            </w:r>
          </w:p>
        </w:tc>
        <w:tc>
          <w:tcPr>
            <w:tcW w:w="2980" w:type="dxa"/>
            <w:vAlign w:val="bottom"/>
            <w:gridSpan w:val="9"/>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1100" w:type="dxa"/>
            <w:vAlign w:val="bottom"/>
          </w:tcPr>
          <w:p>
            <w:pPr>
              <w:spacing w:after="0"/>
              <w:rPr>
                <w:sz w:val="20"/>
                <w:szCs w:val="20"/>
                <w:color w:val="auto"/>
              </w:rPr>
            </w:pPr>
            <w:r>
              <w:rPr>
                <w:rFonts w:ascii="Arial" w:cs="Arial" w:eastAsia="Arial" w:hAnsi="Arial"/>
                <w:sz w:val="14"/>
                <w:szCs w:val="14"/>
                <w:color w:val="auto"/>
              </w:rPr>
              <w:t>10.1#</w:t>
            </w:r>
          </w:p>
        </w:tc>
        <w:tc>
          <w:tcPr>
            <w:tcW w:w="216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89"/>
              </w:rPr>
              <w:t>LifeVantage Sales Compensation Plan</w:t>
            </w:r>
          </w:p>
        </w:tc>
        <w:tc>
          <w:tcPr>
            <w:tcW w:w="2820" w:type="dxa"/>
            <w:vAlign w:val="bottom"/>
            <w:gridSpan w:val="8"/>
          </w:tcPr>
          <w:p>
            <w:pPr>
              <w:spacing w:after="0"/>
              <w:rPr>
                <w:sz w:val="24"/>
                <w:szCs w:val="24"/>
                <w:color w:val="auto"/>
              </w:rPr>
            </w:pPr>
          </w:p>
        </w:tc>
      </w:tr>
      <w:tr>
        <w:trPr>
          <w:trHeight w:val="160"/>
        </w:trPr>
        <w:tc>
          <w:tcPr>
            <w:tcW w:w="1100" w:type="dxa"/>
            <w:vAlign w:val="bottom"/>
          </w:tcPr>
          <w:p>
            <w:pPr>
              <w:spacing w:after="0"/>
              <w:rPr>
                <w:sz w:val="20"/>
                <w:szCs w:val="20"/>
                <w:color w:val="auto"/>
              </w:rPr>
            </w:pPr>
            <w:r>
              <w:rPr>
                <w:rFonts w:ascii="Arial" w:cs="Arial" w:eastAsia="Arial" w:hAnsi="Arial"/>
                <w:sz w:val="14"/>
                <w:szCs w:val="14"/>
                <w:color w:val="auto"/>
              </w:rPr>
              <w:t>10.3(a)#</w:t>
            </w:r>
          </w:p>
        </w:tc>
        <w:tc>
          <w:tcPr>
            <w:tcW w:w="4980" w:type="dxa"/>
            <w:vAlign w:val="bottom"/>
            <w:gridSpan w:val="14"/>
          </w:tcPr>
          <w:p>
            <w:pPr>
              <w:spacing w:after="0"/>
              <w:rPr>
                <w:rFonts w:ascii="Arial" w:cs="Arial" w:eastAsia="Arial" w:hAnsi="Arial"/>
                <w:sz w:val="14"/>
                <w:szCs w:val="14"/>
                <w:color w:val="0000FF"/>
                <w:w w:val="92"/>
              </w:rPr>
            </w:pPr>
            <w:hyperlink r:id="rId69">
              <w:r>
                <w:rPr>
                  <w:rFonts w:ascii="Arial" w:cs="Arial" w:eastAsia="Arial" w:hAnsi="Arial"/>
                  <w:sz w:val="14"/>
                  <w:szCs w:val="14"/>
                  <w:color w:val="0000FF"/>
                  <w:w w:val="92"/>
                </w:rPr>
                <w:t>LifeVantage Corporation 2010 Long-Term Incentive Plan effective as of September 27,</w:t>
              </w:r>
            </w:hyperlink>
          </w:p>
        </w:tc>
      </w:tr>
      <w:tr>
        <w:trPr>
          <w:trHeight w:val="118"/>
        </w:trPr>
        <w:tc>
          <w:tcPr>
            <w:tcW w:w="1100" w:type="dxa"/>
            <w:vAlign w:val="bottom"/>
          </w:tcPr>
          <w:p>
            <w:pPr>
              <w:spacing w:after="0"/>
              <w:rPr>
                <w:sz w:val="10"/>
                <w:szCs w:val="10"/>
                <w:color w:val="auto"/>
              </w:rPr>
            </w:pPr>
          </w:p>
        </w:tc>
        <w:tc>
          <w:tcPr>
            <w:tcW w:w="250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5"/>
              </w:rPr>
            </w:pPr>
            <w:hyperlink r:id="rId69">
              <w:r>
                <w:rPr>
                  <w:rFonts w:ascii="Arial" w:cs="Arial" w:eastAsia="Arial" w:hAnsi="Arial"/>
                  <w:sz w:val="13"/>
                  <w:szCs w:val="13"/>
                  <w:color w:val="0000FF"/>
                  <w:w w:val="95"/>
                </w:rPr>
                <w:t>2010 and as amended as of August 21, 2014</w:t>
              </w:r>
            </w:hyperlink>
          </w:p>
        </w:tc>
        <w:tc>
          <w:tcPr>
            <w:tcW w:w="244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4"/>
                <w:szCs w:val="14"/>
                <w:color w:val="auto"/>
              </w:rPr>
              <w:t>10.3(b)#</w:t>
            </w:r>
          </w:p>
        </w:tc>
        <w:tc>
          <w:tcPr>
            <w:tcW w:w="4980" w:type="dxa"/>
            <w:vAlign w:val="bottom"/>
            <w:gridSpan w:val="14"/>
          </w:tcPr>
          <w:p>
            <w:pPr>
              <w:spacing w:after="0"/>
              <w:rPr>
                <w:rFonts w:ascii="Arial" w:cs="Arial" w:eastAsia="Arial" w:hAnsi="Arial"/>
                <w:sz w:val="14"/>
                <w:szCs w:val="14"/>
                <w:color w:val="0000FF"/>
                <w:w w:val="94"/>
              </w:rPr>
            </w:pPr>
            <w:hyperlink r:id="rId70">
              <w:r>
                <w:rPr>
                  <w:rFonts w:ascii="Arial" w:cs="Arial" w:eastAsia="Arial" w:hAnsi="Arial"/>
                  <w:sz w:val="14"/>
                  <w:szCs w:val="14"/>
                  <w:color w:val="0000FF"/>
                  <w:w w:val="94"/>
                </w:rPr>
                <w:t>Form of Nonstatutory Stock Option Agreement for the LifeVantage Corporation 2010</w:t>
              </w:r>
            </w:hyperlink>
          </w:p>
        </w:tc>
      </w:tr>
      <w:tr>
        <w:trPr>
          <w:trHeight w:val="118"/>
        </w:trPr>
        <w:tc>
          <w:tcPr>
            <w:tcW w:w="1100" w:type="dxa"/>
            <w:vAlign w:val="bottom"/>
          </w:tcPr>
          <w:p>
            <w:pPr>
              <w:spacing w:after="0"/>
              <w:rPr>
                <w:sz w:val="10"/>
                <w:szCs w:val="10"/>
                <w:color w:val="auto"/>
              </w:rPr>
            </w:pPr>
          </w:p>
        </w:tc>
        <w:tc>
          <w:tcPr>
            <w:tcW w:w="4840" w:type="dxa"/>
            <w:vAlign w:val="bottom"/>
            <w:tcBorders>
              <w:top w:val="single" w:sz="8" w:color="0000FF"/>
            </w:tcBorders>
            <w:gridSpan w:val="11"/>
          </w:tcPr>
          <w:p>
            <w:pPr>
              <w:spacing w:after="0" w:line="118" w:lineRule="exact"/>
              <w:rPr>
                <w:rFonts w:ascii="Arial" w:cs="Arial" w:eastAsia="Arial" w:hAnsi="Arial"/>
                <w:sz w:val="13"/>
                <w:szCs w:val="13"/>
                <w:color w:val="0000FF"/>
              </w:rPr>
            </w:pPr>
            <w:hyperlink r:id="rId70">
              <w:r>
                <w:rPr>
                  <w:rFonts w:ascii="Arial" w:cs="Arial" w:eastAsia="Arial" w:hAnsi="Arial"/>
                  <w:sz w:val="13"/>
                  <w:szCs w:val="13"/>
                  <w:color w:val="0000FF"/>
                </w:rPr>
                <w:t>Long-Term Incentive Plan</w:t>
              </w:r>
            </w:hyperlink>
          </w:p>
        </w:tc>
        <w:tc>
          <w:tcPr>
            <w:tcW w:w="1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4"/>
                <w:szCs w:val="14"/>
                <w:color w:val="auto"/>
              </w:rPr>
              <w:t>10.3(c)#</w:t>
            </w:r>
          </w:p>
        </w:tc>
        <w:tc>
          <w:tcPr>
            <w:tcW w:w="4980" w:type="dxa"/>
            <w:vAlign w:val="bottom"/>
            <w:gridSpan w:val="14"/>
          </w:tcPr>
          <w:p>
            <w:pPr>
              <w:spacing w:after="0"/>
              <w:rPr>
                <w:rFonts w:ascii="Arial" w:cs="Arial" w:eastAsia="Arial" w:hAnsi="Arial"/>
                <w:sz w:val="14"/>
                <w:szCs w:val="14"/>
                <w:color w:val="0000FF"/>
                <w:w w:val="99"/>
              </w:rPr>
            </w:pPr>
            <w:hyperlink r:id="rId71">
              <w:r>
                <w:rPr>
                  <w:rFonts w:ascii="Arial" w:cs="Arial" w:eastAsia="Arial" w:hAnsi="Arial"/>
                  <w:sz w:val="14"/>
                  <w:szCs w:val="14"/>
                  <w:color w:val="0000FF"/>
                  <w:w w:val="99"/>
                </w:rPr>
                <w:t>Form of Incentive Stock Option Agreement for the LifeVantage Corporation 2010</w:t>
              </w:r>
            </w:hyperlink>
          </w:p>
        </w:tc>
      </w:tr>
      <w:tr>
        <w:trPr>
          <w:trHeight w:val="118"/>
        </w:trPr>
        <w:tc>
          <w:tcPr>
            <w:tcW w:w="1100" w:type="dxa"/>
            <w:vAlign w:val="bottom"/>
          </w:tcPr>
          <w:p>
            <w:pPr>
              <w:spacing w:after="0"/>
              <w:rPr>
                <w:sz w:val="10"/>
                <w:szCs w:val="10"/>
                <w:color w:val="auto"/>
              </w:rPr>
            </w:pPr>
          </w:p>
        </w:tc>
        <w:tc>
          <w:tcPr>
            <w:tcW w:w="4640" w:type="dxa"/>
            <w:vAlign w:val="bottom"/>
            <w:tcBorders>
              <w:top w:val="single" w:sz="8" w:color="0000FF"/>
            </w:tcBorders>
            <w:gridSpan w:val="10"/>
          </w:tcPr>
          <w:p>
            <w:pPr>
              <w:spacing w:after="0" w:line="118" w:lineRule="exact"/>
              <w:rPr>
                <w:rFonts w:ascii="Arial" w:cs="Arial" w:eastAsia="Arial" w:hAnsi="Arial"/>
                <w:sz w:val="13"/>
                <w:szCs w:val="13"/>
                <w:color w:val="0000FF"/>
              </w:rPr>
            </w:pPr>
            <w:hyperlink r:id="rId71">
              <w:r>
                <w:rPr>
                  <w:rFonts w:ascii="Arial" w:cs="Arial" w:eastAsia="Arial" w:hAnsi="Arial"/>
                  <w:sz w:val="13"/>
                  <w:szCs w:val="13"/>
                  <w:color w:val="0000FF"/>
                </w:rPr>
                <w:t>Long-Term Incentive Plan</w:t>
              </w:r>
            </w:hyperlink>
          </w:p>
        </w:tc>
        <w:tc>
          <w:tcPr>
            <w:tcW w:w="32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10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4"/>
                <w:szCs w:val="14"/>
                <w:color w:val="auto"/>
              </w:rPr>
              <w:t>10.3(d)#</w:t>
            </w:r>
          </w:p>
        </w:tc>
        <w:tc>
          <w:tcPr>
            <w:tcW w:w="4980" w:type="dxa"/>
            <w:vAlign w:val="bottom"/>
            <w:gridSpan w:val="14"/>
          </w:tcPr>
          <w:p>
            <w:pPr>
              <w:spacing w:after="0"/>
              <w:rPr>
                <w:rFonts w:ascii="Arial" w:cs="Arial" w:eastAsia="Arial" w:hAnsi="Arial"/>
                <w:sz w:val="14"/>
                <w:szCs w:val="14"/>
                <w:color w:val="0000FF"/>
                <w:w w:val="92"/>
              </w:rPr>
            </w:pPr>
            <w:hyperlink r:id="rId72">
              <w:r>
                <w:rPr>
                  <w:rFonts w:ascii="Arial" w:cs="Arial" w:eastAsia="Arial" w:hAnsi="Arial"/>
                  <w:sz w:val="14"/>
                  <w:szCs w:val="14"/>
                  <w:color w:val="0000FF"/>
                  <w:w w:val="92"/>
                </w:rPr>
                <w:t>Form of Amended and Restated Stock Unit Agreement for the LifeVantage Corporation</w:t>
              </w:r>
            </w:hyperlink>
          </w:p>
        </w:tc>
      </w:tr>
      <w:tr>
        <w:trPr>
          <w:trHeight w:val="118"/>
        </w:trPr>
        <w:tc>
          <w:tcPr>
            <w:tcW w:w="1100" w:type="dxa"/>
            <w:vAlign w:val="bottom"/>
          </w:tcPr>
          <w:p>
            <w:pPr>
              <w:spacing w:after="0"/>
              <w:rPr>
                <w:sz w:val="10"/>
                <w:szCs w:val="10"/>
                <w:color w:val="auto"/>
              </w:rPr>
            </w:pPr>
          </w:p>
        </w:tc>
        <w:tc>
          <w:tcPr>
            <w:tcW w:w="180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8"/>
              </w:rPr>
            </w:pPr>
            <w:hyperlink r:id="rId72">
              <w:r>
                <w:rPr>
                  <w:rFonts w:ascii="Arial" w:cs="Arial" w:eastAsia="Arial" w:hAnsi="Arial"/>
                  <w:sz w:val="13"/>
                  <w:szCs w:val="13"/>
                  <w:color w:val="0000FF"/>
                  <w:w w:val="98"/>
                </w:rPr>
                <w:t>2010 Long-Term Incentive Plan</w:t>
              </w:r>
            </w:hyperlink>
          </w:p>
        </w:tc>
        <w:tc>
          <w:tcPr>
            <w:tcW w:w="316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r>
      <w:tr>
        <w:trPr>
          <w:trHeight w:val="298"/>
        </w:trPr>
        <w:tc>
          <w:tcPr>
            <w:tcW w:w="1100" w:type="dxa"/>
            <w:vAlign w:val="bottom"/>
          </w:tcPr>
          <w:p>
            <w:pPr>
              <w:spacing w:after="0"/>
              <w:rPr>
                <w:sz w:val="20"/>
                <w:szCs w:val="20"/>
                <w:color w:val="auto"/>
              </w:rPr>
            </w:pPr>
            <w:r>
              <w:rPr>
                <w:rFonts w:ascii="Arial" w:cs="Arial" w:eastAsia="Arial" w:hAnsi="Arial"/>
                <w:sz w:val="14"/>
                <w:szCs w:val="14"/>
                <w:color w:val="auto"/>
              </w:rPr>
              <w:t>10.4*</w:t>
            </w:r>
          </w:p>
        </w:tc>
        <w:tc>
          <w:tcPr>
            <w:tcW w:w="4980" w:type="dxa"/>
            <w:vAlign w:val="bottom"/>
            <w:gridSpan w:val="14"/>
          </w:tcPr>
          <w:p>
            <w:pPr>
              <w:spacing w:after="0"/>
              <w:rPr>
                <w:rFonts w:ascii="Arial" w:cs="Arial" w:eastAsia="Arial" w:hAnsi="Arial"/>
                <w:sz w:val="14"/>
                <w:szCs w:val="14"/>
                <w:color w:val="0000FF"/>
              </w:rPr>
            </w:pPr>
            <w:hyperlink r:id="rId73">
              <w:r>
                <w:rPr>
                  <w:rFonts w:ascii="Arial" w:cs="Arial" w:eastAsia="Arial" w:hAnsi="Arial"/>
                  <w:sz w:val="14"/>
                  <w:szCs w:val="14"/>
                  <w:color w:val="0000FF"/>
                </w:rPr>
                <w:t>Commercial Supply Agreement dated January 31, 2014 between LifeVantage</w:t>
              </w:r>
            </w:hyperlink>
          </w:p>
        </w:tc>
      </w:tr>
      <w:tr>
        <w:trPr>
          <w:trHeight w:val="118"/>
        </w:trPr>
        <w:tc>
          <w:tcPr>
            <w:tcW w:w="110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7"/>
              </w:rPr>
            </w:pPr>
            <w:hyperlink r:id="rId73">
              <w:r>
                <w:rPr>
                  <w:rFonts w:ascii="Arial" w:cs="Arial" w:eastAsia="Arial" w:hAnsi="Arial"/>
                  <w:sz w:val="13"/>
                  <w:szCs w:val="13"/>
                  <w:color w:val="0000FF"/>
                  <w:w w:val="97"/>
                </w:rPr>
                <w:t>Corporation and Deseret Laboratories, Inc.</w:t>
              </w:r>
            </w:hyperlink>
          </w:p>
        </w:tc>
        <w:tc>
          <w:tcPr>
            <w:tcW w:w="1940" w:type="dxa"/>
            <w:vAlign w:val="bottom"/>
            <w:tcBorders>
              <w:top w:val="single" w:sz="8" w:color="0000FF"/>
            </w:tcBorders>
            <w:gridSpan w:val="2"/>
          </w:tcPr>
          <w:p>
            <w:pPr>
              <w:spacing w:after="0"/>
              <w:rPr>
                <w:sz w:val="10"/>
                <w:szCs w:val="10"/>
                <w:color w:val="auto"/>
              </w:rPr>
            </w:pPr>
          </w:p>
        </w:tc>
        <w:tc>
          <w:tcPr>
            <w:tcW w:w="620" w:type="dxa"/>
            <w:vAlign w:val="bottom"/>
            <w:gridSpan w:val="5"/>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Exhibit to 3.1 to Form 8-K filed on March 13, 2018.</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Exhibit 3.1 to the Current Report on Form 8-K filed on August 15, 2019</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Exhibit to 4.1 to Form 8-K filed on March 13, 2018.</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Annex A to Proxy Statement on Schedule A filed on October 6, 2014.</w:t>
      </w:r>
    </w:p>
    <w:p>
      <w:pPr>
        <w:spacing w:after="0" w:line="295"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Exhibit 4.4 to Registration Statement on Form S-8 (File No. 333-175104) filed on June 23, 2011.</w:t>
      </w:r>
    </w:p>
    <w:p>
      <w:pPr>
        <w:spacing w:after="0" w:line="140" w:lineRule="exact"/>
        <w:rPr>
          <w:sz w:val="20"/>
          <w:szCs w:val="20"/>
          <w:color w:val="auto"/>
        </w:rPr>
      </w:pPr>
    </w:p>
    <w:p>
      <w:pPr>
        <w:ind w:right="280"/>
        <w:spacing w:after="0" w:line="236" w:lineRule="auto"/>
        <w:rPr>
          <w:sz w:val="20"/>
          <w:szCs w:val="20"/>
          <w:color w:val="auto"/>
        </w:rPr>
      </w:pPr>
      <w:r>
        <w:rPr>
          <w:rFonts w:ascii="Arial" w:cs="Arial" w:eastAsia="Arial" w:hAnsi="Arial"/>
          <w:sz w:val="14"/>
          <w:szCs w:val="14"/>
          <w:color w:val="auto"/>
        </w:rPr>
        <w:t>Exhibit 4.5 to Registration Statement on Form S-8 (File No. 333-175104) filed on June 23, 2011.</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Exhibit 10.3 to Form 10-Q for the fiscal quarter ended March 31, 2016 filed on May 4, 2016.</w:t>
      </w:r>
    </w:p>
    <w:p>
      <w:pPr>
        <w:spacing w:after="0" w:line="140"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Exhibit 10.1 to Form 10-Q for the fiscal quarter ended March 31, 2014 filed on May 6, 2014.</w:t>
      </w:r>
    </w:p>
    <w:p>
      <w:pPr>
        <w:spacing w:after="0" w:line="200" w:lineRule="exact"/>
        <w:rPr>
          <w:sz w:val="20"/>
          <w:szCs w:val="20"/>
          <w:color w:val="auto"/>
        </w:rPr>
      </w:pPr>
    </w:p>
    <w:p>
      <w:pPr>
        <w:sectPr>
          <w:pgSz w:w="11900" w:h="16838" w:orient="portrait"/>
          <w:cols w:equalWidth="0" w:num="2">
            <w:col w:w="6080" w:space="140"/>
            <w:col w:w="4920"/>
          </w:cols>
          <w:pgMar w:left="300" w:top="846" w:right="45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846" w:right="4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540" w:type="dxa"/>
            <w:vAlign w:val="bottom"/>
            <w:gridSpan w:val="23"/>
            <w:vMerge w:val="restart"/>
          </w:tcPr>
          <w:p>
            <w:pPr>
              <w:ind w:left="480"/>
              <w:spacing w:after="0"/>
              <w:rPr>
                <w:sz w:val="20"/>
                <w:szCs w:val="20"/>
                <w:color w:val="auto"/>
              </w:rPr>
            </w:pPr>
            <w:r>
              <w:rPr>
                <w:rFonts w:ascii="Arial" w:cs="Arial" w:eastAsia="Arial" w:hAnsi="Arial"/>
                <w:sz w:val="11"/>
                <w:szCs w:val="11"/>
                <w:b w:val="1"/>
                <w:bCs w:val="1"/>
                <w:color w:val="auto"/>
              </w:rPr>
              <w:t>Document Description</w:t>
            </w:r>
          </w:p>
        </w:tc>
        <w:tc>
          <w:tcPr>
            <w:tcW w:w="0" w:type="dxa"/>
            <w:vAlign w:val="bottom"/>
          </w:tcPr>
          <w:p>
            <w:pPr>
              <w:spacing w:after="0"/>
              <w:rPr>
                <w:sz w:val="1"/>
                <w:szCs w:val="1"/>
                <w:color w:val="auto"/>
              </w:rPr>
            </w:pPr>
          </w:p>
        </w:tc>
      </w:tr>
      <w:tr>
        <w:trPr>
          <w:trHeight w:val="151"/>
        </w:trPr>
        <w:tc>
          <w:tcPr>
            <w:tcW w:w="1100" w:type="dxa"/>
            <w:vAlign w:val="bottom"/>
            <w:gridSpan w:val="2"/>
          </w:tcPr>
          <w:p>
            <w:pPr>
              <w:ind w:left="420"/>
              <w:spacing w:after="0"/>
              <w:rPr>
                <w:sz w:val="20"/>
                <w:szCs w:val="20"/>
                <w:color w:val="auto"/>
              </w:rPr>
            </w:pPr>
            <w:r>
              <w:rPr>
                <w:rFonts w:ascii="Arial" w:cs="Arial" w:eastAsia="Arial" w:hAnsi="Arial"/>
                <w:sz w:val="11"/>
                <w:szCs w:val="11"/>
                <w:b w:val="1"/>
                <w:bCs w:val="1"/>
                <w:color w:val="auto"/>
              </w:rPr>
              <w:t>No.</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54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10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5000" w:type="dxa"/>
            <w:vAlign w:val="bottom"/>
            <w:tcBorders>
              <w:top w:val="single" w:sz="8" w:color="auto"/>
            </w:tcBorders>
            <w:gridSpan w:val="28"/>
          </w:tcPr>
          <w:p>
            <w:pPr>
              <w:spacing w:after="0"/>
              <w:rPr>
                <w:rFonts w:ascii="Arial" w:cs="Arial" w:eastAsia="Arial" w:hAnsi="Arial"/>
                <w:sz w:val="14"/>
                <w:szCs w:val="14"/>
                <w:color w:val="0000FF"/>
                <w:w w:val="97"/>
              </w:rPr>
            </w:pPr>
            <w:hyperlink r:id="rId75">
              <w:r>
                <w:rPr>
                  <w:rFonts w:ascii="Arial" w:cs="Arial" w:eastAsia="Arial" w:hAnsi="Arial"/>
                  <w:sz w:val="14"/>
                  <w:szCs w:val="14"/>
                  <w:color w:val="0000FF"/>
                  <w:w w:val="97"/>
                </w:rPr>
                <w:t>Service Agreement entered into as of June 1, 2014 between IntegraCore, LLC and</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40" w:type="dxa"/>
            <w:vAlign w:val="bottom"/>
            <w:tcBorders>
              <w:top w:val="single" w:sz="8" w:color="0000FF"/>
            </w:tcBorders>
            <w:gridSpan w:val="18"/>
          </w:tcPr>
          <w:p>
            <w:pPr>
              <w:spacing w:after="0" w:line="129" w:lineRule="exact"/>
              <w:rPr>
                <w:rFonts w:ascii="Arial" w:cs="Arial" w:eastAsia="Arial" w:hAnsi="Arial"/>
                <w:sz w:val="14"/>
                <w:szCs w:val="14"/>
                <w:color w:val="0000FF"/>
              </w:rPr>
            </w:pPr>
            <w:hyperlink r:id="rId75">
              <w:r>
                <w:rPr>
                  <w:rFonts w:ascii="Arial" w:cs="Arial" w:eastAsia="Arial" w:hAnsi="Arial"/>
                  <w:sz w:val="14"/>
                  <w:szCs w:val="14"/>
                  <w:color w:val="0000FF"/>
                </w:rPr>
                <w:t>LifeVantage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w w:val="93"/>
              </w:rPr>
            </w:pPr>
            <w:hyperlink r:id="rId76">
              <w:r>
                <w:rPr>
                  <w:rFonts w:ascii="Arial" w:cs="Arial" w:eastAsia="Arial" w:hAnsi="Arial"/>
                  <w:sz w:val="14"/>
                  <w:szCs w:val="14"/>
                  <w:color w:val="0000FF"/>
                  <w:w w:val="93"/>
                </w:rPr>
                <w:t>Commercial Supply Agreement entered into as of May 30, 2014 between LifeVantage</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0"/>
              </w:rPr>
            </w:pPr>
            <w:hyperlink r:id="rId76">
              <w:r>
                <w:rPr>
                  <w:rFonts w:ascii="Arial" w:cs="Arial" w:eastAsia="Arial" w:hAnsi="Arial"/>
                  <w:sz w:val="14"/>
                  <w:szCs w:val="14"/>
                  <w:color w:val="0000FF"/>
                  <w:w w:val="90"/>
                </w:rPr>
                <w:t>Corporation and Wasatch Product Development</w:t>
              </w:r>
            </w:hyperlink>
          </w:p>
        </w:tc>
        <w:tc>
          <w:tcPr>
            <w:tcW w:w="2160" w:type="dxa"/>
            <w:vAlign w:val="bottom"/>
            <w:tcBorders>
              <w:top w:val="single" w:sz="8" w:color="0000FF"/>
            </w:tcBorders>
            <w:gridSpan w:val="18"/>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rPr>
            </w:pPr>
            <w:hyperlink r:id="rId77">
              <w:r>
                <w:rPr>
                  <w:rFonts w:ascii="Arial" w:cs="Arial" w:eastAsia="Arial" w:hAnsi="Arial"/>
                  <w:sz w:val="14"/>
                  <w:szCs w:val="14"/>
                  <w:color w:val="0000FF"/>
                </w:rPr>
                <w:t>Form of Director and Officer Indemnification Agreement</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w w:val="99"/>
              </w:rPr>
            </w:pPr>
            <w:hyperlink r:id="rId78">
              <w:r>
                <w:rPr>
                  <w:rFonts w:ascii="Arial" w:cs="Arial" w:eastAsia="Arial" w:hAnsi="Arial"/>
                  <w:sz w:val="14"/>
                  <w:szCs w:val="14"/>
                  <w:color w:val="0000FF"/>
                  <w:w w:val="99"/>
                </w:rPr>
                <w:t>Loan Agreement, dated March 30, 2016, by and between Z.B., N.A., LifeVantage</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80" w:type="dxa"/>
            <w:vAlign w:val="bottom"/>
            <w:tcBorders>
              <w:top w:val="single" w:sz="8" w:color="0000FF"/>
              <w:bottom w:val="single" w:sz="8" w:color="0000FF"/>
            </w:tcBorders>
            <w:gridSpan w:val="11"/>
          </w:tcPr>
          <w:p>
            <w:pPr>
              <w:spacing w:after="0" w:line="129" w:lineRule="exact"/>
              <w:rPr>
                <w:rFonts w:ascii="Arial" w:cs="Arial" w:eastAsia="Arial" w:hAnsi="Arial"/>
                <w:sz w:val="14"/>
                <w:szCs w:val="14"/>
                <w:color w:val="0000FF"/>
                <w:w w:val="92"/>
              </w:rPr>
            </w:pPr>
            <w:hyperlink r:id="rId78">
              <w:r>
                <w:rPr>
                  <w:rFonts w:ascii="Arial" w:cs="Arial" w:eastAsia="Arial" w:hAnsi="Arial"/>
                  <w:sz w:val="14"/>
                  <w:szCs w:val="14"/>
                  <w:color w:val="0000FF"/>
                  <w:w w:val="92"/>
                </w:rPr>
                <w:t>Corporation and Lifeline Nutraceuticals Corporation</w:t>
              </w:r>
            </w:hyperlink>
          </w:p>
        </w:tc>
        <w:tc>
          <w:tcPr>
            <w:tcW w:w="1640" w:type="dxa"/>
            <w:vAlign w:val="bottom"/>
            <w:tcBorders>
              <w:top w:val="single" w:sz="8" w:color="0000FF"/>
            </w:tcBorders>
            <w:gridSpan w:val="6"/>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w w:val="95"/>
              </w:rPr>
            </w:pPr>
            <w:hyperlink r:id="rId79">
              <w:r>
                <w:rPr>
                  <w:rFonts w:ascii="Arial" w:cs="Arial" w:eastAsia="Arial" w:hAnsi="Arial"/>
                  <w:sz w:val="14"/>
                  <w:szCs w:val="14"/>
                  <w:color w:val="0000FF"/>
                  <w:w w:val="95"/>
                </w:rPr>
                <w:t>Security Agreement, dated March 30, 2016, by and between Z.B., N.A., LifeVantage</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0" w:type="dxa"/>
            <w:vAlign w:val="bottom"/>
            <w:tcBorders>
              <w:top w:val="single" w:sz="8" w:color="0000FF"/>
            </w:tcBorders>
            <w:gridSpan w:val="24"/>
          </w:tcPr>
          <w:p>
            <w:pPr>
              <w:spacing w:after="0" w:line="129" w:lineRule="exact"/>
              <w:rPr>
                <w:rFonts w:ascii="Arial" w:cs="Arial" w:eastAsia="Arial" w:hAnsi="Arial"/>
                <w:sz w:val="14"/>
                <w:szCs w:val="14"/>
                <w:color w:val="0000FF"/>
              </w:rPr>
            </w:pPr>
            <w:hyperlink r:id="rId79">
              <w:r>
                <w:rPr>
                  <w:rFonts w:ascii="Arial" w:cs="Arial" w:eastAsia="Arial" w:hAnsi="Arial"/>
                  <w:sz w:val="14"/>
                  <w:szCs w:val="14"/>
                  <w:color w:val="0000FF"/>
                </w:rPr>
                <w:t>Corporation and Lifeline Nutraceuticals Corporation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w w:val="95"/>
              </w:rPr>
            </w:pPr>
            <w:hyperlink r:id="rId80">
              <w:r>
                <w:rPr>
                  <w:rFonts w:ascii="Arial" w:cs="Arial" w:eastAsia="Arial" w:hAnsi="Arial"/>
                  <w:sz w:val="14"/>
                  <w:szCs w:val="14"/>
                  <w:color w:val="0000FF"/>
                  <w:w w:val="95"/>
                </w:rPr>
                <w:t>CEO Offer Letter between the Company and Steven R. Fife dated January 31, 2021</w:t>
              </w:r>
            </w:hyperlink>
          </w:p>
        </w:tc>
        <w:tc>
          <w:tcPr>
            <w:tcW w:w="0" w:type="dxa"/>
            <w:vAlign w:val="bottom"/>
          </w:tcPr>
          <w:p>
            <w:pPr>
              <w:spacing w:after="0"/>
              <w:rPr>
                <w:sz w:val="1"/>
                <w:szCs w:val="1"/>
                <w:color w:val="auto"/>
              </w:rPr>
            </w:pPr>
          </w:p>
        </w:tc>
      </w:tr>
      <w:tr>
        <w:trPr>
          <w:trHeight w:val="436"/>
        </w:trPr>
        <w:tc>
          <w:tcPr>
            <w:tcW w:w="1000" w:type="dxa"/>
            <w:vAlign w:val="bottom"/>
          </w:tcPr>
          <w:p>
            <w:pPr>
              <w:ind w:left="20"/>
              <w:spacing w:after="0"/>
              <w:rPr>
                <w:sz w:val="20"/>
                <w:szCs w:val="20"/>
                <w:color w:val="auto"/>
              </w:rPr>
            </w:pPr>
            <w:r>
              <w:rPr>
                <w:rFonts w:ascii="Arial" w:cs="Arial" w:eastAsia="Arial" w:hAnsi="Arial"/>
                <w:sz w:val="14"/>
                <w:szCs w:val="14"/>
                <w:color w:val="auto"/>
              </w:rPr>
              <w:t>10.11#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tcBorders>
              <w:top w:val="single" w:sz="8" w:color="0000FF"/>
            </w:tcBorders>
            <w:gridSpan w:val="22"/>
          </w:tcPr>
          <w:p>
            <w:pPr>
              <w:spacing w:after="0"/>
              <w:rPr>
                <w:rFonts w:ascii="Arial" w:cs="Arial" w:eastAsia="Arial" w:hAnsi="Arial"/>
                <w:sz w:val="14"/>
                <w:szCs w:val="14"/>
                <w:color w:val="0000FF"/>
                <w:w w:val="90"/>
              </w:rPr>
            </w:pPr>
            <w:hyperlink r:id="rId81">
              <w:r>
                <w:rPr>
                  <w:rFonts w:ascii="Arial" w:cs="Arial" w:eastAsia="Arial" w:hAnsi="Arial"/>
                  <w:sz w:val="14"/>
                  <w:szCs w:val="14"/>
                  <w:color w:val="0000FF"/>
                  <w:w w:val="90"/>
                </w:rPr>
                <w:t>Amended and Restated Key Executive Benefit Package between the Company and</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tcBorders>
              <w:top w:val="single" w:sz="8" w:color="0000FF"/>
              <w:bottom w:val="single" w:sz="8" w:color="0000FF"/>
            </w:tcBorders>
            <w:gridSpan w:val="7"/>
          </w:tcPr>
          <w:p>
            <w:pPr>
              <w:spacing w:after="0" w:line="129" w:lineRule="exact"/>
              <w:rPr>
                <w:rFonts w:ascii="Arial" w:cs="Arial" w:eastAsia="Arial" w:hAnsi="Arial"/>
                <w:sz w:val="14"/>
                <w:szCs w:val="14"/>
                <w:color w:val="0000FF"/>
                <w:w w:val="89"/>
              </w:rPr>
            </w:pPr>
            <w:hyperlink r:id="rId81">
              <w:r>
                <w:rPr>
                  <w:rFonts w:ascii="Arial" w:cs="Arial" w:eastAsia="Arial" w:hAnsi="Arial"/>
                  <w:sz w:val="14"/>
                  <w:szCs w:val="14"/>
                  <w:color w:val="0000FF"/>
                  <w:w w:val="89"/>
                </w:rPr>
                <w:t>Steven R. Fife dated January 31, 2021</w:t>
              </w:r>
            </w:hyperlink>
          </w:p>
        </w:tc>
        <w:tc>
          <w:tcPr>
            <w:tcW w:w="25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1"/>
              </w:rPr>
              <w:t>Forms of Key Executive Benefits Package</w:t>
            </w:r>
          </w:p>
        </w:tc>
        <w:tc>
          <w:tcPr>
            <w:tcW w:w="26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w w:val="91"/>
              </w:rPr>
              <w:t>Amended and Restated LifeVantage Corporation 2017 Long-Term Incentive Plan</w:t>
            </w:r>
          </w:p>
        </w:tc>
        <w:tc>
          <w:tcPr>
            <w:tcW w:w="4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21"/>
          </w:tcPr>
          <w:p>
            <w:pPr>
              <w:spacing w:after="0"/>
              <w:rPr>
                <w:rFonts w:ascii="Arial" w:cs="Arial" w:eastAsia="Arial" w:hAnsi="Arial"/>
                <w:sz w:val="14"/>
                <w:szCs w:val="14"/>
                <w:color w:val="0000FF"/>
                <w:w w:val="92"/>
              </w:rPr>
            </w:pPr>
            <w:hyperlink r:id="rId82">
              <w:r>
                <w:rPr>
                  <w:rFonts w:ascii="Arial" w:cs="Arial" w:eastAsia="Arial" w:hAnsi="Arial"/>
                  <w:sz w:val="14"/>
                  <w:szCs w:val="14"/>
                  <w:color w:val="0000FF"/>
                  <w:w w:val="92"/>
                </w:rPr>
                <w:t>Form of Restricted Stock Grant Agreement for the 2017 Long-Term Incentive Plan</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15"/>
          </w:tcPr>
          <w:p>
            <w:pPr>
              <w:spacing w:after="0"/>
              <w:rPr>
                <w:rFonts w:ascii="Arial" w:cs="Arial" w:eastAsia="Arial" w:hAnsi="Arial"/>
                <w:sz w:val="14"/>
                <w:szCs w:val="14"/>
                <w:color w:val="0000FF"/>
                <w:w w:val="92"/>
              </w:rPr>
            </w:pPr>
            <w:hyperlink r:id="rId83">
              <w:r>
                <w:rPr>
                  <w:rFonts w:ascii="Arial" w:cs="Arial" w:eastAsia="Arial" w:hAnsi="Arial"/>
                  <w:sz w:val="14"/>
                  <w:szCs w:val="14"/>
                  <w:color w:val="0000FF"/>
                  <w:w w:val="92"/>
                </w:rPr>
                <w:t>Form of Stock Unit Agreement for the 2017 Long-Term Incentive Plan</w:t>
              </w:r>
            </w:hyperlink>
          </w:p>
        </w:tc>
        <w:tc>
          <w:tcPr>
            <w:tcW w:w="9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w w:val="96"/>
              </w:rPr>
            </w:pPr>
            <w:hyperlink r:id="rId84">
              <w:r>
                <w:rPr>
                  <w:rFonts w:ascii="Arial" w:cs="Arial" w:eastAsia="Arial" w:hAnsi="Arial"/>
                  <w:sz w:val="14"/>
                  <w:szCs w:val="14"/>
                  <w:color w:val="0000FF"/>
                  <w:w w:val="96"/>
                </w:rPr>
                <w:t>Amended No.1 to Loan Agreement, dated May 4, 2018, by and between Z.B., N.A.,</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00" w:type="dxa"/>
            <w:vAlign w:val="bottom"/>
            <w:tcBorders>
              <w:top w:val="single" w:sz="8" w:color="0000FF"/>
              <w:bottom w:val="single" w:sz="8" w:color="0000FF"/>
            </w:tcBorders>
            <w:gridSpan w:val="14"/>
          </w:tcPr>
          <w:p>
            <w:pPr>
              <w:spacing w:after="0" w:line="129" w:lineRule="exact"/>
              <w:rPr>
                <w:rFonts w:ascii="Arial" w:cs="Arial" w:eastAsia="Arial" w:hAnsi="Arial"/>
                <w:sz w:val="14"/>
                <w:szCs w:val="14"/>
                <w:color w:val="0000FF"/>
                <w:w w:val="92"/>
              </w:rPr>
            </w:pPr>
            <w:hyperlink r:id="rId84">
              <w:r>
                <w:rPr>
                  <w:rFonts w:ascii="Arial" w:cs="Arial" w:eastAsia="Arial" w:hAnsi="Arial"/>
                  <w:sz w:val="14"/>
                  <w:szCs w:val="14"/>
                  <w:color w:val="0000FF"/>
                  <w:w w:val="92"/>
                </w:rPr>
                <w:t>LifeVantage Corporation and Lifeline Nutraceuticals Corporation</w:t>
              </w:r>
            </w:hyperlink>
          </w:p>
        </w:tc>
        <w:tc>
          <w:tcPr>
            <w:tcW w:w="1040" w:type="dxa"/>
            <w:vAlign w:val="bottom"/>
            <w:tcBorders>
              <w:top w:val="single" w:sz="8" w:color="0000FF"/>
            </w:tcBorders>
            <w:gridSpan w:val="9"/>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w w:val="94"/>
              </w:rPr>
            </w:pPr>
            <w:hyperlink r:id="rId85">
              <w:r>
                <w:rPr>
                  <w:rFonts w:ascii="Arial" w:cs="Arial" w:eastAsia="Arial" w:hAnsi="Arial"/>
                  <w:sz w:val="14"/>
                  <w:szCs w:val="14"/>
                  <w:color w:val="0000FF"/>
                  <w:w w:val="94"/>
                </w:rPr>
                <w:t>Change in Terms Agreement dated April 1, 2021 by and between Zions Bank and the</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40" w:type="dxa"/>
            <w:vAlign w:val="bottom"/>
            <w:tcBorders>
              <w:top w:val="single" w:sz="8" w:color="0000FF"/>
            </w:tcBorders>
            <w:gridSpan w:val="26"/>
          </w:tcPr>
          <w:p>
            <w:pPr>
              <w:spacing w:after="0" w:line="129" w:lineRule="exact"/>
              <w:rPr>
                <w:rFonts w:ascii="Arial" w:cs="Arial" w:eastAsia="Arial" w:hAnsi="Arial"/>
                <w:sz w:val="14"/>
                <w:szCs w:val="14"/>
                <w:color w:val="0000FF"/>
              </w:rPr>
            </w:pPr>
            <w:hyperlink r:id="rId85">
              <w:r>
                <w:rPr>
                  <w:rFonts w:ascii="Arial" w:cs="Arial" w:eastAsia="Arial" w:hAnsi="Arial"/>
                  <w:sz w:val="14"/>
                  <w:szCs w:val="14"/>
                  <w:color w:val="0000FF"/>
                </w:rPr>
                <w:t>Company</w:t>
              </w:r>
            </w:hyperlink>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w w:val="95"/>
              </w:rPr>
            </w:pPr>
            <w:hyperlink r:id="rId86">
              <w:r>
                <w:rPr>
                  <w:rFonts w:ascii="Arial" w:cs="Arial" w:eastAsia="Arial" w:hAnsi="Arial"/>
                  <w:sz w:val="14"/>
                  <w:szCs w:val="14"/>
                  <w:color w:val="0000FF"/>
                  <w:w w:val="95"/>
                </w:rPr>
                <w:t>Second Loan Modification Agreement dated February 1, 2019 by and between Zions</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20" w:type="dxa"/>
            <w:vAlign w:val="bottom"/>
            <w:tcBorders>
              <w:top w:val="single" w:sz="8" w:color="0000FF"/>
            </w:tcBorders>
            <w:gridSpan w:val="25"/>
          </w:tcPr>
          <w:p>
            <w:pPr>
              <w:spacing w:after="0" w:line="129" w:lineRule="exact"/>
              <w:rPr>
                <w:rFonts w:ascii="Arial" w:cs="Arial" w:eastAsia="Arial" w:hAnsi="Arial"/>
                <w:sz w:val="14"/>
                <w:szCs w:val="14"/>
                <w:color w:val="0000FF"/>
              </w:rPr>
            </w:pPr>
            <w:hyperlink r:id="rId86">
              <w:r>
                <w:rPr>
                  <w:rFonts w:ascii="Arial" w:cs="Arial" w:eastAsia="Arial" w:hAnsi="Arial"/>
                  <w:sz w:val="14"/>
                  <w:szCs w:val="14"/>
                  <w:color w:val="0000FF"/>
                </w:rPr>
                <w:t>Bank and the Company</w:t>
              </w:r>
            </w:hyperlink>
          </w:p>
        </w:tc>
        <w:tc>
          <w:tcPr>
            <w:tcW w:w="18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Borders>
              <w:bottom w:val="single" w:sz="8" w:color="0000FF"/>
            </w:tcBorders>
            <w:gridSpan w:val="13"/>
          </w:tcPr>
          <w:p>
            <w:pPr>
              <w:spacing w:after="0"/>
              <w:rPr>
                <w:rFonts w:ascii="Arial" w:cs="Arial" w:eastAsia="Arial" w:hAnsi="Arial"/>
                <w:sz w:val="14"/>
                <w:szCs w:val="14"/>
                <w:color w:val="0000FF"/>
                <w:w w:val="90"/>
              </w:rPr>
            </w:pPr>
            <w:hyperlink r:id="rId87">
              <w:r>
                <w:rPr>
                  <w:rFonts w:ascii="Arial" w:cs="Arial" w:eastAsia="Arial" w:hAnsi="Arial"/>
                  <w:sz w:val="14"/>
                  <w:szCs w:val="14"/>
                  <w:color w:val="0000FF"/>
                  <w:w w:val="90"/>
                </w:rPr>
                <w:t>LifeVantage Corporation 2019 Employee Stock Purchase Plan</w:t>
              </w:r>
            </w:hyperlink>
          </w:p>
        </w:tc>
        <w:tc>
          <w:tcPr>
            <w:tcW w:w="14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rFonts w:ascii="Arial" w:cs="Arial" w:eastAsia="Arial" w:hAnsi="Arial"/>
                <w:sz w:val="14"/>
                <w:szCs w:val="14"/>
                <w:color w:val="0000FF"/>
                <w:w w:val="97"/>
              </w:rPr>
            </w:pPr>
            <w:hyperlink r:id="rId88">
              <w:r>
                <w:rPr>
                  <w:rFonts w:ascii="Arial" w:cs="Arial" w:eastAsia="Arial" w:hAnsi="Arial"/>
                  <w:sz w:val="14"/>
                  <w:szCs w:val="14"/>
                  <w:color w:val="0000FF"/>
                  <w:w w:val="97"/>
                </w:rPr>
                <w:t>Lease Agreement between Traverse Ridge Center III and LifeVantage Corporation</w:t>
              </w:r>
            </w:hyperlink>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60" w:type="dxa"/>
            <w:vAlign w:val="bottom"/>
            <w:tcBorders>
              <w:top w:val="single" w:sz="8" w:color="0000FF"/>
            </w:tcBorders>
            <w:gridSpan w:val="19"/>
          </w:tcPr>
          <w:p>
            <w:pPr>
              <w:spacing w:after="0" w:line="129" w:lineRule="exact"/>
              <w:rPr>
                <w:rFonts w:ascii="Arial" w:cs="Arial" w:eastAsia="Arial" w:hAnsi="Arial"/>
                <w:sz w:val="14"/>
                <w:szCs w:val="14"/>
                <w:color w:val="0000FF"/>
              </w:rPr>
            </w:pPr>
            <w:hyperlink r:id="rId88">
              <w:r>
                <w:rPr>
                  <w:rFonts w:ascii="Arial" w:cs="Arial" w:eastAsia="Arial" w:hAnsi="Arial"/>
                  <w:sz w:val="14"/>
                  <w:szCs w:val="14"/>
                  <w:color w:val="0000FF"/>
                </w:rPr>
                <w:t>dated November 14, 2019</w:t>
              </w:r>
            </w:hyperlink>
          </w:p>
        </w:tc>
        <w:tc>
          <w:tcPr>
            <w:tcW w:w="3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80" w:type="dxa"/>
            <w:vAlign w:val="bottom"/>
            <w:gridSpan w:val="2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8"/>
          </w:tcPr>
          <w:p>
            <w:pPr>
              <w:spacing w:after="0"/>
              <w:rPr>
                <w:sz w:val="20"/>
                <w:szCs w:val="20"/>
                <w:color w:val="auto"/>
              </w:rPr>
            </w:pPr>
            <w:r>
              <w:rPr>
                <w:rFonts w:ascii="Arial" w:cs="Arial" w:eastAsia="Arial" w:hAnsi="Arial"/>
                <w:sz w:val="14"/>
                <w:szCs w:val="14"/>
                <w:color w:val="0000FF"/>
              </w:rPr>
              <w:t>Code of Business Conduct and Ethics</w:t>
            </w:r>
          </w:p>
        </w:tc>
        <w:tc>
          <w:tcPr>
            <w:tcW w:w="0" w:type="dxa"/>
            <w:vAlign w:val="bottom"/>
          </w:tcPr>
          <w:p>
            <w:pPr>
              <w:spacing w:after="0"/>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w w:val="91"/>
              </w:rPr>
              <w:t>List of Subsidiaries</w:t>
            </w:r>
          </w:p>
        </w:tc>
        <w:tc>
          <w:tcPr>
            <w:tcW w:w="1020" w:type="dxa"/>
            <w:vAlign w:val="bottom"/>
            <w:tcBorders>
              <w:top w:val="single" w:sz="8" w:color="0000FF"/>
            </w:tcBorders>
            <w:gridSpan w:val="3"/>
          </w:tcPr>
          <w:p>
            <w:pPr>
              <w:spacing w:after="0"/>
              <w:rPr>
                <w:sz w:val="24"/>
                <w:szCs w:val="24"/>
                <w:color w:val="auto"/>
              </w:rPr>
            </w:pPr>
          </w:p>
        </w:tc>
        <w:tc>
          <w:tcPr>
            <w:tcW w:w="28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934"/>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18"/>
          </w:tcPr>
          <w:p>
            <w:pPr>
              <w:jc w:val="right"/>
              <w:ind w:right="20"/>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Filed Herewith or Incorporated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1864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0">
                      <a:extLst>
                        <a:ext uri="{28A0092B-C50C-407E-A947-70E740481C1C}"/>
                      </a:extLst>
                    </a:blip>
                    <a:srcRect/>
                    <a:stretch>
                      <a:fillRect/>
                    </a:stretch>
                  </pic:blipFill>
                  <pic:spPr bwMode="auto">
                    <a:xfrm>
                      <a:off x="0" y="0"/>
                      <a:ext cx="3186430" cy="6985"/>
                    </a:xfrm>
                    <a:prstGeom prst="rect">
                      <a:avLst/>
                    </a:prstGeom>
                    <a:noFill/>
                  </pic:spPr>
                </pic:pic>
              </a:graphicData>
            </a:graphic>
          </wp:anchor>
        </w:drawing>
      </w:r>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Exhibit 10.29 to Form 10-K for the fiscal year ended June 30, 2014 filed on September 10, 2014.</w:t>
      </w:r>
    </w:p>
    <w:p>
      <w:pPr>
        <w:spacing w:after="0" w:line="122"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Exhibit 10.30 to Form 10-K for the fiscal year ended June 30, 2014 filed on September 10, 2014.</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Exhibit to 99.1 to Form 8-K filed on March 13, 2018.</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Exhibit 10.1 to Form 8-K filed on April 4, 2016.</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Exhibit 10.2 to Form 8-K filed on April 4, 2016.</w:t>
      </w:r>
    </w:p>
    <w:p>
      <w:pPr>
        <w:spacing w:after="0" w:line="295"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Exhibit 10.1# to Form 10-Q filed for the fiscal quarter ended March 31, 2021 filed on April 29, 2021.</w:t>
      </w:r>
    </w:p>
    <w:p>
      <w:pPr>
        <w:spacing w:after="0" w:line="122"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Exhibit 10.2# to Form 10-Q filed for the fiscal quarter ended March 31, 2021 filed on April 29, 2021.</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47" w:lineRule="exact"/>
        <w:rPr>
          <w:sz w:val="20"/>
          <w:szCs w:val="20"/>
          <w:color w:val="auto"/>
        </w:rPr>
      </w:pPr>
    </w:p>
    <w:p>
      <w:pPr>
        <w:ind w:right="380"/>
        <w:spacing w:after="0" w:line="535" w:lineRule="auto"/>
        <w:rPr>
          <w:sz w:val="20"/>
          <w:szCs w:val="20"/>
          <w:color w:val="auto"/>
        </w:rPr>
      </w:pPr>
      <w:r>
        <w:rPr>
          <w:rFonts w:ascii="Arial" w:cs="Arial" w:eastAsia="Arial" w:hAnsi="Arial"/>
          <w:sz w:val="12"/>
          <w:szCs w:val="12"/>
          <w:color w:val="auto"/>
        </w:rPr>
        <w:t>Exhibit 99.2 to the Registration Statement on Form S-8 filed on March 27, 2017 Exhibit 99.3 to the Registration Statement on Form S-8 filed on March 27, 2017</w:t>
      </w:r>
    </w:p>
    <w:p>
      <w:pPr>
        <w:ind w:right="140"/>
        <w:spacing w:after="0" w:line="249" w:lineRule="auto"/>
        <w:rPr>
          <w:sz w:val="20"/>
          <w:szCs w:val="20"/>
          <w:color w:val="auto"/>
        </w:rPr>
      </w:pPr>
      <w:r>
        <w:rPr>
          <w:rFonts w:ascii="Arial" w:cs="Arial" w:eastAsia="Arial" w:hAnsi="Arial"/>
          <w:sz w:val="14"/>
          <w:szCs w:val="14"/>
          <w:color w:val="auto"/>
        </w:rPr>
        <w:t>Exhibit 10.1 to Form 10-Q filed for the fiscal quarter ended March 31, 2018 filed on May 9, 2018.</w:t>
      </w:r>
    </w:p>
    <w:p>
      <w:pPr>
        <w:spacing w:after="0" w:line="122" w:lineRule="exact"/>
        <w:rPr>
          <w:sz w:val="20"/>
          <w:szCs w:val="20"/>
          <w:color w:val="auto"/>
        </w:rPr>
      </w:pPr>
    </w:p>
    <w:p>
      <w:pPr>
        <w:ind w:right="140"/>
        <w:spacing w:after="0" w:line="249" w:lineRule="auto"/>
        <w:rPr>
          <w:sz w:val="20"/>
          <w:szCs w:val="20"/>
          <w:color w:val="auto"/>
        </w:rPr>
      </w:pPr>
      <w:r>
        <w:rPr>
          <w:rFonts w:ascii="Arial" w:cs="Arial" w:eastAsia="Arial" w:hAnsi="Arial"/>
          <w:sz w:val="14"/>
          <w:szCs w:val="14"/>
          <w:color w:val="auto"/>
        </w:rPr>
        <w:t>Exhibit 10.3 to Form 10-Q filed for the fiscal quarter ended March 31, 2021 filed on April 29, 2021.</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Exhibit 10.1 to the Form 8-K filed on February 4, 2019</w:t>
      </w:r>
    </w:p>
    <w:p>
      <w:pPr>
        <w:spacing w:after="0" w:line="295" w:lineRule="exact"/>
        <w:rPr>
          <w:sz w:val="20"/>
          <w:szCs w:val="20"/>
          <w:color w:val="auto"/>
        </w:rPr>
      </w:pPr>
    </w:p>
    <w:p>
      <w:pPr>
        <w:ind w:right="1640"/>
        <w:spacing w:after="0" w:line="487" w:lineRule="auto"/>
        <w:rPr>
          <w:sz w:val="20"/>
          <w:szCs w:val="20"/>
          <w:color w:val="auto"/>
        </w:rPr>
      </w:pPr>
      <w:r>
        <w:rPr>
          <w:rFonts w:ascii="Arial" w:cs="Arial" w:eastAsia="Arial" w:hAnsi="Arial"/>
          <w:sz w:val="14"/>
          <w:szCs w:val="14"/>
          <w:color w:val="auto"/>
        </w:rPr>
        <w:t>Exhibit 10.2 to the Form 8-K filed on November 19, 2018 Exhibit 10.1 to Form 10-Q on January 28, 2020</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Filed herewith.</w:t>
      </w:r>
    </w:p>
    <w:p>
      <w:pPr>
        <w:sectPr>
          <w:pgSz w:w="11900" w:h="16838" w:orient="portrait"/>
          <w:cols w:equalWidth="0" w:num="2">
            <w:col w:w="6120" w:space="100"/>
            <w:col w:w="4920"/>
          </w:cols>
          <w:pgMar w:left="300" w:top="929" w:right="4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26"/>
        </w:trPr>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740" w:type="dxa"/>
            <w:vAlign w:val="bottom"/>
            <w:gridSpan w:val="4"/>
            <w:vMerge w:val="restart"/>
          </w:tcPr>
          <w:p>
            <w:pPr>
              <w:ind w:left="580"/>
              <w:spacing w:after="0"/>
              <w:rPr>
                <w:sz w:val="20"/>
                <w:szCs w:val="20"/>
                <w:color w:val="auto"/>
              </w:rPr>
            </w:pPr>
            <w:r>
              <w:rPr>
                <w:rFonts w:ascii="Arial" w:cs="Arial" w:eastAsia="Arial" w:hAnsi="Arial"/>
                <w:sz w:val="11"/>
                <w:szCs w:val="11"/>
                <w:b w:val="1"/>
                <w:bCs w:val="1"/>
                <w:color w:val="auto"/>
              </w:rPr>
              <w:t>Document Description</w:t>
            </w:r>
          </w:p>
        </w:tc>
        <w:tc>
          <w:tcPr>
            <w:tcW w:w="5020" w:type="dxa"/>
            <w:vAlign w:val="bottom"/>
            <w:vMerge w:val="restart"/>
          </w:tcPr>
          <w:p>
            <w:pPr>
              <w:ind w:left="1260"/>
              <w:spacing w:after="0"/>
              <w:rPr>
                <w:sz w:val="20"/>
                <w:szCs w:val="20"/>
                <w:color w:val="auto"/>
              </w:rPr>
            </w:pPr>
            <w:r>
              <w:rPr>
                <w:rFonts w:ascii="Arial" w:cs="Arial" w:eastAsia="Arial" w:hAnsi="Arial"/>
                <w:sz w:val="11"/>
                <w:szCs w:val="11"/>
                <w:b w:val="1"/>
                <w:bCs w:val="1"/>
                <w:color w:val="auto"/>
              </w:rPr>
              <w:t>Filed Herewith or Incorporated by Reference From</w:t>
            </w:r>
          </w:p>
        </w:tc>
        <w:tc>
          <w:tcPr>
            <w:tcW w:w="0" w:type="dxa"/>
            <w:vAlign w:val="bottom"/>
          </w:tcPr>
          <w:p>
            <w:pPr>
              <w:spacing w:after="0"/>
              <w:rPr>
                <w:sz w:val="1"/>
                <w:szCs w:val="1"/>
                <w:color w:val="auto"/>
              </w:rPr>
            </w:pPr>
          </w:p>
        </w:tc>
      </w:tr>
      <w:tr>
        <w:trPr>
          <w:trHeight w:val="151"/>
        </w:trPr>
        <w:tc>
          <w:tcPr>
            <w:tcW w:w="1100" w:type="dxa"/>
            <w:vAlign w:val="bottom"/>
            <w:gridSpan w:val="2"/>
          </w:tcPr>
          <w:p>
            <w:pPr>
              <w:ind w:left="420"/>
              <w:spacing w:after="0"/>
              <w:rPr>
                <w:sz w:val="20"/>
                <w:szCs w:val="20"/>
                <w:color w:val="auto"/>
              </w:rPr>
            </w:pPr>
            <w:r>
              <w:rPr>
                <w:rFonts w:ascii="Arial" w:cs="Arial" w:eastAsia="Arial" w:hAnsi="Arial"/>
                <w:sz w:val="11"/>
                <w:szCs w:val="11"/>
                <w:b w:val="1"/>
                <w:bCs w:val="1"/>
                <w:color w:val="auto"/>
              </w:rPr>
              <w:t>No.</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740" w:type="dxa"/>
            <w:vAlign w:val="bottom"/>
            <w:gridSpan w:val="4"/>
            <w:vMerge w:val="continue"/>
          </w:tcPr>
          <w:p>
            <w:pPr>
              <w:spacing w:after="0"/>
              <w:rPr>
                <w:sz w:val="13"/>
                <w:szCs w:val="13"/>
                <w:color w:val="auto"/>
              </w:rPr>
            </w:pPr>
          </w:p>
        </w:tc>
        <w:tc>
          <w:tcPr>
            <w:tcW w:w="5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00" w:type="dxa"/>
            <w:vAlign w:val="bottom"/>
            <w:tcBorders>
              <w:top w:val="single" w:sz="8" w:color="auto"/>
            </w:tcBorders>
          </w:tcPr>
          <w:p>
            <w:pPr>
              <w:ind w:left="20"/>
              <w:spacing w:after="0" w:line="143" w:lineRule="exact"/>
              <w:rPr>
                <w:sz w:val="20"/>
                <w:szCs w:val="20"/>
                <w:color w:val="auto"/>
              </w:rPr>
            </w:pPr>
            <w:r>
              <w:rPr>
                <w:rFonts w:ascii="Arial" w:cs="Arial" w:eastAsia="Arial" w:hAnsi="Arial"/>
                <w:sz w:val="14"/>
                <w:szCs w:val="14"/>
                <w:color w:val="auto"/>
              </w:rPr>
              <w:t>23.1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0000FF"/>
            </w:tcBorders>
            <w:gridSpan w:val="2"/>
          </w:tcPr>
          <w:p>
            <w:pPr>
              <w:spacing w:after="0" w:line="143" w:lineRule="exact"/>
              <w:rPr>
                <w:sz w:val="20"/>
                <w:szCs w:val="20"/>
                <w:color w:val="auto"/>
              </w:rPr>
            </w:pPr>
            <w:r>
              <w:rPr>
                <w:rFonts w:ascii="Arial" w:cs="Arial" w:eastAsia="Arial" w:hAnsi="Arial"/>
                <w:sz w:val="14"/>
                <w:szCs w:val="14"/>
                <w:color w:val="0000FF"/>
                <w:w w:val="91"/>
              </w:rPr>
              <w:t>Consent of WSRP, LLC</w:t>
            </w:r>
          </w:p>
        </w:tc>
        <w:tc>
          <w:tcPr>
            <w:tcW w:w="3640" w:type="dxa"/>
            <w:vAlign w:val="bottom"/>
            <w:tcBorders>
              <w:top w:val="single" w:sz="8" w:color="auto"/>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319"/>
        </w:trPr>
        <w:tc>
          <w:tcPr>
            <w:tcW w:w="1000" w:type="dxa"/>
            <w:vAlign w:val="bottom"/>
          </w:tcPr>
          <w:p>
            <w:pPr>
              <w:ind w:left="20"/>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Arial" w:cs="Arial" w:eastAsia="Arial" w:hAnsi="Arial"/>
                <w:sz w:val="14"/>
                <w:szCs w:val="14"/>
                <w:color w:val="auto"/>
              </w:rPr>
              <w:t>Power of Attorney</w:t>
            </w:r>
          </w:p>
        </w:tc>
        <w:tc>
          <w:tcPr>
            <w:tcW w:w="5020" w:type="dxa"/>
            <w:vAlign w:val="bottom"/>
          </w:tcPr>
          <w:p>
            <w:pPr>
              <w:spacing w:after="0"/>
              <w:rPr>
                <w:sz w:val="20"/>
                <w:szCs w:val="20"/>
                <w:color w:val="auto"/>
              </w:rPr>
            </w:pPr>
            <w:r>
              <w:rPr>
                <w:rFonts w:ascii="Arial" w:cs="Arial" w:eastAsia="Arial" w:hAnsi="Arial"/>
                <w:sz w:val="14"/>
                <w:szCs w:val="14"/>
                <w:color w:val="auto"/>
              </w:rPr>
              <w:t>Signature page to this report.</w:t>
            </w:r>
          </w:p>
        </w:tc>
        <w:tc>
          <w:tcPr>
            <w:tcW w:w="0" w:type="dxa"/>
            <w:vAlign w:val="bottom"/>
          </w:tcPr>
          <w:p>
            <w:pPr>
              <w:spacing w:after="0"/>
              <w:rPr>
                <w:sz w:val="1"/>
                <w:szCs w:val="1"/>
                <w:color w:val="auto"/>
              </w:rPr>
            </w:pPr>
          </w:p>
        </w:tc>
      </w:tr>
      <w:tr>
        <w:trPr>
          <w:trHeight w:val="276"/>
        </w:trPr>
        <w:tc>
          <w:tcPr>
            <w:tcW w:w="1000" w:type="dxa"/>
            <w:vAlign w:val="bottom"/>
          </w:tcPr>
          <w:p>
            <w:pPr>
              <w:ind w:left="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Arial" w:cs="Arial" w:eastAsia="Arial" w:hAnsi="Arial"/>
                <w:sz w:val="14"/>
                <w:szCs w:val="14"/>
                <w:color w:val="0000FF"/>
                <w:w w:val="95"/>
              </w:rPr>
              <w:t>Certification of Chief Executive Officer pursuant to Section 302 of the Sarbanes-Oxley</w:t>
            </w:r>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20" w:type="dxa"/>
            <w:vAlign w:val="bottom"/>
            <w:tcBorders>
              <w:top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Act of 2002.</w:t>
            </w:r>
          </w:p>
        </w:tc>
        <w:tc>
          <w:tcPr>
            <w:tcW w:w="180" w:type="dxa"/>
            <w:vAlign w:val="bottom"/>
            <w:gridSpan w:val="2"/>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Arial" w:cs="Arial" w:eastAsia="Arial" w:hAnsi="Arial"/>
                <w:sz w:val="14"/>
                <w:szCs w:val="14"/>
                <w:color w:val="0000FF"/>
                <w:w w:val="96"/>
              </w:rPr>
              <w:t>Certification of Chief Financial Officer pursuant to Section 302 of the Sarbanes-Oxley</w:t>
            </w:r>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3"/>
          </w:tcPr>
          <w:p>
            <w:pPr>
              <w:spacing w:after="0" w:line="129" w:lineRule="exact"/>
              <w:rPr>
                <w:sz w:val="20"/>
                <w:szCs w:val="20"/>
                <w:color w:val="auto"/>
              </w:rPr>
            </w:pPr>
            <w:r>
              <w:rPr>
                <w:rFonts w:ascii="Arial" w:cs="Arial" w:eastAsia="Arial" w:hAnsi="Arial"/>
                <w:sz w:val="14"/>
                <w:szCs w:val="14"/>
                <w:color w:val="0000FF"/>
              </w:rPr>
              <w:t>Act of 2002.</w:t>
            </w:r>
          </w:p>
        </w:tc>
        <w:tc>
          <w:tcPr>
            <w:tcW w:w="220" w:type="dxa"/>
            <w:vAlign w:val="bottom"/>
            <w:gridSpan w:val="3"/>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Arial" w:cs="Arial" w:eastAsia="Arial" w:hAnsi="Arial"/>
                <w:sz w:val="14"/>
                <w:szCs w:val="14"/>
                <w:color w:val="0000FF"/>
                <w:w w:val="95"/>
              </w:rPr>
              <w:t>Certification of Chief Executive Officer pursuant to Section 906 of the Sarbanes-Oxley</w:t>
            </w:r>
          </w:p>
        </w:tc>
        <w:tc>
          <w:tcPr>
            <w:tcW w:w="5020" w:type="dxa"/>
            <w:vAlign w:val="bottom"/>
          </w:tcPr>
          <w:p>
            <w:pPr>
              <w:spacing w:after="0"/>
              <w:rPr>
                <w:sz w:val="20"/>
                <w:szCs w:val="20"/>
                <w:color w:val="auto"/>
              </w:rPr>
            </w:pPr>
            <w:r>
              <w:rPr>
                <w:rFonts w:ascii="Arial" w:cs="Arial" w:eastAsia="Arial" w:hAnsi="Arial"/>
                <w:sz w:val="14"/>
                <w:szCs w:val="14"/>
                <w:color w:val="auto"/>
              </w:rPr>
              <w:t>Furnished herewith.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920" w:type="dxa"/>
            <w:vAlign w:val="bottom"/>
            <w:tcBorders>
              <w:top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Act of 2002.</w:t>
            </w:r>
          </w:p>
        </w:tc>
        <w:tc>
          <w:tcPr>
            <w:tcW w:w="180" w:type="dxa"/>
            <w:vAlign w:val="bottom"/>
            <w:gridSpan w:val="2"/>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Arial" w:cs="Arial" w:eastAsia="Arial" w:hAnsi="Arial"/>
                <w:sz w:val="14"/>
                <w:szCs w:val="14"/>
                <w:color w:val="0000FF"/>
                <w:w w:val="96"/>
              </w:rPr>
              <w:t>Certification of Chief Financial Officer pursuant to Section 906 of the Sarbanes-Oxley</w:t>
            </w:r>
          </w:p>
        </w:tc>
        <w:tc>
          <w:tcPr>
            <w:tcW w:w="5020" w:type="dxa"/>
            <w:vAlign w:val="bottom"/>
          </w:tcPr>
          <w:p>
            <w:pPr>
              <w:spacing w:after="0"/>
              <w:rPr>
                <w:sz w:val="20"/>
                <w:szCs w:val="20"/>
                <w:color w:val="auto"/>
              </w:rPr>
            </w:pPr>
            <w:r>
              <w:rPr>
                <w:rFonts w:ascii="Arial" w:cs="Arial" w:eastAsia="Arial" w:hAnsi="Arial"/>
                <w:sz w:val="14"/>
                <w:szCs w:val="14"/>
                <w:color w:val="auto"/>
              </w:rPr>
              <w:t>Furnished herewith.</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80" w:type="dxa"/>
            <w:vAlign w:val="bottom"/>
            <w:tcBorders>
              <w:top w:val="single" w:sz="8" w:color="0000FF"/>
            </w:tcBorders>
            <w:gridSpan w:val="3"/>
          </w:tcPr>
          <w:p>
            <w:pPr>
              <w:spacing w:after="0" w:line="129" w:lineRule="exact"/>
              <w:rPr>
                <w:sz w:val="20"/>
                <w:szCs w:val="20"/>
                <w:color w:val="auto"/>
              </w:rPr>
            </w:pPr>
            <w:r>
              <w:rPr>
                <w:rFonts w:ascii="Arial" w:cs="Arial" w:eastAsia="Arial" w:hAnsi="Arial"/>
                <w:sz w:val="14"/>
                <w:szCs w:val="14"/>
                <w:color w:val="0000FF"/>
              </w:rPr>
              <w:t>Act of 2002.</w:t>
            </w:r>
          </w:p>
        </w:tc>
        <w:tc>
          <w:tcPr>
            <w:tcW w:w="220" w:type="dxa"/>
            <w:vAlign w:val="bottom"/>
            <w:gridSpan w:val="3"/>
          </w:tcPr>
          <w:p>
            <w:pPr>
              <w:spacing w:after="0"/>
              <w:rPr>
                <w:sz w:val="11"/>
                <w:szCs w:val="11"/>
                <w:color w:val="auto"/>
              </w:rPr>
            </w:pP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0" w:type="dxa"/>
            <w:vAlign w:val="bottom"/>
            <w:gridSpan w:val="5"/>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1000" w:type="dxa"/>
            <w:vAlign w:val="bottom"/>
          </w:tcPr>
          <w:p>
            <w:pPr>
              <w:ind w:left="20"/>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Arial" w:cs="Arial" w:eastAsia="Arial" w:hAnsi="Arial"/>
                <w:sz w:val="14"/>
                <w:szCs w:val="14"/>
                <w:color w:val="auto"/>
                <w:w w:val="97"/>
              </w:rPr>
              <w:t>The following financial information from the registrant’s Annual Report on Form 10-K</w:t>
            </w:r>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gridSpan w:val="6"/>
          </w:tcPr>
          <w:p>
            <w:pPr>
              <w:spacing w:after="0" w:line="138" w:lineRule="exact"/>
              <w:rPr>
                <w:sz w:val="20"/>
                <w:szCs w:val="20"/>
                <w:color w:val="auto"/>
              </w:rPr>
            </w:pPr>
            <w:r>
              <w:rPr>
                <w:rFonts w:ascii="Arial" w:cs="Arial" w:eastAsia="Arial" w:hAnsi="Arial"/>
                <w:sz w:val="14"/>
                <w:szCs w:val="14"/>
                <w:color w:val="auto"/>
              </w:rPr>
              <w:t>for the year ended June 30, 2022 formatted in Inline XBRL (eXtensible Business</w:t>
            </w: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100" w:type="dxa"/>
            <w:vAlign w:val="bottom"/>
            <w:gridSpan w:val="6"/>
          </w:tcPr>
          <w:p>
            <w:pPr>
              <w:spacing w:after="0" w:line="138" w:lineRule="exact"/>
              <w:rPr>
                <w:sz w:val="20"/>
                <w:szCs w:val="20"/>
                <w:color w:val="auto"/>
              </w:rPr>
            </w:pPr>
            <w:r>
              <w:rPr>
                <w:rFonts w:ascii="Arial" w:cs="Arial" w:eastAsia="Arial" w:hAnsi="Arial"/>
                <w:sz w:val="14"/>
                <w:szCs w:val="14"/>
                <w:color w:val="auto"/>
                <w:w w:val="94"/>
              </w:rPr>
              <w:t>Reporting Language): (i) Consolidated Balance Sheets; (ii) Consolidated Statements of</w:t>
            </w:r>
          </w:p>
        </w:tc>
        <w:tc>
          <w:tcPr>
            <w:tcW w:w="5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gridSpan w:val="6"/>
          </w:tcPr>
          <w:p>
            <w:pPr>
              <w:spacing w:after="0" w:line="149" w:lineRule="exact"/>
              <w:rPr>
                <w:sz w:val="20"/>
                <w:szCs w:val="20"/>
                <w:color w:val="auto"/>
              </w:rPr>
            </w:pPr>
            <w:r>
              <w:rPr>
                <w:rFonts w:ascii="Arial" w:cs="Arial" w:eastAsia="Arial" w:hAnsi="Arial"/>
                <w:sz w:val="14"/>
                <w:szCs w:val="14"/>
                <w:color w:val="auto"/>
              </w:rPr>
              <w:t>Operations and Other Comprehensive Income; (iii) Consolidated Statement of</w:t>
            </w: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00" w:type="dxa"/>
            <w:vAlign w:val="bottom"/>
            <w:gridSpan w:val="6"/>
          </w:tcPr>
          <w:p>
            <w:pPr>
              <w:spacing w:after="0" w:line="138" w:lineRule="exact"/>
              <w:rPr>
                <w:sz w:val="20"/>
                <w:szCs w:val="20"/>
                <w:color w:val="auto"/>
              </w:rPr>
            </w:pPr>
            <w:r>
              <w:rPr>
                <w:rFonts w:ascii="Arial" w:cs="Arial" w:eastAsia="Arial" w:hAnsi="Arial"/>
                <w:sz w:val="14"/>
                <w:szCs w:val="14"/>
                <w:color w:val="auto"/>
                <w:w w:val="98"/>
              </w:rPr>
              <w:t>Stockholders’ Deficit; (iv) Consolidated Statements of Cash Flows; and (v) Notes to</w:t>
            </w:r>
          </w:p>
        </w:tc>
        <w:tc>
          <w:tcPr>
            <w:tcW w:w="5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00" w:type="dxa"/>
            <w:vAlign w:val="bottom"/>
            <w:gridSpan w:val="6"/>
          </w:tcPr>
          <w:p>
            <w:pPr>
              <w:spacing w:after="0"/>
              <w:rPr>
                <w:sz w:val="20"/>
                <w:szCs w:val="20"/>
                <w:color w:val="auto"/>
              </w:rPr>
            </w:pPr>
            <w:r>
              <w:rPr>
                <w:rFonts w:ascii="Arial" w:cs="Arial" w:eastAsia="Arial" w:hAnsi="Arial"/>
                <w:sz w:val="14"/>
                <w:szCs w:val="14"/>
                <w:color w:val="auto"/>
              </w:rPr>
              <w:t>Consolidated Financial Statements, tagged as blocks of text.</w:t>
            </w: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000" w:type="dxa"/>
            <w:vAlign w:val="bottom"/>
          </w:tcPr>
          <w:p>
            <w:pPr>
              <w:ind w:left="20"/>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gridSpan w:val="6"/>
          </w:tcPr>
          <w:p>
            <w:pPr>
              <w:spacing w:after="0"/>
              <w:rPr>
                <w:sz w:val="20"/>
                <w:szCs w:val="20"/>
                <w:color w:val="auto"/>
              </w:rPr>
            </w:pPr>
            <w:r>
              <w:rPr>
                <w:rFonts w:ascii="Arial" w:cs="Arial" w:eastAsia="Arial" w:hAnsi="Arial"/>
                <w:sz w:val="14"/>
                <w:szCs w:val="14"/>
                <w:color w:val="auto"/>
                <w:w w:val="97"/>
              </w:rPr>
              <w:t>Cover Page Interactive Data File (formatted as Inline XBRL and contained in Exhibit</w:t>
            </w:r>
          </w:p>
        </w:tc>
        <w:tc>
          <w:tcPr>
            <w:tcW w:w="5020" w:type="dxa"/>
            <w:vAlign w:val="bottom"/>
          </w:tcPr>
          <w:p>
            <w:pPr>
              <w:spacing w:after="0"/>
              <w:rPr>
                <w:sz w:val="20"/>
                <w:szCs w:val="20"/>
                <w:color w:val="auto"/>
              </w:rPr>
            </w:pPr>
            <w:r>
              <w:rPr>
                <w:rFonts w:ascii="Arial" w:cs="Arial" w:eastAsia="Arial" w:hAnsi="Arial"/>
                <w:sz w:val="14"/>
                <w:szCs w:val="14"/>
                <w:color w:val="auto"/>
              </w:rPr>
              <w:t>Filed herewith.</w:t>
            </w:r>
          </w:p>
        </w:tc>
        <w:tc>
          <w:tcPr>
            <w:tcW w:w="0" w:type="dxa"/>
            <w:vAlign w:val="bottom"/>
          </w:tcPr>
          <w:p>
            <w:pPr>
              <w:spacing w:after="0"/>
              <w:rPr>
                <w:sz w:val="1"/>
                <w:szCs w:val="1"/>
                <w:color w:val="auto"/>
              </w:rPr>
            </w:pPr>
          </w:p>
        </w:tc>
      </w:tr>
      <w:tr>
        <w:trPr>
          <w:trHeight w:val="180"/>
        </w:trPr>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101)</w:t>
            </w:r>
          </w:p>
        </w:tc>
        <w:tc>
          <w:tcPr>
            <w:tcW w:w="6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120" w:hanging="1101"/>
        <w:spacing w:after="0"/>
        <w:tabs>
          <w:tab w:leader="none" w:pos="11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Management contract or compensatory plan.</w:t>
      </w:r>
    </w:p>
    <w:p>
      <w:pPr>
        <w:spacing w:after="0" w:line="19" w:lineRule="exact"/>
        <w:rPr>
          <w:sz w:val="20"/>
          <w:szCs w:val="20"/>
          <w:color w:val="auto"/>
        </w:rPr>
      </w:pPr>
    </w:p>
    <w:p>
      <w:pPr>
        <w:ind w:left="1120" w:right="160" w:hanging="1101"/>
        <w:spacing w:after="0" w:line="236" w:lineRule="auto"/>
        <w:tabs>
          <w:tab w:leader="none" w:pos="11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Company has been granted confidential treatment for portions of this agreement. Accordingly, certain portions of this agreement have been omitted in the version filed with this report and such confidential portions have been filed with the SEC.</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29"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duly caused this report to be signed on its behalf by the undersigned, thereunto duly authorized.</w:t>
      </w:r>
    </w:p>
    <w:p>
      <w:pPr>
        <w:spacing w:after="0" w:line="175"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LIFEVANTAGE CORPORATION</w:t>
      </w:r>
    </w:p>
    <w:p>
      <w:pPr>
        <w:spacing w:after="0" w:line="232"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4"/>
          <w:szCs w:val="14"/>
          <w:color w:val="auto"/>
        </w:rPr>
        <w:t>By: /s/</w:t>
      </w:r>
      <w:r>
        <w:rPr>
          <w:sz w:val="20"/>
          <w:szCs w:val="20"/>
          <w:color w:val="auto"/>
        </w:rPr>
        <w:tab/>
      </w:r>
      <w:r>
        <w:rPr>
          <w:rFonts w:ascii="Arial" w:cs="Arial" w:eastAsia="Arial" w:hAnsi="Arial"/>
          <w:sz w:val="12"/>
          <w:szCs w:val="12"/>
          <w:color w:val="auto"/>
        </w:rPr>
        <w:t>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12065</wp:posOffset>
            </wp:positionV>
            <wp:extent cx="342900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10"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Steven R. Fife</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President and Chief Executive Officer</w:t>
      </w:r>
    </w:p>
    <w:p>
      <w:pPr>
        <w:spacing w:after="0" w:line="1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Date: August 23, 2022</w:t>
      </w:r>
    </w:p>
    <w:p>
      <w:pPr>
        <w:spacing w:after="0" w:line="221"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4"/>
          <w:szCs w:val="14"/>
          <w:color w:val="auto"/>
        </w:rPr>
        <w:t>By: /s/</w:t>
      </w:r>
      <w:r>
        <w:rPr>
          <w:sz w:val="20"/>
          <w:szCs w:val="20"/>
          <w:color w:val="auto"/>
        </w:rPr>
        <w:tab/>
      </w:r>
      <w:r>
        <w:rPr>
          <w:rFonts w:ascii="Arial" w:cs="Arial" w:eastAsia="Arial" w:hAnsi="Arial"/>
          <w:sz w:val="13"/>
          <w:szCs w:val="13"/>
          <w:color w:val="auto"/>
        </w:rPr>
        <w:t>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12065</wp:posOffset>
            </wp:positionV>
            <wp:extent cx="342900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2">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spacing w:after="0" w:line="10"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Carl A. Aure</w:t>
      </w:r>
    </w:p>
    <w:p>
      <w:pPr>
        <w:spacing w:after="0" w:line="19" w:lineRule="exact"/>
        <w:rPr>
          <w:sz w:val="20"/>
          <w:szCs w:val="20"/>
          <w:color w:val="auto"/>
        </w:rPr>
      </w:pPr>
    </w:p>
    <w:p>
      <w:pPr>
        <w:ind w:left="5900"/>
        <w:spacing w:after="0"/>
        <w:rPr>
          <w:sz w:val="20"/>
          <w:szCs w:val="20"/>
          <w:color w:val="auto"/>
        </w:rPr>
      </w:pPr>
      <w:r>
        <w:rPr>
          <w:rFonts w:ascii="Arial" w:cs="Arial" w:eastAsia="Arial" w:hAnsi="Arial"/>
          <w:sz w:val="14"/>
          <w:szCs w:val="14"/>
          <w:color w:val="auto"/>
        </w:rPr>
        <w:t>Chief Financial Officer</w:t>
      </w:r>
    </w:p>
    <w:p>
      <w:pPr>
        <w:spacing w:after="0" w:line="19"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Date: August 23, 2022</w:t>
      </w:r>
    </w:p>
    <w:p>
      <w:pPr>
        <w:spacing w:after="0" w:line="18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Each person whose individual signature appears below hereby constitutes and appoints Steven R. Fife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and to file the same, with all exhibits thereto, and other</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29" w:right="339" w:bottom="1440" w:gutter="0" w:footer="0" w:header="0"/>
        </w:sectPr>
      </w:pPr>
    </w:p>
    <w:bookmarkStart w:id="55" w:name="page56"/>
    <w:bookmarkEnd w:id="55"/>
    <w:p>
      <w:pPr>
        <w:jc w:val="both"/>
        <w:spacing w:after="0" w:line="368" w:lineRule="auto"/>
        <w:rPr>
          <w:sz w:val="20"/>
          <w:szCs w:val="20"/>
          <w:color w:val="auto"/>
        </w:rPr>
      </w:pPr>
      <w:r>
        <w:rPr>
          <w:rFonts w:ascii="Arial" w:cs="Arial" w:eastAsia="Arial" w:hAnsi="Arial"/>
          <w:sz w:val="12"/>
          <w:szCs w:val="12"/>
          <w:color w:val="auto"/>
        </w:rPr>
        <w:t>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2"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960" w:type="dxa"/>
            <w:vAlign w:val="bottom"/>
          </w:tcPr>
          <w:p>
            <w:pPr>
              <w:spacing w:after="0"/>
              <w:rPr>
                <w:sz w:val="12"/>
                <w:szCs w:val="12"/>
                <w:color w:val="auto"/>
              </w:rPr>
            </w:pPr>
          </w:p>
        </w:tc>
        <w:tc>
          <w:tcPr>
            <w:tcW w:w="2760" w:type="dxa"/>
            <w:vAlign w:val="bottom"/>
          </w:tcPr>
          <w:p>
            <w:pPr>
              <w:jc w:val="center"/>
              <w:ind w:right="1871"/>
              <w:spacing w:after="0"/>
              <w:rPr>
                <w:sz w:val="20"/>
                <w:szCs w:val="20"/>
                <w:color w:val="auto"/>
              </w:rPr>
            </w:pPr>
            <w:r>
              <w:rPr>
                <w:rFonts w:ascii="Arial" w:cs="Arial" w:eastAsia="Arial" w:hAnsi="Arial"/>
                <w:sz w:val="11"/>
                <w:szCs w:val="11"/>
                <w:b w:val="1"/>
                <w:bCs w:val="1"/>
                <w:color w:val="auto"/>
                <w:w w:val="90"/>
              </w:rPr>
              <w:t>Signature</w:t>
            </w:r>
          </w:p>
        </w:tc>
        <w:tc>
          <w:tcPr>
            <w:tcW w:w="2400" w:type="dxa"/>
            <w:vAlign w:val="bottom"/>
          </w:tcPr>
          <w:p>
            <w:pPr>
              <w:jc w:val="center"/>
              <w:ind w:right="151"/>
              <w:spacing w:after="0"/>
              <w:rPr>
                <w:sz w:val="20"/>
                <w:szCs w:val="20"/>
                <w:color w:val="auto"/>
              </w:rPr>
            </w:pPr>
            <w:r>
              <w:rPr>
                <w:rFonts w:ascii="Arial" w:cs="Arial" w:eastAsia="Arial" w:hAnsi="Arial"/>
                <w:sz w:val="11"/>
                <w:szCs w:val="11"/>
                <w:b w:val="1"/>
                <w:bCs w:val="1"/>
                <w:color w:val="auto"/>
                <w:w w:val="92"/>
              </w:rPr>
              <w:t>Date</w:t>
            </w:r>
          </w:p>
        </w:tc>
        <w:tc>
          <w:tcPr>
            <w:tcW w:w="3020" w:type="dxa"/>
            <w:vAlign w:val="bottom"/>
          </w:tcPr>
          <w:p>
            <w:pPr>
              <w:jc w:val="center"/>
              <w:ind w:left="791"/>
              <w:spacing w:after="0"/>
              <w:rPr>
                <w:sz w:val="20"/>
                <w:szCs w:val="20"/>
                <w:color w:val="auto"/>
              </w:rPr>
            </w:pPr>
            <w:r>
              <w:rPr>
                <w:rFonts w:ascii="Arial" w:cs="Arial" w:eastAsia="Arial" w:hAnsi="Arial"/>
                <w:sz w:val="11"/>
                <w:szCs w:val="11"/>
                <w:b w:val="1"/>
                <w:bCs w:val="1"/>
                <w:color w:val="auto"/>
              </w:rPr>
              <w:t>Title</w:t>
            </w:r>
          </w:p>
        </w:tc>
        <w:tc>
          <w:tcPr>
            <w:tcW w:w="0" w:type="dxa"/>
            <w:vAlign w:val="bottom"/>
          </w:tcPr>
          <w:p>
            <w:pPr>
              <w:spacing w:after="0"/>
              <w:rPr>
                <w:sz w:val="1"/>
                <w:szCs w:val="1"/>
                <w:color w:val="auto"/>
              </w:rPr>
            </w:pPr>
          </w:p>
        </w:tc>
      </w:tr>
      <w:tr>
        <w:trPr>
          <w:trHeight w:val="390"/>
        </w:trPr>
        <w:tc>
          <w:tcPr>
            <w:tcW w:w="1960" w:type="dxa"/>
            <w:vAlign w:val="bottom"/>
          </w:tcPr>
          <w:p>
            <w:pPr>
              <w:ind w:left="1820"/>
              <w:spacing w:after="0"/>
              <w:rPr>
                <w:sz w:val="20"/>
                <w:szCs w:val="20"/>
                <w:color w:val="auto"/>
              </w:rPr>
            </w:pPr>
            <w:r>
              <w:rPr>
                <w:rFonts w:ascii="Arial" w:cs="Arial" w:eastAsia="Arial" w:hAnsi="Arial"/>
                <w:sz w:val="14"/>
                <w:szCs w:val="14"/>
                <w:color w:val="auto"/>
                <w:w w:val="80"/>
              </w:rPr>
              <w:t>/s/</w:t>
            </w:r>
          </w:p>
        </w:tc>
        <w:tc>
          <w:tcPr>
            <w:tcW w:w="2760" w:type="dxa"/>
            <w:vAlign w:val="bottom"/>
          </w:tcPr>
          <w:p>
            <w:pPr>
              <w:jc w:val="center"/>
              <w:ind w:right="1611"/>
              <w:spacing w:after="0"/>
              <w:rPr>
                <w:sz w:val="20"/>
                <w:szCs w:val="20"/>
                <w:color w:val="auto"/>
              </w:rPr>
            </w:pPr>
            <w:r>
              <w:rPr>
                <w:rFonts w:ascii="Arial" w:cs="Arial" w:eastAsia="Arial" w:hAnsi="Arial"/>
                <w:sz w:val="14"/>
                <w:szCs w:val="14"/>
                <w:color w:val="auto"/>
                <w:w w:val="90"/>
              </w:rPr>
              <w:t>Steven R. Fife</w:t>
            </w:r>
          </w:p>
        </w:tc>
        <w:tc>
          <w:tcPr>
            <w:tcW w:w="2400" w:type="dxa"/>
            <w:vAlign w:val="bottom"/>
          </w:tcPr>
          <w:p>
            <w:pPr>
              <w:jc w:val="center"/>
              <w:ind w:right="151"/>
              <w:spacing w:after="0"/>
              <w:rPr>
                <w:sz w:val="20"/>
                <w:szCs w:val="20"/>
                <w:color w:val="auto"/>
              </w:rPr>
            </w:pPr>
            <w:r>
              <w:rPr>
                <w:rFonts w:ascii="Arial" w:cs="Arial" w:eastAsia="Arial" w:hAnsi="Arial"/>
                <w:sz w:val="14"/>
                <w:szCs w:val="14"/>
                <w:color w:val="auto"/>
                <w:w w:val="92"/>
              </w:rPr>
              <w:t>August 23, 2022</w:t>
            </w:r>
          </w:p>
        </w:tc>
        <w:tc>
          <w:tcPr>
            <w:tcW w:w="3020" w:type="dxa"/>
            <w:vAlign w:val="bottom"/>
          </w:tcPr>
          <w:p>
            <w:pPr>
              <w:jc w:val="center"/>
              <w:ind w:left="791"/>
              <w:spacing w:after="0"/>
              <w:rPr>
                <w:sz w:val="20"/>
                <w:szCs w:val="20"/>
                <w:color w:val="auto"/>
              </w:rPr>
            </w:pPr>
            <w:r>
              <w:rPr>
                <w:rFonts w:ascii="Arial" w:cs="Arial" w:eastAsia="Arial" w:hAnsi="Arial"/>
                <w:sz w:val="14"/>
                <w:szCs w:val="14"/>
                <w:color w:val="auto"/>
                <w:w w:val="92"/>
              </w:rPr>
              <w:t>President and Chief Executive Officer</w:t>
            </w:r>
          </w:p>
        </w:tc>
        <w:tc>
          <w:tcPr>
            <w:tcW w:w="0" w:type="dxa"/>
            <w:vAlign w:val="bottom"/>
          </w:tcPr>
          <w:p>
            <w:pPr>
              <w:spacing w:after="0"/>
              <w:rPr>
                <w:sz w:val="1"/>
                <w:szCs w:val="1"/>
                <w:color w:val="auto"/>
              </w:rPr>
            </w:pPr>
          </w:p>
        </w:tc>
      </w:tr>
      <w:tr>
        <w:trPr>
          <w:trHeight w:val="42"/>
        </w:trPr>
        <w:tc>
          <w:tcPr>
            <w:tcW w:w="196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2400" w:type="dxa"/>
            <w:vAlign w:val="bottom"/>
          </w:tcPr>
          <w:p>
            <w:pPr>
              <w:spacing w:after="0"/>
              <w:rPr>
                <w:sz w:val="3"/>
                <w:szCs w:val="3"/>
                <w:color w:val="auto"/>
              </w:rPr>
            </w:pPr>
          </w:p>
        </w:tc>
        <w:tc>
          <w:tcPr>
            <w:tcW w:w="3020" w:type="dxa"/>
            <w:vAlign w:val="bottom"/>
            <w:vMerge w:val="restart"/>
          </w:tcPr>
          <w:p>
            <w:pPr>
              <w:jc w:val="center"/>
              <w:ind w:left="791"/>
              <w:spacing w:after="0"/>
              <w:rPr>
                <w:sz w:val="20"/>
                <w:szCs w:val="20"/>
                <w:color w:val="auto"/>
              </w:rPr>
            </w:pPr>
            <w:r>
              <w:rPr>
                <w:rFonts w:ascii="Arial" w:cs="Arial" w:eastAsia="Arial" w:hAnsi="Arial"/>
                <w:sz w:val="14"/>
                <w:szCs w:val="14"/>
                <w:color w:val="auto"/>
                <w:w w:val="94"/>
              </w:rPr>
              <w:t>(Principal Executive Officer)</w:t>
            </w:r>
          </w:p>
        </w:tc>
        <w:tc>
          <w:tcPr>
            <w:tcW w:w="0" w:type="dxa"/>
            <w:vAlign w:val="bottom"/>
          </w:tcPr>
          <w:p>
            <w:pPr>
              <w:spacing w:after="0"/>
              <w:rPr>
                <w:sz w:val="1"/>
                <w:szCs w:val="1"/>
                <w:color w:val="auto"/>
              </w:rPr>
            </w:pPr>
          </w:p>
        </w:tc>
      </w:tr>
      <w:tr>
        <w:trPr>
          <w:trHeight w:val="118"/>
        </w:trPr>
        <w:tc>
          <w:tcPr>
            <w:tcW w:w="1960" w:type="dxa"/>
            <w:vAlign w:val="bottom"/>
          </w:tcPr>
          <w:p>
            <w:pPr>
              <w:spacing w:after="0"/>
              <w:rPr>
                <w:sz w:val="10"/>
                <w:szCs w:val="10"/>
                <w:color w:val="auto"/>
              </w:rPr>
            </w:pPr>
          </w:p>
        </w:tc>
        <w:tc>
          <w:tcPr>
            <w:tcW w:w="2760" w:type="dxa"/>
            <w:vAlign w:val="bottom"/>
            <w:vMerge w:val="restart"/>
          </w:tcPr>
          <w:p>
            <w:pPr>
              <w:jc w:val="center"/>
              <w:ind w:right="1871"/>
              <w:spacing w:after="0"/>
              <w:rPr>
                <w:sz w:val="20"/>
                <w:szCs w:val="20"/>
                <w:color w:val="auto"/>
              </w:rPr>
            </w:pPr>
            <w:r>
              <w:rPr>
                <w:rFonts w:ascii="Arial" w:cs="Arial" w:eastAsia="Arial" w:hAnsi="Arial"/>
                <w:sz w:val="14"/>
                <w:szCs w:val="14"/>
                <w:color w:val="auto"/>
                <w:w w:val="92"/>
              </w:rPr>
              <w:t>Steven R. Fife</w:t>
            </w:r>
          </w:p>
        </w:tc>
        <w:tc>
          <w:tcPr>
            <w:tcW w:w="24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2760" w:type="dxa"/>
            <w:vAlign w:val="bottom"/>
            <w:vMerge w:val="continue"/>
          </w:tcPr>
          <w:p>
            <w:pPr>
              <w:spacing w:after="0"/>
              <w:rPr>
                <w:sz w:val="5"/>
                <w:szCs w:val="5"/>
                <w:color w:val="auto"/>
              </w:rPr>
            </w:pPr>
          </w:p>
        </w:tc>
        <w:tc>
          <w:tcPr>
            <w:tcW w:w="2400" w:type="dxa"/>
            <w:vAlign w:val="bottom"/>
          </w:tcPr>
          <w:p>
            <w:pPr>
              <w:spacing w:after="0"/>
              <w:rPr>
                <w:sz w:val="5"/>
                <w:szCs w:val="5"/>
                <w:color w:val="auto"/>
              </w:rPr>
            </w:pPr>
          </w:p>
        </w:tc>
        <w:tc>
          <w:tcPr>
            <w:tcW w:w="3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3"/>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  Garry Mauro</w:t>
            </w:r>
          </w:p>
        </w:tc>
        <w:tc>
          <w:tcPr>
            <w:tcW w:w="2400" w:type="dxa"/>
            <w:vAlign w:val="bottom"/>
          </w:tcPr>
          <w:p>
            <w:pPr>
              <w:jc w:val="center"/>
              <w:ind w:right="151"/>
              <w:spacing w:after="0"/>
              <w:rPr>
                <w:sz w:val="20"/>
                <w:szCs w:val="20"/>
                <w:color w:val="auto"/>
              </w:rPr>
            </w:pPr>
            <w:r>
              <w:rPr>
                <w:rFonts w:ascii="Arial" w:cs="Arial" w:eastAsia="Arial" w:hAnsi="Arial"/>
                <w:sz w:val="14"/>
                <w:szCs w:val="14"/>
                <w:color w:val="auto"/>
                <w:w w:val="92"/>
              </w:rPr>
              <w:t>August 23, 2022</w:t>
            </w:r>
          </w:p>
        </w:tc>
        <w:tc>
          <w:tcPr>
            <w:tcW w:w="3020" w:type="dxa"/>
            <w:vAlign w:val="bottom"/>
          </w:tcPr>
          <w:p>
            <w:pPr>
              <w:jc w:val="center"/>
              <w:ind w:left="811"/>
              <w:spacing w:after="0"/>
              <w:rPr>
                <w:sz w:val="20"/>
                <w:szCs w:val="20"/>
                <w:color w:val="auto"/>
              </w:rPr>
            </w:pPr>
            <w:r>
              <w:rPr>
                <w:rFonts w:ascii="Arial" w:cs="Arial" w:eastAsia="Arial" w:hAnsi="Arial"/>
                <w:sz w:val="14"/>
                <w:szCs w:val="14"/>
                <w:color w:val="auto"/>
                <w:w w:val="92"/>
              </w:rPr>
              <w:t>Chairman of the Board</w:t>
            </w: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2760" w:type="dxa"/>
            <w:vAlign w:val="bottom"/>
          </w:tcPr>
          <w:p>
            <w:pPr>
              <w:jc w:val="center"/>
              <w:ind w:right="1871"/>
              <w:spacing w:after="0"/>
              <w:rPr>
                <w:sz w:val="20"/>
                <w:szCs w:val="20"/>
                <w:color w:val="auto"/>
              </w:rPr>
            </w:pPr>
            <w:r>
              <w:rPr>
                <w:rFonts w:ascii="Arial" w:cs="Arial" w:eastAsia="Arial" w:hAnsi="Arial"/>
                <w:sz w:val="14"/>
                <w:szCs w:val="14"/>
                <w:color w:val="auto"/>
                <w:w w:val="94"/>
              </w:rPr>
              <w:t>Garry Mauro</w:t>
            </w:r>
          </w:p>
        </w:tc>
        <w:tc>
          <w:tcPr>
            <w:tcW w:w="2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4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/s/  Michael A. Beindorff</w:t>
            </w:r>
          </w:p>
        </w:tc>
        <w:tc>
          <w:tcPr>
            <w:tcW w:w="2400" w:type="dxa"/>
            <w:vAlign w:val="bottom"/>
          </w:tcPr>
          <w:p>
            <w:pPr>
              <w:jc w:val="center"/>
              <w:ind w:right="151"/>
              <w:spacing w:after="0"/>
              <w:rPr>
                <w:sz w:val="20"/>
                <w:szCs w:val="20"/>
                <w:color w:val="auto"/>
              </w:rPr>
            </w:pPr>
            <w:r>
              <w:rPr>
                <w:rFonts w:ascii="Arial" w:cs="Arial" w:eastAsia="Arial" w:hAnsi="Arial"/>
                <w:sz w:val="14"/>
                <w:szCs w:val="14"/>
                <w:color w:val="auto"/>
                <w:w w:val="92"/>
              </w:rPr>
              <w:t>August 23, 2022</w:t>
            </w:r>
          </w:p>
        </w:tc>
        <w:tc>
          <w:tcPr>
            <w:tcW w:w="3020" w:type="dxa"/>
            <w:vAlign w:val="bottom"/>
          </w:tcPr>
          <w:p>
            <w:pPr>
              <w:jc w:val="center"/>
              <w:ind w:left="79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2"/>
          </w:tcPr>
          <w:p>
            <w:pPr>
              <w:jc w:val="center"/>
              <w:spacing w:after="0"/>
              <w:rPr>
                <w:sz w:val="20"/>
                <w:szCs w:val="20"/>
                <w:color w:val="auto"/>
              </w:rPr>
            </w:pPr>
            <w:r>
              <w:rPr>
                <w:rFonts w:ascii="Arial" w:cs="Arial" w:eastAsia="Arial" w:hAnsi="Arial"/>
                <w:sz w:val="14"/>
                <w:szCs w:val="14"/>
                <w:color w:val="auto"/>
                <w:w w:val="97"/>
              </w:rPr>
              <w:t>Michael A. Beindorff</w:t>
            </w:r>
          </w:p>
        </w:tc>
        <w:tc>
          <w:tcPr>
            <w:tcW w:w="2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60" w:type="dxa"/>
            <w:vAlign w:val="bottom"/>
            <w:tcBorders>
              <w:bottom w:val="single" w:sz="8" w:color="auto"/>
            </w:tcBorders>
          </w:tcPr>
          <w:p>
            <w:pPr>
              <w:ind w:left="1760"/>
              <w:spacing w:after="0"/>
              <w:rPr>
                <w:sz w:val="20"/>
                <w:szCs w:val="20"/>
                <w:color w:val="auto"/>
              </w:rPr>
            </w:pPr>
            <w:r>
              <w:rPr>
                <w:rFonts w:ascii="Arial" w:cs="Arial" w:eastAsia="Arial" w:hAnsi="Arial"/>
                <w:sz w:val="14"/>
                <w:szCs w:val="14"/>
                <w:color w:val="auto"/>
              </w:rPr>
              <w:t>/s/</w:t>
            </w:r>
          </w:p>
        </w:tc>
        <w:tc>
          <w:tcPr>
            <w:tcW w:w="2760" w:type="dxa"/>
            <w:vAlign w:val="bottom"/>
            <w:tcBorders>
              <w:bottom w:val="single" w:sz="8" w:color="auto"/>
            </w:tcBorders>
          </w:tcPr>
          <w:p>
            <w:pPr>
              <w:jc w:val="center"/>
              <w:ind w:right="1591"/>
              <w:spacing w:after="0"/>
              <w:rPr>
                <w:sz w:val="20"/>
                <w:szCs w:val="20"/>
                <w:color w:val="auto"/>
              </w:rPr>
            </w:pPr>
            <w:r>
              <w:rPr>
                <w:rFonts w:ascii="Arial" w:cs="Arial" w:eastAsia="Arial" w:hAnsi="Arial"/>
                <w:sz w:val="14"/>
                <w:szCs w:val="14"/>
                <w:color w:val="auto"/>
                <w:w w:val="96"/>
              </w:rPr>
              <w:t>Erin Brockovich</w:t>
            </w:r>
          </w:p>
        </w:tc>
        <w:tc>
          <w:tcPr>
            <w:tcW w:w="2400" w:type="dxa"/>
            <w:vAlign w:val="bottom"/>
          </w:tcPr>
          <w:p>
            <w:pPr>
              <w:jc w:val="center"/>
              <w:ind w:right="151"/>
              <w:spacing w:after="0"/>
              <w:rPr>
                <w:sz w:val="20"/>
                <w:szCs w:val="20"/>
                <w:color w:val="auto"/>
              </w:rPr>
            </w:pPr>
            <w:r>
              <w:rPr>
                <w:rFonts w:ascii="Arial" w:cs="Arial" w:eastAsia="Arial" w:hAnsi="Arial"/>
                <w:sz w:val="14"/>
                <w:szCs w:val="14"/>
                <w:color w:val="auto"/>
                <w:w w:val="92"/>
              </w:rPr>
              <w:t>August 23, 2022</w:t>
            </w:r>
          </w:p>
        </w:tc>
        <w:tc>
          <w:tcPr>
            <w:tcW w:w="3020" w:type="dxa"/>
            <w:vAlign w:val="bottom"/>
          </w:tcPr>
          <w:p>
            <w:pPr>
              <w:jc w:val="center"/>
              <w:ind w:left="79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2"/>
          </w:tcPr>
          <w:p>
            <w:pPr>
              <w:jc w:val="center"/>
              <w:spacing w:after="0"/>
              <w:rPr>
                <w:sz w:val="20"/>
                <w:szCs w:val="20"/>
                <w:color w:val="auto"/>
              </w:rPr>
            </w:pPr>
            <w:r>
              <w:rPr>
                <w:rFonts w:ascii="Arial" w:cs="Arial" w:eastAsia="Arial" w:hAnsi="Arial"/>
                <w:sz w:val="14"/>
                <w:szCs w:val="14"/>
                <w:color w:val="auto"/>
                <w:w w:val="96"/>
              </w:rPr>
              <w:t>Erin Brockovich</w:t>
            </w:r>
          </w:p>
        </w:tc>
        <w:tc>
          <w:tcPr>
            <w:tcW w:w="2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6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/s/</w:t>
            </w:r>
          </w:p>
        </w:tc>
        <w:tc>
          <w:tcPr>
            <w:tcW w:w="2760" w:type="dxa"/>
            <w:vAlign w:val="bottom"/>
            <w:tcBorders>
              <w:bottom w:val="single" w:sz="8" w:color="auto"/>
            </w:tcBorders>
          </w:tcPr>
          <w:p>
            <w:pPr>
              <w:jc w:val="center"/>
              <w:ind w:right="1611"/>
              <w:spacing w:after="0"/>
              <w:rPr>
                <w:sz w:val="20"/>
                <w:szCs w:val="20"/>
                <w:color w:val="auto"/>
              </w:rPr>
            </w:pPr>
            <w:r>
              <w:rPr>
                <w:rFonts w:ascii="Arial" w:cs="Arial" w:eastAsia="Arial" w:hAnsi="Arial"/>
                <w:sz w:val="14"/>
                <w:szCs w:val="14"/>
                <w:color w:val="auto"/>
                <w:w w:val="92"/>
              </w:rPr>
              <w:t>Raymond B. Greer</w:t>
            </w:r>
          </w:p>
        </w:tc>
        <w:tc>
          <w:tcPr>
            <w:tcW w:w="2400" w:type="dxa"/>
            <w:vAlign w:val="bottom"/>
          </w:tcPr>
          <w:p>
            <w:pPr>
              <w:jc w:val="center"/>
              <w:ind w:right="151"/>
              <w:spacing w:after="0"/>
              <w:rPr>
                <w:sz w:val="20"/>
                <w:szCs w:val="20"/>
                <w:color w:val="auto"/>
              </w:rPr>
            </w:pPr>
            <w:r>
              <w:rPr>
                <w:rFonts w:ascii="Arial" w:cs="Arial" w:eastAsia="Arial" w:hAnsi="Arial"/>
                <w:sz w:val="14"/>
                <w:szCs w:val="14"/>
                <w:color w:val="auto"/>
                <w:w w:val="92"/>
              </w:rPr>
              <w:t>August 23, 2022</w:t>
            </w:r>
          </w:p>
        </w:tc>
        <w:tc>
          <w:tcPr>
            <w:tcW w:w="3020" w:type="dxa"/>
            <w:vAlign w:val="bottom"/>
          </w:tcPr>
          <w:p>
            <w:pPr>
              <w:jc w:val="center"/>
              <w:ind w:left="79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2"/>
          </w:tcPr>
          <w:p>
            <w:pPr>
              <w:jc w:val="center"/>
              <w:spacing w:after="0"/>
              <w:rPr>
                <w:sz w:val="20"/>
                <w:szCs w:val="20"/>
                <w:color w:val="auto"/>
              </w:rPr>
            </w:pPr>
            <w:r>
              <w:rPr>
                <w:rFonts w:ascii="Arial" w:cs="Arial" w:eastAsia="Arial" w:hAnsi="Arial"/>
                <w:sz w:val="14"/>
                <w:szCs w:val="14"/>
                <w:color w:val="auto"/>
                <w:w w:val="92"/>
              </w:rPr>
              <w:t>Raymond B. Greer</w:t>
            </w:r>
          </w:p>
        </w:tc>
        <w:tc>
          <w:tcPr>
            <w:tcW w:w="2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60" w:type="dxa"/>
            <w:vAlign w:val="bottom"/>
            <w:tcBorders>
              <w:bottom w:val="single" w:sz="8" w:color="auto"/>
            </w:tcBorders>
          </w:tcPr>
          <w:p>
            <w:pPr>
              <w:ind w:left="1780"/>
              <w:spacing w:after="0"/>
              <w:rPr>
                <w:sz w:val="20"/>
                <w:szCs w:val="20"/>
                <w:color w:val="auto"/>
              </w:rPr>
            </w:pPr>
            <w:r>
              <w:rPr>
                <w:rFonts w:ascii="Arial" w:cs="Arial" w:eastAsia="Arial" w:hAnsi="Arial"/>
                <w:sz w:val="14"/>
                <w:szCs w:val="14"/>
                <w:color w:val="auto"/>
              </w:rPr>
              <w:t>/s/</w:t>
            </w:r>
          </w:p>
        </w:tc>
        <w:tc>
          <w:tcPr>
            <w:tcW w:w="2760" w:type="dxa"/>
            <w:vAlign w:val="bottom"/>
            <w:tcBorders>
              <w:bottom w:val="single" w:sz="8" w:color="auto"/>
            </w:tcBorders>
          </w:tcPr>
          <w:p>
            <w:pPr>
              <w:jc w:val="center"/>
              <w:ind w:right="1611"/>
              <w:spacing w:after="0"/>
              <w:rPr>
                <w:sz w:val="20"/>
                <w:szCs w:val="20"/>
                <w:color w:val="auto"/>
              </w:rPr>
            </w:pPr>
            <w:r>
              <w:rPr>
                <w:rFonts w:ascii="Arial" w:cs="Arial" w:eastAsia="Arial" w:hAnsi="Arial"/>
                <w:sz w:val="14"/>
                <w:szCs w:val="14"/>
                <w:color w:val="auto"/>
                <w:w w:val="93"/>
              </w:rPr>
              <w:t>Cynthia Latham</w:t>
            </w:r>
          </w:p>
        </w:tc>
        <w:tc>
          <w:tcPr>
            <w:tcW w:w="2400" w:type="dxa"/>
            <w:vAlign w:val="bottom"/>
          </w:tcPr>
          <w:p>
            <w:pPr>
              <w:jc w:val="center"/>
              <w:ind w:right="151"/>
              <w:spacing w:after="0"/>
              <w:rPr>
                <w:sz w:val="20"/>
                <w:szCs w:val="20"/>
                <w:color w:val="auto"/>
              </w:rPr>
            </w:pPr>
            <w:r>
              <w:rPr>
                <w:rFonts w:ascii="Arial" w:cs="Arial" w:eastAsia="Arial" w:hAnsi="Arial"/>
                <w:sz w:val="14"/>
                <w:szCs w:val="14"/>
                <w:color w:val="auto"/>
                <w:w w:val="92"/>
              </w:rPr>
              <w:t>August 23, 2022</w:t>
            </w:r>
          </w:p>
        </w:tc>
        <w:tc>
          <w:tcPr>
            <w:tcW w:w="3020" w:type="dxa"/>
            <w:vAlign w:val="bottom"/>
          </w:tcPr>
          <w:p>
            <w:pPr>
              <w:jc w:val="center"/>
              <w:ind w:left="79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2"/>
          </w:tcPr>
          <w:p>
            <w:pPr>
              <w:jc w:val="center"/>
              <w:spacing w:after="0"/>
              <w:rPr>
                <w:sz w:val="20"/>
                <w:szCs w:val="20"/>
                <w:color w:val="auto"/>
              </w:rPr>
            </w:pPr>
            <w:r>
              <w:rPr>
                <w:rFonts w:ascii="Arial" w:cs="Arial" w:eastAsia="Arial" w:hAnsi="Arial"/>
                <w:sz w:val="14"/>
                <w:szCs w:val="14"/>
                <w:color w:val="auto"/>
                <w:w w:val="93"/>
              </w:rPr>
              <w:t>Cynthia Latham</w:t>
            </w:r>
          </w:p>
        </w:tc>
        <w:tc>
          <w:tcPr>
            <w:tcW w:w="2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3"/>
        </w:trPr>
        <w:tc>
          <w:tcPr>
            <w:tcW w:w="1960" w:type="dxa"/>
            <w:vAlign w:val="bottom"/>
            <w:tcBorders>
              <w:bottom w:val="single" w:sz="8" w:color="auto"/>
            </w:tcBorders>
          </w:tcPr>
          <w:p>
            <w:pPr>
              <w:ind w:left="1740"/>
              <w:spacing w:after="0"/>
              <w:rPr>
                <w:sz w:val="20"/>
                <w:szCs w:val="20"/>
                <w:color w:val="auto"/>
              </w:rPr>
            </w:pPr>
            <w:r>
              <w:rPr>
                <w:rFonts w:ascii="Arial" w:cs="Arial" w:eastAsia="Arial" w:hAnsi="Arial"/>
                <w:sz w:val="14"/>
                <w:szCs w:val="14"/>
                <w:color w:val="auto"/>
              </w:rPr>
              <w:t>/s/</w:t>
            </w:r>
          </w:p>
        </w:tc>
        <w:tc>
          <w:tcPr>
            <w:tcW w:w="2760" w:type="dxa"/>
            <w:vAlign w:val="bottom"/>
            <w:tcBorders>
              <w:bottom w:val="single" w:sz="8" w:color="auto"/>
            </w:tcBorders>
          </w:tcPr>
          <w:p>
            <w:pPr>
              <w:jc w:val="center"/>
              <w:ind w:right="1591"/>
              <w:spacing w:after="0"/>
              <w:rPr>
                <w:sz w:val="20"/>
                <w:szCs w:val="20"/>
                <w:color w:val="auto"/>
              </w:rPr>
            </w:pPr>
            <w:r>
              <w:rPr>
                <w:rFonts w:ascii="Arial" w:cs="Arial" w:eastAsia="Arial" w:hAnsi="Arial"/>
                <w:sz w:val="14"/>
                <w:szCs w:val="14"/>
                <w:color w:val="auto"/>
                <w:w w:val="97"/>
              </w:rPr>
              <w:t>Darwin K. Lewis</w:t>
            </w:r>
          </w:p>
        </w:tc>
        <w:tc>
          <w:tcPr>
            <w:tcW w:w="2400" w:type="dxa"/>
            <w:vAlign w:val="bottom"/>
          </w:tcPr>
          <w:p>
            <w:pPr>
              <w:jc w:val="center"/>
              <w:ind w:right="151"/>
              <w:spacing w:after="0"/>
              <w:rPr>
                <w:sz w:val="20"/>
                <w:szCs w:val="20"/>
                <w:color w:val="auto"/>
              </w:rPr>
            </w:pPr>
            <w:r>
              <w:rPr>
                <w:rFonts w:ascii="Arial" w:cs="Arial" w:eastAsia="Arial" w:hAnsi="Arial"/>
                <w:sz w:val="14"/>
                <w:szCs w:val="14"/>
                <w:color w:val="auto"/>
                <w:w w:val="92"/>
              </w:rPr>
              <w:t>August 23, 2022</w:t>
            </w:r>
          </w:p>
        </w:tc>
        <w:tc>
          <w:tcPr>
            <w:tcW w:w="3020" w:type="dxa"/>
            <w:vAlign w:val="bottom"/>
          </w:tcPr>
          <w:p>
            <w:pPr>
              <w:jc w:val="center"/>
              <w:ind w:left="791"/>
              <w:spacing w:after="0"/>
              <w:rPr>
                <w:sz w:val="20"/>
                <w:szCs w:val="20"/>
                <w:color w:val="auto"/>
              </w:rPr>
            </w:pPr>
            <w:r>
              <w:rPr>
                <w:rFonts w:ascii="Arial" w:cs="Arial" w:eastAsia="Arial" w:hAnsi="Arial"/>
                <w:sz w:val="14"/>
                <w:szCs w:val="14"/>
                <w:color w:val="auto"/>
                <w:w w:val="97"/>
              </w:rPr>
              <w:t>Director</w:t>
            </w:r>
          </w:p>
        </w:tc>
        <w:tc>
          <w:tcPr>
            <w:tcW w:w="0" w:type="dxa"/>
            <w:vAlign w:val="bottom"/>
          </w:tcPr>
          <w:p>
            <w:pPr>
              <w:spacing w:after="0"/>
              <w:rPr>
                <w:sz w:val="1"/>
                <w:szCs w:val="1"/>
                <w:color w:val="auto"/>
              </w:rPr>
            </w:pPr>
          </w:p>
        </w:tc>
      </w:tr>
      <w:tr>
        <w:trPr>
          <w:trHeight w:val="171"/>
        </w:trPr>
        <w:tc>
          <w:tcPr>
            <w:tcW w:w="4720" w:type="dxa"/>
            <w:vAlign w:val="bottom"/>
            <w:gridSpan w:val="2"/>
          </w:tcPr>
          <w:p>
            <w:pPr>
              <w:jc w:val="center"/>
              <w:spacing w:after="0"/>
              <w:rPr>
                <w:sz w:val="20"/>
                <w:szCs w:val="20"/>
                <w:color w:val="auto"/>
              </w:rPr>
            </w:pPr>
            <w:r>
              <w:rPr>
                <w:rFonts w:ascii="Arial" w:cs="Arial" w:eastAsia="Arial" w:hAnsi="Arial"/>
                <w:sz w:val="14"/>
                <w:szCs w:val="14"/>
                <w:color w:val="auto"/>
                <w:w w:val="97"/>
              </w:rPr>
              <w:t>Darwin K. Lewis</w:t>
            </w:r>
          </w:p>
        </w:tc>
        <w:tc>
          <w:tcPr>
            <w:tcW w:w="2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50" w:right="379" w:bottom="1440" w:gutter="0" w:footer="0" w:header="0"/>
        </w:sectPr>
      </w:pPr>
    </w:p>
    <w:bookmarkStart w:id="56" w:name="page57"/>
    <w:bookmarkEnd w:id="56"/>
    <w:p>
      <w:pPr>
        <w:jc w:val="center"/>
        <w:spacing w:after="0"/>
        <w:rPr>
          <w:sz w:val="20"/>
          <w:szCs w:val="20"/>
          <w:color w:val="auto"/>
        </w:rPr>
      </w:pPr>
      <w:r>
        <w:rPr>
          <w:rFonts w:ascii="Arial" w:cs="Arial" w:eastAsia="Arial" w:hAnsi="Arial"/>
          <w:sz w:val="14"/>
          <w:szCs w:val="14"/>
          <w:b w:val="1"/>
          <w:bCs w:val="1"/>
          <w:color w:val="auto"/>
        </w:rPr>
        <w:t>LIFEVANTAGE CORPORATION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0" w:type="dxa"/>
            <w:vAlign w:val="bottom"/>
            <w:gridSpan w:val="8"/>
          </w:tcPr>
          <w:p>
            <w:pPr>
              <w:spacing w:after="0"/>
              <w:rPr>
                <w:sz w:val="20"/>
                <w:szCs w:val="20"/>
                <w:color w:val="auto"/>
              </w:rPr>
            </w:pPr>
            <w:r>
              <w:rPr>
                <w:rFonts w:ascii="Arial" w:cs="Arial" w:eastAsia="Arial" w:hAnsi="Arial"/>
                <w:sz w:val="14"/>
                <w:szCs w:val="14"/>
                <w:color w:val="0000FF"/>
              </w:rPr>
              <w:t xml:space="preserve">Reports of Independent Registered Public Accounting Firm (WSRP, LLC, Salt Lake City, UT, Auditor Firm ID: </w:t>
            </w:r>
            <w:r>
              <w:rPr>
                <w:rFonts w:ascii="Arial" w:cs="Arial" w:eastAsia="Arial" w:hAnsi="Arial"/>
                <w:sz w:val="14"/>
                <w:szCs w:val="14"/>
                <w:color w:val="000000"/>
              </w:rPr>
              <w:t>374</w:t>
            </w:r>
            <w:r>
              <w:rPr>
                <w:rFonts w:ascii="Arial" w:cs="Arial" w:eastAsia="Arial" w:hAnsi="Arial"/>
                <w:sz w:val="14"/>
                <w:szCs w:val="14"/>
                <w:u w:val="single" w:color="auto"/>
                <w:color w:val="0000FF"/>
              </w:rPr>
              <w:t>)</w:t>
            </w:r>
          </w:p>
        </w:tc>
        <w:tc>
          <w:tcPr>
            <w:tcW w:w="660" w:type="dxa"/>
            <w:vAlign w:val="bottom"/>
            <w:gridSpan w:val="2"/>
          </w:tcPr>
          <w:p>
            <w:pPr>
              <w:jc w:val="right"/>
              <w:ind w:right="520"/>
              <w:spacing w:after="0"/>
              <w:rPr>
                <w:sz w:val="20"/>
                <w:szCs w:val="20"/>
                <w:color w:val="auto"/>
              </w:rPr>
            </w:pPr>
            <w:r>
              <w:rPr>
                <w:rFonts w:ascii="Arial" w:cs="Arial" w:eastAsia="Arial" w:hAnsi="Arial"/>
                <w:sz w:val="14"/>
                <w:szCs w:val="14"/>
                <w:color w:val="0000FF"/>
                <w:w w:val="76"/>
              </w:rPr>
              <w:t>58</w:t>
            </w:r>
          </w:p>
        </w:tc>
      </w:tr>
      <w:tr>
        <w:trPr>
          <w:trHeight w:val="160"/>
        </w:trPr>
        <w:tc>
          <w:tcPr>
            <w:tcW w:w="20" w:type="dxa"/>
            <w:vAlign w:val="bottom"/>
          </w:tcPr>
          <w:p>
            <w:pPr>
              <w:spacing w:after="0"/>
              <w:rPr>
                <w:sz w:val="13"/>
                <w:szCs w:val="13"/>
                <w:color w:val="auto"/>
              </w:rPr>
            </w:pPr>
          </w:p>
        </w:tc>
        <w:tc>
          <w:tcPr>
            <w:tcW w:w="636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Consolidated Financial Statements:</w:t>
            </w:r>
          </w:p>
        </w:tc>
        <w:tc>
          <w:tcPr>
            <w:tcW w:w="42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00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Consolidated Balance Sheets</w:t>
            </w:r>
          </w:p>
        </w:tc>
        <w:tc>
          <w:tcPr>
            <w:tcW w:w="8600" w:type="dxa"/>
            <w:vAlign w:val="bottom"/>
            <w:gridSpan w:val="6"/>
          </w:tcPr>
          <w:p>
            <w:pPr>
              <w:spacing w:after="0"/>
              <w:rPr>
                <w:sz w:val="13"/>
                <w:szCs w:val="13"/>
                <w:color w:val="auto"/>
              </w:rPr>
            </w:pPr>
          </w:p>
        </w:tc>
        <w:tc>
          <w:tcPr>
            <w:tcW w:w="660" w:type="dxa"/>
            <w:vAlign w:val="bottom"/>
            <w:gridSpan w:val="2"/>
          </w:tcPr>
          <w:p>
            <w:pPr>
              <w:jc w:val="right"/>
              <w:ind w:right="520"/>
              <w:spacing w:after="0"/>
              <w:rPr>
                <w:sz w:val="20"/>
                <w:szCs w:val="20"/>
                <w:color w:val="auto"/>
              </w:rPr>
            </w:pPr>
            <w:r>
              <w:rPr>
                <w:rFonts w:ascii="Arial" w:cs="Arial" w:eastAsia="Arial" w:hAnsi="Arial"/>
                <w:sz w:val="14"/>
                <w:szCs w:val="14"/>
                <w:color w:val="0000FF"/>
                <w:w w:val="76"/>
              </w:rPr>
              <w:t>61</w:t>
            </w:r>
          </w:p>
        </w:tc>
      </w:tr>
      <w:tr>
        <w:trPr>
          <w:trHeight w:val="20"/>
        </w:trPr>
        <w:tc>
          <w:tcPr>
            <w:tcW w:w="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4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0"/>
              </w:rPr>
              <w:t>Consolidated Statements of Operations and Comprehensive Income</w:t>
            </w:r>
          </w:p>
        </w:tc>
        <w:tc>
          <w:tcPr>
            <w:tcW w:w="6760" w:type="dxa"/>
            <w:vAlign w:val="bottom"/>
            <w:gridSpan w:val="2"/>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62</w:t>
            </w: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600" w:type="dxa"/>
            <w:vAlign w:val="bottom"/>
            <w:gridSpan w:val="8"/>
          </w:tcPr>
          <w:p>
            <w:pPr>
              <w:spacing w:after="0"/>
              <w:rPr>
                <w:sz w:val="20"/>
                <w:szCs w:val="20"/>
                <w:color w:val="auto"/>
              </w:rPr>
            </w:pPr>
            <w:r>
              <w:rPr>
                <w:rFonts w:ascii="Arial" w:cs="Arial" w:eastAsia="Arial" w:hAnsi="Arial"/>
                <w:sz w:val="14"/>
                <w:szCs w:val="14"/>
                <w:color w:val="0000FF"/>
              </w:rPr>
              <w:t>Consolidated Statements of Stockholders’ Equity</w:t>
            </w:r>
          </w:p>
        </w:tc>
        <w:tc>
          <w:tcPr>
            <w:tcW w:w="660" w:type="dxa"/>
            <w:vAlign w:val="bottom"/>
            <w:gridSpan w:val="2"/>
          </w:tcPr>
          <w:p>
            <w:pPr>
              <w:jc w:val="right"/>
              <w:ind w:right="520"/>
              <w:spacing w:after="0"/>
              <w:rPr>
                <w:sz w:val="20"/>
                <w:szCs w:val="20"/>
                <w:color w:val="auto"/>
              </w:rPr>
            </w:pPr>
            <w:r>
              <w:rPr>
                <w:rFonts w:ascii="Arial" w:cs="Arial" w:eastAsia="Arial" w:hAnsi="Arial"/>
                <w:sz w:val="14"/>
                <w:szCs w:val="14"/>
                <w:color w:val="0000FF"/>
                <w:w w:val="76"/>
              </w:rPr>
              <w:t>63</w:t>
            </w:r>
          </w:p>
        </w:tc>
      </w:tr>
      <w:tr>
        <w:trPr>
          <w:trHeight w:val="160"/>
        </w:trPr>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4"/>
                <w:szCs w:val="14"/>
                <w:color w:val="0000FF"/>
                <w:w w:val="89"/>
              </w:rPr>
              <w:t>Consolidated Statements of Cash Flows</w:t>
            </w:r>
          </w:p>
        </w:tc>
        <w:tc>
          <w:tcPr>
            <w:tcW w:w="520" w:type="dxa"/>
            <w:vAlign w:val="bottom"/>
            <w:tcBorders>
              <w:top w:val="single" w:sz="8" w:color="0000FF"/>
            </w:tcBorders>
            <w:gridSpan w:val="2"/>
          </w:tcPr>
          <w:p>
            <w:pPr>
              <w:spacing w:after="0"/>
              <w:rPr>
                <w:sz w:val="13"/>
                <w:szCs w:val="13"/>
                <w:color w:val="auto"/>
              </w:rPr>
            </w:pPr>
          </w:p>
        </w:tc>
        <w:tc>
          <w:tcPr>
            <w:tcW w:w="7820" w:type="dxa"/>
            <w:vAlign w:val="bottom"/>
            <w:gridSpan w:val="3"/>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4"/>
                <w:szCs w:val="14"/>
                <w:color w:val="0000FF"/>
                <w:w w:val="76"/>
              </w:rPr>
              <w:t>64</w:t>
            </w:r>
          </w:p>
        </w:tc>
        <w:tc>
          <w:tcPr>
            <w:tcW w:w="5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48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0"/>
              </w:rPr>
              <w:t>Notes to Consolidated Financial Statements</w:t>
            </w:r>
          </w:p>
        </w:tc>
        <w:tc>
          <w:tcPr>
            <w:tcW w:w="8120" w:type="dxa"/>
            <w:vAlign w:val="bottom"/>
            <w:gridSpan w:val="4"/>
          </w:tcPr>
          <w:p>
            <w:pPr>
              <w:spacing w:after="0"/>
              <w:rPr>
                <w:sz w:val="13"/>
                <w:szCs w:val="13"/>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66</w:t>
            </w:r>
          </w:p>
        </w:tc>
        <w:tc>
          <w:tcPr>
            <w:tcW w:w="520" w:type="dxa"/>
            <w:vAlign w:val="bottom"/>
          </w:tcPr>
          <w:p>
            <w:pPr>
              <w:spacing w:after="0"/>
              <w:rPr>
                <w:sz w:val="13"/>
                <w:szCs w:val="13"/>
                <w:color w:val="auto"/>
              </w:rPr>
            </w:pPr>
          </w:p>
        </w:tc>
      </w:tr>
      <w:tr>
        <w:trPr>
          <w:trHeight w:val="797"/>
        </w:trPr>
        <w:tc>
          <w:tcPr>
            <w:tcW w:w="6380" w:type="dxa"/>
            <w:vAlign w:val="bottom"/>
            <w:gridSpan w:val="8"/>
          </w:tcPr>
          <w:p>
            <w:pPr>
              <w:jc w:val="right"/>
              <w:ind w:right="660"/>
              <w:spacing w:after="0"/>
              <w:rPr>
                <w:sz w:val="20"/>
                <w:szCs w:val="20"/>
                <w:color w:val="auto"/>
              </w:rPr>
            </w:pPr>
            <w:r>
              <w:rPr>
                <w:rFonts w:ascii="Arial" w:cs="Arial" w:eastAsia="Arial" w:hAnsi="Arial"/>
                <w:sz w:val="14"/>
                <w:szCs w:val="14"/>
                <w:color w:val="auto"/>
              </w:rPr>
              <w:t>57</w:t>
            </w:r>
          </w:p>
        </w:tc>
        <w:tc>
          <w:tcPr>
            <w:tcW w:w="4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of 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Lehi, Utah</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Consolidated Financial Statements</w:t>
      </w:r>
    </w:p>
    <w:p>
      <w:pPr>
        <w:spacing w:after="0" w:line="129" w:lineRule="exact"/>
        <w:rPr>
          <w:sz w:val="20"/>
          <w:szCs w:val="20"/>
          <w:color w:val="auto"/>
        </w:rPr>
      </w:pPr>
    </w:p>
    <w:p>
      <w:pPr>
        <w:ind w:right="40"/>
        <w:spacing w:after="0" w:line="319" w:lineRule="auto"/>
        <w:rPr>
          <w:sz w:val="20"/>
          <w:szCs w:val="20"/>
          <w:color w:val="auto"/>
        </w:rPr>
      </w:pPr>
      <w:r>
        <w:rPr>
          <w:rFonts w:ascii="Arial" w:cs="Arial" w:eastAsia="Arial" w:hAnsi="Arial"/>
          <w:sz w:val="12"/>
          <w:szCs w:val="12"/>
          <w:color w:val="auto"/>
        </w:rPr>
        <w:t>We have audited the accompanying consolidated balance sheets of LifeVantage Corporation and subsidiaries (the Company) as of June 30, 2022, and  2021, and the related consolidated statements of operations and comprehensive income, stockholders’ equity, and cash flows for each of the years in the three-year period ended June 30, 2022, and the related notes (collectively referred to as the financial statements). In our opinion, the consolidated financial statements present fairly, in all material respects, the financial position of the Company as of June 30, 2022, and 2021, and the results of its operations and its cash flows for each of the years in the three-year period ended June 30, 2022, in conformity with accounting principles generally accepted in the United States of America.</w:t>
      </w:r>
    </w:p>
    <w:p>
      <w:pPr>
        <w:spacing w:after="0" w:line="62" w:lineRule="exact"/>
        <w:rPr>
          <w:sz w:val="20"/>
          <w:szCs w:val="20"/>
          <w:color w:val="auto"/>
        </w:rPr>
      </w:pPr>
    </w:p>
    <w:p>
      <w:pPr>
        <w:jc w:val="both"/>
        <w:ind w:right="100"/>
        <w:spacing w:after="0" w:line="267"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June 30, 2022, based on criteria established in Internal Control—Integrated Framework (2013) issued by the Committee of Sponsoring Organizations of the Treadway Commission (COSO), and our report dated August 23, 2022, expressed an unqualified opinion.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9"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69" w:lineRule="exact"/>
        <w:rPr>
          <w:sz w:val="20"/>
          <w:szCs w:val="20"/>
          <w:color w:val="auto"/>
        </w:rPr>
      </w:pPr>
    </w:p>
    <w:p>
      <w:pPr>
        <w:ind w:right="160"/>
        <w:spacing w:after="0" w:line="331" w:lineRule="auto"/>
        <w:rPr>
          <w:sz w:val="20"/>
          <w:szCs w:val="20"/>
          <w:color w:val="auto"/>
        </w:rPr>
      </w:pPr>
      <w:r>
        <w:rPr>
          <w:rFonts w:ascii="Arial" w:cs="Arial" w:eastAsia="Arial" w:hAnsi="Arial"/>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29"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consolidated financial statements that were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Provision</w:t>
      </w:r>
    </w:p>
    <w:p>
      <w:pPr>
        <w:spacing w:after="0" w:line="115"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As discussed in Note 12 to the consolidated financial statements, The Company’s income tax expense includes U.S., state, local and international income taxes. Deferred tax assets and liabilities are recognized for the consequences of temporary differences between the financial reporting basis and the tax basis of existing assets and liabilities. The tax rate used to determine the deferred tax assets and liabilities is based on the enacted tax rate for the year and the manner in which the differences are expected to reverse. Valuation allowances are recorded to reduce deferred tax assets to the amount that will more likely than not be realized.</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We identified management’s calculation of income tax expense and deferred tax assets and liabilities (net of valuation allowance) as a critical audit matter because of the significant judgments and estimates management makes to determine these amounts as well as the complex nature of having multiple foreign jurisdiction’s roll into the consolidated global tax provision. Performing audit procedures to evaluate the reasonableness of management’s interpretation of tax law in various foreign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jurisdictions, and its estimate of the associated provisions and tax charges required a high degree of auditor judgment and increased effort.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w:t>
      </w:r>
    </w:p>
    <w:p>
      <w:pPr>
        <w:spacing w:after="0" w:line="115" w:lineRule="exact"/>
        <w:rPr>
          <w:sz w:val="20"/>
          <w:szCs w:val="20"/>
          <w:color w:val="auto"/>
        </w:rPr>
      </w:pPr>
    </w:p>
    <w:p>
      <w:pPr>
        <w:ind w:left="520" w:right="500" w:hanging="260"/>
        <w:spacing w:after="0" w:line="281"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Obtained an understanding, evaluated the design and tested the operating effectiveness of internal controls over the income tax provision for income taxes and deferred tax assets and liabilities (including valuation allowances).</w:t>
      </w:r>
    </w:p>
    <w:p>
      <w:pPr>
        <w:spacing w:after="0" w:line="79" w:lineRule="exact"/>
        <w:rPr>
          <w:rFonts w:ascii="Arial" w:cs="Arial" w:eastAsia="Arial" w:hAnsi="Arial"/>
          <w:sz w:val="14"/>
          <w:szCs w:val="14"/>
          <w:color w:val="auto"/>
        </w:rPr>
      </w:pPr>
    </w:p>
    <w:p>
      <w:pPr>
        <w:jc w:val="both"/>
        <w:ind w:left="520" w:hanging="260"/>
        <w:spacing w:after="0" w:line="260" w:lineRule="auto"/>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Assessed the Company’s income tax expense and deferred tax liabilities by evaluating the income tax provision calculation, including testing the appropriateness of the income tax rates applied and of income allocations among the various taxing jurisdictions, and reperforming the mathematical accuracy of the calculations; evaluating the Company’s analyses supporting its conclusions as to the recognition and measurement of deferred tax assets and liabilities, including the calculation of the deferred tax asset resulting from the carryover of net operating losses; evaluating management’s assessment of the Company’s ability to utilize the deferred tax assets in future years; and evaluating the Company’s disclosures related to the provision for income taxes and deferred tax assets and liabilities (including valuation allowances).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Method Investment Impairment Analysis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the Matter</w:t>
      </w:r>
    </w:p>
    <w:p>
      <w:pPr>
        <w:spacing w:after="0" w:line="125"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As discussed in Note 6 to the consolidated financial statements, the Company has an equity investment without a readily determinable fair value. The Company has elected the measurement alternative for this investment and valued the investment at cost, less any impairment, plus or minus changes resulting from observable price changes in orderly transactions for an identical or similar investment of the same issuer. The Company performs an impairment indicator analysis each year. The impairment test is performed using a qualitative evaluation. During the fourth quarter of fiscal year ended June 30, 2022, the Company determined its equity investment had significantly declined as a result of the business failing to achieve profitability due to a weak market environment for its products. The Company determined the book value of its equity investment exceeded the fair value and concluded the decline was other than temporary, resulting in the Company recording an impairment charge of $2.2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primary procedures we performed to address this critical audit matter include:</w:t>
      </w:r>
    </w:p>
    <w:p>
      <w:pPr>
        <w:spacing w:after="0" w:line="115"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Obtained an understanding of the impairment analysis prepared by management and evaluated the conclusions reached around the impairment of the equity investment.</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Tested management assumptions and analysis.</w:t>
      </w:r>
    </w:p>
    <w:p>
      <w:pPr>
        <w:spacing w:after="0" w:line="114"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Assessed management’s key indicators regarding impairment considerations compared to tests of underlying data.</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Interviewed the audit committee chairman, and management of the Company related to the conclusions reached that the equity investments was impaired.</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/s/ WSRP, LLC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Salt Lake City, Utah</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August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59" w:name="page60"/>
    <w:bookmarkEnd w:id="59"/>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of LifeVantage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Lehi, Utah</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19" w:lineRule="exact"/>
        <w:rPr>
          <w:sz w:val="20"/>
          <w:szCs w:val="20"/>
          <w:color w:val="auto"/>
        </w:rPr>
      </w:pPr>
    </w:p>
    <w:p>
      <w:pPr>
        <w:jc w:val="both"/>
        <w:ind w:right="40"/>
        <w:spacing w:after="0" w:line="297" w:lineRule="auto"/>
        <w:rPr>
          <w:sz w:val="20"/>
          <w:szCs w:val="20"/>
          <w:color w:val="auto"/>
        </w:rPr>
      </w:pPr>
      <w:r>
        <w:rPr>
          <w:rFonts w:ascii="Arial" w:cs="Arial" w:eastAsia="Arial" w:hAnsi="Arial"/>
          <w:sz w:val="13"/>
          <w:szCs w:val="13"/>
          <w:color w:val="auto"/>
        </w:rPr>
        <w:t>We have audited LifeVantage Corporation and subsidiaries’ (the Company’s) internal control over financial reporting as of June 30, 2022,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June 30, 2022, based on criteria established in Internal Control-Integrated Framework (2013) issued by COSO.</w:t>
      </w:r>
    </w:p>
    <w:p>
      <w:pPr>
        <w:spacing w:after="0" w:line="71" w:lineRule="exact"/>
        <w:rPr>
          <w:sz w:val="20"/>
          <w:szCs w:val="20"/>
          <w:color w:val="auto"/>
        </w:rPr>
      </w:pPr>
    </w:p>
    <w:p>
      <w:pPr>
        <w:ind w:right="100"/>
        <w:spacing w:after="0" w:line="368"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and the related consolidated statements of operations and comprehensive income, stockholders’ equity, and cash flows of the Company, and our report dated August 23, 2022, expressed an unqualified opinion.</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19"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19" w:lineRule="exact"/>
        <w:rPr>
          <w:sz w:val="20"/>
          <w:szCs w:val="20"/>
          <w:color w:val="auto"/>
        </w:rPr>
      </w:pPr>
    </w:p>
    <w:p>
      <w:pPr>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2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/s/ WSRP, LLC</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Salt Lake City, Utah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August 23, 2022</w:t>
      </w: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440" w:right="41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0"/>
              <w:spacing w:after="0"/>
              <w:rPr>
                <w:sz w:val="20"/>
                <w:szCs w:val="20"/>
                <w:color w:val="auto"/>
              </w:rPr>
            </w:pPr>
            <w:r>
              <w:rPr>
                <w:rFonts w:ascii="Arial" w:cs="Arial" w:eastAsia="Arial" w:hAnsi="Arial"/>
                <w:sz w:val="11"/>
                <w:szCs w:val="11"/>
                <w:b w:val="1"/>
                <w:bCs w:val="1"/>
                <w:color w:val="auto"/>
              </w:rPr>
              <w:t>2021</w:t>
            </w:r>
          </w:p>
        </w:tc>
      </w:tr>
      <w:tr>
        <w:trPr>
          <w:trHeight w:val="170"/>
        </w:trPr>
        <w:tc>
          <w:tcPr>
            <w:tcW w:w="71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320" w:type="dxa"/>
            <w:vAlign w:val="bottom"/>
            <w:shd w:val="clear" w:color="auto" w:fill="CCEEFF"/>
          </w:tcPr>
          <w:p>
            <w:pPr>
              <w:jc w:val="right"/>
              <w:ind w:right="1172"/>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23,174</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3,338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2,925</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receivable</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Inventory, net</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16,472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16,145</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w:t>
            </w:r>
          </w:p>
        </w:tc>
        <w:tc>
          <w:tcPr>
            <w:tcW w:w="1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4,772</w:t>
            </w:r>
          </w:p>
        </w:tc>
      </w:tr>
      <w:tr>
        <w:trPr>
          <w:trHeight w:val="171"/>
        </w:trPr>
        <w:tc>
          <w:tcPr>
            <w:tcW w:w="7120" w:type="dxa"/>
            <w:vAlign w:val="bottom"/>
          </w:tcPr>
          <w:p>
            <w:pPr>
              <w:ind w:left="520"/>
              <w:spacing w:after="0"/>
              <w:rPr>
                <w:sz w:val="20"/>
                <w:szCs w:val="20"/>
                <w:color w:val="auto"/>
              </w:rPr>
            </w:pPr>
            <w:r>
              <w:rPr>
                <w:rFonts w:ascii="Arial" w:cs="Arial" w:eastAsia="Arial" w:hAnsi="Arial"/>
                <w:sz w:val="14"/>
                <w:szCs w:val="14"/>
                <w:color w:val="auto"/>
              </w:rPr>
              <w:t>Total current assets</w:t>
            </w:r>
          </w:p>
        </w:tc>
        <w:tc>
          <w:tcPr>
            <w:tcW w:w="1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46,957</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48,054</w:t>
            </w:r>
          </w:p>
        </w:tc>
      </w:tr>
      <w:tr>
        <w:trPr>
          <w:trHeight w:val="170"/>
        </w:trPr>
        <w:tc>
          <w:tcPr>
            <w:tcW w:w="7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Property and equipment, net</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9,500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11,123</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Right-of-use assets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13,700</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Intangible assets, net</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719</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asset</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Equity securities</w:t>
            </w:r>
          </w:p>
        </w:tc>
        <w:tc>
          <w:tcPr>
            <w:tcW w:w="13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2,205</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long-term assets</w:t>
            </w:r>
          </w:p>
        </w:tc>
        <w:tc>
          <w:tcPr>
            <w:tcW w:w="1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32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70,706</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78,732</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31"/>
        </w:trPr>
        <w:tc>
          <w:tcPr>
            <w:tcW w:w="7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LIABILITIES AND STOCKHOLDERS’ EQUITY</w:t>
            </w:r>
          </w:p>
        </w:tc>
        <w:tc>
          <w:tcPr>
            <w:tcW w:w="1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320" w:type="dxa"/>
            <w:vAlign w:val="bottom"/>
          </w:tcPr>
          <w:p>
            <w:pPr>
              <w:jc w:val="right"/>
              <w:ind w:right="1172"/>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7,462</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6,744</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Commissions payable</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7,285</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8,138</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Income tax payable</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830</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liabilities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2,151</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accrued expenses</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7,927</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7,336</w:t>
            </w:r>
          </w:p>
        </w:tc>
      </w:tr>
      <w:tr>
        <w:trPr>
          <w:trHeight w:val="17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liabilities</w:t>
            </w:r>
          </w:p>
        </w:tc>
        <w:tc>
          <w:tcPr>
            <w:tcW w:w="1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25,728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25,199</w:t>
            </w:r>
          </w:p>
        </w:tc>
      </w:tr>
      <w:tr>
        <w:trPr>
          <w:trHeight w:val="170"/>
        </w:trPr>
        <w:tc>
          <w:tcPr>
            <w:tcW w:w="7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80"/>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lease liabilities</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13,154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16,032</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694</w:t>
            </w:r>
          </w:p>
        </w:tc>
      </w:tr>
      <w:tr>
        <w:trPr>
          <w:trHeight w:val="17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w:t>
            </w:r>
          </w:p>
        </w:tc>
        <w:tc>
          <w:tcPr>
            <w:tcW w:w="1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39,190</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41,925</w:t>
            </w:r>
          </w:p>
        </w:tc>
      </w:tr>
      <w:tr>
        <w:trPr>
          <w:trHeight w:val="160"/>
        </w:trPr>
        <w:tc>
          <w:tcPr>
            <w:tcW w:w="7120" w:type="dxa"/>
            <w:vAlign w:val="bottom"/>
          </w:tcPr>
          <w:p>
            <w:pPr>
              <w:ind w:left="20"/>
              <w:spacing w:after="0"/>
              <w:rPr>
                <w:sz w:val="20"/>
                <w:szCs w:val="20"/>
                <w:color w:val="auto"/>
              </w:rPr>
            </w:pPr>
            <w:r>
              <w:rPr>
                <w:rFonts w:ascii="Arial" w:cs="Arial" w:eastAsia="Arial" w:hAnsi="Arial"/>
                <w:sz w:val="14"/>
                <w:szCs w:val="14"/>
                <w:color w:val="auto"/>
              </w:rPr>
              <w:t>Commitments and contingencies — Note 14</w:t>
            </w: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Preferred stock — par value $0.0001 per share, 5,000 shares authorized, no shares issued or outstanding</w:t>
            </w:r>
          </w:p>
        </w:tc>
        <w:tc>
          <w:tcPr>
            <w:tcW w:w="132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8"/>
        </w:trPr>
        <w:tc>
          <w:tcPr>
            <w:tcW w:w="712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w w:val="90"/>
              </w:rPr>
              <w:t>Common stock — par value $0.0001 per share, 40,000 shares authorized and 12,493 and 13,609 issued and outstanding</w:t>
            </w:r>
          </w:p>
        </w:tc>
        <w:tc>
          <w:tcPr>
            <w:tcW w:w="1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191"/>
        </w:trPr>
        <w:tc>
          <w:tcPr>
            <w:tcW w:w="71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as of June 30, 2022 and 2021, respectively</w:t>
            </w:r>
          </w:p>
        </w:tc>
        <w:tc>
          <w:tcPr>
            <w:tcW w:w="1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Additional paid-in capital</w:t>
            </w:r>
          </w:p>
        </w:tc>
        <w:tc>
          <w:tcPr>
            <w:tcW w:w="1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131,075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129,048</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(98,437)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(92,346)</w:t>
            </w:r>
          </w:p>
        </w:tc>
      </w:tr>
      <w:tr>
        <w:trPr>
          <w:trHeight w:val="180"/>
        </w:trPr>
        <w:tc>
          <w:tcPr>
            <w:tcW w:w="7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Accumulated other comprehensive (loss) income</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171"/>
        </w:trPr>
        <w:tc>
          <w:tcPr>
            <w:tcW w:w="71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stockholders’ equity</w:t>
            </w:r>
          </w:p>
        </w:tc>
        <w:tc>
          <w:tcPr>
            <w:tcW w:w="13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31,516</w:t>
            </w:r>
          </w:p>
        </w:tc>
        <w:tc>
          <w:tcPr>
            <w:tcW w:w="10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36,807</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320" w:type="dxa"/>
            <w:vAlign w:val="bottom"/>
            <w:tcBorders>
              <w:bottom w:val="single" w:sz="8" w:color="auto"/>
            </w:tcBorders>
          </w:tcPr>
          <w:p>
            <w:pPr>
              <w:jc w:val="right"/>
              <w:ind w:right="1172"/>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70,706</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78,732</w:t>
            </w:r>
          </w:p>
        </w:tc>
      </w:tr>
      <w:tr>
        <w:trPr>
          <w:trHeight w:val="20"/>
        </w:trPr>
        <w:tc>
          <w:tcPr>
            <w:tcW w:w="7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4" w:right="33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OPERATIONS AND COMPREHENSIVE INCOME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For the years ended June 30,</w:t>
            </w: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50"/>
        </w:trPr>
        <w:tc>
          <w:tcPr>
            <w:tcW w:w="646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2020</w:t>
            </w:r>
          </w:p>
        </w:tc>
      </w:tr>
      <w:tr>
        <w:trPr>
          <w:trHeight w:val="170"/>
        </w:trPr>
        <w:tc>
          <w:tcPr>
            <w:tcW w:w="64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net</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206,360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232,915</w:t>
            </w:r>
          </w:p>
        </w:tc>
      </w:tr>
      <w:tr>
        <w:trPr>
          <w:trHeight w:val="18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38,097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38,187</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37,964</w:t>
            </w:r>
          </w:p>
        </w:tc>
      </w:tr>
      <w:tr>
        <w:trPr>
          <w:trHeight w:val="17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9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168,263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181,994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194,951</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Commissions and incentives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97,263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103,541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111,571</w:t>
            </w:r>
          </w:p>
        </w:tc>
      </w:tr>
      <w:tr>
        <w:trPr>
          <w:trHeight w:val="180"/>
        </w:trPr>
        <w:tc>
          <w:tcPr>
            <w:tcW w:w="6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Selling, general and administrative</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63,425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60,838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67,914</w:t>
            </w:r>
          </w:p>
        </w:tc>
      </w:tr>
      <w:tr>
        <w:trPr>
          <w:trHeight w:val="171"/>
        </w:trPr>
        <w:tc>
          <w:tcPr>
            <w:tcW w:w="64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160,688</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164,379</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179,485</w:t>
            </w: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9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7,575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17,615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15,466</w:t>
            </w: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Interest expense</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Impairment of investment</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(2,205)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4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other expense</w:t>
            </w:r>
          </w:p>
        </w:tc>
        <w:tc>
          <w:tcPr>
            <w:tcW w:w="9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4,691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17,232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14,661</w:t>
            </w: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expense</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12,894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11,549</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42"/>
        </w:trPr>
        <w:tc>
          <w:tcPr>
            <w:tcW w:w="64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income per share:</w:t>
            </w:r>
          </w:p>
        </w:tc>
        <w:tc>
          <w:tcPr>
            <w:tcW w:w="9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Basic</w:t>
            </w:r>
          </w:p>
        </w:tc>
        <w:tc>
          <w:tcPr>
            <w:tcW w:w="940" w:type="dxa"/>
            <w:vAlign w:val="bottom"/>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Pr>
          <w:p>
            <w:pPr>
              <w:spacing w:after="0"/>
              <w:rPr>
                <w:sz w:val="15"/>
                <w:szCs w:val="15"/>
                <w:color w:val="auto"/>
              </w:rPr>
            </w:pPr>
          </w:p>
        </w:tc>
        <w:tc>
          <w:tcPr>
            <w:tcW w:w="360" w:type="dxa"/>
            <w:vAlign w:val="bottom"/>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0.82</w:t>
            </w: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940" w:type="dxa"/>
            <w:vAlign w:val="bottom"/>
            <w:shd w:val="clear" w:color="auto" w:fill="CCEEFF"/>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r>
      <w:tr>
        <w:trPr>
          <w:trHeight w:val="180"/>
        </w:trPr>
        <w:tc>
          <w:tcPr>
            <w:tcW w:w="6460" w:type="dxa"/>
            <w:vAlign w:val="bottom"/>
          </w:tcPr>
          <w:p>
            <w:pPr>
              <w:ind w:left="20"/>
              <w:spacing w:after="0"/>
              <w:rPr>
                <w:sz w:val="20"/>
                <w:szCs w:val="20"/>
                <w:color w:val="auto"/>
              </w:rPr>
            </w:pPr>
            <w:r>
              <w:rPr>
                <w:rFonts w:ascii="Arial" w:cs="Arial" w:eastAsia="Arial" w:hAnsi="Arial"/>
                <w:sz w:val="14"/>
                <w:szCs w:val="14"/>
                <w:color w:val="auto"/>
              </w:rPr>
              <w:t>Weighted-average shares outstanding:</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14,070</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14,105</w:t>
            </w: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Diluted</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14,268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14,599</w:t>
            </w:r>
          </w:p>
        </w:tc>
      </w:tr>
      <w:tr>
        <w:trPr>
          <w:trHeight w:val="18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64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Foreign currency translation adjustment</w:t>
            </w:r>
          </w:p>
        </w:tc>
        <w:tc>
          <w:tcPr>
            <w:tcW w:w="9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171"/>
        </w:trPr>
        <w:tc>
          <w:tcPr>
            <w:tcW w:w="6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 net of tax:</w:t>
            </w:r>
          </w:p>
        </w:tc>
        <w:tc>
          <w:tcPr>
            <w:tcW w:w="9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71"/>
        </w:trPr>
        <w:tc>
          <w:tcPr>
            <w:tcW w:w="646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9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11,631</w:t>
            </w:r>
          </w:p>
        </w:tc>
      </w:tr>
      <w:tr>
        <w:trPr>
          <w:trHeight w:val="20"/>
        </w:trPr>
        <w:tc>
          <w:tcPr>
            <w:tcW w:w="6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4" w:right="359" w:bottom="1440" w:gutter="0" w:footer="0" w:header="0"/>
        </w:sectPr>
      </w:pPr>
    </w:p>
    <w:bookmarkStart w:id="62" w:name="page63"/>
    <w:bookmarkEnd w:id="62"/>
    <w:p>
      <w:pPr>
        <w:jc w:val="center"/>
        <w:ind w:right="-7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For the years ended June 30, 2022, 2021 and 2020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360" w:type="dxa"/>
            <w:vAlign w:val="bottom"/>
            <w:gridSpan w:val="3"/>
          </w:tcPr>
          <w:p>
            <w:pPr>
              <w:jc w:val="right"/>
              <w:ind w:right="478"/>
              <w:spacing w:after="0"/>
              <w:rPr>
                <w:sz w:val="20"/>
                <w:szCs w:val="20"/>
                <w:color w:val="auto"/>
              </w:rPr>
            </w:pPr>
            <w:r>
              <w:rPr>
                <w:rFonts w:ascii="Arial" w:cs="Arial" w:eastAsia="Arial" w:hAnsi="Arial"/>
                <w:sz w:val="11"/>
                <w:szCs w:val="11"/>
                <w:b w:val="1"/>
                <w:bCs w:val="1"/>
                <w:color w:val="auto"/>
                <w:w w:val="99"/>
              </w:rPr>
              <w:t>Common Stock</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Accumulated</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gridSpan w:val="2"/>
            <w:vMerge w:val="restart"/>
          </w:tcPr>
          <w:p>
            <w:pPr>
              <w:jc w:val="center"/>
              <w:ind w:right="280"/>
              <w:spacing w:after="0" w:line="110" w:lineRule="exact"/>
              <w:rPr>
                <w:sz w:val="20"/>
                <w:szCs w:val="20"/>
                <w:color w:val="auto"/>
              </w:rPr>
            </w:pPr>
            <w:r>
              <w:rPr>
                <w:rFonts w:ascii="Arial" w:cs="Arial" w:eastAsia="Arial" w:hAnsi="Arial"/>
                <w:sz w:val="11"/>
                <w:szCs w:val="11"/>
                <w:b w:val="1"/>
                <w:bCs w:val="1"/>
                <w:color w:val="auto"/>
              </w:rPr>
              <w:t>Other</w:t>
            </w: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3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3720" w:type="dxa"/>
            <w:vAlign w:val="bottom"/>
          </w:tcPr>
          <w:p>
            <w:pPr>
              <w:spacing w:after="0"/>
              <w:rPr>
                <w:sz w:val="10"/>
                <w:szCs w:val="10"/>
                <w:color w:val="auto"/>
              </w:rPr>
            </w:pPr>
          </w:p>
        </w:tc>
        <w:tc>
          <w:tcPr>
            <w:tcW w:w="740" w:type="dxa"/>
            <w:vAlign w:val="bottom"/>
            <w:vMerge w:val="restart"/>
          </w:tcPr>
          <w:p>
            <w:pPr>
              <w:ind w:left="420"/>
              <w:spacing w:after="0"/>
              <w:rPr>
                <w:sz w:val="20"/>
                <w:szCs w:val="20"/>
                <w:color w:val="auto"/>
              </w:rPr>
            </w:pPr>
            <w:r>
              <w:rPr>
                <w:rFonts w:ascii="Arial" w:cs="Arial" w:eastAsia="Arial" w:hAnsi="Arial"/>
                <w:sz w:val="11"/>
                <w:szCs w:val="11"/>
                <w:b w:val="1"/>
                <w:bCs w:val="1"/>
                <w:color w:val="auto"/>
                <w:w w:val="81"/>
              </w:rPr>
              <w:t>Shares</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38"/>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4" w:lineRule="exact"/>
              <w:rPr>
                <w:sz w:val="20"/>
                <w:szCs w:val="20"/>
                <w:color w:val="auto"/>
              </w:rPr>
            </w:pPr>
            <w:r>
              <w:rPr>
                <w:rFonts w:ascii="Arial" w:cs="Arial" w:eastAsia="Arial" w:hAnsi="Arial"/>
                <w:sz w:val="11"/>
                <w:szCs w:val="11"/>
                <w:b w:val="1"/>
                <w:bCs w:val="1"/>
                <w:color w:val="auto"/>
                <w:w w:val="96"/>
              </w:rPr>
              <w:t>Additional</w:t>
            </w:r>
          </w:p>
        </w:tc>
        <w:tc>
          <w:tcPr>
            <w:tcW w:w="160" w:type="dxa"/>
            <w:vAlign w:val="bottom"/>
          </w:tcPr>
          <w:p>
            <w:pPr>
              <w:spacing w:after="0"/>
              <w:rPr>
                <w:sz w:val="10"/>
                <w:szCs w:val="10"/>
                <w:color w:val="auto"/>
              </w:rPr>
            </w:pPr>
          </w:p>
        </w:tc>
        <w:tc>
          <w:tcPr>
            <w:tcW w:w="108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92"/>
              </w:rPr>
              <w:t>Accumulated</w:t>
            </w:r>
          </w:p>
        </w:tc>
        <w:tc>
          <w:tcPr>
            <w:tcW w:w="180" w:type="dxa"/>
            <w:vAlign w:val="bottom"/>
          </w:tcPr>
          <w:p>
            <w:pPr>
              <w:spacing w:after="0"/>
              <w:rPr>
                <w:sz w:val="10"/>
                <w:szCs w:val="10"/>
                <w:color w:val="auto"/>
              </w:rPr>
            </w:pPr>
          </w:p>
        </w:tc>
        <w:tc>
          <w:tcPr>
            <w:tcW w:w="1220" w:type="dxa"/>
            <w:vAlign w:val="bottom"/>
            <w:gridSpan w:val="2"/>
          </w:tcPr>
          <w:p>
            <w:pPr>
              <w:jc w:val="center"/>
              <w:ind w:right="280"/>
              <w:spacing w:after="0" w:line="124" w:lineRule="exact"/>
              <w:rPr>
                <w:sz w:val="20"/>
                <w:szCs w:val="20"/>
                <w:color w:val="auto"/>
              </w:rPr>
            </w:pPr>
            <w:r>
              <w:rPr>
                <w:rFonts w:ascii="Arial" w:cs="Arial" w:eastAsia="Arial" w:hAnsi="Arial"/>
                <w:sz w:val="11"/>
                <w:szCs w:val="11"/>
                <w:b w:val="1"/>
                <w:bCs w:val="1"/>
                <w:color w:val="auto"/>
                <w:w w:val="89"/>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77"/>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Paid-In Capital</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Deficit</w:t>
            </w:r>
          </w:p>
        </w:tc>
        <w:tc>
          <w:tcPr>
            <w:tcW w:w="18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Income (Loss)</w:t>
            </w:r>
          </w:p>
        </w:tc>
        <w:tc>
          <w:tcPr>
            <w:tcW w:w="2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2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June 30, 2019</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14,114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18"/>
              <w:spacing w:after="0"/>
              <w:rPr>
                <w:sz w:val="20"/>
                <w:szCs w:val="20"/>
                <w:color w:val="auto"/>
              </w:rPr>
            </w:pPr>
            <w:r>
              <w:rPr>
                <w:rFonts w:ascii="Arial" w:cs="Arial" w:eastAsia="Arial" w:hAnsi="Arial"/>
                <w:sz w:val="13"/>
                <w:szCs w:val="13"/>
                <w:b w:val="1"/>
                <w:bCs w:val="1"/>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127,096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(99,960)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27,199</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Cumulative effect of adoption of accounting principle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508</w:t>
            </w:r>
          </w:p>
        </w:tc>
        <w:tc>
          <w:tcPr>
            <w:tcW w:w="0" w:type="dxa"/>
            <w:vAlign w:val="bottom"/>
          </w:tcPr>
          <w:p>
            <w:pPr>
              <w:spacing w:after="0"/>
              <w:rPr>
                <w:sz w:val="1"/>
                <w:szCs w:val="1"/>
                <w:color w:val="auto"/>
              </w:rPr>
            </w:pPr>
          </w:p>
        </w:tc>
      </w:tr>
      <w:tr>
        <w:trPr>
          <w:trHeight w:val="163"/>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Balances, July 1, 2019</w:t>
            </w: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14,114</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8"/>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127,096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(99,452)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27,707</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4,837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4,837</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options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Common stock issued under employee stock purchase plan</w:t>
            </w:r>
          </w:p>
        </w:tc>
        <w:tc>
          <w:tcPr>
            <w:tcW w:w="40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653</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Common stock issued under equity award plans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Shares canceled or surrendered as payment of tax withholding and other</w:t>
            </w:r>
          </w:p>
        </w:tc>
        <w:tc>
          <w:tcPr>
            <w:tcW w:w="400" w:type="dxa"/>
            <w:vAlign w:val="bottom"/>
          </w:tcPr>
          <w:p>
            <w:pPr>
              <w:jc w:val="right"/>
              <w:spacing w:after="0"/>
              <w:rPr>
                <w:sz w:val="20"/>
                <w:szCs w:val="20"/>
                <w:color w:val="auto"/>
              </w:rPr>
            </w:pPr>
            <w:r>
              <w:rPr>
                <w:rFonts w:ascii="Arial" w:cs="Arial" w:eastAsia="Arial" w:hAnsi="Arial"/>
                <w:sz w:val="13"/>
                <w:szCs w:val="13"/>
                <w:color w:val="auto"/>
              </w:rPr>
              <w:t>(413)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(6,246)</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 of company stock</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(5,404)</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Currency translation adjustment</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11,549</w:t>
            </w:r>
          </w:p>
        </w:tc>
        <w:tc>
          <w:tcPr>
            <w:tcW w:w="0" w:type="dxa"/>
            <w:vAlign w:val="bottom"/>
          </w:tcPr>
          <w:p>
            <w:pPr>
              <w:spacing w:after="0"/>
              <w:rPr>
                <w:sz w:val="1"/>
                <w:szCs w:val="1"/>
                <w:color w:val="auto"/>
              </w:rPr>
            </w:pPr>
          </w:p>
        </w:tc>
      </w:tr>
      <w:tr>
        <w:trPr>
          <w:trHeight w:val="158"/>
        </w:trPr>
        <w:tc>
          <w:tcPr>
            <w:tcW w:w="3720" w:type="dxa"/>
            <w:vAlign w:val="bottom"/>
          </w:tcPr>
          <w:p>
            <w:pPr>
              <w:ind w:left="20"/>
              <w:spacing w:after="0" w:line="146" w:lineRule="exact"/>
              <w:rPr>
                <w:sz w:val="20"/>
                <w:szCs w:val="20"/>
                <w:color w:val="auto"/>
              </w:rPr>
            </w:pPr>
            <w:r>
              <w:rPr>
                <w:rFonts w:ascii="Arial" w:cs="Arial" w:eastAsia="Arial" w:hAnsi="Arial"/>
                <w:sz w:val="13"/>
                <w:szCs w:val="13"/>
                <w:b w:val="1"/>
                <w:bCs w:val="1"/>
                <w:color w:val="auto"/>
              </w:rPr>
              <w:t>Balances, June 30, 2020</w:t>
            </w: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14,313</w:t>
            </w: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718"/>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126,416</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(93,307)</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144</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33,254</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2,152</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Exercise of options</w:t>
            </w:r>
          </w:p>
        </w:tc>
        <w:tc>
          <w:tcPr>
            <w:tcW w:w="400" w:type="dxa"/>
            <w:vAlign w:val="bottom"/>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1,379</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Common stock issued under employee stock purchase plan</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Common stock issued under equity award plans</w:t>
            </w:r>
          </w:p>
        </w:tc>
        <w:tc>
          <w:tcPr>
            <w:tcW w:w="40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canceled or surrendered as payment of tax withholding and other</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Repurchase of company stock</w:t>
            </w:r>
          </w:p>
        </w:tc>
        <w:tc>
          <w:tcPr>
            <w:tcW w:w="400" w:type="dxa"/>
            <w:vAlign w:val="bottom"/>
          </w:tcPr>
          <w:p>
            <w:pPr>
              <w:jc w:val="right"/>
              <w:spacing w:after="0"/>
              <w:rPr>
                <w:sz w:val="20"/>
                <w:szCs w:val="20"/>
                <w:color w:val="auto"/>
              </w:rPr>
            </w:pPr>
            <w:r>
              <w:rPr>
                <w:rFonts w:ascii="Arial" w:cs="Arial" w:eastAsia="Arial" w:hAnsi="Arial"/>
                <w:sz w:val="13"/>
                <w:szCs w:val="13"/>
                <w:color w:val="auto"/>
                <w:w w:val="87"/>
              </w:rPr>
              <w:t>(1,196)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(11,933)</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12,894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12,894</w:t>
            </w:r>
          </w:p>
        </w:tc>
        <w:tc>
          <w:tcPr>
            <w:tcW w:w="0" w:type="dxa"/>
            <w:vAlign w:val="bottom"/>
          </w:tcPr>
          <w:p>
            <w:pPr>
              <w:spacing w:after="0"/>
              <w:rPr>
                <w:sz w:val="1"/>
                <w:szCs w:val="1"/>
                <w:color w:val="auto"/>
              </w:rPr>
            </w:pPr>
          </w:p>
        </w:tc>
      </w:tr>
      <w:tr>
        <w:trPr>
          <w:trHeight w:val="163"/>
        </w:trPr>
        <w:tc>
          <w:tcPr>
            <w:tcW w:w="372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b w:val="1"/>
                <w:bCs w:val="1"/>
                <w:color w:val="auto"/>
              </w:rPr>
              <w:t>Balances, June 30, 2021</w:t>
            </w:r>
          </w:p>
        </w:tc>
        <w:tc>
          <w:tcPr>
            <w:tcW w:w="7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5"/>
              </w:rPr>
              <w:t>13,609</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718"/>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129,048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(92,346)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36,807</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1,768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1,768</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options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Common stock issued under employee stock purchase plan</w:t>
            </w:r>
          </w:p>
        </w:tc>
        <w:tc>
          <w:tcPr>
            <w:tcW w:w="40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372</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Common stock issued under equity award plans</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Shares canceled or surrendered as payment of tax withholding and other</w:t>
            </w:r>
          </w:p>
        </w:tc>
        <w:tc>
          <w:tcPr>
            <w:tcW w:w="4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 of company stock</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(1,344)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(8,833)</w:t>
            </w:r>
          </w:p>
        </w:tc>
        <w:tc>
          <w:tcPr>
            <w:tcW w:w="0" w:type="dxa"/>
            <w:vAlign w:val="bottom"/>
          </w:tcPr>
          <w:p>
            <w:pPr>
              <w:spacing w:after="0"/>
              <w:rPr>
                <w:sz w:val="1"/>
                <w:szCs w:val="1"/>
                <w:color w:val="auto"/>
              </w:rPr>
            </w:pPr>
          </w:p>
        </w:tc>
      </w:tr>
      <w:tr>
        <w:trPr>
          <w:trHeight w:val="168"/>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Cash dividends</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(378)</w:t>
            </w:r>
          </w:p>
        </w:tc>
        <w:tc>
          <w:tcPr>
            <w:tcW w:w="0" w:type="dxa"/>
            <w:vAlign w:val="bottom"/>
          </w:tcPr>
          <w:p>
            <w:pPr>
              <w:spacing w:after="0"/>
              <w:rPr>
                <w:sz w:val="1"/>
                <w:szCs w:val="1"/>
                <w:color w:val="auto"/>
              </w:rPr>
            </w:pPr>
          </w:p>
        </w:tc>
      </w:tr>
      <w:tr>
        <w:trPr>
          <w:trHeight w:val="172"/>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w:t>
            </w:r>
          </w:p>
        </w:tc>
        <w:tc>
          <w:tcPr>
            <w:tcW w:w="0" w:type="dxa"/>
            <w:vAlign w:val="bottom"/>
          </w:tcPr>
          <w:p>
            <w:pPr>
              <w:spacing w:after="0"/>
              <w:rPr>
                <w:sz w:val="1"/>
                <w:szCs w:val="1"/>
                <w:color w:val="auto"/>
              </w:rPr>
            </w:pPr>
          </w:p>
        </w:tc>
      </w:tr>
      <w:tr>
        <w:trPr>
          <w:trHeight w:val="165"/>
        </w:trPr>
        <w:tc>
          <w:tcPr>
            <w:tcW w:w="446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5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3,120</w:t>
            </w:r>
          </w:p>
        </w:tc>
        <w:tc>
          <w:tcPr>
            <w:tcW w:w="0" w:type="dxa"/>
            <w:vAlign w:val="bottom"/>
          </w:tcPr>
          <w:p>
            <w:pPr>
              <w:spacing w:after="0"/>
              <w:rPr>
                <w:sz w:val="1"/>
                <w:szCs w:val="1"/>
                <w:color w:val="auto"/>
              </w:rPr>
            </w:pPr>
          </w:p>
        </w:tc>
      </w:tr>
      <w:tr>
        <w:trPr>
          <w:trHeight w:val="163"/>
        </w:trPr>
        <w:tc>
          <w:tcPr>
            <w:tcW w:w="3720" w:type="dxa"/>
            <w:vAlign w:val="bottom"/>
          </w:tcPr>
          <w:p>
            <w:pPr>
              <w:ind w:left="20"/>
              <w:spacing w:after="0"/>
              <w:rPr>
                <w:sz w:val="20"/>
                <w:szCs w:val="20"/>
                <w:color w:val="auto"/>
              </w:rPr>
            </w:pPr>
            <w:r>
              <w:rPr>
                <w:rFonts w:ascii="Arial" w:cs="Arial" w:eastAsia="Arial" w:hAnsi="Arial"/>
                <w:sz w:val="13"/>
                <w:szCs w:val="13"/>
                <w:b w:val="1"/>
                <w:bCs w:val="1"/>
                <w:color w:val="auto"/>
              </w:rPr>
              <w:t>Balances, June 30, 2022</w:t>
            </w:r>
          </w:p>
        </w:tc>
        <w:tc>
          <w:tcPr>
            <w:tcW w:w="7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12,493</w:t>
            </w:r>
          </w:p>
        </w:tc>
        <w:tc>
          <w:tcPr>
            <w:tcW w:w="10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718"/>
              <w:spacing w:after="0"/>
              <w:rPr>
                <w:sz w:val="20"/>
                <w:szCs w:val="20"/>
                <w:color w:val="auto"/>
              </w:rPr>
            </w:pPr>
            <w:r>
              <w:rPr>
                <w:rFonts w:ascii="Arial" w:cs="Arial" w:eastAsia="Arial" w:hAnsi="Arial"/>
                <w:sz w:val="13"/>
                <w:szCs w:val="13"/>
                <w:b w:val="1"/>
                <w:bCs w:val="1"/>
                <w:color w:val="auto"/>
                <w:w w:val="82"/>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131,075</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(98,437)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(1,123)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31,516</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34" w:right="39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For the years ended June 30,</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0"/>
        </w:trPr>
        <w:tc>
          <w:tcPr>
            <w:tcW w:w="6460" w:type="dxa"/>
            <w:vAlign w:val="bottom"/>
          </w:tcPr>
          <w:p>
            <w:pPr>
              <w:spacing w:after="0"/>
              <w:rPr>
                <w:sz w:val="13"/>
                <w:szCs w:val="1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2020</w:t>
            </w:r>
          </w:p>
        </w:tc>
      </w:tr>
      <w:tr>
        <w:trPr>
          <w:trHeight w:val="139"/>
        </w:trPr>
        <w:tc>
          <w:tcPr>
            <w:tcW w:w="646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76"/>
        </w:trPr>
        <w:tc>
          <w:tcPr>
            <w:tcW w:w="6460" w:type="dxa"/>
            <w:vAlign w:val="bottom"/>
          </w:tcPr>
          <w:p>
            <w:pPr>
              <w:ind w:left="280"/>
              <w:spacing w:after="0"/>
              <w:rPr>
                <w:sz w:val="20"/>
                <w:szCs w:val="20"/>
                <w:color w:val="auto"/>
              </w:rPr>
            </w:pPr>
            <w:r>
              <w:rPr>
                <w:rFonts w:ascii="Arial" w:cs="Arial" w:eastAsia="Arial" w:hAnsi="Arial"/>
                <w:sz w:val="13"/>
                <w:szCs w:val="13"/>
                <w:color w:val="auto"/>
              </w:rPr>
              <w:t>Net income</w:t>
            </w: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3,120</w:t>
            </w:r>
          </w:p>
        </w:tc>
        <w:tc>
          <w:tcPr>
            <w:tcW w:w="100" w:type="dxa"/>
            <w:vAlign w:val="bottom"/>
          </w:tcPr>
          <w:p>
            <w:pPr>
              <w:spacing w:after="0"/>
              <w:rPr>
                <w:sz w:val="15"/>
                <w:szCs w:val="15"/>
                <w:color w:val="auto"/>
              </w:rPr>
            </w:pPr>
          </w:p>
        </w:tc>
        <w:tc>
          <w:tcPr>
            <w:tcW w:w="360" w:type="dxa"/>
            <w:vAlign w:val="bottom"/>
          </w:tcPr>
          <w:p>
            <w:pPr>
              <w:jc w:val="right"/>
              <w:ind w:right="216"/>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12,894</w:t>
            </w:r>
          </w:p>
        </w:tc>
        <w:tc>
          <w:tcPr>
            <w:tcW w:w="100" w:type="dxa"/>
            <w:vAlign w:val="bottom"/>
          </w:tcPr>
          <w:p>
            <w:pPr>
              <w:spacing w:after="0"/>
              <w:rPr>
                <w:sz w:val="15"/>
                <w:szCs w:val="15"/>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11,549</w:t>
            </w:r>
          </w:p>
        </w:tc>
      </w:tr>
      <w:tr>
        <w:trPr>
          <w:trHeight w:val="185"/>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76"/>
        </w:trPr>
        <w:tc>
          <w:tcPr>
            <w:tcW w:w="6460" w:type="dxa"/>
            <w:vAlign w:val="bottom"/>
          </w:tcPr>
          <w:p>
            <w:pPr>
              <w:ind w:left="52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3,261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3,460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2,777</w:t>
            </w: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Stock-based compensation</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4,919</w:t>
            </w:r>
          </w:p>
        </w:tc>
      </w:tr>
      <w:tr>
        <w:trPr>
          <w:trHeight w:val="176"/>
        </w:trPr>
        <w:tc>
          <w:tcPr>
            <w:tcW w:w="6460" w:type="dxa"/>
            <w:vAlign w:val="bottom"/>
          </w:tcPr>
          <w:p>
            <w:pPr>
              <w:ind w:left="520"/>
              <w:spacing w:after="0"/>
              <w:rPr>
                <w:sz w:val="20"/>
                <w:szCs w:val="20"/>
                <w:color w:val="auto"/>
              </w:rPr>
            </w:pPr>
            <w:r>
              <w:rPr>
                <w:rFonts w:ascii="Arial" w:cs="Arial" w:eastAsia="Arial" w:hAnsi="Arial"/>
                <w:sz w:val="13"/>
                <w:szCs w:val="13"/>
                <w:color w:val="auto"/>
              </w:rPr>
              <w:t>Amortization of right-of-use assets</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2,365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2,323</w:t>
            </w: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Impairment of investment</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6460" w:type="dxa"/>
            <w:vAlign w:val="bottom"/>
          </w:tcPr>
          <w:p>
            <w:pPr>
              <w:ind w:left="520"/>
              <w:spacing w:after="0"/>
              <w:rPr>
                <w:sz w:val="20"/>
                <w:szCs w:val="20"/>
                <w:color w:val="auto"/>
              </w:rPr>
            </w:pPr>
            <w:r>
              <w:rPr>
                <w:rFonts w:ascii="Arial" w:cs="Arial" w:eastAsia="Arial" w:hAnsi="Arial"/>
                <w:sz w:val="13"/>
                <w:szCs w:val="13"/>
                <w:color w:val="auto"/>
              </w:rPr>
              <w:t>Gain on sale of fixed assets</w:t>
            </w:r>
          </w:p>
        </w:tc>
        <w:tc>
          <w:tcPr>
            <w:tcW w:w="9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Amortization of deferred financing fees</w:t>
            </w:r>
          </w:p>
        </w:tc>
        <w:tc>
          <w:tcPr>
            <w:tcW w:w="9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r>
      <w:tr>
        <w:trPr>
          <w:trHeight w:val="176"/>
        </w:trPr>
        <w:tc>
          <w:tcPr>
            <w:tcW w:w="6460" w:type="dxa"/>
            <w:vAlign w:val="bottom"/>
          </w:tcPr>
          <w:p>
            <w:pPr>
              <w:ind w:left="520"/>
              <w:spacing w:after="0"/>
              <w:rPr>
                <w:sz w:val="20"/>
                <w:szCs w:val="20"/>
                <w:color w:val="auto"/>
              </w:rPr>
            </w:pPr>
            <w:r>
              <w:rPr>
                <w:rFonts w:ascii="Arial" w:cs="Arial" w:eastAsia="Arial" w:hAnsi="Arial"/>
                <w:sz w:val="13"/>
                <w:szCs w:val="13"/>
                <w:color w:val="auto"/>
              </w:rPr>
              <w:t>Amortization of debt discount</w:t>
            </w:r>
          </w:p>
        </w:tc>
        <w:tc>
          <w:tcPr>
            <w:tcW w:w="9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Deferred income tax</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r>
      <w:tr>
        <w:trPr>
          <w:trHeight w:val="176"/>
        </w:trPr>
        <w:tc>
          <w:tcPr>
            <w:tcW w:w="6460" w:type="dxa"/>
            <w:vAlign w:val="bottom"/>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Accounts receivable</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r>
      <w:tr>
        <w:trPr>
          <w:trHeight w:val="176"/>
        </w:trPr>
        <w:tc>
          <w:tcPr>
            <w:tcW w:w="6460" w:type="dxa"/>
            <w:vAlign w:val="bottom"/>
          </w:tcPr>
          <w:p>
            <w:pPr>
              <w:ind w:left="520"/>
              <w:spacing w:after="0"/>
              <w:rPr>
                <w:sz w:val="20"/>
                <w:szCs w:val="20"/>
                <w:color w:val="auto"/>
              </w:rPr>
            </w:pPr>
            <w:r>
              <w:rPr>
                <w:rFonts w:ascii="Arial" w:cs="Arial" w:eastAsia="Arial" w:hAnsi="Arial"/>
                <w:sz w:val="13"/>
                <w:szCs w:val="13"/>
                <w:color w:val="auto"/>
              </w:rPr>
              <w:t>Income tax receivable</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(1,036)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1,237</w:t>
            </w: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Inventory, net</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r>
      <w:tr>
        <w:trPr>
          <w:trHeight w:val="176"/>
        </w:trPr>
        <w:tc>
          <w:tcPr>
            <w:tcW w:w="6460" w:type="dxa"/>
            <w:vAlign w:val="bottom"/>
          </w:tcPr>
          <w:p>
            <w:pPr>
              <w:ind w:left="520"/>
              <w:spacing w:after="0"/>
              <w:rPr>
                <w:sz w:val="20"/>
                <w:szCs w:val="20"/>
                <w:color w:val="auto"/>
              </w:rPr>
            </w:pPr>
            <w:r>
              <w:rPr>
                <w:rFonts w:ascii="Arial" w:cs="Arial" w:eastAsia="Arial" w:hAnsi="Arial"/>
                <w:sz w:val="13"/>
                <w:szCs w:val="13"/>
                <w:color w:val="auto"/>
              </w:rPr>
              <w:t>Prepaid expenses and other</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Other long-term assets</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r>
      <w:tr>
        <w:trPr>
          <w:trHeight w:val="176"/>
        </w:trPr>
        <w:tc>
          <w:tcPr>
            <w:tcW w:w="6460" w:type="dxa"/>
            <w:vAlign w:val="bottom"/>
          </w:tcPr>
          <w:p>
            <w:pPr>
              <w:ind w:left="520"/>
              <w:spacing w:after="0"/>
              <w:rPr>
                <w:sz w:val="20"/>
                <w:szCs w:val="20"/>
                <w:color w:val="auto"/>
              </w:rPr>
            </w:pPr>
            <w:r>
              <w:rPr>
                <w:rFonts w:ascii="Arial" w:cs="Arial" w:eastAsia="Arial" w:hAnsi="Arial"/>
                <w:sz w:val="13"/>
                <w:szCs w:val="13"/>
                <w:color w:val="auto"/>
              </w:rPr>
              <w:t>Accounts payable</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3,214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(1,648)</w:t>
            </w: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Income tax payable</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r>
      <w:tr>
        <w:trPr>
          <w:trHeight w:val="176"/>
        </w:trPr>
        <w:tc>
          <w:tcPr>
            <w:tcW w:w="6460" w:type="dxa"/>
            <w:vAlign w:val="bottom"/>
          </w:tcPr>
          <w:p>
            <w:pPr>
              <w:ind w:left="520"/>
              <w:spacing w:after="0"/>
              <w:rPr>
                <w:sz w:val="20"/>
                <w:szCs w:val="20"/>
                <w:color w:val="auto"/>
              </w:rPr>
            </w:pPr>
            <w:r>
              <w:rPr>
                <w:rFonts w:ascii="Arial" w:cs="Arial" w:eastAsia="Arial" w:hAnsi="Arial"/>
                <w:sz w:val="13"/>
                <w:szCs w:val="13"/>
                <w:color w:val="auto"/>
              </w:rPr>
              <w:t>Other accrued expenses</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357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432</w:t>
            </w:r>
          </w:p>
        </w:tc>
      </w:tr>
      <w:tr>
        <w:trPr>
          <w:trHeight w:val="185"/>
        </w:trPr>
        <w:tc>
          <w:tcPr>
            <w:tcW w:w="64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Lease liabilities</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(2,698)</w:t>
            </w:r>
          </w:p>
        </w:tc>
      </w:tr>
      <w:tr>
        <w:trPr>
          <w:trHeight w:val="176"/>
        </w:trPr>
        <w:tc>
          <w:tcPr>
            <w:tcW w:w="646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Other long-term liabilities</w:t>
            </w: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r>
      <w:tr>
        <w:trPr>
          <w:trHeight w:val="175"/>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7,959</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16,273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18,326</w:t>
            </w:r>
          </w:p>
        </w:tc>
      </w:tr>
      <w:tr>
        <w:trPr>
          <w:trHeight w:val="157"/>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4"/>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 of equipment</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(2,681)</w:t>
            </w:r>
          </w:p>
        </w:tc>
      </w:tr>
      <w:tr>
        <w:trPr>
          <w:trHeight w:val="176"/>
        </w:trPr>
        <w:tc>
          <w:tcPr>
            <w:tcW w:w="6460" w:type="dxa"/>
            <w:vAlign w:val="bottom"/>
          </w:tcPr>
          <w:p>
            <w:pPr>
              <w:ind w:left="280"/>
              <w:spacing w:after="0"/>
              <w:rPr>
                <w:sz w:val="20"/>
                <w:szCs w:val="20"/>
                <w:color w:val="auto"/>
              </w:rPr>
            </w:pPr>
            <w:r>
              <w:rPr>
                <w:rFonts w:ascii="Arial" w:cs="Arial" w:eastAsia="Arial" w:hAnsi="Arial"/>
                <w:sz w:val="13"/>
                <w:szCs w:val="13"/>
                <w:color w:val="auto"/>
              </w:rPr>
              <w:t>Proceeds from sale of fixed assets</w:t>
            </w:r>
          </w:p>
        </w:tc>
        <w:tc>
          <w:tcPr>
            <w:tcW w:w="9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Investing Activities</w:t>
            </w: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(1,530)</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(3,734)</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(2,681)</w:t>
            </w:r>
          </w:p>
        </w:tc>
      </w:tr>
      <w:tr>
        <w:trPr>
          <w:trHeight w:val="157"/>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4"/>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Repurchase of company stock</w:t>
            </w: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(5,405)</w:t>
            </w:r>
          </w:p>
        </w:tc>
      </w:tr>
      <w:tr>
        <w:trPr>
          <w:trHeight w:val="176"/>
        </w:trPr>
        <w:tc>
          <w:tcPr>
            <w:tcW w:w="6460" w:type="dxa"/>
            <w:vAlign w:val="bottom"/>
          </w:tcPr>
          <w:p>
            <w:pPr>
              <w:ind w:left="280"/>
              <w:spacing w:after="0"/>
              <w:rPr>
                <w:sz w:val="20"/>
                <w:szCs w:val="20"/>
                <w:color w:val="auto"/>
              </w:rPr>
            </w:pPr>
            <w:r>
              <w:rPr>
                <w:rFonts w:ascii="Arial" w:cs="Arial" w:eastAsia="Arial" w:hAnsi="Arial"/>
                <w:sz w:val="13"/>
                <w:szCs w:val="13"/>
                <w:color w:val="auto"/>
              </w:rPr>
              <w:t>Payment of cash dividends</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5"/>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Payment on term loan</w:t>
            </w:r>
          </w:p>
        </w:tc>
        <w:tc>
          <w:tcPr>
            <w:tcW w:w="9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r>
      <w:tr>
        <w:trPr>
          <w:trHeight w:val="176"/>
        </w:trPr>
        <w:tc>
          <w:tcPr>
            <w:tcW w:w="6460" w:type="dxa"/>
            <w:vAlign w:val="bottom"/>
          </w:tcPr>
          <w:p>
            <w:pPr>
              <w:ind w:left="280"/>
              <w:spacing w:after="0"/>
              <w:rPr>
                <w:sz w:val="20"/>
                <w:szCs w:val="20"/>
                <w:color w:val="auto"/>
              </w:rPr>
            </w:pPr>
            <w:r>
              <w:rPr>
                <w:rFonts w:ascii="Arial" w:cs="Arial" w:eastAsia="Arial" w:hAnsi="Arial"/>
                <w:sz w:val="13"/>
                <w:szCs w:val="13"/>
                <w:color w:val="auto"/>
              </w:rPr>
              <w:t>Shares purchased as payment of tax withholding and other</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(6,246)</w:t>
            </w:r>
          </w:p>
        </w:tc>
      </w:tr>
      <w:tr>
        <w:trPr>
          <w:trHeight w:val="185"/>
        </w:trPr>
        <w:tc>
          <w:tcPr>
            <w:tcW w:w="64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common stock issued under employee stock purchase plan</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w:t>
            </w:r>
          </w:p>
        </w:tc>
      </w:tr>
      <w:tr>
        <w:trPr>
          <w:trHeight w:val="176"/>
        </w:trPr>
        <w:tc>
          <w:tcPr>
            <w:tcW w:w="64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Exercise of options and warrants</w:t>
            </w: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w:t>
            </w:r>
          </w:p>
        </w:tc>
      </w:tr>
      <w:tr>
        <w:trPr>
          <w:trHeight w:val="175"/>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Used in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(8,952)</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(11,453)</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(12,422)</w:t>
            </w:r>
          </w:p>
        </w:tc>
      </w:tr>
      <w:tr>
        <w:trPr>
          <w:trHeight w:val="167"/>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Foreign Currency Effect on Cash</w:t>
            </w:r>
          </w:p>
        </w:tc>
        <w:tc>
          <w:tcPr>
            <w:tcW w:w="9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91</w:t>
            </w:r>
          </w:p>
        </w:tc>
      </w:tr>
      <w:tr>
        <w:trPr>
          <w:trHeight w:val="185"/>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(Decrease) Increase in Cash and Cash Equivalents</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1,036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3,314</w:t>
            </w:r>
          </w:p>
        </w:tc>
      </w:tr>
      <w:tr>
        <w:trPr>
          <w:trHeight w:val="176"/>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 beginning of period</w:t>
            </w: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23,174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22,138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18,824</w:t>
            </w:r>
          </w:p>
        </w:tc>
      </w:tr>
      <w:tr>
        <w:trPr>
          <w:trHeight w:val="197"/>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 end of period</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b w:val="1"/>
                <w:bCs w:val="1"/>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20,190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b w:val="1"/>
                <w:bCs w:val="1"/>
                <w:color w:val="auto"/>
                <w:w w:val="82"/>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23,174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3"/>
                <w:szCs w:val="13"/>
                <w:b w:val="1"/>
                <w:bCs w:val="1"/>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22,138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4" w:right="35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 (CONTINUED)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4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rPr>
              <w:t>For the years ended June 30,</w:t>
            </w: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0"/>
        </w:trPr>
        <w:tc>
          <w:tcPr>
            <w:tcW w:w="6460" w:type="dxa"/>
            <w:vAlign w:val="bottom"/>
          </w:tcPr>
          <w:p>
            <w:pPr>
              <w:spacing w:after="0"/>
              <w:rPr>
                <w:sz w:val="13"/>
                <w:szCs w:val="13"/>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1"/>
                <w:szCs w:val="11"/>
                <w:b w:val="1"/>
                <w:bCs w:val="1"/>
                <w:color w:val="auto"/>
              </w:rPr>
              <w:t>2021</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2020</w:t>
            </w:r>
          </w:p>
        </w:tc>
      </w:tr>
      <w:tr>
        <w:trPr>
          <w:trHeight w:val="139"/>
        </w:trPr>
        <w:tc>
          <w:tcPr>
            <w:tcW w:w="6460" w:type="dxa"/>
            <w:vAlign w:val="bottom"/>
          </w:tcPr>
          <w:p>
            <w:pPr>
              <w:ind w:left="20"/>
              <w:spacing w:after="0"/>
              <w:rPr>
                <w:sz w:val="20"/>
                <w:szCs w:val="20"/>
                <w:color w:val="auto"/>
              </w:rPr>
            </w:pPr>
            <w:r>
              <w:rPr>
                <w:rFonts w:ascii="Arial" w:cs="Arial" w:eastAsia="Arial" w:hAnsi="Arial"/>
                <w:sz w:val="11"/>
                <w:szCs w:val="11"/>
                <w:i w:val="1"/>
                <w:iCs w:val="1"/>
                <w:color w:val="auto"/>
              </w:rPr>
              <w:t>(In thousands)</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90"/>
        </w:trPr>
        <w:tc>
          <w:tcPr>
            <w:tcW w:w="64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Non Cash Investing and Financing Activities:</w:t>
            </w: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Increase in property and equipment and lease liabilities from lease incentives</w:t>
            </w:r>
          </w:p>
        </w:tc>
        <w:tc>
          <w:tcPr>
            <w:tcW w:w="1020" w:type="dxa"/>
            <w:vAlign w:val="bottom"/>
          </w:tcPr>
          <w:p>
            <w:pPr>
              <w:jc w:val="right"/>
              <w:ind w:right="875"/>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3,543</w:t>
            </w:r>
          </w:p>
        </w:tc>
        <w:tc>
          <w:tcPr>
            <w:tcW w:w="100" w:type="dxa"/>
            <w:vAlign w:val="bottom"/>
          </w:tcPr>
          <w:p>
            <w:pPr>
              <w:spacing w:after="0"/>
              <w:rPr>
                <w:sz w:val="15"/>
                <w:szCs w:val="15"/>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1"/>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Conversion of convertible notes receivable to equity securities</w:t>
            </w: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2,205</w:t>
            </w:r>
          </w:p>
        </w:tc>
      </w:tr>
      <w:tr>
        <w:trPr>
          <w:trHeight w:val="177"/>
        </w:trPr>
        <w:tc>
          <w:tcPr>
            <w:tcW w:w="646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4"/>
        </w:trPr>
        <w:tc>
          <w:tcPr>
            <w:tcW w:w="6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w:t>
            </w:r>
          </w:p>
        </w:tc>
        <w:tc>
          <w:tcPr>
            <w:tcW w:w="1020" w:type="dxa"/>
            <w:vAlign w:val="bottom"/>
            <w:shd w:val="clear" w:color="auto" w:fill="CCEEFF"/>
          </w:tcPr>
          <w:p>
            <w:pPr>
              <w:jc w:val="right"/>
              <w:ind w:right="875"/>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80"/>
        </w:trPr>
        <w:tc>
          <w:tcPr>
            <w:tcW w:w="6460" w:type="dxa"/>
            <w:vAlign w:val="bottom"/>
          </w:tcPr>
          <w:p>
            <w:pPr>
              <w:ind w:left="280"/>
              <w:spacing w:after="0"/>
              <w:rPr>
                <w:sz w:val="20"/>
                <w:szCs w:val="20"/>
                <w:color w:val="auto"/>
              </w:rPr>
            </w:pPr>
            <w:r>
              <w:rPr>
                <w:rFonts w:ascii="Arial" w:cs="Arial" w:eastAsia="Arial" w:hAnsi="Arial"/>
                <w:sz w:val="14"/>
                <w:szCs w:val="14"/>
                <w:color w:val="auto"/>
              </w:rPr>
              <w:t>Cash paid for income taxes</w:t>
            </w:r>
          </w:p>
        </w:tc>
        <w:tc>
          <w:tcPr>
            <w:tcW w:w="1020" w:type="dxa"/>
            <w:vAlign w:val="bottom"/>
          </w:tcPr>
          <w:p>
            <w:pPr>
              <w:jc w:val="right"/>
              <w:ind w:right="875"/>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2,601</w:t>
            </w:r>
          </w:p>
        </w:tc>
        <w:tc>
          <w:tcPr>
            <w:tcW w:w="100" w:type="dxa"/>
            <w:vAlign w:val="bottom"/>
          </w:tcPr>
          <w:p>
            <w:pPr>
              <w:spacing w:after="0"/>
              <w:rPr>
                <w:sz w:val="15"/>
                <w:szCs w:val="15"/>
                <w:color w:val="auto"/>
              </w:rPr>
            </w:pPr>
          </w:p>
        </w:tc>
        <w:tc>
          <w:tcPr>
            <w:tcW w:w="360" w:type="dxa"/>
            <w:vAlign w:val="bottom"/>
          </w:tcPr>
          <w:p>
            <w:pPr>
              <w:jc w:val="right"/>
              <w:ind w:right="215"/>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4,017</w:t>
            </w:r>
          </w:p>
        </w:tc>
        <w:tc>
          <w:tcPr>
            <w:tcW w:w="100" w:type="dxa"/>
            <w:vAlign w:val="bottom"/>
          </w:tcPr>
          <w:p>
            <w:pPr>
              <w:spacing w:after="0"/>
              <w:rPr>
                <w:sz w:val="15"/>
                <w:szCs w:val="15"/>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1,623</w:t>
            </w:r>
          </w:p>
        </w:tc>
      </w:tr>
    </w:tbl>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34" w:right="359" w:bottom="1440" w:gutter="0" w:footer="0" w:header="0"/>
        </w:sectPr>
      </w:pPr>
    </w:p>
    <w:bookmarkStart w:id="65" w:name="page66"/>
    <w:bookmarkEnd w:id="65"/>
    <w:p>
      <w:pPr>
        <w:jc w:val="center"/>
        <w:ind w:right="-59"/>
        <w:spacing w:after="0"/>
        <w:rPr>
          <w:sz w:val="20"/>
          <w:szCs w:val="20"/>
          <w:color w:val="auto"/>
        </w:rPr>
      </w:pPr>
      <w:r>
        <w:rPr>
          <w:rFonts w:ascii="Arial" w:cs="Arial" w:eastAsia="Arial" w:hAnsi="Arial"/>
          <w:sz w:val="14"/>
          <w:szCs w:val="14"/>
          <w:b w:val="1"/>
          <w:bCs w:val="1"/>
          <w:color w:val="auto"/>
        </w:rPr>
        <w:t>LIFEVANTAGE CORPORATION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The Company</w:t>
      </w:r>
    </w:p>
    <w:p>
      <w:pPr>
        <w:spacing w:after="0" w:line="129"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LifeVantage Corporation (the "Company" or "we" or "our" or "us") is a company focused on nutrigenomics, the study of how nutrition and naturally occurring compounds affect human genes to support good health. The Company is dedicated to helping people achieve their health, wellness and financial goals. The Company provides quality, scientifically-validated products to customers and independent distributors as well as a financially rewarding commission-based direct sales opportunity to its independent distributors. LifeVantage sells its products in the United States, Mexico, Japan, Australia, Hong Kong, Canada, Thailand, the United Kingdom, the Netherlands, Germany, Taiwan, Austria, Spain, Ireland, Belgium, New Zealand, Singapore, and the Philippines. The Company also sells its products in a number of countries to customers for personal consumption only. In addition, the Company sells its products in China through a China approved cross-border e-commerce business model.</w:t>
      </w:r>
    </w:p>
    <w:p>
      <w:pPr>
        <w:spacing w:after="0" w:line="86" w:lineRule="exact"/>
        <w:rPr>
          <w:sz w:val="20"/>
          <w:szCs w:val="20"/>
          <w:color w:val="auto"/>
        </w:rPr>
      </w:pPr>
    </w:p>
    <w:p>
      <w:pPr>
        <w:ind w:right="140" w:firstLine="255"/>
        <w:spacing w:after="0" w:line="218" w:lineRule="auto"/>
        <w:rPr>
          <w:sz w:val="20"/>
          <w:szCs w:val="20"/>
          <w:color w:val="auto"/>
        </w:rPr>
      </w:pPr>
      <w:r>
        <w:rPr>
          <w:rFonts w:ascii="Arial" w:cs="Arial" w:eastAsia="Arial" w:hAnsi="Arial"/>
          <w:sz w:val="14"/>
          <w:szCs w:val="14"/>
          <w:color w:val="auto"/>
        </w:rPr>
        <w:t>The Company engages in the identification, research, development, formulation and sale of advanced nutrigenomic activators, dietary supplements, nootropics, pre- and pro-biotics, weight management, skin and hair care, bath &amp; body, and targeted relief products. The Company’s line of scientifically validated dietary supplements includes its flagship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family of products,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ProBio, IC Bright</w:t>
      </w:r>
      <w:r>
        <w:rPr>
          <w:rFonts w:ascii="Arial" w:cs="Arial" w:eastAsia="Arial" w:hAnsi="Arial"/>
          <w:sz w:val="18"/>
          <w:szCs w:val="18"/>
          <w:color w:val="auto"/>
          <w:vertAlign w:val="superscript"/>
        </w:rPr>
        <w:t>®</w:t>
      </w:r>
      <w:r>
        <w:rPr>
          <w:rFonts w:ascii="Arial" w:cs="Arial" w:eastAsia="Arial" w:hAnsi="Arial"/>
          <w:sz w:val="14"/>
          <w:szCs w:val="14"/>
          <w:color w:val="auto"/>
        </w:rPr>
        <w:t>, and Daily Wellness dietary supplements.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is the Company's line of skin, hair, bath &amp; body, and targeted relief products. The Company also markets and sells Petandim</w:t>
      </w:r>
      <w:r>
        <w:rPr>
          <w:rFonts w:ascii="Arial" w:cs="Arial" w:eastAsia="Arial" w:hAnsi="Arial"/>
          <w:sz w:val="18"/>
          <w:szCs w:val="18"/>
          <w:color w:val="auto"/>
          <w:vertAlign w:val="superscript"/>
        </w:rPr>
        <w:t>®</w:t>
      </w:r>
      <w:r>
        <w:rPr>
          <w:rFonts w:ascii="Arial" w:cs="Arial" w:eastAsia="Arial" w:hAnsi="Arial"/>
          <w:sz w:val="14"/>
          <w:szCs w:val="14"/>
          <w:color w:val="auto"/>
        </w:rPr>
        <w:t>, its companion pet supplement formulated to combat oxidative stress in dogs, 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its nootropic energy drink mixes, and PhysIQ</w:t>
      </w:r>
      <w:r>
        <w:rPr>
          <w:rFonts w:ascii="Arial" w:cs="Arial" w:eastAsia="Arial" w:hAnsi="Arial"/>
          <w:sz w:val="18"/>
          <w:szCs w:val="18"/>
          <w:color w:val="auto"/>
          <w:vertAlign w:val="superscript"/>
        </w:rPr>
        <w:t>™</w:t>
      </w:r>
      <w:r>
        <w:rPr>
          <w:rFonts w:ascii="Arial" w:cs="Arial" w:eastAsia="Arial" w:hAnsi="Arial"/>
          <w:sz w:val="14"/>
          <w:szCs w:val="14"/>
          <w:color w:val="auto"/>
        </w:rPr>
        <w:t>, its smart weight management system.</w:t>
      </w:r>
    </w:p>
    <w:p>
      <w:pPr>
        <w:spacing w:after="0" w:line="109"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The Company was incorporated in Colorado in June 1988 under the name Andraplex Corporation. The Company changed its corporate name to Yaak River Resources, Inc. in January 1992, and subsequently changed it again in October 2004 to Lifeline Therapeutics, Inc. In October 2004 and March 2005, the Company acquired all of the outstanding common stock of Lifeline Nutraceuticals Corporation. In November 2006, the Company changed its name to LifeVantage Corporation.</w:t>
      </w:r>
    </w:p>
    <w:p>
      <w:pPr>
        <w:spacing w:after="0" w:line="8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In March 2018, following approval by the Company's stockholders at its fiscal year 2018 Annual Meeting of Stockholders, the Company changed its state of incorporation from Colorado to Delaware pursuant to a plan of conversion. All outstanding shares of common stock, options and share units of the Colorado corporation were converted into an equivalent share, option or share unit of the Delaware corporation and the par value of the Company's common stock was adjusted to $0.0001. All directors and officers of the Colorado corporation held the same position within the Delaware corporation on the date of reincorporation.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29" w:lineRule="exact"/>
        <w:rPr>
          <w:sz w:val="20"/>
          <w:szCs w:val="20"/>
          <w:color w:val="auto"/>
        </w:rPr>
      </w:pPr>
    </w:p>
    <w:p>
      <w:pPr>
        <w:ind w:right="600" w:firstLine="255"/>
        <w:spacing w:after="0" w:line="281" w:lineRule="auto"/>
        <w:rPr>
          <w:sz w:val="20"/>
          <w:szCs w:val="20"/>
          <w:color w:val="auto"/>
        </w:rPr>
      </w:pPr>
      <w:r>
        <w:rPr>
          <w:rFonts w:ascii="Arial" w:cs="Arial" w:eastAsia="Arial" w:hAnsi="Arial"/>
          <w:sz w:val="14"/>
          <w:szCs w:val="14"/>
          <w:color w:val="auto"/>
        </w:rPr>
        <w:t>The consolidated financial statements include the accounts of the Company and its wholly owned subsidiaries. All significant intercompany accounts and transactions are eliminated in consolidation. Certain other prior period balances have also been reclassified to conform to the current period presentation.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29" w:lineRule="exact"/>
        <w:rPr>
          <w:sz w:val="20"/>
          <w:szCs w:val="20"/>
          <w:color w:val="auto"/>
        </w:rPr>
      </w:pPr>
    </w:p>
    <w:p>
      <w:pPr>
        <w:ind w:right="60" w:firstLine="255"/>
        <w:spacing w:after="0" w:line="284" w:lineRule="auto"/>
        <w:rPr>
          <w:sz w:val="20"/>
          <w:szCs w:val="20"/>
          <w:color w:val="auto"/>
        </w:rPr>
      </w:pPr>
      <w:r>
        <w:rPr>
          <w:rFonts w:ascii="Arial" w:cs="Arial" w:eastAsia="Arial" w:hAnsi="Arial"/>
          <w:sz w:val="13"/>
          <w:szCs w:val="13"/>
          <w:color w:val="auto"/>
        </w:rPr>
        <w:t>The Company prepares the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119"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A portion of the Company’s business operations occurs outside the United States. The local currency of each of the Company’s subsidiaries generally is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as a component of comprehensive</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46" w:right="35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auto"/>
        </w:rPr>
        <w:t>income. Transaction gains and losses are included in other expense, net in the consolidated statements of operations and comprehensive income.</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29" w:lineRule="exact"/>
        <w:rPr>
          <w:sz w:val="20"/>
          <w:szCs w:val="20"/>
          <w:color w:val="auto"/>
        </w:rPr>
      </w:pPr>
    </w:p>
    <w:p>
      <w:pPr>
        <w:jc w:val="both"/>
        <w:ind w:right="140" w:firstLine="255"/>
        <w:spacing w:after="0" w:line="297" w:lineRule="auto"/>
        <w:rPr>
          <w:sz w:val="20"/>
          <w:szCs w:val="20"/>
          <w:color w:val="auto"/>
        </w:rPr>
      </w:pPr>
      <w:r>
        <w:rPr>
          <w:rFonts w:ascii="Arial" w:cs="Arial" w:eastAsia="Arial" w:hAnsi="Arial"/>
          <w:sz w:val="13"/>
          <w:szCs w:val="13"/>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71" w:lineRule="exact"/>
        <w:rPr>
          <w:sz w:val="20"/>
          <w:szCs w:val="20"/>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Level 1—Quoted prices for identical instruments in active markets;</w:t>
      </w:r>
    </w:p>
    <w:p>
      <w:pPr>
        <w:spacing w:after="0" w:line="114"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Level 3—Valuations derived from valuation techniques in which one or more significant inputs or significant value drivers are unobservable.</w:t>
      </w:r>
    </w:p>
    <w:p>
      <w:pPr>
        <w:spacing w:after="0" w:line="125"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Equity securities held by the Company are measured at fair value on a nonrecurring basis; that is, the assets are not measured at fair value on an ongoing basis but are instead subject to fair value adjustments using fair value measurements with unobservable inputs (level 3), in certain circumstances (e.g., when there is evidence of impairment).</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considers only its monetary liquid assets with original maturities of three months or less to be 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w:t>
      </w:r>
    </w:p>
    <w:p>
      <w:pPr>
        <w:spacing w:after="0" w:line="119"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The Company’s accounts receivable for the fiscal years ended June 30, 2022 and 2021 consist primarily of credit card receivables. Based on the Company’s verification process for customer credit cards and historical information available, management has determined that an allowance for doubtful accounts on credit card sales related to its customer sales as of June 30, 2022 or 2021 is not necessary. No bad debt expense was recorded for the fiscal years ended June 30, 2022, 2021 and 2020.</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Inventory</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June 30, 2022 and 2021, inventory consisted of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1"/>
                <w:szCs w:val="11"/>
                <w:b w:val="1"/>
                <w:bCs w:val="1"/>
                <w:color w:val="auto"/>
              </w:rPr>
              <w:t>As of June 30,</w:t>
            </w: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153"/>
        </w:trPr>
        <w:tc>
          <w:tcPr>
            <w:tcW w:w="43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1"/>
                <w:szCs w:val="11"/>
                <w:b w:val="1"/>
                <w:bCs w:val="1"/>
                <w:color w:val="auto"/>
              </w:rPr>
              <w:t>2022</w:t>
            </w: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529"/>
              <w:spacing w:after="0"/>
              <w:rPr>
                <w:sz w:val="20"/>
                <w:szCs w:val="20"/>
                <w:color w:val="auto"/>
              </w:rPr>
            </w:pPr>
            <w:r>
              <w:rPr>
                <w:rFonts w:ascii="Arial" w:cs="Arial" w:eastAsia="Arial" w:hAnsi="Arial"/>
                <w:sz w:val="11"/>
                <w:szCs w:val="11"/>
                <w:b w:val="1"/>
                <w:bCs w:val="1"/>
                <w:color w:val="auto"/>
                <w:w w:val="89"/>
              </w:rPr>
              <w:t>2021</w:t>
            </w:r>
          </w:p>
        </w:tc>
      </w:tr>
      <w:tr>
        <w:trPr>
          <w:trHeight w:val="177"/>
        </w:trPr>
        <w:tc>
          <w:tcPr>
            <w:tcW w:w="4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6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76.9 %</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12,225</w:t>
            </w:r>
          </w:p>
        </w:tc>
        <w:tc>
          <w:tcPr>
            <w:tcW w:w="1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75.7 %</w:t>
            </w:r>
          </w:p>
        </w:tc>
      </w:tr>
      <w:tr>
        <w:trPr>
          <w:trHeight w:val="180"/>
        </w:trPr>
        <w:tc>
          <w:tcPr>
            <w:tcW w:w="4340" w:type="dxa"/>
            <w:vAlign w:val="bottom"/>
          </w:tcPr>
          <w:p>
            <w:pPr>
              <w:ind w:left="20"/>
              <w:spacing w:after="0"/>
              <w:rPr>
                <w:sz w:val="20"/>
                <w:szCs w:val="20"/>
                <w:color w:val="auto"/>
              </w:rPr>
            </w:pPr>
            <w:r>
              <w:rPr>
                <w:rFonts w:ascii="Arial" w:cs="Arial" w:eastAsia="Arial" w:hAnsi="Arial"/>
                <w:sz w:val="14"/>
                <w:szCs w:val="14"/>
                <w:color w:val="auto"/>
              </w:rPr>
              <w:t>Raw materials</w:t>
            </w:r>
          </w:p>
        </w:tc>
        <w:tc>
          <w:tcPr>
            <w:tcW w:w="6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3,798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23.1 %</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3,920</w:t>
            </w:r>
          </w:p>
        </w:tc>
        <w:tc>
          <w:tcPr>
            <w:tcW w:w="1840" w:type="dxa"/>
            <w:vAlign w:val="bottom"/>
            <w:gridSpan w:val="3"/>
          </w:tcPr>
          <w:p>
            <w:pPr>
              <w:jc w:val="right"/>
              <w:spacing w:after="0"/>
              <w:rPr>
                <w:sz w:val="20"/>
                <w:szCs w:val="20"/>
                <w:color w:val="auto"/>
              </w:rPr>
            </w:pPr>
            <w:r>
              <w:rPr>
                <w:rFonts w:ascii="Arial" w:cs="Arial" w:eastAsia="Arial" w:hAnsi="Arial"/>
                <w:sz w:val="14"/>
                <w:szCs w:val="14"/>
                <w:color w:val="auto"/>
              </w:rPr>
              <w:t>24.3 %</w:t>
            </w:r>
          </w:p>
        </w:tc>
      </w:tr>
      <w:tr>
        <w:trPr>
          <w:trHeight w:val="196"/>
        </w:trPr>
        <w:tc>
          <w:tcPr>
            <w:tcW w:w="43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inventory</w:t>
            </w:r>
          </w:p>
        </w:tc>
        <w:tc>
          <w:tcPr>
            <w:tcW w:w="620" w:type="dxa"/>
            <w:vAlign w:val="bottom"/>
            <w:tcBorders>
              <w:top w:val="single" w:sz="8" w:color="auto"/>
              <w:bottom w:val="single" w:sz="8" w:color="auto"/>
            </w:tcBorders>
            <w:shd w:val="clear" w:color="auto" w:fill="CCEEFF"/>
          </w:tcPr>
          <w:p>
            <w:pPr>
              <w:jc w:val="right"/>
              <w:ind w:right="4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16,145</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Inventories are carried at the lower of cost or net realizable value, using the first-in, first-out method, which includes a reduction in inventory values of $1.3 million and $0.5 million at June 30, 2022 and 2021, respectively, related to obsolete and slow-moving inventory.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9220" w:type="dxa"/>
            <w:vAlign w:val="bottom"/>
          </w:tcPr>
          <w:p>
            <w:pPr>
              <w:ind w:left="240"/>
              <w:spacing w:after="0"/>
              <w:rPr>
                <w:sz w:val="20"/>
                <w:szCs w:val="20"/>
                <w:color w:val="auto"/>
              </w:rPr>
            </w:pPr>
            <w:r>
              <w:rPr>
                <w:rFonts w:ascii="Arial" w:cs="Arial" w:eastAsia="Arial" w:hAnsi="Arial"/>
                <w:sz w:val="14"/>
                <w:szCs w:val="14"/>
                <w:color w:val="auto"/>
              </w:rPr>
              <w:t>Property and equipment are recorded at cost and depreciated using the straight-line method over the following useful lives:</w:t>
            </w:r>
          </w:p>
        </w:tc>
        <w:tc>
          <w:tcPr>
            <w:tcW w:w="2040" w:type="dxa"/>
            <w:vAlign w:val="bottom"/>
          </w:tcPr>
          <w:p>
            <w:pPr>
              <w:spacing w:after="0"/>
              <w:rPr>
                <w:sz w:val="15"/>
                <w:szCs w:val="15"/>
                <w:color w:val="auto"/>
              </w:rPr>
            </w:pPr>
          </w:p>
        </w:tc>
      </w:tr>
      <w:tr>
        <w:trPr>
          <w:trHeight w:val="393"/>
        </w:trPr>
        <w:tc>
          <w:tcPr>
            <w:tcW w:w="9220" w:type="dxa"/>
            <w:vAlign w:val="bottom"/>
            <w:tcBorders>
              <w:bottom w:val="single" w:sz="8" w:color="CCEEFF"/>
            </w:tcBorders>
          </w:tcPr>
          <w:p>
            <w:pPr>
              <w:spacing w:after="0"/>
              <w:rPr>
                <w:sz w:val="24"/>
                <w:szCs w:val="24"/>
                <w:color w:val="auto"/>
              </w:rPr>
            </w:pPr>
          </w:p>
        </w:tc>
        <w:tc>
          <w:tcPr>
            <w:tcW w:w="204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Years</w:t>
            </w:r>
          </w:p>
        </w:tc>
      </w:tr>
      <w:tr>
        <w:trPr>
          <w:trHeight w:val="171"/>
        </w:trPr>
        <w:tc>
          <w:tcPr>
            <w:tcW w:w="9220" w:type="dxa"/>
            <w:vAlign w:val="bottom"/>
            <w:shd w:val="clear" w:color="auto" w:fill="CCEEFF"/>
          </w:tcPr>
          <w:p>
            <w:pPr>
              <w:spacing w:after="0"/>
              <w:rPr>
                <w:sz w:val="20"/>
                <w:szCs w:val="20"/>
                <w:color w:val="auto"/>
              </w:rPr>
            </w:pPr>
            <w:r>
              <w:rPr>
                <w:rFonts w:ascii="Arial" w:cs="Arial" w:eastAsia="Arial" w:hAnsi="Arial"/>
                <w:sz w:val="14"/>
                <w:szCs w:val="14"/>
                <w:color w:val="auto"/>
              </w:rPr>
              <w:t>Equipment (includes computer hardware and software)</w:t>
            </w: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3 - 5</w:t>
            </w:r>
          </w:p>
        </w:tc>
      </w:tr>
      <w:tr>
        <w:trPr>
          <w:trHeight w:val="180"/>
        </w:trPr>
        <w:tc>
          <w:tcPr>
            <w:tcW w:w="9220" w:type="dxa"/>
            <w:vAlign w:val="bottom"/>
          </w:tcPr>
          <w:p>
            <w:pPr>
              <w:spacing w:after="0"/>
              <w:rPr>
                <w:sz w:val="20"/>
                <w:szCs w:val="20"/>
                <w:color w:val="auto"/>
              </w:rPr>
            </w:pPr>
            <w:r>
              <w:rPr>
                <w:rFonts w:ascii="Arial" w:cs="Arial" w:eastAsia="Arial" w:hAnsi="Arial"/>
                <w:sz w:val="14"/>
                <w:szCs w:val="14"/>
                <w:color w:val="auto"/>
              </w:rPr>
              <w:t>Furniture and fixtures</w:t>
            </w:r>
          </w:p>
        </w:tc>
        <w:tc>
          <w:tcPr>
            <w:tcW w:w="204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181"/>
        </w:trPr>
        <w:tc>
          <w:tcPr>
            <w:tcW w:w="9220" w:type="dxa"/>
            <w:vAlign w:val="bottom"/>
            <w:shd w:val="clear" w:color="auto" w:fill="CCEEFF"/>
          </w:tcPr>
          <w:p>
            <w:pPr>
              <w:spacing w:after="0"/>
              <w:rPr>
                <w:sz w:val="20"/>
                <w:szCs w:val="20"/>
                <w:color w:val="auto"/>
              </w:rPr>
            </w:pPr>
            <w:r>
              <w:rPr>
                <w:rFonts w:ascii="Arial" w:cs="Arial" w:eastAsia="Arial" w:hAnsi="Arial"/>
                <w:sz w:val="14"/>
                <w:szCs w:val="14"/>
                <w:color w:val="auto"/>
              </w:rPr>
              <w:t>Vehicles</w:t>
            </w: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Leasehold improvements are depreciated over the shorter of estimated useful life of the related asset or the lease term.</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7" w:name="page68"/>
    <w:bookmarkEnd w:id="67"/>
    <w:p>
      <w:pPr>
        <w:ind w:right="20" w:firstLine="255"/>
        <w:spacing w:after="0" w:line="262" w:lineRule="auto"/>
        <w:rPr>
          <w:sz w:val="20"/>
          <w:szCs w:val="20"/>
          <w:color w:val="auto"/>
        </w:rPr>
      </w:pPr>
      <w:r>
        <w:rPr>
          <w:rFonts w:ascii="Arial" w:cs="Arial" w:eastAsia="Arial" w:hAnsi="Arial"/>
          <w:sz w:val="14"/>
          <w:szCs w:val="14"/>
          <w:color w:val="auto"/>
        </w:rPr>
        <w:t>The cost of normal maintenance and repairs is charged to expense as incurred. When an asset is sold or otherwise disposed of, the cost and associated accumulated depreciation are removed from the accounts and the resulting gain or loss is recognized in the consolidated statements of operations and comprehensive income in other expense, net. Significant expenditures that increase the useful life of an asset are capitalized and depreciated over the estimated useful life of the asset. Property and equipment are reviewed for impairment whenever events or changes in circumstances indicate that the carrying amount of such assets may not be recoverable.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w:t>
      </w:r>
    </w:p>
    <w:p>
      <w:pPr>
        <w:spacing w:after="0" w:line="129" w:lineRule="exact"/>
        <w:rPr>
          <w:sz w:val="20"/>
          <w:szCs w:val="20"/>
          <w:color w:val="auto"/>
        </w:rPr>
      </w:pPr>
    </w:p>
    <w:p>
      <w:pPr>
        <w:ind w:firstLine="255"/>
        <w:spacing w:after="0" w:line="319" w:lineRule="auto"/>
        <w:rPr>
          <w:sz w:val="20"/>
          <w:szCs w:val="20"/>
          <w:color w:val="auto"/>
        </w:rPr>
      </w:pPr>
      <w:r>
        <w:rPr>
          <w:rFonts w:ascii="Arial" w:cs="Arial" w:eastAsia="Arial" w:hAnsi="Arial"/>
          <w:sz w:val="12"/>
          <w:szCs w:val="12"/>
          <w:color w:val="auto"/>
        </w:rPr>
        <w:t>Intangible assets are stated at cost less accumulated amortization. Definite-lived intangible assets are amortized over their related useful lives, using a straight-line method, consistent with the underlying expected future cash flows related to the specific intangible asset. Definite-lived intangible assets are reviewed for impairment whenever events or changes in circumstances exist that indicate the carrying amount of an asset may not be recoverable. When indicators of impairment exist, an estimate of undiscounted net cash flows is used in measuring whether the carrying amount of the asset or related asset group is recoverable. Measurement of the amount of impairment, if any, is based upon the difference between the asset’s carrying value and estimated fair value.</w:t>
      </w:r>
    </w:p>
    <w:p>
      <w:pPr>
        <w:spacing w:after="0" w:line="62" w:lineRule="exact"/>
        <w:rPr>
          <w:sz w:val="20"/>
          <w:szCs w:val="20"/>
          <w:color w:val="auto"/>
        </w:rPr>
      </w:pPr>
    </w:p>
    <w:p>
      <w:pPr>
        <w:ind w:right="320" w:firstLine="255"/>
        <w:spacing w:after="0" w:line="267" w:lineRule="auto"/>
        <w:rPr>
          <w:sz w:val="20"/>
          <w:szCs w:val="20"/>
          <w:color w:val="auto"/>
        </w:rPr>
      </w:pPr>
      <w:r>
        <w:rPr>
          <w:rFonts w:ascii="Arial" w:cs="Arial" w:eastAsia="Arial" w:hAnsi="Arial"/>
          <w:sz w:val="14"/>
          <w:szCs w:val="14"/>
          <w:color w:val="auto"/>
        </w:rPr>
        <w:t>Indefinite-lived intangible assets are not amortized; however, they are tested at least annually for impairment or more frequently if events or changes in circumstances exist that may indicate impairment. An impairment loss is recognized if the carrying amount of the asset exceeds its fair value. Annual impairment tests on intangible assets were completed for the fiscal years ended June 30, 2022 and 2021, resulting in no impairment charges.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Impairment of Long-Lived Assets</w:t>
      </w:r>
    </w:p>
    <w:p>
      <w:pPr>
        <w:spacing w:after="0" w:line="129"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Pursuant to guidance established for impairment or disposal of assets, the Company assesses impairment whenever events or changes in circumstances indicate that the carrying amount of a long-lived asset may not be recoverable. When an assessment for impairment of long-lived assets, long-lived assets to be disposed of, and certain identifiable intangibles related to those assets is performed, the Company is required to compare the net carrying value of long-lived assets on the lowest level at which cash flows can be determined on a consistent basis to the related estimates of future undiscounted net cash flows for such assets. If the net carrying value exceeds the net cash flows, then an impairment is recognized to reduce the carrying value to the estimated fair value, generally equal to the future discounted net cash flow. For the fiscal years ended June 30, 2022 and 2021, management has concluded that there are no indications of impairment.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 of Credit Risk</w:t>
      </w:r>
    </w:p>
    <w:p>
      <w:pPr>
        <w:spacing w:after="0" w:line="119" w:lineRule="exact"/>
        <w:rPr>
          <w:sz w:val="20"/>
          <w:szCs w:val="20"/>
          <w:color w:val="auto"/>
        </w:rPr>
      </w:pPr>
    </w:p>
    <w:p>
      <w:pPr>
        <w:jc w:val="both"/>
        <w:ind w:right="220" w:firstLine="255"/>
        <w:spacing w:after="0" w:line="267" w:lineRule="auto"/>
        <w:rPr>
          <w:sz w:val="20"/>
          <w:szCs w:val="20"/>
          <w:color w:val="auto"/>
        </w:rPr>
      </w:pPr>
      <w:r>
        <w:rPr>
          <w:rFonts w:ascii="Arial" w:cs="Arial" w:eastAsia="Arial" w:hAnsi="Arial"/>
          <w:sz w:val="14"/>
          <w:szCs w:val="14"/>
          <w:color w:val="auto"/>
        </w:rPr>
        <w:t>Accounting guidance for financial instruments requires disclosure of significant concentrations of credit risk regardless of the degree of such risk. Financial instruments with significant credit risk include cash and cash equivalents. At June 30, 2022, the Company had $15.4 million in cash accounts at one financial institution and $4.8 million in other financial institutions. As of June 30, 2022 and 2021, and during the years then ended, the Company’s cash balances exceeded federally insured limits.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Commissions and Incentives</w:t>
      </w:r>
    </w:p>
    <w:p>
      <w:pPr>
        <w:spacing w:after="0" w:line="129" w:lineRule="exact"/>
        <w:rPr>
          <w:sz w:val="20"/>
          <w:szCs w:val="20"/>
          <w:color w:val="auto"/>
        </w:rPr>
      </w:pPr>
    </w:p>
    <w:p>
      <w:pPr>
        <w:ind w:right="20" w:firstLine="255"/>
        <w:spacing w:after="0" w:line="331" w:lineRule="auto"/>
        <w:rPr>
          <w:sz w:val="20"/>
          <w:szCs w:val="20"/>
          <w:color w:val="auto"/>
        </w:rPr>
      </w:pPr>
      <w:r>
        <w:rPr>
          <w:rFonts w:ascii="Arial" w:cs="Arial" w:eastAsia="Arial" w:hAnsi="Arial"/>
          <w:sz w:val="12"/>
          <w:szCs w:val="12"/>
          <w:color w:val="auto"/>
        </w:rPr>
        <w:t>Commissions and incentives expenses are the Company’s most significant expenses and are classified as operating expenses. Commissions and incentives expenses include sales commissions paid to the Company's independent distributors, special incentives, costs for incentive trips and other rewards. Commissions and incentives expenses do not include any amounts the Company pays to its independent distributors for personal purchases. Commissions paid to independent distributors on personal purchases are considered a sales discount and are reported as a reduction to net revenue.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Shipping and Handling</w:t>
      </w:r>
    </w:p>
    <w:p>
      <w:pPr>
        <w:spacing w:after="0" w:line="129"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Shipping and handling costs associated with inbound freight and freight out to customers, including independent distributors, are included in cost of sales. Shipping and handling fees charged to all customers are included in sales.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 Costs</w:t>
      </w:r>
    </w:p>
    <w:p>
      <w:pPr>
        <w:spacing w:after="0" w:line="119"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The Company expenses all costs related to research and development activities as incurred. Research and development expenses for the fiscal years ended June 30, 2022, 2021 and 2020 were $0.7 million, $0.7 million and $0.9 million,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29"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68" w:name="page69"/>
    <w:bookmarkEnd w:id="68"/>
    <w:p>
      <w:pPr>
        <w:ind w:right="20" w:firstLine="255"/>
        <w:spacing w:after="0" w:line="282" w:lineRule="auto"/>
        <w:rPr>
          <w:sz w:val="20"/>
          <w:szCs w:val="20"/>
          <w:color w:val="auto"/>
        </w:rPr>
      </w:pPr>
      <w:r>
        <w:rPr>
          <w:rFonts w:ascii="Arial" w:cs="Arial" w:eastAsia="Arial" w:hAnsi="Arial"/>
          <w:sz w:val="13"/>
          <w:szCs w:val="13"/>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the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29"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The Company estimates forfeitures based on historical information and other management assumptions. For awards with market-based performance conditions, the cost of the awards is recognized as the requisite service is rendered by employees, regardless of when, if ever, the market-based performance conditions are satisfied.</w:t>
      </w:r>
    </w:p>
    <w:p>
      <w:pPr>
        <w:spacing w:after="0" w:line="78"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82" w:lineRule="exact"/>
        <w:rPr>
          <w:sz w:val="20"/>
          <w:szCs w:val="20"/>
          <w:color w:val="auto"/>
        </w:rPr>
      </w:pPr>
    </w:p>
    <w:p>
      <w:pPr>
        <w:ind w:right="180" w:firstLine="255"/>
        <w:spacing w:after="0" w:line="260" w:lineRule="auto"/>
        <w:rPr>
          <w:sz w:val="20"/>
          <w:szCs w:val="20"/>
          <w:color w:val="auto"/>
        </w:rPr>
      </w:pPr>
      <w:r>
        <w:rPr>
          <w:rFonts w:ascii="Arial" w:cs="Arial" w:eastAsia="Arial" w:hAnsi="Arial"/>
          <w:sz w:val="14"/>
          <w:szCs w:val="14"/>
          <w:color w:val="auto"/>
        </w:rPr>
        <w:t>The fair value of restricted stock grants, including performance restricted stock units that include non-market based performance conditions, is based on the closing market price of the Company's stock on the date of grant less the Company's expected dividend yield.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29"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Per Share</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Basic income per common share is computed by dividing net income by the weighted-average number of common shares outstanding during the period, less unvested restricted stock awards.</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Diluted income per common share is computed by dividing net income by the weighted-average common shares and potentially dilutive common share equivalents using the treasury stock method.</w:t>
      </w:r>
    </w:p>
    <w:p>
      <w:pPr>
        <w:spacing w:after="0" w:line="138"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For the fiscal years ended June 30, 2022, 2021 and 2020, the effects of approximately 0.2 million, 0.1 million and 0.1 million common shares, respectively, issuable upon exercise of options and non-vested shares of restricted stock, are not included in the computations as their effect was anti-dilutive.</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69" w:name="page70"/>
    <w:bookmarkEnd w:id="69"/>
    <w:p>
      <w:pPr>
        <w:ind w:right="120" w:firstLine="255"/>
        <w:spacing w:after="0" w:line="281" w:lineRule="auto"/>
        <w:rPr>
          <w:sz w:val="20"/>
          <w:szCs w:val="20"/>
          <w:color w:val="auto"/>
        </w:rPr>
      </w:pPr>
      <w:r>
        <w:rPr>
          <w:rFonts w:ascii="Arial" w:cs="Arial" w:eastAsia="Arial" w:hAnsi="Arial"/>
          <w:sz w:val="14"/>
          <w:szCs w:val="14"/>
          <w:color w:val="auto"/>
        </w:rPr>
        <w:t>The following is a reconciliation of net income per share and the weighted-average common shares outstanding for purposes of computing basic and diluted net income per share (in thousands, except per share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0" w:type="dxa"/>
            <w:vAlign w:val="bottom"/>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Years ended June 30,</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153"/>
              <w:spacing w:after="0"/>
              <w:rPr>
                <w:sz w:val="20"/>
                <w:szCs w:val="20"/>
                <w:color w:val="auto"/>
              </w:rPr>
            </w:pPr>
            <w:r>
              <w:rPr>
                <w:rFonts w:ascii="Arial" w:cs="Arial" w:eastAsia="Arial" w:hAnsi="Arial"/>
                <w:sz w:val="11"/>
                <w:szCs w:val="11"/>
                <w:b w:val="1"/>
                <w:bCs w:val="1"/>
                <w:color w:val="auto"/>
              </w:rPr>
              <w:t>2022</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8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6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1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340" w:type="dxa"/>
            <w:vAlign w:val="bottom"/>
          </w:tcPr>
          <w:p>
            <w:pPr>
              <w:jc w:val="right"/>
              <w:ind w:right="1193"/>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3,120</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12,894</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11,549</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Basic weighted-average common shares outstanding</w:t>
            </w:r>
          </w:p>
        </w:tc>
        <w:tc>
          <w:tcPr>
            <w:tcW w:w="1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14,070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14,105</w:t>
            </w:r>
          </w:p>
        </w:tc>
        <w:tc>
          <w:tcPr>
            <w:tcW w:w="0" w:type="dxa"/>
            <w:vAlign w:val="bottom"/>
          </w:tcPr>
          <w:p>
            <w:pPr>
              <w:spacing w:after="0"/>
              <w:rPr>
                <w:sz w:val="1"/>
                <w:szCs w:val="1"/>
                <w:color w:val="auto"/>
              </w:rPr>
            </w:pP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dilutive securities:</w:t>
            </w:r>
          </w:p>
        </w:tc>
        <w:tc>
          <w:tcPr>
            <w:tcW w:w="1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Stock awards and options</w:t>
            </w: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weighted-average common shares outstanding</w:t>
            </w:r>
          </w:p>
        </w:tc>
        <w:tc>
          <w:tcPr>
            <w:tcW w:w="13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13,069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14,268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14,599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4"/>
                <w:szCs w:val="14"/>
                <w:color w:val="auto"/>
              </w:rPr>
              <w:t>Net income per share, basic</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0" w:type="dxa"/>
            <w:vAlign w:val="bottom"/>
            <w:vMerge w:val="continue"/>
          </w:tcPr>
          <w:p>
            <w:pPr>
              <w:spacing w:after="0"/>
              <w:rPr>
                <w:sz w:val="12"/>
                <w:szCs w:val="12"/>
                <w:color w:val="auto"/>
              </w:rPr>
            </w:pPr>
          </w:p>
        </w:tc>
        <w:tc>
          <w:tcPr>
            <w:tcW w:w="1340" w:type="dxa"/>
            <w:vAlign w:val="bottom"/>
            <w:tcBorders>
              <w:bottom w:val="single" w:sz="8" w:color="auto"/>
            </w:tcBorders>
          </w:tcPr>
          <w:p>
            <w:pPr>
              <w:jc w:val="right"/>
              <w:ind w:right="1193"/>
              <w:spacing w:after="0" w:line="143"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0.24</w:t>
            </w:r>
          </w:p>
        </w:tc>
        <w:tc>
          <w:tcPr>
            <w:tcW w:w="100" w:type="dxa"/>
            <w:vAlign w:val="bottom"/>
          </w:tcPr>
          <w:p>
            <w:pPr>
              <w:spacing w:after="0"/>
              <w:rPr>
                <w:sz w:val="12"/>
                <w:szCs w:val="12"/>
                <w:color w:val="auto"/>
              </w:rPr>
            </w:pPr>
          </w:p>
        </w:tc>
        <w:tc>
          <w:tcPr>
            <w:tcW w:w="280" w:type="dxa"/>
            <w:vAlign w:val="bottom"/>
            <w:tcBorders>
              <w:bottom w:val="single" w:sz="8" w:color="auto"/>
            </w:tcBorders>
          </w:tcPr>
          <w:p>
            <w:pPr>
              <w:jc w:val="right"/>
              <w:ind w:right="129"/>
              <w:spacing w:after="0" w:line="143" w:lineRule="exact"/>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0.92</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29"/>
              <w:spacing w:after="0" w:line="143"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0.82</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 per share, diluted</w:t>
            </w:r>
          </w:p>
        </w:tc>
        <w:tc>
          <w:tcPr>
            <w:tcW w:w="1340" w:type="dxa"/>
            <w:vAlign w:val="bottom"/>
            <w:tcBorders>
              <w:bottom w:val="single" w:sz="8" w:color="auto"/>
            </w:tcBorders>
            <w:shd w:val="clear" w:color="auto" w:fill="CCEEFF"/>
          </w:tcPr>
          <w:p>
            <w:pPr>
              <w:jc w:val="right"/>
              <w:ind w:right="1193"/>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0.90</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12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Company operates in a single operating segment by selling products directly to customers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 See disaggregated revenue in Note 3.</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Company's long-lived assets for its most significant geographic markets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3"/>
        </w:trPr>
        <w:tc>
          <w:tcPr>
            <w:tcW w:w="7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36"/>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4"/>
              <w:spacing w:after="0"/>
              <w:rPr>
                <w:sz w:val="20"/>
                <w:szCs w:val="20"/>
                <w:color w:val="auto"/>
              </w:rPr>
            </w:pPr>
            <w:r>
              <w:rPr>
                <w:rFonts w:ascii="Arial" w:cs="Arial" w:eastAsia="Arial" w:hAnsi="Arial"/>
                <w:sz w:val="11"/>
                <w:szCs w:val="11"/>
                <w:b w:val="1"/>
                <w:bCs w:val="1"/>
                <w:color w:val="auto"/>
              </w:rPr>
              <w:t>2021</w:t>
            </w:r>
          </w:p>
        </w:tc>
      </w:tr>
      <w:tr>
        <w:trPr>
          <w:trHeight w:val="17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19,790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22,696</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Japan</w:t>
            </w: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3,363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Accounting Pronouncements</w:t>
      </w:r>
    </w:p>
    <w:p>
      <w:pPr>
        <w:spacing w:after="0" w:line="129"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 xml:space="preserve">In February 2016, the Financial Accounting Standards Board (“FASB”) issued Accounting Standards Update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which requires all lessees to recognize both a right-of-use asset and lease liability on its balance sheet, representing the obligation to make payments and the right to use or control the use of a specified asset for the lease term. The Company adopted Topic 842 on July 1, 2019, using the modified retrospective transition method. The Company elected the practical expedients available under the provisions of the new standard, including: not reassessing whether expired or existing contracts are or contain leases; not reassessing the classification of expired or existing leases; not reassessing the initial direct cost for any existing leases; and using hindsight in determining the lease term. Upon adoption, the Company recognized cumulative operating lease liabilities of $3.9 million and operating right-of-use assets of $3.3 million. Additionally, a one-time beginning balance adjustment of $0.5 million was recognized in the condensed consolidated statement of stockholders’ equity due to an update to the expected term of an operating lease.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Revenue</w:t>
      </w:r>
    </w:p>
    <w:p>
      <w:pPr>
        <w:spacing w:after="0" w:line="119" w:lineRule="exact"/>
        <w:rPr>
          <w:sz w:val="20"/>
          <w:szCs w:val="20"/>
          <w:color w:val="auto"/>
        </w:rPr>
      </w:pPr>
    </w:p>
    <w:p>
      <w:pPr>
        <w:ind w:right="420" w:firstLine="255"/>
        <w:spacing w:after="0" w:line="321" w:lineRule="auto"/>
        <w:rPr>
          <w:sz w:val="20"/>
          <w:szCs w:val="20"/>
          <w:color w:val="auto"/>
        </w:rPr>
      </w:pPr>
      <w:r>
        <w:rPr>
          <w:rFonts w:ascii="Arial" w:cs="Arial" w:eastAsia="Arial" w:hAnsi="Arial"/>
          <w:sz w:val="13"/>
          <w:szCs w:val="13"/>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51" w:lineRule="exact"/>
        <w:rPr>
          <w:sz w:val="20"/>
          <w:szCs w:val="20"/>
          <w:color w:val="auto"/>
        </w:rPr>
      </w:pPr>
    </w:p>
    <w:p>
      <w:pPr>
        <w:ind w:right="20" w:firstLine="255"/>
        <w:spacing w:after="0" w:line="231" w:lineRule="auto"/>
        <w:rPr>
          <w:sz w:val="20"/>
          <w:szCs w:val="20"/>
          <w:color w:val="auto"/>
        </w:rPr>
      </w:pPr>
      <w:r>
        <w:rPr>
          <w:rFonts w:ascii="Arial" w:cs="Arial" w:eastAsia="Arial" w:hAnsi="Arial"/>
          <w:sz w:val="14"/>
          <w:szCs w:val="14"/>
          <w:color w:val="auto"/>
        </w:rPr>
        <w:t>The Company generates the majority of its revenue through product sales to customers. These products include the 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line of dietary supplements, LifeVantage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Omega+, ProBio, and Daily Wellness dietary supplements, 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skin, hair, bath &amp; body and targeted relief, IC Bright</w:t>
      </w:r>
      <w:r>
        <w:rPr>
          <w:rFonts w:ascii="Arial" w:cs="Arial" w:eastAsia="Arial" w:hAnsi="Arial"/>
          <w:sz w:val="18"/>
          <w:szCs w:val="18"/>
          <w:color w:val="auto"/>
          <w:vertAlign w:val="superscript"/>
        </w:rPr>
        <w:t>®</w:t>
      </w:r>
      <w:r>
        <w:rPr>
          <w:rFonts w:ascii="Arial" w:cs="Arial" w:eastAsia="Arial" w:hAnsi="Arial"/>
          <w:sz w:val="14"/>
          <w:szCs w:val="14"/>
          <w:color w:val="auto"/>
        </w:rPr>
        <w:t>, Petandim</w:t>
      </w:r>
      <w:r>
        <w:rPr>
          <w:rFonts w:ascii="Arial" w:cs="Arial" w:eastAsia="Arial" w:hAnsi="Arial"/>
          <w:sz w:val="18"/>
          <w:szCs w:val="18"/>
          <w:color w:val="auto"/>
          <w:vertAlign w:val="superscript"/>
        </w:rPr>
        <w:t>®</w:t>
      </w:r>
      <w:r>
        <w:rPr>
          <w:rFonts w:ascii="Arial" w:cs="Arial" w:eastAsia="Arial" w:hAnsi="Arial"/>
          <w:sz w:val="14"/>
          <w:szCs w:val="14"/>
          <w:color w:val="auto"/>
        </w:rPr>
        <w:t>, Axio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nootropic energy drink mixes, and the PhysIQ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70" w:name="page71"/>
    <w:bookmarkEnd w:id="70"/>
    <w:p>
      <w:pPr>
        <w:ind w:right="720"/>
        <w:spacing w:after="0" w:line="281" w:lineRule="auto"/>
        <w:rPr>
          <w:sz w:val="20"/>
          <w:szCs w:val="20"/>
          <w:color w:val="auto"/>
        </w:rPr>
      </w:pPr>
      <w:r>
        <w:rPr>
          <w:rFonts w:ascii="Arial" w:cs="Arial" w:eastAsia="Arial" w:hAnsi="Arial"/>
          <w:sz w:val="14"/>
          <w:szCs w:val="14"/>
          <w:color w:val="auto"/>
        </w:rPr>
        <w:t>relative standalone selling price basis. Any discounts are accounted for as a direct reduction to the transaction price. Shipping and handling revenue is recognized upon shipment when the performance obligation is completed.</w:t>
      </w:r>
    </w:p>
    <w:p>
      <w:pPr>
        <w:spacing w:after="0" w:line="69"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The Company also charges amounts to independent distributors to attend events that it holds. Tickets to events are sold as standalone items or included within packs. For event tickets sold in packs, the Company allocates a portion of the transaction price to the ticket on a relative standalone selling price basis, adjusted for the probability of the tickets being redeemed for attendance at a future event.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Revenue</w:t>
      </w:r>
    </w:p>
    <w:p>
      <w:pPr>
        <w:spacing w:after="0" w:line="129" w:lineRule="exact"/>
        <w:rPr>
          <w:sz w:val="20"/>
          <w:szCs w:val="20"/>
          <w:color w:val="auto"/>
        </w:rPr>
      </w:pPr>
    </w:p>
    <w:p>
      <w:pPr>
        <w:ind w:right="140" w:firstLine="255"/>
        <w:spacing w:after="0" w:line="297" w:lineRule="auto"/>
        <w:rPr>
          <w:sz w:val="20"/>
          <w:szCs w:val="20"/>
          <w:color w:val="auto"/>
        </w:rPr>
      </w:pPr>
      <w:r>
        <w:rPr>
          <w:rFonts w:ascii="Arial" w:cs="Arial" w:eastAsia="Arial" w:hAnsi="Arial"/>
          <w:sz w:val="13"/>
          <w:szCs w:val="13"/>
          <w:color w:val="auto"/>
        </w:rPr>
        <w:t>The Company records deferred revenue when cash payments are received or due in advance of performance, including amounts which are refundable. Deferred revenue is included in accrued expenses in the condensed consolidated balance sheets. The Company pre-sells tickets to its events. When cash payments are received in advance of events, the cash received is recorded to deferred revenue until the event is held, at which time the Company has performed its obligations under the contract and the revenue is recognized.</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Returns and Allowances</w:t>
      </w:r>
    </w:p>
    <w:p>
      <w:pPr>
        <w:spacing w:after="0" w:line="129"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June 30, 2022 and 2021, the Company’s return liability reserve, net was $0.1 million and $0.2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Information</w:t>
      </w:r>
    </w:p>
    <w:p>
      <w:pPr>
        <w:spacing w:after="0" w:line="119"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The Company reports revenue in two geographic regions: the Americas region and the Asia/Pacific &amp; Europe region. The following table presents the Company's revenue disaggregated by these two geographic regions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9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w w:val="90"/>
              </w:rPr>
              <w:t>Years ended June 30,</w:t>
            </w: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53"/>
        </w:trPr>
        <w:tc>
          <w:tcPr>
            <w:tcW w:w="49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center"/>
              <w:ind w:right="236"/>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33"/>
              <w:spacing w:after="0"/>
              <w:rPr>
                <w:sz w:val="20"/>
                <w:szCs w:val="20"/>
                <w:color w:val="auto"/>
              </w:rPr>
            </w:pPr>
            <w:r>
              <w:rPr>
                <w:rFonts w:ascii="Arial" w:cs="Arial" w:eastAsia="Arial" w:hAnsi="Arial"/>
                <w:sz w:val="11"/>
                <w:szCs w:val="11"/>
                <w:b w:val="1"/>
                <w:bCs w:val="1"/>
                <w:color w:val="auto"/>
              </w:rPr>
              <w:t>2020</w:t>
            </w:r>
          </w:p>
        </w:tc>
      </w:tr>
      <w:tr>
        <w:trPr>
          <w:trHeight w:val="177"/>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Americas</w:t>
            </w:r>
          </w:p>
        </w:tc>
        <w:tc>
          <w:tcPr>
            <w:tcW w:w="1320" w:type="dxa"/>
            <w:vAlign w:val="bottom"/>
            <w:shd w:val="clear" w:color="auto" w:fill="CCEEFF"/>
          </w:tcPr>
          <w:p>
            <w:pPr>
              <w:jc w:val="right"/>
              <w:ind w:right="1174"/>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154,655</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166,336</w:t>
            </w:r>
          </w:p>
        </w:tc>
      </w:tr>
      <w:tr>
        <w:trPr>
          <w:trHeight w:val="180"/>
        </w:trPr>
        <w:tc>
          <w:tcPr>
            <w:tcW w:w="4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Asia/Pacific &amp; Europe</w:t>
            </w:r>
          </w:p>
        </w:tc>
        <w:tc>
          <w:tcPr>
            <w:tcW w:w="1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68,037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65,526</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66,579</w:t>
            </w:r>
          </w:p>
        </w:tc>
      </w:tr>
      <w:tr>
        <w:trPr>
          <w:trHeight w:val="196"/>
        </w:trPr>
        <w:tc>
          <w:tcPr>
            <w:tcW w:w="49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132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206,360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232,915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9220" w:type="dxa"/>
            <w:vAlign w:val="bottom"/>
            <w:gridSpan w:val="7"/>
          </w:tcPr>
          <w:p>
            <w:pPr>
              <w:ind w:left="240"/>
              <w:spacing w:after="0"/>
              <w:rPr>
                <w:sz w:val="20"/>
                <w:szCs w:val="20"/>
                <w:color w:val="auto"/>
              </w:rPr>
            </w:pPr>
            <w:r>
              <w:rPr>
                <w:rFonts w:ascii="Arial" w:cs="Arial" w:eastAsia="Arial" w:hAnsi="Arial"/>
                <w:sz w:val="14"/>
                <w:szCs w:val="14"/>
                <w:color w:val="auto"/>
              </w:rPr>
              <w:t>Additional information as to the Company’s revenue from operations in the most significant geographical areas is set forth below (in thousands):</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2"/>
        </w:trPr>
        <w:tc>
          <w:tcPr>
            <w:tcW w:w="498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1"/>
                <w:szCs w:val="11"/>
                <w:b w:val="1"/>
                <w:bCs w:val="1"/>
                <w:color w:val="auto"/>
                <w:w w:val="90"/>
              </w:rPr>
              <w:t>Years ended June 30,</w:t>
            </w:r>
          </w:p>
        </w:tc>
        <w:tc>
          <w:tcPr>
            <w:tcW w:w="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53"/>
        </w:trPr>
        <w:tc>
          <w:tcPr>
            <w:tcW w:w="49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center"/>
              <w:ind w:right="236"/>
              <w:spacing w:after="0"/>
              <w:rPr>
                <w:sz w:val="20"/>
                <w:szCs w:val="20"/>
                <w:color w:val="auto"/>
              </w:rPr>
            </w:pPr>
            <w:r>
              <w:rPr>
                <w:rFonts w:ascii="Arial" w:cs="Arial" w:eastAsia="Arial" w:hAnsi="Arial"/>
                <w:sz w:val="11"/>
                <w:szCs w:val="11"/>
                <w:b w:val="1"/>
                <w:bCs w:val="1"/>
                <w:color w:val="auto"/>
                <w:w w:val="97"/>
              </w:rPr>
              <w:t>2021</w:t>
            </w: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33"/>
              <w:spacing w:after="0"/>
              <w:rPr>
                <w:sz w:val="20"/>
                <w:szCs w:val="20"/>
                <w:color w:val="auto"/>
              </w:rPr>
            </w:pPr>
            <w:r>
              <w:rPr>
                <w:rFonts w:ascii="Arial" w:cs="Arial" w:eastAsia="Arial" w:hAnsi="Arial"/>
                <w:sz w:val="11"/>
                <w:szCs w:val="11"/>
                <w:b w:val="1"/>
                <w:bCs w:val="1"/>
                <w:color w:val="auto"/>
              </w:rPr>
              <w:t>2020</w:t>
            </w:r>
          </w:p>
        </w:tc>
      </w:tr>
      <w:tr>
        <w:trPr>
          <w:trHeight w:val="177"/>
        </w:trPr>
        <w:tc>
          <w:tcPr>
            <w:tcW w:w="4980" w:type="dxa"/>
            <w:vAlign w:val="bottom"/>
            <w:shd w:val="clear" w:color="auto" w:fill="CCEEFF"/>
          </w:tcPr>
          <w:p>
            <w:pPr>
              <w:spacing w:after="0"/>
              <w:rPr>
                <w:sz w:val="20"/>
                <w:szCs w:val="20"/>
                <w:color w:val="auto"/>
              </w:rPr>
            </w:pPr>
            <w:r>
              <w:rPr>
                <w:rFonts w:ascii="Arial" w:cs="Arial" w:eastAsia="Arial" w:hAnsi="Arial"/>
                <w:sz w:val="14"/>
                <w:szCs w:val="14"/>
                <w:color w:val="auto"/>
              </w:rPr>
              <w:t>United States</w:t>
            </w:r>
          </w:p>
        </w:tc>
        <w:tc>
          <w:tcPr>
            <w:tcW w:w="1320" w:type="dxa"/>
            <w:vAlign w:val="bottom"/>
            <w:shd w:val="clear" w:color="auto" w:fill="CCEEFF"/>
          </w:tcPr>
          <w:p>
            <w:pPr>
              <w:jc w:val="right"/>
              <w:ind w:right="1174"/>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130,932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144,897</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155,480</w:t>
            </w:r>
          </w:p>
        </w:tc>
      </w:tr>
      <w:tr>
        <w:trPr>
          <w:trHeight w:val="180"/>
        </w:trPr>
        <w:tc>
          <w:tcPr>
            <w:tcW w:w="4980" w:type="dxa"/>
            <w:vAlign w:val="bottom"/>
          </w:tcPr>
          <w:p>
            <w:pPr>
              <w:spacing w:after="0"/>
              <w:rPr>
                <w:sz w:val="20"/>
                <w:szCs w:val="20"/>
                <w:color w:val="auto"/>
              </w:rPr>
            </w:pPr>
            <w:r>
              <w:rPr>
                <w:rFonts w:ascii="Arial" w:cs="Arial" w:eastAsia="Arial" w:hAnsi="Arial"/>
                <w:sz w:val="14"/>
                <w:szCs w:val="14"/>
                <w:color w:val="auto"/>
              </w:rPr>
              <w:t>Japan</w:t>
            </w:r>
          </w:p>
        </w:tc>
        <w:tc>
          <w:tcPr>
            <w:tcW w:w="1320" w:type="dxa"/>
            <w:vAlign w:val="bottom"/>
          </w:tcPr>
          <w:p>
            <w:pPr>
              <w:jc w:val="right"/>
              <w:ind w:right="1174"/>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36,810</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41,173</w:t>
            </w:r>
          </w:p>
        </w:tc>
        <w:tc>
          <w:tcPr>
            <w:tcW w:w="80" w:type="dxa"/>
            <w:vAlign w:val="bottom"/>
          </w:tcPr>
          <w:p>
            <w:pPr>
              <w:spacing w:after="0"/>
              <w:rPr>
                <w:sz w:val="15"/>
                <w:szCs w:val="15"/>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42,343</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Major Products</w:t>
      </w:r>
    </w:p>
    <w:p>
      <w:pPr>
        <w:spacing w:after="0" w:line="119" w:lineRule="exact"/>
        <w:rPr>
          <w:sz w:val="20"/>
          <w:szCs w:val="20"/>
          <w:color w:val="auto"/>
        </w:rPr>
      </w:pPr>
    </w:p>
    <w:p>
      <w:pPr>
        <w:ind w:right="100" w:firstLine="255"/>
        <w:spacing w:after="0" w:line="230" w:lineRule="auto"/>
        <w:rPr>
          <w:sz w:val="20"/>
          <w:szCs w:val="20"/>
          <w:color w:val="auto"/>
        </w:rPr>
      </w:pPr>
      <w:r>
        <w:rPr>
          <w:rFonts w:ascii="Arial" w:cs="Arial" w:eastAsia="Arial" w:hAnsi="Arial"/>
          <w:sz w:val="13"/>
          <w:szCs w:val="13"/>
          <w:color w:val="auto"/>
        </w:rPr>
        <w:t>The Company's revenue is largely attributed to two product lines,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TrueScience</w:t>
      </w:r>
      <w:r>
        <w:rPr>
          <w:rFonts w:ascii="Arial" w:cs="Arial" w:eastAsia="Arial" w:hAnsi="Arial"/>
          <w:sz w:val="17"/>
          <w:szCs w:val="17"/>
          <w:color w:val="auto"/>
          <w:vertAlign w:val="superscript"/>
        </w:rPr>
        <w:t>®</w:t>
      </w:r>
      <w:r>
        <w:rPr>
          <w:rFonts w:ascii="Arial" w:cs="Arial" w:eastAsia="Arial" w:hAnsi="Arial"/>
          <w:sz w:val="13"/>
          <w:szCs w:val="13"/>
          <w:color w:val="auto"/>
        </w:rPr>
        <w:t>, which each accounted for more than 10% of total revenue for each of the fiscal years ended June 30, 2022, 2021, and 2020. On a combined basis, the Protandim</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and TrueScience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product lines represent approximately 76.8%, 78.5% and 77.3% of the Company's total revenue for the fiscal years ended June 30, 2022, 2021 and 2020, respectively. The following table shows revenue by major product line for the fiscal years ended June 30, 2022, 2021 and 2020:</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56"/>
        </w:trPr>
        <w:tc>
          <w:tcPr>
            <w:tcW w:w="4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1"/>
                <w:szCs w:val="11"/>
                <w:b w:val="1"/>
                <w:bCs w:val="1"/>
                <w:color w:val="auto"/>
                <w:w w:val="88"/>
              </w:rPr>
              <w:t>Years ended June 30,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39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2022</w:t>
            </w: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009"/>
              <w:spacing w:after="0"/>
              <w:rPr>
                <w:sz w:val="20"/>
                <w:szCs w:val="20"/>
                <w:color w:val="auto"/>
              </w:rPr>
            </w:pPr>
            <w:r>
              <w:rPr>
                <w:rFonts w:ascii="Arial" w:cs="Arial" w:eastAsia="Arial" w:hAnsi="Arial"/>
                <w:sz w:val="11"/>
                <w:szCs w:val="11"/>
                <w:b w:val="1"/>
                <w:bCs w:val="1"/>
                <w:color w:val="auto"/>
                <w:w w:val="97"/>
              </w:rPr>
              <w:t>2020</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960" w:type="dxa"/>
            <w:vAlign w:val="bottom"/>
            <w:shd w:val="clear" w:color="auto" w:fill="CCEEFF"/>
          </w:tcPr>
          <w:p>
            <w:pPr>
              <w:ind w:left="20"/>
              <w:spacing w:after="0" w:line="177" w:lineRule="exact"/>
              <w:rPr>
                <w:sz w:val="20"/>
                <w:szCs w:val="20"/>
                <w:color w:val="auto"/>
              </w:rPr>
            </w:pPr>
            <w:r>
              <w:rPr>
                <w:rFonts w:ascii="Arial" w:cs="Arial" w:eastAsia="Arial" w:hAnsi="Arial"/>
                <w:sz w:val="14"/>
                <w:szCs w:val="14"/>
                <w:color w:val="auto"/>
              </w:rPr>
              <w:t>Protandim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135,616</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150,272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156,335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67.1 %</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960" w:type="dxa"/>
            <w:vAlign w:val="bottom"/>
          </w:tcPr>
          <w:p>
            <w:pPr>
              <w:ind w:left="20"/>
              <w:spacing w:after="0" w:line="181" w:lineRule="exact"/>
              <w:rPr>
                <w:sz w:val="20"/>
                <w:szCs w:val="20"/>
                <w:color w:val="auto"/>
              </w:rPr>
            </w:pPr>
            <w:r>
              <w:rPr>
                <w:rFonts w:ascii="Arial" w:cs="Arial" w:eastAsia="Arial" w:hAnsi="Arial"/>
                <w:sz w:val="14"/>
                <w:szCs w:val="14"/>
                <w:color w:val="auto"/>
              </w:rPr>
              <w:t>TrueScience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w:t>
            </w: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22,877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22,617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10.3 %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23,739</w:t>
            </w: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10.2 %</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47,867</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47,292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52,841</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22.7 %</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960" w:type="dxa"/>
            <w:vAlign w:val="bottom"/>
          </w:tcPr>
          <w:p>
            <w:pPr>
              <w:ind w:left="280"/>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206,360</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220,181</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100.0 %</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232,915</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 4 — Property and Equipment, Net</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3"/>
                <w:szCs w:val="23"/>
                <w:color w:val="auto"/>
              </w:rPr>
            </w:pPr>
          </w:p>
        </w:tc>
        <w:tc>
          <w:tcPr>
            <w:tcW w:w="3960" w:type="dxa"/>
            <w:vAlign w:val="bottom"/>
          </w:tcPr>
          <w:p>
            <w:pPr>
              <w:ind w:left="220"/>
              <w:spacing w:after="0"/>
              <w:rPr>
                <w:sz w:val="20"/>
                <w:szCs w:val="20"/>
                <w:color w:val="auto"/>
              </w:rPr>
            </w:pPr>
            <w:r>
              <w:rPr>
                <w:rFonts w:ascii="Arial" w:cs="Arial" w:eastAsia="Arial" w:hAnsi="Arial"/>
                <w:sz w:val="14"/>
                <w:szCs w:val="14"/>
                <w:color w:val="auto"/>
              </w:rPr>
              <w:t>Property and equipment, net consist of (in thousands):</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1"/>
                <w:szCs w:val="11"/>
                <w:b w:val="1"/>
                <w:bCs w:val="1"/>
                <w:color w:val="auto"/>
              </w:rPr>
              <w:t>June 30,</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Borders>
              <w:bottom w:val="single" w:sz="8" w:color="CCEEFF"/>
            </w:tcBorders>
          </w:tcPr>
          <w:p>
            <w:pPr>
              <w:spacing w:after="0"/>
              <w:rPr>
                <w:sz w:val="13"/>
                <w:szCs w:val="13"/>
                <w:color w:val="auto"/>
              </w:rPr>
            </w:pPr>
          </w:p>
        </w:tc>
        <w:tc>
          <w:tcPr>
            <w:tcW w:w="39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829"/>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7"/>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(includes computer hardware and software)</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17,781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16,850</w:t>
            </w:r>
          </w:p>
        </w:tc>
        <w:tc>
          <w:tcPr>
            <w:tcW w:w="0" w:type="dxa"/>
            <w:vAlign w:val="bottom"/>
          </w:tcPr>
          <w:p>
            <w:pPr>
              <w:spacing w:after="0"/>
              <w:rPr>
                <w:sz w:val="1"/>
                <w:szCs w:val="1"/>
                <w:color w:val="auto"/>
              </w:rPr>
            </w:pPr>
          </w:p>
        </w:tc>
      </w:tr>
      <w:tr>
        <w:trPr>
          <w:trHeight w:val="180"/>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Furniture and fixtures</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1,320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6,034</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180"/>
        </w:trPr>
        <w:tc>
          <w:tcPr>
            <w:tcW w:w="4000" w:type="dxa"/>
            <w:vAlign w:val="bottom"/>
            <w:gridSpan w:val="2"/>
          </w:tcPr>
          <w:p>
            <w:pPr>
              <w:ind w:left="20"/>
              <w:spacing w:after="0"/>
              <w:rPr>
                <w:sz w:val="20"/>
                <w:szCs w:val="20"/>
                <w:color w:val="auto"/>
              </w:rPr>
            </w:pPr>
            <w:r>
              <w:rPr>
                <w:rFonts w:ascii="Arial" w:cs="Arial" w:eastAsia="Arial" w:hAnsi="Arial"/>
                <w:sz w:val="14"/>
                <w:szCs w:val="14"/>
                <w:color w:val="auto"/>
              </w:rPr>
              <w:t>Vehicles</w:t>
            </w: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1"/>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Accumulated depreciation</w:t>
            </w: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(15,686)</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(13,026)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960" w:type="dxa"/>
            <w:vAlign w:val="bottom"/>
          </w:tcPr>
          <w:p>
            <w:pPr>
              <w:ind w:left="240"/>
              <w:spacing w:after="0"/>
              <w:rPr>
                <w:sz w:val="20"/>
                <w:szCs w:val="20"/>
                <w:color w:val="auto"/>
              </w:rPr>
            </w:pPr>
            <w:r>
              <w:rPr>
                <w:rFonts w:ascii="Arial" w:cs="Arial" w:eastAsia="Arial" w:hAnsi="Arial"/>
                <w:sz w:val="14"/>
                <w:szCs w:val="14"/>
                <w:color w:val="auto"/>
              </w:rPr>
              <w:t>Total property and equipment, net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9,500</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11,123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Depreciation expense totaled $3.1 million, $3.3 million and $2.6 million for the fiscal years ended June 30, 2022, 2021 and 2020,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Intangible Assets, Net</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Intangible assets, net consist of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3"/>
        </w:trPr>
        <w:tc>
          <w:tcPr>
            <w:tcW w:w="71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174"/>
              <w:spacing w:after="0"/>
              <w:rPr>
                <w:sz w:val="20"/>
                <w:szCs w:val="20"/>
                <w:color w:val="auto"/>
              </w:rPr>
            </w:pPr>
            <w:r>
              <w:rPr>
                <w:rFonts w:ascii="Arial" w:cs="Arial" w:eastAsia="Arial" w:hAnsi="Arial"/>
                <w:sz w:val="11"/>
                <w:szCs w:val="11"/>
                <w:b w:val="1"/>
                <w:bCs w:val="1"/>
                <w:color w:val="auto"/>
              </w:rPr>
              <w:t>2022</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2"/>
              <w:spacing w:after="0"/>
              <w:rPr>
                <w:sz w:val="20"/>
                <w:szCs w:val="20"/>
                <w:color w:val="auto"/>
              </w:rPr>
            </w:pPr>
            <w:r>
              <w:rPr>
                <w:rFonts w:ascii="Arial" w:cs="Arial" w:eastAsia="Arial" w:hAnsi="Arial"/>
                <w:sz w:val="11"/>
                <w:szCs w:val="11"/>
                <w:b w:val="1"/>
                <w:bCs w:val="1"/>
                <w:color w:val="auto"/>
              </w:rPr>
              <w:t>2021</w:t>
            </w:r>
          </w:p>
        </w:tc>
      </w:tr>
      <w:tr>
        <w:trPr>
          <w:trHeight w:val="17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Patent costs</w:t>
            </w:r>
          </w:p>
        </w:tc>
        <w:tc>
          <w:tcPr>
            <w:tcW w:w="1360" w:type="dxa"/>
            <w:vAlign w:val="bottom"/>
            <w:shd w:val="clear" w:color="auto" w:fill="CCEEFF"/>
          </w:tcPr>
          <w:p>
            <w:pPr>
              <w:jc w:val="right"/>
              <w:ind w:right="1214"/>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amortization</w:t>
            </w:r>
          </w:p>
        </w:tc>
        <w:tc>
          <w:tcPr>
            <w:tcW w:w="13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(1,988)</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w:t>
            </w:r>
          </w:p>
        </w:tc>
      </w:tr>
      <w:tr>
        <w:trPr>
          <w:trHeight w:val="17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definite-lived intangible assets, net</w:t>
            </w:r>
          </w:p>
        </w:tc>
        <w:tc>
          <w:tcPr>
            <w:tcW w:w="13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212"/>
        </w:trPr>
        <w:tc>
          <w:tcPr>
            <w:tcW w:w="7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Trademarks and other indefinite-lived intangible assets</w:t>
            </w:r>
          </w:p>
        </w:tc>
        <w:tc>
          <w:tcPr>
            <w:tcW w:w="13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w:t>
            </w:r>
          </w:p>
        </w:tc>
      </w:tr>
      <w:tr>
        <w:trPr>
          <w:trHeight w:val="171"/>
        </w:trPr>
        <w:tc>
          <w:tcPr>
            <w:tcW w:w="7120" w:type="dxa"/>
            <w:vAlign w:val="bottom"/>
          </w:tcPr>
          <w:p>
            <w:pPr>
              <w:ind w:left="280"/>
              <w:spacing w:after="0"/>
              <w:rPr>
                <w:sz w:val="20"/>
                <w:szCs w:val="20"/>
                <w:color w:val="auto"/>
              </w:rPr>
            </w:pPr>
            <w:r>
              <w:rPr>
                <w:rFonts w:ascii="Arial" w:cs="Arial" w:eastAsia="Arial" w:hAnsi="Arial"/>
                <w:sz w:val="14"/>
                <w:szCs w:val="14"/>
                <w:color w:val="auto"/>
              </w:rPr>
              <w:t>Total intangible assets, net</w:t>
            </w:r>
          </w:p>
        </w:tc>
        <w:tc>
          <w:tcPr>
            <w:tcW w:w="136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w:t>
            </w: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Amortization expense totaled $0.1 million, $0.1 million and $0.1 million for the fiscal years ended June 30, 2022, 2021 and 2020, respectively. As of June 30, 2022, the remaining weighted-average amortization period for definite-lived intangible assets was 2.75 years. Annual estimated amortization expense is expected to approximate $0.1 million for each of the three succeeding fiscal years.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Gig Economy Group Investment</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Convertible Note Receivable</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 entered into a convertible promissory note agreement with Gig Economy Group, Inc. ("GEG") pursuant to which the Company agreed to loan to GEG up to an aggregate of</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$2.0 million in a series of loan installments, evidenced by a convertible promissory note having a maturity date of May 31, 2019 ("Convertible Note"). The Convertible Note accrued interest at a rate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of 8% per annum, compounded annually. On May 17, 2019, the Company and GEG entered into an amendment agreement to extend the maturity date of the Convertible Note to December 31, 2019.</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In all other aspects, the Convertible Note remained unchanged from the original agreement. Pursuant to a Common Stock Purchase Agreement between the Company and GEG dated December 16,</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2019, GEG issued to the Company 1,000,000 shares of GEG’s common stock, par value $0.0001 per share, in consideration for conversion and cancellation of all principal, interest and other amounts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due under the Convertible Note (representing $2.2 million in aggregate consideration).</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39"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i w:val="1"/>
          <w:iCs w:val="1"/>
          <w:color w:val="auto"/>
        </w:rPr>
        <w:t>Equity Securities under ASC 321</w:t>
      </w:r>
    </w:p>
    <w:p>
      <w:pPr>
        <w:spacing w:after="0" w:line="115"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 xml:space="preserve">At December 31, 2019, the Company held a minority interest (less than 20%) in GEG, accounted for under ASC 321, </w:t>
      </w:r>
      <w:r>
        <w:rPr>
          <w:rFonts w:ascii="Arial" w:cs="Arial" w:eastAsia="Arial" w:hAnsi="Arial"/>
          <w:sz w:val="13"/>
          <w:szCs w:val="13"/>
          <w:i w:val="1"/>
          <w:iCs w:val="1"/>
          <w:color w:val="auto"/>
        </w:rPr>
        <w:t>Investments - Equity Securities</w:t>
      </w:r>
      <w:r>
        <w:rPr>
          <w:rFonts w:ascii="Arial" w:cs="Arial" w:eastAsia="Arial" w:hAnsi="Arial"/>
          <w:sz w:val="13"/>
          <w:szCs w:val="13"/>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The estimated fair value of the investment is determined using unobservable inputs including assumptions by GEG's management and quantitative information such as lower valuations in recently completed or proposed financings. These inputs are classified as Level 3.</w:t>
      </w:r>
    </w:p>
    <w:p>
      <w:pPr>
        <w:spacing w:after="0" w:line="81"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June 30, 2021. During the fiscal year ended June 30, 2021, there were no price changes or impairments recognized. During the fourth quarter of fiscal year ended June 30, 2022, the Company determined its investment in GEG had declined significantly as a result of the business failing to achieve profitability due to weak market conditions for its products. The Company determined the book value of its investment exceeded its fair value and concluded this decline in value was other than temporary. The Company recorded non-cash impairment charges of $2.2 million related to these equity securities.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Other Accrued Expenses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accrued expenses consist of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09"/>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3"/>
        </w:trPr>
        <w:tc>
          <w:tcPr>
            <w:tcW w:w="712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94"/>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2021</w:t>
            </w:r>
          </w:p>
        </w:tc>
      </w:tr>
      <w:tr>
        <w:trPr>
          <w:trHeight w:val="17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incentive compensation</w:t>
            </w:r>
          </w:p>
        </w:tc>
        <w:tc>
          <w:tcPr>
            <w:tcW w:w="1380" w:type="dxa"/>
            <w:vAlign w:val="bottom"/>
            <w:shd w:val="clear" w:color="auto" w:fill="CCEEFF"/>
          </w:tcPr>
          <w:p>
            <w:pPr>
              <w:jc w:val="right"/>
              <w:ind w:right="1234"/>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Accrued severance</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Accrued other expenses</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1,901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1,657</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payable to vendors</w:t>
            </w: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319</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incentives and promotions to distributors</w:t>
            </w:r>
          </w:p>
        </w:tc>
        <w:tc>
          <w:tcPr>
            <w:tcW w:w="13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w:t>
            </w:r>
          </w:p>
        </w:tc>
      </w:tr>
      <w:tr>
        <w:trPr>
          <w:trHeight w:val="171"/>
        </w:trPr>
        <w:tc>
          <w:tcPr>
            <w:tcW w:w="7120" w:type="dxa"/>
            <w:vAlign w:val="bottom"/>
          </w:tcPr>
          <w:p>
            <w:pPr>
              <w:ind w:left="280"/>
              <w:spacing w:after="0"/>
              <w:rPr>
                <w:sz w:val="20"/>
                <w:szCs w:val="20"/>
                <w:color w:val="auto"/>
              </w:rPr>
            </w:pPr>
            <w:r>
              <w:rPr>
                <w:rFonts w:ascii="Arial" w:cs="Arial" w:eastAsia="Arial" w:hAnsi="Arial"/>
                <w:sz w:val="14"/>
                <w:szCs w:val="14"/>
                <w:color w:val="auto"/>
              </w:rPr>
              <w:t>Total other accrued expenses</w:t>
            </w:r>
          </w:p>
        </w:tc>
        <w:tc>
          <w:tcPr>
            <w:tcW w:w="1380" w:type="dxa"/>
            <w:vAlign w:val="bottom"/>
            <w:tcBorders>
              <w:bottom w:val="single" w:sz="8" w:color="auto"/>
            </w:tcBorders>
          </w:tcPr>
          <w:p>
            <w:pPr>
              <w:jc w:val="right"/>
              <w:ind w:right="1234"/>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7,927</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7,336</w:t>
            </w:r>
          </w:p>
        </w:tc>
      </w:tr>
      <w:tr>
        <w:trPr>
          <w:trHeight w:val="20"/>
        </w:trPr>
        <w:tc>
          <w:tcPr>
            <w:tcW w:w="7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Long-Term Debt</w:t>
      </w:r>
    </w:p>
    <w:p>
      <w:pPr>
        <w:spacing w:after="0" w:line="129" w:lineRule="exact"/>
        <w:rPr>
          <w:sz w:val="20"/>
          <w:szCs w:val="20"/>
          <w:color w:val="auto"/>
        </w:rPr>
      </w:pPr>
    </w:p>
    <w:p>
      <w:pPr>
        <w:ind w:right="200" w:firstLine="255"/>
        <w:spacing w:after="0" w:line="262" w:lineRule="auto"/>
        <w:rPr>
          <w:sz w:val="20"/>
          <w:szCs w:val="20"/>
          <w:color w:val="auto"/>
        </w:rPr>
      </w:pPr>
      <w:r>
        <w:rPr>
          <w:rFonts w:ascii="Arial" w:cs="Arial" w:eastAsia="Arial" w:hAnsi="Arial"/>
          <w:sz w:val="14"/>
          <w:szCs w:val="14"/>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82"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May 4, 2018, the Company entered into a loan modification agreement, which amended the 2016 Credit Facility (“Amendment No. 1”). Amendment No. 1 revised the maturity date</w:t>
      </w:r>
    </w:p>
    <w:p>
      <w:pPr>
        <w:spacing w:after="0" w:line="31"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from March 30, 2019 to March 31, 2021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3" w:name="page74"/>
    <w:bookmarkEnd w:id="73"/>
    <w:p>
      <w:pPr>
        <w:ind w:right="40" w:firstLine="255"/>
        <w:spacing w:after="0" w:line="262" w:lineRule="auto"/>
        <w:rPr>
          <w:sz w:val="20"/>
          <w:szCs w:val="20"/>
          <w:color w:val="auto"/>
        </w:rPr>
      </w:pPr>
      <w:r>
        <w:rPr>
          <w:rFonts w:ascii="Arial" w:cs="Arial" w:eastAsia="Arial" w:hAnsi="Arial"/>
          <w:sz w:val="14"/>
          <w:szCs w:val="14"/>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as amended, exceeds $2.0 million, the Company must prepay an amount equal to such excess. Any principal amount of the 2016 Term Loan, as amended, which is prepaid or repaid may not be re-borrowed.</w:t>
      </w:r>
    </w:p>
    <w:p>
      <w:pPr>
        <w:spacing w:after="0" w:line="82" w:lineRule="exact"/>
        <w:rPr>
          <w:sz w:val="20"/>
          <w:szCs w:val="20"/>
          <w:color w:val="auto"/>
        </w:rPr>
      </w:pPr>
    </w:p>
    <w:p>
      <w:pPr>
        <w:ind w:right="260" w:firstLine="255"/>
        <w:spacing w:after="0" w:line="262" w:lineRule="auto"/>
        <w:rPr>
          <w:sz w:val="20"/>
          <w:szCs w:val="20"/>
          <w:color w:val="auto"/>
        </w:rPr>
      </w:pPr>
      <w:r>
        <w:rPr>
          <w:rFonts w:ascii="Arial" w:cs="Arial" w:eastAsia="Arial" w:hAnsi="Arial"/>
          <w:sz w:val="14"/>
          <w:szCs w:val="14"/>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93"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On April 1, 2021, the Company entered into a loan modification agreement ("Amendment No. 3"), which amended the 2016 Credit Facility, as previously amended. Amendment No. 3 revised the maturity date from March 31, 2021 to March 31, 2024 and modified the variable interest rate based on the one-month United States Treasury Rate, plus a margin of 3.00%, with an interest rate floor of 4.00%. As of June 30, 2021, the effective interest rate is 4.00%. Amendment No. 3 also revised the debt (total liabilities) to tangible net worth ratio (as defined in Amendment No. 3) covenant to require that the Company maintain this ratio not in excess of 2.00 to 1.00, measured as of the end of each fiscal quarter, and revised the definition and calculation of the minimum fixed charge coverage ratio (as defined in Amendment No. 3). There were no other changes to the covenants or revolving loan facility as set forth in Amendment No. 2.</w:t>
      </w:r>
    </w:p>
    <w:p>
      <w:pPr>
        <w:spacing w:after="0" w:line="81" w:lineRule="exact"/>
        <w:rPr>
          <w:sz w:val="20"/>
          <w:szCs w:val="20"/>
          <w:color w:val="auto"/>
        </w:rPr>
      </w:pPr>
    </w:p>
    <w:p>
      <w:pPr>
        <w:ind w:right="20" w:firstLine="255"/>
        <w:spacing w:after="0" w:line="307" w:lineRule="auto"/>
        <w:rPr>
          <w:sz w:val="20"/>
          <w:szCs w:val="20"/>
          <w:color w:val="auto"/>
        </w:rPr>
      </w:pPr>
      <w:r>
        <w:rPr>
          <w:rFonts w:ascii="Arial" w:cs="Arial" w:eastAsia="Arial" w:hAnsi="Arial"/>
          <w:sz w:val="12"/>
          <w:szCs w:val="12"/>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without prior approval,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a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In May 2022, the Company received consent to pay out the quarterly cash dividend of $0.03 per common share to stockholders.</w:t>
      </w:r>
    </w:p>
    <w:p>
      <w:pPr>
        <w:spacing w:after="0" w:line="59" w:lineRule="exact"/>
        <w:rPr>
          <w:sz w:val="20"/>
          <w:szCs w:val="20"/>
          <w:color w:val="auto"/>
        </w:rPr>
      </w:pPr>
    </w:p>
    <w:p>
      <w:pPr>
        <w:ind w:right="180" w:firstLine="255"/>
        <w:spacing w:after="0" w:line="297" w:lineRule="auto"/>
        <w:rPr>
          <w:sz w:val="20"/>
          <w:szCs w:val="20"/>
          <w:color w:val="auto"/>
        </w:rPr>
      </w:pPr>
      <w:r>
        <w:rPr>
          <w:rFonts w:ascii="Arial" w:cs="Arial" w:eastAsia="Arial" w:hAnsi="Arial"/>
          <w:sz w:val="13"/>
          <w:szCs w:val="13"/>
          <w:color w:val="auto"/>
        </w:rPr>
        <w:t>As of June 30, 2022, the Company was in not in compliance with its financial covenant related to the minimum fixed charge coverage ratio under the 2016 Credit Facility, as amended. As of June 30, 2022, there was no balance outstanding on this credit facility. The Company requested, and was granted, a waiver related to this covenant violation as of June 30, 2022. The Company is in the process of renegotiating the terms of the amended 2016 Credit Facility and expects that a revised loan agreement will be in place in the first quarter of fiscal 2023.</w:t>
      </w:r>
    </w:p>
    <w:p>
      <w:pPr>
        <w:spacing w:after="0" w:line="71"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Stockholders’ Equity</w:t>
      </w:r>
    </w:p>
    <w:p>
      <w:pPr>
        <w:spacing w:after="0" w:line="119"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During the fiscal years ended June 30, 2022, 2021 and 2020, the Company issued 30,000, 0.3 million and 25,000 shares, respectively, of common stock as a result of the exercise of options. During the fiscal years ended June 30, 2022, 2021 and 2020, the Company issued 0.2 million, 0.2 million and 0.9 million shares, respectively, under the Company's equity incentive plans. During the fiscal years ended June 30, 2022, 2021 and 2020, 39,000, 0.1 million and 0.4 million shares, respectively, of restricted stock were canceled or surrendered as payment of tax withholding upon vesting. During the fiscal years ended June 30, 2022, 2021 and 2020, the Company sold 0.1 million, 0.1 million and 0.1 million shares under its 2019 Employee Stock Purchase Plan, respectively.</w:t>
      </w:r>
    </w:p>
    <w:p>
      <w:pPr>
        <w:spacing w:after="0" w:line="78"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On November 27, 2017, the Company's board of directors approved a stock repurchase plan, which was subsequently amended on February 1, 2019. Under the plan, the Company was authorized to repurchase up to $15.0 million of its outstanding shares through November 27, 2020. On August 27, 2020, the Board of Directors approved an amendment to the share repurchase program to increase the authorized share repurchase amount from $15 million to $35 million and to extend the duration of the program through November 30, 2023 and, on February 17, 2022, the Board of Directors approved an amendment to the share repurchase program to increase the authorized share repurchase amount from $35 million to $60 million. The repurchase program permits the Company to purchase shares from time to time through a variety of methods,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4" w:name="page75"/>
    <w:bookmarkEnd w:id="74"/>
    <w:p>
      <w:pPr>
        <w:ind w:right="120"/>
        <w:spacing w:after="0" w:line="282" w:lineRule="auto"/>
        <w:rPr>
          <w:sz w:val="20"/>
          <w:szCs w:val="20"/>
          <w:color w:val="auto"/>
        </w:rPr>
      </w:pPr>
      <w:r>
        <w:rPr>
          <w:rFonts w:ascii="Arial" w:cs="Arial" w:eastAsia="Arial" w:hAnsi="Arial"/>
          <w:sz w:val="13"/>
          <w:szCs w:val="13"/>
          <w:color w:val="auto"/>
        </w:rPr>
        <w:t>including in the open market, through privately negotiated transactions or other means as determined by the Company's management, in accordance with applicable securities laws. As part of the repurchase program, the Company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authorization may be suspended or discontinued at any time. During year ended June 30, 2022, the Company purchased 1.3 million shares of its common stock at an aggregate purchase price of $8.8 million under this repurchase program. During the fiscal year ending June 30, 2021, the Company purchased 1.2 million shares of its common stock at an aggregate purchase price of $11.9 million under this repurchase program. At June 30, 2022, there is $27.7 million remaining under this repurchase program.</w:t>
      </w:r>
    </w:p>
    <w:p>
      <w:pPr>
        <w:spacing w:after="0" w:line="71" w:lineRule="exact"/>
        <w:rPr>
          <w:sz w:val="20"/>
          <w:szCs w:val="20"/>
          <w:color w:val="auto"/>
        </w:rPr>
      </w:pPr>
    </w:p>
    <w:p>
      <w:pPr>
        <w:ind w:right="440" w:firstLine="255"/>
        <w:spacing w:after="0" w:line="281" w:lineRule="auto"/>
        <w:rPr>
          <w:sz w:val="20"/>
          <w:szCs w:val="20"/>
          <w:color w:val="auto"/>
        </w:rPr>
      </w:pPr>
      <w:r>
        <w:rPr>
          <w:rFonts w:ascii="Arial" w:cs="Arial" w:eastAsia="Arial" w:hAnsi="Arial"/>
          <w:sz w:val="14"/>
          <w:szCs w:val="14"/>
          <w:color w:val="auto"/>
        </w:rPr>
        <w:t>The Company’s Certificate of Incorporation authorizes the designation and issuance shares of preferred stock. However, as of June 30, 2022, none have been issued nor have any rights or preferences been assigned to the preferred stock by the Company’s board of directors.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Dividends</w:t>
      </w:r>
    </w:p>
    <w:p>
      <w:pPr>
        <w:spacing w:after="0" w:line="125" w:lineRule="exact"/>
        <w:rPr>
          <w:sz w:val="20"/>
          <w:szCs w:val="20"/>
          <w:color w:val="auto"/>
        </w:rPr>
      </w:pPr>
    </w:p>
    <w:p>
      <w:pPr>
        <w:jc w:val="both"/>
        <w:ind w:right="340" w:firstLine="255"/>
        <w:spacing w:after="0" w:line="267" w:lineRule="auto"/>
        <w:rPr>
          <w:sz w:val="20"/>
          <w:szCs w:val="20"/>
          <w:color w:val="auto"/>
        </w:rPr>
      </w:pPr>
      <w:r>
        <w:rPr>
          <w:rFonts w:ascii="Arial" w:cs="Arial" w:eastAsia="Arial" w:hAnsi="Arial"/>
          <w:sz w:val="14"/>
          <w:szCs w:val="14"/>
          <w:color w:val="auto"/>
        </w:rPr>
        <w:t>On May 3, 2022, the board of directors declared a quarterly cash dividend of $0.03 per share of common stock to stockholders of record as of May 17, 2022 and was paid on May 31, 2022. Quarterly cash dividend for the year ended June 30, 2022 totaled 0.4 million, or $0.03 per share. In August 2022, the board of directors declared a quarterly cash dividend of $0.03 per share of common stock to be paid on September 15, 2022, to stockholders of record on September 2, 2022.</w:t>
      </w:r>
    </w:p>
    <w:p>
      <w:pPr>
        <w:spacing w:after="0" w:line="78"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color w:val="auto"/>
        </w:rPr>
        <w:t>The declaration of dividends is subject to the discretion of our board of directors and will depend upon various factors, including our earnings, financial condition, restrictions imposed by any indebtedness that may be outstanding, cash requirements, future prospects and other factors deemed relevant by our board of directors.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Share-Based Compensation</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u w:val="single" w:color="auto"/>
          <w:color w:val="auto"/>
        </w:rPr>
        <w:t>Long-Term Incentive Plans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Equity-Settled Plans</w:t>
      </w:r>
    </w:p>
    <w:p>
      <w:pPr>
        <w:spacing w:after="0" w:line="12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The Company adopted, and the stockholders approved, the 2007 Long-Term Incentive Plan (the “2007 Plan”), effective November 21, 2006, to provide incentives to certain eligible employees, directors and consultants. A maximum of 1.4 million shares of the Company’s common stock can be issued under the 2007 Plan in connection with the grant of awards. Effective November 21, 2016, no new awards can be granted under the 2007 Plan. As of June 30, 2022 there were no stock option awards outstanding under the 2007 Plan.</w:t>
      </w:r>
    </w:p>
    <w:p>
      <w:pPr>
        <w:spacing w:after="0" w:line="89" w:lineRule="exact"/>
        <w:rPr>
          <w:sz w:val="20"/>
          <w:szCs w:val="20"/>
          <w:color w:val="auto"/>
        </w:rPr>
      </w:pPr>
    </w:p>
    <w:p>
      <w:pPr>
        <w:ind w:firstLine="255"/>
        <w:spacing w:after="0" w:line="309" w:lineRule="auto"/>
        <w:rPr>
          <w:sz w:val="20"/>
          <w:szCs w:val="20"/>
          <w:color w:val="auto"/>
        </w:rPr>
      </w:pPr>
      <w:r>
        <w:rPr>
          <w:rFonts w:ascii="Arial" w:cs="Arial" w:eastAsia="Arial" w:hAnsi="Arial"/>
          <w:sz w:val="12"/>
          <w:szCs w:val="12"/>
          <w:color w:val="auto"/>
        </w:rPr>
        <w:t>The Company adopted, and the stockholders approved, the 2010 Long-Term Incentive Plan (the “2010 Plan”), effective September 27, 2010, as amended on August 21, 2014, to provide incentives to certain eligible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$9.31 and $19.74 per share, and vest over one to four year vesting periods. Awards expire in accordance with the terms of each award. The contractual term of stock options granted is generally ten years. No new awards will be granted under the 2010 Plan and forfeited or terminated shares may be added to the 2017 Plan pool as described below. As of June 30, 2022, under the 2010 Plan, there were stock option awards outstanding, net of awards expired, for an aggregate of 20,000 shares of the Company’s common stock.</w:t>
      </w:r>
    </w:p>
    <w:p>
      <w:pPr>
        <w:spacing w:after="0" w:line="59" w:lineRule="exact"/>
        <w:rPr>
          <w:sz w:val="20"/>
          <w:szCs w:val="20"/>
          <w:color w:val="auto"/>
        </w:rPr>
      </w:pPr>
    </w:p>
    <w:p>
      <w:pPr>
        <w:ind w:right="60" w:firstLine="255"/>
        <w:spacing w:after="0" w:line="305" w:lineRule="auto"/>
        <w:rPr>
          <w:sz w:val="20"/>
          <w:szCs w:val="20"/>
          <w:color w:val="auto"/>
        </w:rPr>
      </w:pPr>
      <w:r>
        <w:rPr>
          <w:rFonts w:ascii="Arial" w:cs="Arial" w:eastAsia="Arial" w:hAnsi="Arial"/>
          <w:sz w:val="12"/>
          <w:szCs w:val="12"/>
          <w:color w:val="auto"/>
        </w:rPr>
        <w:t>The Company adopted, and the stockholders approved, the 2017 Long-Term Incentive Plan (the “2017 Plan”), effective February 16, 2017, to provide incentives to eligible employees, directors and consultants. On February 2, 2018, November 15, 2018, and November 12, 2020, the stockholders approved amendments to the 2017 Plan to increase by 425,000 shares, 715,000 shares, and 650,000 shares respectively, the number of shares of the Company's common stock that are available for issuance under the 2017 Plan. As of June 30, 2022, a maximum of 2.9 million shares of the Company's common stock can be issued under the 2017 Plan in connection with the grant of awards which is calculated as the sum of (i) 2,440,000 shares and (ii) up to 475,000 shares previously reserved for issuance under the 2010 Plan, including shares returned upon cancellation, termination or forfeiture of awards that were previously granted under that plan.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June 30, 2022, under the 2017 Plan, there were stock option awards outstanding, net of awards expired, for an aggregate of 0.1 million shares of the Company’s common stock.</w:t>
      </w: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50" w:right="359" w:bottom="1440" w:gutter="0" w:footer="0" w:header="0"/>
        </w:sectPr>
      </w:pPr>
    </w:p>
    <w:bookmarkStart w:id="75" w:name="page76"/>
    <w:bookmarkEnd w:id="75"/>
    <w:p>
      <w:pPr>
        <w:ind w:left="260"/>
        <w:spacing w:after="0"/>
        <w:rPr>
          <w:sz w:val="20"/>
          <w:szCs w:val="20"/>
          <w:color w:val="auto"/>
        </w:rPr>
      </w:pPr>
      <w:r>
        <w:rPr>
          <w:rFonts w:ascii="Arial" w:cs="Arial" w:eastAsia="Arial" w:hAnsi="Arial"/>
          <w:sz w:val="14"/>
          <w:szCs w:val="14"/>
          <w:b w:val="1"/>
          <w:bCs w:val="1"/>
          <w:color w:val="auto"/>
        </w:rPr>
        <w:t>Cash-Settled Plans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Performance Units</w:t>
      </w:r>
    </w:p>
    <w:p>
      <w:pPr>
        <w:spacing w:after="0" w:line="125" w:lineRule="exact"/>
        <w:rPr>
          <w:sz w:val="20"/>
          <w:szCs w:val="20"/>
          <w:color w:val="auto"/>
        </w:rPr>
      </w:pPr>
    </w:p>
    <w:p>
      <w:pPr>
        <w:ind w:firstLine="255"/>
        <w:spacing w:after="0" w:line="305" w:lineRule="auto"/>
        <w:rPr>
          <w:sz w:val="20"/>
          <w:szCs w:val="20"/>
          <w:color w:val="auto"/>
        </w:rPr>
      </w:pPr>
      <w:r>
        <w:rPr>
          <w:rFonts w:ascii="Arial" w:cs="Arial" w:eastAsia="Arial" w:hAnsi="Arial"/>
          <w:sz w:val="12"/>
          <w:szCs w:val="12"/>
          <w:color w:val="auto"/>
        </w:rPr>
        <w:t>The Company adopted a performance incentive plan effective July 1, 2017 (the "Fiscal Year 2018 Performance Plan"). The Fiscal Year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Year 2018 Performance Plan seeks to achieve this purpose by providing for awards in the form of performance share units (the “Units”). No shares will be issued under the Fiscal Year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Phantom Units</w:t>
      </w:r>
    </w:p>
    <w:p>
      <w:pPr>
        <w:spacing w:after="0" w:line="115"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During the fiscal year ended June 30, 2018, the Company awarded phantom units to its executive officers and senior management. The vesting date for the phantom units was December 31, 2018, at which time the units would be settled in cash equal to (i) the number of vested units multiplied by (ii) the positive difference (if any) between the value at December 31, 2018 and $4.76, the closing price of the Company's common stock on the start date. The start date is December 29, 2017, the last business day of calendar year 2017. The fair value of these awards is based on the Black-Scholes valuation model and is remeasured at each reporting period date until settlement.</w:t>
      </w:r>
    </w:p>
    <w:p>
      <w:pPr>
        <w:spacing w:after="0" w:line="93"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Upon vesting of the phantom units, the awards were partially settled in cash and partially settled with the issuance of restricted stock units. The restricted stock units were issued on January 8, 2019 and vest in a single installment after a one-year vesting period, subject to continued service through the vesting date. On January 8, 2020, the restricted stock units were fully vested. As of June 30, 2022 and 2021, there were no restricted stock units outstanding related to the phantom units.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Employee Stock Purchase Plan</w:t>
      </w:r>
    </w:p>
    <w:p>
      <w:pPr>
        <w:spacing w:after="0" w:line="11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The Company’s 2019 Employee Stock Purchase Plan ("ESPP") was adopted by its board of directors in September 2018 and its stockholders approved it in November 2018. The ESPP</w:t>
      </w:r>
      <w:r>
        <w:rPr>
          <w:rFonts w:ascii="Arial" w:cs="Arial" w:eastAsia="Arial" w:hAnsi="Arial"/>
          <w:sz w:val="14"/>
          <w:szCs w:val="14"/>
          <w:i w:val="1"/>
          <w:iCs w:val="1"/>
          <w:color w:val="auto"/>
        </w:rPr>
        <w:t xml:space="preserve"> </w:t>
      </w:r>
      <w:r>
        <w:rPr>
          <w:rFonts w:ascii="Arial" w:cs="Arial" w:eastAsia="Arial" w:hAnsi="Arial"/>
          <w:sz w:val="14"/>
          <w:szCs w:val="14"/>
          <w:color w:val="auto"/>
        </w:rPr>
        <w:t>is intended to qualify under Section 423 of the Internal Revenue Code.</w:t>
      </w:r>
    </w:p>
    <w:p>
      <w:pPr>
        <w:spacing w:after="0" w:line="79" w:lineRule="exact"/>
        <w:rPr>
          <w:sz w:val="20"/>
          <w:szCs w:val="20"/>
          <w:color w:val="auto"/>
        </w:rPr>
      </w:pPr>
    </w:p>
    <w:p>
      <w:pPr>
        <w:ind w:right="40" w:firstLine="255"/>
        <w:spacing w:after="0" w:line="368" w:lineRule="auto"/>
        <w:rPr>
          <w:sz w:val="20"/>
          <w:szCs w:val="20"/>
          <w:color w:val="auto"/>
        </w:rPr>
      </w:pPr>
      <w:r>
        <w:rPr>
          <w:rFonts w:ascii="Arial" w:cs="Arial" w:eastAsia="Arial" w:hAnsi="Arial"/>
          <w:sz w:val="12"/>
          <w:szCs w:val="12"/>
          <w:i w:val="1"/>
          <w:iCs w:val="1"/>
          <w:color w:val="auto"/>
        </w:rPr>
        <w:t xml:space="preserve">Share Reserve. </w:t>
      </w:r>
      <w:r>
        <w:rPr>
          <w:rFonts w:ascii="Arial" w:cs="Arial" w:eastAsia="Arial" w:hAnsi="Arial"/>
          <w:sz w:val="12"/>
          <w:szCs w:val="12"/>
          <w:color w:val="auto"/>
        </w:rPr>
        <w:t>The Company has reserved 0.4 million shares of its common stock for issuance under the ESPP. As of June 30, 2022, 0.2 million shares were available for issuance. The number</w:t>
      </w:r>
      <w:r>
        <w:rPr>
          <w:rFonts w:ascii="Arial" w:cs="Arial" w:eastAsia="Arial" w:hAnsi="Arial"/>
          <w:sz w:val="12"/>
          <w:szCs w:val="12"/>
          <w:i w:val="1"/>
          <w:iCs w:val="1"/>
          <w:color w:val="auto"/>
        </w:rPr>
        <w:t xml:space="preserve"> </w:t>
      </w:r>
      <w:r>
        <w:rPr>
          <w:rFonts w:ascii="Arial" w:cs="Arial" w:eastAsia="Arial" w:hAnsi="Arial"/>
          <w:sz w:val="12"/>
          <w:szCs w:val="12"/>
          <w:color w:val="auto"/>
        </w:rPr>
        <w:t>of shares reserved under the ESPP will automatically be adjusted in the event of a stock split, stock dividend or a reverse stock split (including an adjustment to the per-purchase period share limit).</w:t>
      </w:r>
    </w:p>
    <w:p>
      <w:pPr>
        <w:spacing w:after="0" w:line="33"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i w:val="1"/>
          <w:iCs w:val="1"/>
          <w:color w:val="auto"/>
        </w:rPr>
        <w:t xml:space="preserve">Purchase Price. </w:t>
      </w:r>
      <w:r>
        <w:rPr>
          <w:rFonts w:ascii="Arial" w:cs="Arial" w:eastAsia="Arial" w:hAnsi="Arial"/>
          <w:sz w:val="14"/>
          <w:szCs w:val="14"/>
          <w:color w:val="auto"/>
        </w:rPr>
        <w:t>Employees may purchase each share of common stock under the ESPP at a price equal to 85% of the lower of the fair market values of the stock as of the beginning or the end</w:t>
      </w:r>
      <w:r>
        <w:rPr>
          <w:rFonts w:ascii="Arial" w:cs="Arial" w:eastAsia="Arial" w:hAnsi="Arial"/>
          <w:sz w:val="14"/>
          <w:szCs w:val="14"/>
          <w:i w:val="1"/>
          <w:iCs w:val="1"/>
          <w:color w:val="auto"/>
        </w:rPr>
        <w:t xml:space="preserve"> </w:t>
      </w:r>
      <w:r>
        <w:rPr>
          <w:rFonts w:ascii="Arial" w:cs="Arial" w:eastAsia="Arial" w:hAnsi="Arial"/>
          <w:sz w:val="14"/>
          <w:szCs w:val="14"/>
          <w:color w:val="auto"/>
        </w:rPr>
        <w:t>of the six-month offering periods. An employee’s contributions to the ESPP are limited to 15% of the compensation, and up to a maximum of 3,000 shares may be purchased by an employee during any offering period. A participant shall not be granted an option under the ESPP if such option would permit the participant’s rights to purchase stock to accrue at a rate exceeding $25,000 fair market value of stock for each calendar year in which such option is outstanding at any time.</w:t>
      </w:r>
    </w:p>
    <w:p>
      <w:pPr>
        <w:spacing w:after="0" w:line="82"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i w:val="1"/>
          <w:iCs w:val="1"/>
          <w:color w:val="auto"/>
        </w:rPr>
        <w:t xml:space="preserve">Offering Periods. </w:t>
      </w:r>
      <w:r>
        <w:rPr>
          <w:rFonts w:ascii="Arial" w:cs="Arial" w:eastAsia="Arial" w:hAnsi="Arial"/>
          <w:sz w:val="14"/>
          <w:szCs w:val="14"/>
          <w:color w:val="auto"/>
        </w:rPr>
        <w:t>Unless otherwise determined by the compensation committee, the ESPP will be operated through a series of successive six-month offering periods, which will begin each year</w:t>
      </w:r>
      <w:r>
        <w:rPr>
          <w:rFonts w:ascii="Arial" w:cs="Arial" w:eastAsia="Arial" w:hAnsi="Arial"/>
          <w:sz w:val="14"/>
          <w:szCs w:val="14"/>
          <w:i w:val="1"/>
          <w:iCs w:val="1"/>
          <w:color w:val="auto"/>
        </w:rPr>
        <w:t xml:space="preserve"> </w:t>
      </w:r>
      <w:r>
        <w:rPr>
          <w:rFonts w:ascii="Arial" w:cs="Arial" w:eastAsia="Arial" w:hAnsi="Arial"/>
          <w:sz w:val="14"/>
          <w:szCs w:val="14"/>
          <w:color w:val="auto"/>
        </w:rPr>
        <w:t>on March 1 and September 1.</w:t>
      </w:r>
    </w:p>
    <w:p>
      <w:pPr>
        <w:spacing w:after="0" w:line="79" w:lineRule="exact"/>
        <w:rPr>
          <w:sz w:val="20"/>
          <w:szCs w:val="20"/>
          <w:color w:val="auto"/>
        </w:rPr>
      </w:pPr>
    </w:p>
    <w:p>
      <w:pPr>
        <w:ind w:left="260" w:right="1240"/>
        <w:spacing w:after="0" w:line="419" w:lineRule="auto"/>
        <w:rPr>
          <w:sz w:val="20"/>
          <w:szCs w:val="20"/>
          <w:color w:val="auto"/>
        </w:rPr>
      </w:pPr>
      <w:r>
        <w:rPr>
          <w:rFonts w:ascii="Arial" w:cs="Arial" w:eastAsia="Arial" w:hAnsi="Arial"/>
          <w:sz w:val="14"/>
          <w:szCs w:val="14"/>
          <w:color w:val="auto"/>
        </w:rPr>
        <w:t xml:space="preserve">During the fiscal years ended June 30, 2022, 2021, and 2020, 0.1 million, 0.1 million, and 0.1 million shares of common stock were purchased under the ESPP, respectively. </w:t>
      </w:r>
      <w:r>
        <w:rPr>
          <w:rFonts w:ascii="Arial" w:cs="Arial" w:eastAsia="Arial" w:hAnsi="Arial"/>
          <w:sz w:val="14"/>
          <w:szCs w:val="14"/>
          <w:u w:val="single" w:color="auto"/>
          <w:color w:val="auto"/>
        </w:rPr>
        <w:t>Stock-Based Compensation</w:t>
      </w:r>
    </w:p>
    <w:p>
      <w:pPr>
        <w:ind w:right="40" w:firstLine="255"/>
        <w:spacing w:after="0" w:line="267" w:lineRule="auto"/>
        <w:rPr>
          <w:sz w:val="20"/>
          <w:szCs w:val="20"/>
          <w:color w:val="auto"/>
        </w:rPr>
      </w:pPr>
      <w:r>
        <w:rPr>
          <w:rFonts w:ascii="Arial" w:cs="Arial" w:eastAsia="Arial" w:hAnsi="Arial"/>
          <w:sz w:val="14"/>
          <w:szCs w:val="14"/>
          <w:color w:val="auto"/>
        </w:rPr>
        <w:t>In accordance with accounting guidance for stock-based compensation, payments in equity instruments for goods or services are accounted for by the fair value method. For the fiscal year ended June 30, 2022, stock-based compensation of $1.8 million was reflected as an increase to additional paid in capital. For the fiscal years ended June 30, 2021 and 2020, stock-based compensation of $2.2 million and $4.8 million, respectively, was reflected as an increase to additional paid in capital and 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46"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reduction of $0.1 million and increase of $0.1 million, respectively, was reflected in other accrued expenses, all of which was employee related.</w:t>
      </w:r>
    </w:p>
    <w:p>
      <w:pPr>
        <w:spacing w:after="0" w:line="115" w:lineRule="exact"/>
        <w:rPr>
          <w:sz w:val="20"/>
          <w:szCs w:val="20"/>
          <w:color w:val="auto"/>
        </w:rPr>
      </w:pPr>
    </w:p>
    <w:p>
      <w:pPr>
        <w:ind w:right="800" w:firstLine="255"/>
        <w:spacing w:after="0" w:line="321" w:lineRule="auto"/>
        <w:rPr>
          <w:sz w:val="20"/>
          <w:szCs w:val="20"/>
          <w:color w:val="auto"/>
        </w:rPr>
      </w:pPr>
      <w:r>
        <w:rPr>
          <w:rFonts w:ascii="Arial" w:cs="Arial" w:eastAsia="Arial" w:hAnsi="Arial"/>
          <w:sz w:val="13"/>
          <w:szCs w:val="13"/>
          <w:color w:val="auto"/>
        </w:rPr>
        <w:t>At June 30, 2022, there was $2.0 million of unrecognized compensation cost related to non-vested share-based compensation arrangements under the 2010 and 2017 Plans, based on management's estimate of the shares that will ultimately vest. The Company expects to recognize such costs over a weighted-average period of 1.83 years.</w:t>
      </w:r>
    </w:p>
    <w:p>
      <w:pPr>
        <w:spacing w:after="0" w:line="5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Stock Options</w:t>
      </w:r>
    </w:p>
    <w:p>
      <w:pPr>
        <w:spacing w:after="0" w:line="12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During the fiscal year ended June 30, 2018, the Company awarded stock options ("FY 2018 Stock Options") to its executive officers and senior management. The vesting period for the FY 2018 Stock Options is three years and occurs as follows, subject to continued service through the applicable vesting dates: one-third of the total number of shares awarded vests on January 1, 2019; and one-twelfth of the total number of shares awarded vests on the last day of each fiscal quarter following January 1, 2019. The fair value of the stock options will be recognized on a straight-line basis over the requisite service period of the awards.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stock option grants during the fiscal years ended June 30, 2022, 2021 and 2020.</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stock option activity for the fiscal years ended June 30, 2022,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left="380"/>
              <w:spacing w:after="0"/>
              <w:rPr>
                <w:sz w:val="20"/>
                <w:szCs w:val="20"/>
                <w:color w:val="auto"/>
              </w:rPr>
            </w:pPr>
            <w:r>
              <w:rPr>
                <w:rFonts w:ascii="Arial" w:cs="Arial" w:eastAsia="Arial" w:hAnsi="Arial"/>
                <w:sz w:val="11"/>
                <w:szCs w:val="11"/>
                <w:b w:val="1"/>
                <w:bCs w:val="1"/>
                <w:color w:val="auto"/>
                <w:w w:val="92"/>
              </w:rPr>
              <w:t>Weighted</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Weighted</w:t>
            </w:r>
          </w:p>
        </w:tc>
        <w:tc>
          <w:tcPr>
            <w:tcW w:w="100" w:type="dxa"/>
            <w:vAlign w:val="bottom"/>
          </w:tcPr>
          <w:p>
            <w:pPr>
              <w:spacing w:after="0"/>
              <w:rPr>
                <w:sz w:val="10"/>
                <w:szCs w:val="10"/>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3"/>
              </w:rPr>
              <w:t>Aggregate Intrinsic Value (in</w:t>
            </w: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1640" w:type="dxa"/>
            <w:vAlign w:val="bottom"/>
            <w:vMerge w:val="restart"/>
          </w:tcPr>
          <w:p>
            <w:pPr>
              <w:jc w:val="right"/>
              <w:ind w:right="210"/>
              <w:spacing w:after="0"/>
              <w:rPr>
                <w:sz w:val="20"/>
                <w:szCs w:val="20"/>
                <w:color w:val="auto"/>
              </w:rPr>
            </w:pPr>
            <w:r>
              <w:rPr>
                <w:rFonts w:ascii="Arial" w:cs="Arial" w:eastAsia="Arial" w:hAnsi="Arial"/>
                <w:sz w:val="11"/>
                <w:szCs w:val="11"/>
                <w:b w:val="1"/>
                <w:bCs w:val="1"/>
                <w:color w:val="auto"/>
              </w:rPr>
              <w:t>Options (in thousands)</w:t>
            </w:r>
          </w:p>
        </w:tc>
        <w:tc>
          <w:tcPr>
            <w:tcW w:w="80" w:type="dxa"/>
            <w:vAlign w:val="bottom"/>
          </w:tcPr>
          <w:p>
            <w:pPr>
              <w:spacing w:after="0"/>
              <w:rPr>
                <w:sz w:val="10"/>
                <w:szCs w:val="10"/>
                <w:color w:val="auto"/>
              </w:rPr>
            </w:pPr>
          </w:p>
        </w:tc>
        <w:tc>
          <w:tcPr>
            <w:tcW w:w="1220" w:type="dxa"/>
            <w:vAlign w:val="bottom"/>
          </w:tcPr>
          <w:p>
            <w:pPr>
              <w:jc w:val="center"/>
              <w:ind w:left="360"/>
              <w:spacing w:after="0" w:line="117" w:lineRule="exact"/>
              <w:rPr>
                <w:sz w:val="20"/>
                <w:szCs w:val="20"/>
                <w:color w:val="auto"/>
              </w:rPr>
            </w:pPr>
            <w:r>
              <w:rPr>
                <w:rFonts w:ascii="Arial" w:cs="Arial" w:eastAsia="Arial" w:hAnsi="Arial"/>
                <w:sz w:val="11"/>
                <w:szCs w:val="11"/>
                <w:b w:val="1"/>
                <w:bCs w:val="1"/>
                <w:color w:val="auto"/>
                <w:w w:val="92"/>
              </w:rPr>
              <w:t>Average</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gridSpan w:val="2"/>
          </w:tcPr>
          <w:p>
            <w:pPr>
              <w:jc w:val="center"/>
              <w:ind w:right="80"/>
              <w:spacing w:after="0" w:line="117" w:lineRule="exact"/>
              <w:rPr>
                <w:sz w:val="20"/>
                <w:szCs w:val="20"/>
                <w:color w:val="auto"/>
              </w:rPr>
            </w:pPr>
            <w:r>
              <w:rPr>
                <w:rFonts w:ascii="Arial" w:cs="Arial" w:eastAsia="Arial" w:hAnsi="Arial"/>
                <w:sz w:val="11"/>
                <w:szCs w:val="11"/>
                <w:b w:val="1"/>
                <w:bCs w:val="1"/>
                <w:color w:val="auto"/>
                <w:w w:val="93"/>
              </w:rPr>
              <w:t>Average Remaining</w:t>
            </w:r>
          </w:p>
        </w:tc>
        <w:tc>
          <w:tcPr>
            <w:tcW w:w="10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44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ind w:left="360"/>
              <w:spacing w:after="0"/>
              <w:rPr>
                <w:sz w:val="20"/>
                <w:szCs w:val="20"/>
                <w:color w:val="auto"/>
              </w:rPr>
            </w:pPr>
            <w:r>
              <w:rPr>
                <w:rFonts w:ascii="Arial" w:cs="Arial" w:eastAsia="Arial" w:hAnsi="Arial"/>
                <w:sz w:val="11"/>
                <w:szCs w:val="11"/>
                <w:b w:val="1"/>
                <w:bCs w:val="1"/>
                <w:color w:val="auto"/>
                <w:w w:val="90"/>
              </w:rPr>
              <w:t>Exercise Price</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5"/>
              </w:rPr>
              <w:t>Contractual Term (in years)</w:t>
            </w:r>
          </w:p>
        </w:tc>
        <w:tc>
          <w:tcPr>
            <w:tcW w:w="100" w:type="dxa"/>
            <w:vAlign w:val="bottom"/>
          </w:tcPr>
          <w:p>
            <w:pPr>
              <w:spacing w:after="0"/>
              <w:rPr>
                <w:sz w:val="13"/>
                <w:szCs w:val="1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thousands)</w:t>
            </w:r>
          </w:p>
        </w:tc>
        <w:tc>
          <w:tcPr>
            <w:tcW w:w="0" w:type="dxa"/>
            <w:vAlign w:val="bottom"/>
          </w:tcPr>
          <w:p>
            <w:pPr>
              <w:spacing w:after="0"/>
              <w:rPr>
                <w:sz w:val="1"/>
                <w:szCs w:val="1"/>
                <w:color w:val="auto"/>
              </w:rPr>
            </w:pPr>
          </w:p>
        </w:tc>
      </w:tr>
      <w:tr>
        <w:trPr>
          <w:trHeight w:val="175"/>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June 30, 2019</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w:t>
            </w:r>
          </w:p>
        </w:tc>
        <w:tc>
          <w:tcPr>
            <w:tcW w:w="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20.09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 or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4.11</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June 30, 2020</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tcPr>
          <w:p>
            <w:pPr>
              <w:jc w:val="right"/>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 or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June 30,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4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6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Exercised</w:t>
            </w:r>
          </w:p>
        </w:tc>
        <w:tc>
          <w:tcPr>
            <w:tcW w:w="164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16.12</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Expired or Canceled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June 30,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ind w:left="20"/>
              <w:spacing w:after="0"/>
              <w:rPr>
                <w:sz w:val="20"/>
                <w:szCs w:val="20"/>
                <w:color w:val="auto"/>
              </w:rPr>
            </w:pPr>
            <w:r>
              <w:rPr>
                <w:rFonts w:ascii="Arial" w:cs="Arial" w:eastAsia="Arial" w:hAnsi="Arial"/>
                <w:sz w:val="14"/>
                <w:szCs w:val="14"/>
                <w:color w:val="auto"/>
              </w:rPr>
              <w:t>Exercisable at June 30, 2022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1300" w:type="dxa"/>
            <w:vAlign w:val="bottom"/>
            <w:gridSpan w:val="2"/>
          </w:tcPr>
          <w:p>
            <w:pPr>
              <w:jc w:val="right"/>
              <w:ind w:right="106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4.39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440" w:type="dxa"/>
            <w:vAlign w:val="bottom"/>
          </w:tcPr>
          <w:p>
            <w:pPr>
              <w:spacing w:after="0"/>
              <w:rPr>
                <w:sz w:val="24"/>
                <w:szCs w:val="24"/>
                <w:color w:val="auto"/>
              </w:rPr>
            </w:pPr>
          </w:p>
        </w:tc>
        <w:tc>
          <w:tcPr>
            <w:tcW w:w="1640" w:type="dxa"/>
            <w:vAlign w:val="bottom"/>
          </w:tcPr>
          <w:p>
            <w:pPr>
              <w:jc w:val="right"/>
              <w:ind w:right="290"/>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7" w:name="page78"/>
    <w:bookmarkEnd w:id="77"/>
    <w:p>
      <w:pPr>
        <w:ind w:left="260"/>
        <w:spacing w:after="0"/>
        <w:rPr>
          <w:sz w:val="20"/>
          <w:szCs w:val="20"/>
          <w:color w:val="auto"/>
        </w:rPr>
      </w:pPr>
      <w:r>
        <w:rPr>
          <w:rFonts w:ascii="Arial" w:cs="Arial" w:eastAsia="Arial" w:hAnsi="Arial"/>
          <w:sz w:val="14"/>
          <w:szCs w:val="14"/>
          <w:b w:val="1"/>
          <w:bCs w:val="1"/>
          <w:color w:val="auto"/>
        </w:rPr>
        <w:t>Restricted Stock Awards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restricted stock award activity during the fiscal years ended June 30, 2022, 2021 and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120" w:type="dxa"/>
            <w:vAlign w:val="bottom"/>
          </w:tcPr>
          <w:p>
            <w:pPr>
              <w:spacing w:after="0"/>
              <w:rPr>
                <w:sz w:val="10"/>
                <w:szCs w:val="10"/>
                <w:color w:val="auto"/>
              </w:rPr>
            </w:pPr>
          </w:p>
        </w:tc>
        <w:tc>
          <w:tcPr>
            <w:tcW w:w="1560" w:type="dxa"/>
            <w:vAlign w:val="bottom"/>
          </w:tcPr>
          <w:p>
            <w:pPr>
              <w:jc w:val="center"/>
              <w:ind w:left="383"/>
              <w:spacing w:after="0"/>
              <w:rPr>
                <w:sz w:val="20"/>
                <w:szCs w:val="20"/>
                <w:color w:val="auto"/>
              </w:rPr>
            </w:pPr>
            <w:r>
              <w:rPr>
                <w:rFonts w:ascii="Arial" w:cs="Arial" w:eastAsia="Arial" w:hAnsi="Arial"/>
                <w:sz w:val="11"/>
                <w:szCs w:val="11"/>
                <w:b w:val="1"/>
                <w:bCs w:val="1"/>
                <w:color w:val="auto"/>
                <w:w w:val="87"/>
              </w:rPr>
              <w:t>Shares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3"/>
              </w:rPr>
              <w:t>Weighted Average Grant Date Fair Value</w:t>
            </w:r>
          </w:p>
        </w:tc>
        <w:tc>
          <w:tcPr>
            <w:tcW w:w="0" w:type="dxa"/>
            <w:vAlign w:val="bottom"/>
          </w:tcPr>
          <w:p>
            <w:pPr>
              <w:spacing w:after="0"/>
              <w:rPr>
                <w:sz w:val="1"/>
                <w:szCs w:val="1"/>
                <w:color w:val="auto"/>
              </w:rPr>
            </w:pPr>
          </w:p>
        </w:tc>
      </w:tr>
      <w:tr>
        <w:trPr>
          <w:trHeight w:val="151"/>
        </w:trPr>
        <w:tc>
          <w:tcPr>
            <w:tcW w:w="71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w w:val="92"/>
              </w:rPr>
              <w:t>(in thousands)</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2019</w:t>
            </w:r>
          </w:p>
        </w:tc>
        <w:tc>
          <w:tcPr>
            <w:tcW w:w="1560" w:type="dxa"/>
            <w:vAlign w:val="bottom"/>
            <w:shd w:val="clear" w:color="auto" w:fill="CCEEFF"/>
          </w:tcPr>
          <w:p>
            <w:pPr>
              <w:spacing w:after="0"/>
              <w:rPr>
                <w:sz w:val="15"/>
                <w:szCs w:val="15"/>
                <w:color w:val="auto"/>
              </w:rPr>
            </w:pP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89"/>
              </w:rPr>
              <w:t>90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70"/>
        </w:trPr>
        <w:tc>
          <w:tcPr>
            <w:tcW w:w="7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89"/>
              </w:rPr>
              <w:t>30</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Vested</w:t>
            </w:r>
          </w:p>
        </w:tc>
        <w:tc>
          <w:tcPr>
            <w:tcW w:w="460" w:type="dxa"/>
            <w:vAlign w:val="bottom"/>
          </w:tcPr>
          <w:p>
            <w:pPr>
              <w:jc w:val="center"/>
              <w:ind w:left="109"/>
              <w:spacing w:after="0"/>
              <w:rPr>
                <w:sz w:val="20"/>
                <w:szCs w:val="20"/>
                <w:color w:val="auto"/>
              </w:rPr>
            </w:pPr>
            <w:r>
              <w:rPr>
                <w:rFonts w:ascii="Arial" w:cs="Arial" w:eastAsia="Arial" w:hAnsi="Arial"/>
                <w:sz w:val="14"/>
                <w:szCs w:val="14"/>
                <w:color w:val="auto"/>
                <w:w w:val="96"/>
              </w:rPr>
              <w:t>(80)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8.19</w:t>
            </w:r>
          </w:p>
        </w:tc>
        <w:tc>
          <w:tcPr>
            <w:tcW w:w="0" w:type="dxa"/>
            <w:vAlign w:val="bottom"/>
          </w:tcPr>
          <w:p>
            <w:pPr>
              <w:spacing w:after="0"/>
              <w:rPr>
                <w:sz w:val="1"/>
                <w:szCs w:val="1"/>
                <w:color w:val="auto"/>
              </w:rPr>
            </w:pPr>
          </w:p>
        </w:tc>
      </w:tr>
      <w:tr>
        <w:trPr>
          <w:trHeight w:val="181"/>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Nonvested at June 30, 2020</w:t>
            </w:r>
          </w:p>
        </w:tc>
        <w:tc>
          <w:tcPr>
            <w:tcW w:w="15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center"/>
              <w:ind w:left="129"/>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50"/>
        </w:trPr>
        <w:tc>
          <w:tcPr>
            <w:tcW w:w="71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89"/>
              </w:rPr>
              <w:t>41</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1"/>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460" w:type="dxa"/>
            <w:vAlign w:val="bottom"/>
            <w:shd w:val="clear" w:color="auto" w:fill="CCEEFF"/>
          </w:tcPr>
          <w:p>
            <w:pPr>
              <w:jc w:val="center"/>
              <w:ind w:left="109"/>
              <w:spacing w:after="0"/>
              <w:rPr>
                <w:sz w:val="20"/>
                <w:szCs w:val="20"/>
                <w:color w:val="auto"/>
              </w:rPr>
            </w:pPr>
            <w:r>
              <w:rPr>
                <w:rFonts w:ascii="Arial" w:cs="Arial" w:eastAsia="Arial" w:hAnsi="Arial"/>
                <w:sz w:val="14"/>
                <w:szCs w:val="14"/>
                <w:color w:val="auto"/>
                <w:w w:val="96"/>
              </w:rPr>
              <w:t>(40)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Forfeited</w:t>
            </w: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at June 30, 2021</w:t>
            </w:r>
          </w:p>
        </w:tc>
        <w:tc>
          <w:tcPr>
            <w:tcW w:w="156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center"/>
              <w:ind w:left="129"/>
              <w:spacing w:after="0"/>
              <w:rPr>
                <w:sz w:val="20"/>
                <w:szCs w:val="20"/>
                <w:color w:val="auto"/>
              </w:rPr>
            </w:pPr>
            <w:r>
              <w:rPr>
                <w:rFonts w:ascii="Arial" w:cs="Arial" w:eastAsia="Arial" w:hAnsi="Arial"/>
                <w:sz w:val="14"/>
                <w:szCs w:val="14"/>
                <w:color w:val="auto"/>
                <w:w w:val="89"/>
              </w:rPr>
              <w:t>41</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50"/>
        </w:trPr>
        <w:tc>
          <w:tcPr>
            <w:tcW w:w="7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460" w:type="dxa"/>
            <w:vAlign w:val="bottom"/>
            <w:shd w:val="clear" w:color="auto" w:fill="CCEEFF"/>
          </w:tcPr>
          <w:p>
            <w:pPr>
              <w:jc w:val="center"/>
              <w:ind w:left="129"/>
              <w:spacing w:after="0"/>
              <w:rPr>
                <w:sz w:val="20"/>
                <w:szCs w:val="20"/>
                <w:color w:val="auto"/>
              </w:rPr>
            </w:pPr>
            <w:r>
              <w:rPr>
                <w:rFonts w:ascii="Arial" w:cs="Arial" w:eastAsia="Arial" w:hAnsi="Arial"/>
                <w:sz w:val="14"/>
                <w:szCs w:val="14"/>
                <w:color w:val="auto"/>
                <w:w w:val="89"/>
              </w:rPr>
              <w:t>66</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Vested</w:t>
            </w:r>
          </w:p>
        </w:tc>
        <w:tc>
          <w:tcPr>
            <w:tcW w:w="460" w:type="dxa"/>
            <w:vAlign w:val="bottom"/>
          </w:tcPr>
          <w:p>
            <w:pPr>
              <w:jc w:val="center"/>
              <w:ind w:left="109"/>
              <w:spacing w:after="0"/>
              <w:rPr>
                <w:sz w:val="20"/>
                <w:szCs w:val="20"/>
                <w:color w:val="auto"/>
              </w:rPr>
            </w:pPr>
            <w:r>
              <w:rPr>
                <w:rFonts w:ascii="Arial" w:cs="Arial" w:eastAsia="Arial" w:hAnsi="Arial"/>
                <w:sz w:val="14"/>
                <w:szCs w:val="14"/>
                <w:color w:val="auto"/>
                <w:w w:val="96"/>
              </w:rPr>
              <w:t>(41)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Nonvested at June 30, 2022</w:t>
            </w:r>
          </w:p>
        </w:tc>
        <w:tc>
          <w:tcPr>
            <w:tcW w:w="460" w:type="dxa"/>
            <w:vAlign w:val="bottom"/>
          </w:tcPr>
          <w:p>
            <w:pPr>
              <w:jc w:val="center"/>
              <w:ind w:left="129"/>
              <w:spacing w:after="0"/>
              <w:rPr>
                <w:sz w:val="20"/>
                <w:szCs w:val="20"/>
                <w:color w:val="auto"/>
              </w:rPr>
            </w:pPr>
            <w:r>
              <w:rPr>
                <w:rFonts w:ascii="Arial" w:cs="Arial" w:eastAsia="Arial" w:hAnsi="Arial"/>
                <w:sz w:val="14"/>
                <w:szCs w:val="14"/>
                <w:color w:val="auto"/>
                <w:w w:val="89"/>
              </w:rPr>
              <w:t>66</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total vesting date fair value of restricted shares that vested during the fiscal years ended June 30, 2022, 2021 and 2020 was $0.3 million, $0.5 million and $1.0 million, respectively.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Restricted Stock Units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restricted stock units activity during the fiscal years ended June 30, 2022, 2021 and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Number of Units (in thousands)</w:t>
            </w: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3"/>
              </w:rPr>
              <w:t>Weighted Average Grant Date Fair Value</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2019</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13.81</w:t>
            </w:r>
          </w:p>
        </w:tc>
      </w:tr>
      <w:tr>
        <w:trPr>
          <w:trHeight w:val="170"/>
        </w:trPr>
        <w:tc>
          <w:tcPr>
            <w:tcW w:w="7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Vested</w:t>
            </w:r>
          </w:p>
        </w:tc>
        <w:tc>
          <w:tcPr>
            <w:tcW w:w="2020" w:type="dxa"/>
            <w:vAlign w:val="bottom"/>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13.87</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Nonvested at June 30, 2020</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13.68</w:t>
            </w:r>
          </w:p>
        </w:tc>
      </w:tr>
      <w:tr>
        <w:trPr>
          <w:trHeight w:val="150"/>
        </w:trPr>
        <w:tc>
          <w:tcPr>
            <w:tcW w:w="7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tcPr>
          <w:p>
            <w:pPr>
              <w:jc w:val="right"/>
              <w:spacing w:after="0"/>
              <w:rPr>
                <w:sz w:val="20"/>
                <w:szCs w:val="20"/>
                <w:color w:val="auto"/>
              </w:rPr>
            </w:pPr>
            <w:r>
              <w:rPr>
                <w:rFonts w:ascii="Arial" w:cs="Arial" w:eastAsia="Arial" w:hAnsi="Arial"/>
                <w:sz w:val="14"/>
                <w:szCs w:val="14"/>
                <w:color w:val="auto"/>
              </w:rPr>
              <w:t>202</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12.77</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14.60</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2021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w:t>
            </w:r>
          </w:p>
        </w:tc>
      </w:tr>
      <w:tr>
        <w:trPr>
          <w:trHeight w:val="182"/>
        </w:trPr>
        <w:tc>
          <w:tcPr>
            <w:tcW w:w="7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Vested</w:t>
            </w:r>
          </w:p>
        </w:tc>
        <w:tc>
          <w:tcPr>
            <w:tcW w:w="202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13.17</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r>
      <w:tr>
        <w:trPr>
          <w:trHeight w:val="150"/>
        </w:trPr>
        <w:tc>
          <w:tcPr>
            <w:tcW w:w="7120" w:type="dxa"/>
            <w:vAlign w:val="bottom"/>
          </w:tcPr>
          <w:p>
            <w:pPr>
              <w:ind w:left="20"/>
              <w:spacing w:after="0" w:line="150" w:lineRule="exact"/>
              <w:rPr>
                <w:sz w:val="20"/>
                <w:szCs w:val="20"/>
                <w:color w:val="auto"/>
              </w:rPr>
            </w:pPr>
            <w:r>
              <w:rPr>
                <w:rFonts w:ascii="Arial" w:cs="Arial" w:eastAsia="Arial" w:hAnsi="Arial"/>
                <w:sz w:val="14"/>
                <w:szCs w:val="14"/>
                <w:color w:val="auto"/>
              </w:rPr>
              <w:t>Nonvested at June 30, 2022</w:t>
            </w:r>
          </w:p>
        </w:tc>
        <w:tc>
          <w:tcPr>
            <w:tcW w:w="2020" w:type="dxa"/>
            <w:vAlign w:val="bottom"/>
            <w:tcBorders>
              <w:bottom w:val="single" w:sz="8" w:color="auto"/>
            </w:tcBorders>
          </w:tcPr>
          <w:p>
            <w:pPr>
              <w:jc w:val="right"/>
              <w:spacing w:after="0" w:line="150" w:lineRule="exact"/>
              <w:rPr>
                <w:sz w:val="20"/>
                <w:szCs w:val="20"/>
                <w:color w:val="auto"/>
              </w:rPr>
            </w:pPr>
            <w:r>
              <w:rPr>
                <w:rFonts w:ascii="Arial" w:cs="Arial" w:eastAsia="Arial" w:hAnsi="Arial"/>
                <w:sz w:val="14"/>
                <w:szCs w:val="14"/>
                <w:color w:val="auto"/>
              </w:rPr>
              <w:t>334</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jc w:val="right"/>
              <w:spacing w:after="0" w:line="150" w:lineRule="exact"/>
              <w:rPr>
                <w:sz w:val="20"/>
                <w:szCs w:val="20"/>
                <w:color w:val="auto"/>
              </w:rPr>
            </w:pPr>
            <w:r>
              <w:rPr>
                <w:rFonts w:ascii="Arial" w:cs="Arial" w:eastAsia="Arial" w:hAnsi="Arial"/>
                <w:sz w:val="14"/>
                <w:szCs w:val="14"/>
                <w:color w:val="auto"/>
              </w:rPr>
              <w:t>7.36</w:t>
            </w:r>
          </w:p>
        </w:tc>
      </w:tr>
      <w:tr>
        <w:trPr>
          <w:trHeight w:val="20"/>
        </w:trPr>
        <w:tc>
          <w:tcPr>
            <w:tcW w:w="7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right="240"/>
        <w:spacing w:after="0" w:line="427" w:lineRule="auto"/>
        <w:rPr>
          <w:sz w:val="20"/>
          <w:szCs w:val="20"/>
          <w:color w:val="auto"/>
        </w:rPr>
      </w:pPr>
      <w:r>
        <w:rPr>
          <w:rFonts w:ascii="Arial" w:cs="Arial" w:eastAsia="Arial" w:hAnsi="Arial"/>
          <w:sz w:val="14"/>
          <w:szCs w:val="14"/>
          <w:color w:val="auto"/>
        </w:rPr>
        <w:t xml:space="preserve">The total vesting date fair value of restricted stock units that vested during the fiscal years ended June 30, 2022, 2021, and 2020 was $0.6 million, $1.6 million, and $3.3 million, respectively. </w:t>
      </w:r>
      <w:r>
        <w:rPr>
          <w:rFonts w:ascii="Arial" w:cs="Arial" w:eastAsia="Arial" w:hAnsi="Arial"/>
          <w:sz w:val="14"/>
          <w:szCs w:val="14"/>
          <w:b w:val="1"/>
          <w:bCs w:val="1"/>
          <w:color w:val="auto"/>
        </w:rPr>
        <w:t>Performance Restricted Stock Units</w:t>
      </w:r>
    </w:p>
    <w:p>
      <w:pPr>
        <w:ind w:right="420" w:firstLine="255"/>
        <w:spacing w:after="0" w:line="321" w:lineRule="auto"/>
        <w:rPr>
          <w:sz w:val="20"/>
          <w:szCs w:val="20"/>
          <w:color w:val="auto"/>
        </w:rPr>
      </w:pPr>
      <w:r>
        <w:rPr>
          <w:rFonts w:ascii="Arial" w:cs="Arial" w:eastAsia="Arial" w:hAnsi="Arial"/>
          <w:sz w:val="13"/>
          <w:szCs w:val="13"/>
          <w:color w:val="auto"/>
        </w:rPr>
        <w:t>During the fiscal year ended June 30, 2019, the Company awarded performance restricted stock units ("FY 2019 Performance Restricted Stock Units") to certain employees (the "FY 2019 Recipients"). Each FY 2019 Performance Restricted Stock Unit represents a contingent right for the FY 2019 Recipients to receive a distribution of shares of common stock of the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2" w:right="339" w:bottom="1440" w:gutter="0" w:footer="0" w:header="0"/>
        </w:sectPr>
      </w:pPr>
    </w:p>
    <w:bookmarkStart w:id="78" w:name="page79"/>
    <w:bookmarkEnd w:id="78"/>
    <w:p>
      <w:pPr>
        <w:ind w:right="100"/>
        <w:spacing w:after="0" w:line="257" w:lineRule="auto"/>
        <w:rPr>
          <w:sz w:val="20"/>
          <w:szCs w:val="20"/>
          <w:color w:val="auto"/>
        </w:rPr>
      </w:pPr>
      <w:r>
        <w:rPr>
          <w:rFonts w:ascii="Arial" w:cs="Arial" w:eastAsia="Arial" w:hAnsi="Arial"/>
          <w:sz w:val="14"/>
          <w:szCs w:val="14"/>
          <w:color w:val="auto"/>
        </w:rPr>
        <w:t>Company equal to 0% to 200% of the target number of performance restricted stock units subject to the award. The actual number of shares distributed will be based on the Company's achievement of specified financial performance metrics. The performance period for the FY 2019 Performance Restricted Stock Units ended June 30, 2019. The FY 2019 Performance Restricted Stock Units will vest only to the extent the specified financial performance criteria are achieved and subject to the FY 2019 Recipient’s continued service with the Company, as follows: (i) a portion of the earned award will vest on the first anniversary of the grant date and (ii) an additional portion of the earned award will vest thereafter in a series of quarterly installments. The fair values of the FY 2019 Performance Restricted Stock Units were based on the grant date fair value which is the closing price of the Company's common stock on the date of grant. During the fiscal years ended June 30, 2021 and 2020, the Company awarded performance restricted stock units ("FY 2021 Performance Restricted Stock Units" and "FY 2020 Performance Restricted Stock Units") to certain employees. The FY 2021 Performance Restricted Stock Units and FY 2020 Performance Restricted Stock Units include terms that are substantially the same as described above for the FY 2019 Performance Restricted Stock Units.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performance restricted stock units activity during the fiscal years ended June 30, 2022, 2021 and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right"/>
              <w:ind w:right="170"/>
              <w:spacing w:after="0"/>
              <w:rPr>
                <w:sz w:val="20"/>
                <w:szCs w:val="20"/>
                <w:color w:val="auto"/>
              </w:rPr>
            </w:pPr>
            <w:r>
              <w:rPr>
                <w:rFonts w:ascii="Arial" w:cs="Arial" w:eastAsia="Arial" w:hAnsi="Arial"/>
                <w:sz w:val="11"/>
                <w:szCs w:val="11"/>
                <w:b w:val="1"/>
                <w:bCs w:val="1"/>
                <w:color w:val="auto"/>
              </w:rPr>
              <w:t>Number of Units (in thousands)</w:t>
            </w:r>
          </w:p>
        </w:tc>
        <w:tc>
          <w:tcPr>
            <w:tcW w:w="10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3"/>
              </w:rPr>
              <w:t>Weighted Average Grant Date Fair Value</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2019</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7.71</w:t>
            </w:r>
          </w:p>
        </w:tc>
      </w:tr>
      <w:tr>
        <w:trPr>
          <w:trHeight w:val="170"/>
        </w:trPr>
        <w:tc>
          <w:tcPr>
            <w:tcW w:w="7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Vested</w:t>
            </w:r>
          </w:p>
        </w:tc>
        <w:tc>
          <w:tcPr>
            <w:tcW w:w="202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5.88</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w:t>
            </w:r>
          </w:p>
        </w:tc>
      </w:tr>
      <w:tr>
        <w:trPr>
          <w:trHeight w:val="17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Nonvested at June 30, 2020</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13.61</w:t>
            </w:r>
          </w:p>
        </w:tc>
      </w:tr>
      <w:tr>
        <w:trPr>
          <w:trHeight w:val="150"/>
        </w:trPr>
        <w:tc>
          <w:tcPr>
            <w:tcW w:w="712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7120" w:type="dxa"/>
            <w:vAlign w:val="bottom"/>
          </w:tcPr>
          <w:p>
            <w:pPr>
              <w:ind w:left="20"/>
              <w:spacing w:after="0" w:line="181" w:lineRule="exact"/>
              <w:rPr>
                <w:sz w:val="20"/>
                <w:szCs w:val="20"/>
                <w:color w:val="auto"/>
              </w:rPr>
            </w:pPr>
            <w:r>
              <w:rPr>
                <w:rFonts w:ascii="Arial" w:cs="Arial" w:eastAsia="Arial" w:hAnsi="Arial"/>
                <w:sz w:val="14"/>
                <w:szCs w:val="14"/>
                <w:color w:val="auto"/>
              </w:rPr>
              <w:t>Granted</w:t>
            </w:r>
            <w:r>
              <w:rPr>
                <w:rFonts w:ascii="Arial" w:cs="Arial" w:eastAsia="Arial" w:hAnsi="Arial"/>
                <w:sz w:val="18"/>
                <w:szCs w:val="18"/>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4"/>
                <w:szCs w:val="14"/>
                <w:color w:val="auto"/>
              </w:rPr>
              <w:t>49</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14.50</w:t>
            </w:r>
          </w:p>
        </w:tc>
      </w:tr>
      <w:tr>
        <w:trPr>
          <w:trHeight w:val="180"/>
        </w:trPr>
        <w:tc>
          <w:tcPr>
            <w:tcW w:w="71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Vested</w:t>
            </w:r>
            <w:r>
              <w:rPr>
                <w:rFonts w:ascii="Arial" w:cs="Arial" w:eastAsia="Arial" w:hAnsi="Arial"/>
                <w:sz w:val="18"/>
                <w:szCs w:val="18"/>
                <w:color w:val="auto"/>
                <w:vertAlign w:val="superscript"/>
              </w:rPr>
              <w:t>(1)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13.08</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14.39</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June 30, 2021</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w:t>
            </w:r>
          </w:p>
        </w:tc>
      </w:tr>
      <w:tr>
        <w:trPr>
          <w:trHeight w:val="150"/>
        </w:trPr>
        <w:tc>
          <w:tcPr>
            <w:tcW w:w="7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r>
      <w:tr>
        <w:trPr>
          <w:trHeight w:val="180"/>
        </w:trPr>
        <w:tc>
          <w:tcPr>
            <w:tcW w:w="7120" w:type="dxa"/>
            <w:vAlign w:val="bottom"/>
          </w:tcPr>
          <w:p>
            <w:pPr>
              <w:ind w:left="20"/>
              <w:spacing w:after="0" w:line="181" w:lineRule="exact"/>
              <w:rPr>
                <w:sz w:val="20"/>
                <w:szCs w:val="20"/>
                <w:color w:val="auto"/>
              </w:rPr>
            </w:pPr>
            <w:r>
              <w:rPr>
                <w:rFonts w:ascii="Arial" w:cs="Arial" w:eastAsia="Arial" w:hAnsi="Arial"/>
                <w:sz w:val="14"/>
                <w:szCs w:val="14"/>
                <w:color w:val="auto"/>
              </w:rPr>
              <w:t>Vested</w:t>
            </w:r>
            <w:r>
              <w:rPr>
                <w:rFonts w:ascii="Arial" w:cs="Arial" w:eastAsia="Arial" w:hAnsi="Arial"/>
                <w:sz w:val="18"/>
                <w:szCs w:val="18"/>
                <w:color w:val="auto"/>
                <w:vertAlign w:val="superscript"/>
              </w:rPr>
              <w:t>(1)</w:t>
            </w:r>
          </w:p>
        </w:tc>
        <w:tc>
          <w:tcPr>
            <w:tcW w:w="20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13.63</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Nonvested at June 30, 2022</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0"/>
        </w:trPr>
        <w:tc>
          <w:tcPr>
            <w:tcW w:w="712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23" w:lineRule="exact"/>
        <w:rPr>
          <w:sz w:val="20"/>
          <w:szCs w:val="20"/>
          <w:color w:val="auto"/>
        </w:rPr>
      </w:pPr>
    </w:p>
    <w:p>
      <w:pPr>
        <w:ind w:left="980"/>
        <w:spacing w:after="0"/>
        <w:rPr>
          <w:sz w:val="20"/>
          <w:szCs w:val="20"/>
          <w:color w:val="auto"/>
        </w:rPr>
      </w:pPr>
      <w:r>
        <w:rPr>
          <w:rFonts w:ascii="Arial" w:cs="Arial" w:eastAsia="Arial" w:hAnsi="Arial"/>
          <w:sz w:val="9"/>
          <w:szCs w:val="9"/>
          <w:color w:val="auto"/>
        </w:rPr>
        <w:t>Includes shares added based on achievement of performance goals in excess of target.</w:t>
      </w:r>
    </w:p>
    <w:p>
      <w:pPr>
        <w:ind w:left="580"/>
        <w:spacing w:after="0"/>
        <w:rPr>
          <w:sz w:val="20"/>
          <w:szCs w:val="20"/>
          <w:color w:val="auto"/>
        </w:rPr>
      </w:pPr>
      <w:r>
        <w:rPr>
          <w:rFonts w:ascii="Arial" w:cs="Arial" w:eastAsia="Arial" w:hAnsi="Arial"/>
          <w:sz w:val="13"/>
          <w:szCs w:val="13"/>
          <w:color w:val="auto"/>
        </w:rPr>
        <w:t>(1)</w:t>
      </w:r>
    </w:p>
    <w:p>
      <w:pPr>
        <w:spacing w:after="0" w:line="218"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The total vesting date fair value of performance restricted stock units that vested during the fiscal years ended June 30, 2022, 2021, and 2020 was $0.1 million, $0.6 million, and $10.1 million, respectively.</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Cash-Settled Performance Units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summary of cash-settled performance units activity during the fiscal year ended June 30, 2020:</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710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tcPr>
          <w:p>
            <w:pPr>
              <w:jc w:val="right"/>
              <w:ind w:right="192"/>
              <w:spacing w:after="0"/>
              <w:rPr>
                <w:sz w:val="20"/>
                <w:szCs w:val="20"/>
                <w:color w:val="auto"/>
              </w:rPr>
            </w:pPr>
            <w:r>
              <w:rPr>
                <w:rFonts w:ascii="Arial" w:cs="Arial" w:eastAsia="Arial" w:hAnsi="Arial"/>
                <w:sz w:val="11"/>
                <w:szCs w:val="11"/>
                <w:b w:val="1"/>
                <w:bCs w:val="1"/>
                <w:color w:val="auto"/>
              </w:rPr>
              <w:t>Number of Units (in thousands)</w:t>
            </w:r>
          </w:p>
        </w:tc>
        <w:tc>
          <w:tcPr>
            <w:tcW w:w="8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4"/>
              </w:rPr>
              <w:t>Weighted Average Grant Date Fair Value</w:t>
            </w:r>
          </w:p>
        </w:tc>
      </w:tr>
      <w:tr>
        <w:trPr>
          <w:trHeight w:val="180"/>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June 30, 2019, nonvested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70"/>
        </w:trPr>
        <w:tc>
          <w:tcPr>
            <w:tcW w:w="7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0"/>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Granted</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tcPr>
          <w:p>
            <w:pPr>
              <w:spacing w:after="0"/>
              <w:rPr>
                <w:sz w:val="20"/>
                <w:szCs w:val="20"/>
                <w:color w:val="auto"/>
              </w:rPr>
            </w:pPr>
            <w:r>
              <w:rPr>
                <w:rFonts w:ascii="Arial" w:cs="Arial" w:eastAsia="Arial" w:hAnsi="Arial"/>
                <w:sz w:val="14"/>
                <w:szCs w:val="14"/>
                <w:color w:val="auto"/>
              </w:rPr>
              <w:t>Vested</w:t>
            </w:r>
          </w:p>
        </w:tc>
        <w:tc>
          <w:tcPr>
            <w:tcW w:w="204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00" w:type="dxa"/>
            <w:vAlign w:val="bottom"/>
            <w:shd w:val="clear" w:color="auto" w:fill="CCEEFF"/>
          </w:tcPr>
          <w:p>
            <w:pPr>
              <w:spacing w:after="0"/>
              <w:rPr>
                <w:sz w:val="20"/>
                <w:szCs w:val="20"/>
                <w:color w:val="auto"/>
              </w:rPr>
            </w:pPr>
            <w:r>
              <w:rPr>
                <w:rFonts w:ascii="Arial" w:cs="Arial" w:eastAsia="Arial" w:hAnsi="Arial"/>
                <w:sz w:val="14"/>
                <w:szCs w:val="14"/>
                <w:color w:val="auto"/>
              </w:rPr>
              <w:t>Forfeited</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7.68</w:t>
            </w:r>
          </w:p>
        </w:tc>
      </w:tr>
      <w:tr>
        <w:trPr>
          <w:trHeight w:val="171"/>
        </w:trPr>
        <w:tc>
          <w:tcPr>
            <w:tcW w:w="7100" w:type="dxa"/>
            <w:vAlign w:val="bottom"/>
          </w:tcPr>
          <w:p>
            <w:pPr>
              <w:spacing w:after="0"/>
              <w:rPr>
                <w:sz w:val="20"/>
                <w:szCs w:val="20"/>
                <w:color w:val="auto"/>
              </w:rPr>
            </w:pPr>
            <w:r>
              <w:rPr>
                <w:rFonts w:ascii="Arial" w:cs="Arial" w:eastAsia="Arial" w:hAnsi="Arial"/>
                <w:sz w:val="14"/>
                <w:szCs w:val="14"/>
                <w:color w:val="auto"/>
              </w:rPr>
              <w:t>Outstanding at June 30, 2020, nonvested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7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The fair value of vested awards under the cash-settled performance plan for the fiscal years ended June 30, 2020 was $0.4 million, respectively. All vested awards under the cash-settle performance plan were cash-settled as of June 30, 2021. Payments of $0.4 million and $0.3 million were made to settle vested cash-settled performance units during the fiscal years ended June 30, 2021 and 2020,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auto"/>
        </w:rPr>
        <w:t>Note 11 — Other Expense, Net</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expense, net consists of the following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Year ended June 30,</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53"/>
        </w:trPr>
        <w:tc>
          <w:tcPr>
            <w:tcW w:w="5000" w:type="dxa"/>
            <w:vAlign w:val="bottom"/>
            <w:tcBorders>
              <w:bottom w:val="single" w:sz="8" w:color="CCEEFF"/>
            </w:tcBorders>
          </w:tcPr>
          <w:p>
            <w:pPr>
              <w:spacing w:after="0"/>
              <w:rPr>
                <w:sz w:val="13"/>
                <w:szCs w:val="13"/>
                <w:color w:val="auto"/>
              </w:rPr>
            </w:pPr>
          </w:p>
        </w:tc>
        <w:tc>
          <w:tcPr>
            <w:tcW w:w="140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833"/>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32"/>
              <w:spacing w:after="0"/>
              <w:rPr>
                <w:sz w:val="20"/>
                <w:szCs w:val="20"/>
                <w:color w:val="auto"/>
              </w:rPr>
            </w:pPr>
            <w:r>
              <w:rPr>
                <w:rFonts w:ascii="Arial" w:cs="Arial" w:eastAsia="Arial" w:hAnsi="Arial"/>
                <w:sz w:val="11"/>
                <w:szCs w:val="11"/>
                <w:b w:val="1"/>
                <w:bCs w:val="1"/>
                <w:color w:val="auto"/>
              </w:rPr>
              <w:t>2020</w:t>
            </w:r>
          </w:p>
        </w:tc>
      </w:tr>
      <w:tr>
        <w:trPr>
          <w:trHeight w:val="17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transaction gain (loss), net</w:t>
            </w:r>
          </w:p>
        </w:tc>
        <w:tc>
          <w:tcPr>
            <w:tcW w:w="1400" w:type="dxa"/>
            <w:vAlign w:val="bottom"/>
            <w:shd w:val="clear" w:color="auto" w:fill="CCEEFF"/>
          </w:tcPr>
          <w:p>
            <w:pPr>
              <w:jc w:val="right"/>
              <w:ind w:right="125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Loss on settlement of forward contract</w:t>
            </w:r>
          </w:p>
        </w:tc>
        <w:tc>
          <w:tcPr>
            <w:tcW w:w="14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(368)</w:t>
            </w:r>
          </w:p>
        </w:tc>
      </w:tr>
      <w:tr>
        <w:trPr>
          <w:trHeight w:val="181"/>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on disposal of fixed assets</w:t>
            </w:r>
          </w:p>
        </w:tc>
        <w:tc>
          <w:tcPr>
            <w:tcW w:w="14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(expense), net</w:t>
            </w:r>
          </w:p>
        </w:tc>
        <w:tc>
          <w:tcPr>
            <w:tcW w:w="1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196"/>
        </w:trPr>
        <w:tc>
          <w:tcPr>
            <w:tcW w:w="5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other expense, net</w:t>
            </w:r>
          </w:p>
        </w:tc>
        <w:tc>
          <w:tcPr>
            <w:tcW w:w="1400" w:type="dxa"/>
            <w:vAlign w:val="bottom"/>
            <w:tcBorders>
              <w:bottom w:val="single" w:sz="8" w:color="auto"/>
            </w:tcBorders>
            <w:shd w:val="clear" w:color="auto" w:fill="CCEEFF"/>
          </w:tcPr>
          <w:p>
            <w:pPr>
              <w:jc w:val="right"/>
              <w:ind w:right="125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Income Taxes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income tax expense for the fiscal years ended June 30, 2022, 2021 and 2020 consists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00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Year ended June 30,</w:t>
            </w: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50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rPr>
              <w:t>2022</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30"/>
              <w:spacing w:after="0"/>
              <w:rPr>
                <w:sz w:val="20"/>
                <w:szCs w:val="20"/>
                <w:color w:val="auto"/>
              </w:rPr>
            </w:pPr>
            <w:r>
              <w:rPr>
                <w:rFonts w:ascii="Arial" w:cs="Arial" w:eastAsia="Arial" w:hAnsi="Arial"/>
                <w:sz w:val="11"/>
                <w:szCs w:val="11"/>
                <w:b w:val="1"/>
                <w:bCs w:val="1"/>
                <w:color w:val="auto"/>
              </w:rPr>
              <w:t>2020</w:t>
            </w:r>
          </w:p>
        </w:tc>
        <w:tc>
          <w:tcPr>
            <w:tcW w:w="20" w:type="dxa"/>
            <w:vAlign w:val="bottom"/>
          </w:tcPr>
          <w:p>
            <w:pPr>
              <w:spacing w:after="0"/>
              <w:rPr>
                <w:sz w:val="13"/>
                <w:szCs w:val="13"/>
                <w:color w:val="auto"/>
              </w:rPr>
            </w:pPr>
          </w:p>
        </w:tc>
      </w:tr>
      <w:tr>
        <w:trPr>
          <w:trHeight w:val="167"/>
        </w:trPr>
        <w:tc>
          <w:tcPr>
            <w:tcW w:w="5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1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Domestic</w:t>
            </w:r>
          </w:p>
        </w:tc>
        <w:tc>
          <w:tcPr>
            <w:tcW w:w="1380" w:type="dxa"/>
            <w:vAlign w:val="bottom"/>
          </w:tcPr>
          <w:p>
            <w:pPr>
              <w:jc w:val="right"/>
              <w:ind w:right="123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1,613</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15,233</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12,817</w:t>
            </w:r>
          </w:p>
        </w:tc>
        <w:tc>
          <w:tcPr>
            <w:tcW w:w="20" w:type="dxa"/>
            <w:vAlign w:val="bottom"/>
          </w:tcPr>
          <w:p>
            <w:pPr>
              <w:spacing w:after="0"/>
              <w:rPr>
                <w:sz w:val="15"/>
                <w:szCs w:val="15"/>
                <w:color w:val="auto"/>
              </w:rPr>
            </w:pPr>
          </w:p>
        </w:tc>
      </w:tr>
      <w:tr>
        <w:trPr>
          <w:trHeight w:val="180"/>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International</w:t>
            </w:r>
          </w:p>
        </w:tc>
        <w:tc>
          <w:tcPr>
            <w:tcW w:w="13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20" w:type="dxa"/>
            <w:vAlign w:val="bottom"/>
          </w:tcPr>
          <w:p>
            <w:pPr>
              <w:spacing w:after="0"/>
              <w:rPr>
                <w:sz w:val="15"/>
                <w:szCs w:val="15"/>
                <w:color w:val="auto"/>
              </w:rPr>
            </w:pPr>
          </w:p>
        </w:tc>
      </w:tr>
      <w:tr>
        <w:trPr>
          <w:trHeight w:val="171"/>
        </w:trPr>
        <w:tc>
          <w:tcPr>
            <w:tcW w:w="5000" w:type="dxa"/>
            <w:vAlign w:val="bottom"/>
          </w:tcPr>
          <w:p>
            <w:pPr>
              <w:spacing w:after="0"/>
              <w:rPr>
                <w:sz w:val="14"/>
                <w:szCs w:val="14"/>
                <w:color w:val="auto"/>
              </w:rPr>
            </w:pPr>
          </w:p>
        </w:tc>
        <w:tc>
          <w:tcPr>
            <w:tcW w:w="1380" w:type="dxa"/>
            <w:vAlign w:val="bottom"/>
            <w:tcBorders>
              <w:bottom w:val="single" w:sz="8" w:color="auto"/>
            </w:tcBorders>
          </w:tcPr>
          <w:p>
            <w:pPr>
              <w:jc w:val="right"/>
              <w:ind w:right="123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4,691</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17,232</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14,661</w:t>
            </w:r>
          </w:p>
        </w:tc>
        <w:tc>
          <w:tcPr>
            <w:tcW w:w="20" w:type="dxa"/>
            <w:vAlign w:val="bottom"/>
          </w:tcPr>
          <w:p>
            <w:pPr>
              <w:spacing w:after="0"/>
              <w:rPr>
                <w:sz w:val="14"/>
                <w:szCs w:val="14"/>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0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Current Taxes:</w:t>
            </w:r>
          </w:p>
        </w:tc>
        <w:tc>
          <w:tcPr>
            <w:tcW w:w="1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Federal</w:t>
            </w:r>
          </w:p>
        </w:tc>
        <w:tc>
          <w:tcPr>
            <w:tcW w:w="1380" w:type="dxa"/>
            <w:vAlign w:val="bottom"/>
          </w:tcPr>
          <w:p>
            <w:pPr>
              <w:jc w:val="right"/>
              <w:ind w:right="123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2,146</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1,297</w:t>
            </w:r>
          </w:p>
        </w:tc>
        <w:tc>
          <w:tcPr>
            <w:tcW w:w="20" w:type="dxa"/>
            <w:vAlign w:val="bottom"/>
          </w:tcPr>
          <w:p>
            <w:pPr>
              <w:spacing w:after="0"/>
              <w:rPr>
                <w:sz w:val="15"/>
                <w:szCs w:val="15"/>
                <w:color w:val="auto"/>
              </w:rPr>
            </w:pPr>
          </w:p>
        </w:tc>
      </w:tr>
      <w:tr>
        <w:trPr>
          <w:trHeight w:val="181"/>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1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20" w:type="dxa"/>
            <w:vAlign w:val="bottom"/>
          </w:tcPr>
          <w:p>
            <w:pPr>
              <w:spacing w:after="0"/>
              <w:rPr>
                <w:sz w:val="15"/>
                <w:szCs w:val="15"/>
                <w:color w:val="auto"/>
              </w:rPr>
            </w:pPr>
          </w:p>
        </w:tc>
      </w:tr>
      <w:tr>
        <w:trPr>
          <w:trHeight w:val="180"/>
        </w:trPr>
        <w:tc>
          <w:tcPr>
            <w:tcW w:w="50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13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w:t>
            </w:r>
          </w:p>
        </w:tc>
        <w:tc>
          <w:tcPr>
            <w:tcW w:w="20" w:type="dxa"/>
            <w:vAlign w:val="bottom"/>
          </w:tcPr>
          <w:p>
            <w:pPr>
              <w:spacing w:after="0"/>
              <w:rPr>
                <w:sz w:val="15"/>
                <w:szCs w:val="15"/>
                <w:color w:val="auto"/>
              </w:rPr>
            </w:pPr>
          </w:p>
        </w:tc>
      </w:tr>
      <w:tr>
        <w:trPr>
          <w:trHeight w:val="171"/>
        </w:trPr>
        <w:tc>
          <w:tcPr>
            <w:tcW w:w="50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Income Tax Provision</w:t>
            </w:r>
          </w:p>
        </w:tc>
        <w:tc>
          <w:tcPr>
            <w:tcW w:w="1380" w:type="dxa"/>
            <w:vAlign w:val="bottom"/>
            <w:shd w:val="clear" w:color="auto" w:fill="CCEEFF"/>
          </w:tcPr>
          <w:p>
            <w:pPr>
              <w:jc w:val="right"/>
              <w:ind w:right="1231"/>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w:t>
            </w:r>
          </w:p>
        </w:tc>
        <w:tc>
          <w:tcPr>
            <w:tcW w:w="20" w:type="dxa"/>
            <w:vAlign w:val="bottom"/>
          </w:tcPr>
          <w:p>
            <w:pPr>
              <w:spacing w:after="0"/>
              <w:rPr>
                <w:sz w:val="14"/>
                <w:szCs w:val="14"/>
                <w:color w:val="auto"/>
              </w:rPr>
            </w:pPr>
          </w:p>
        </w:tc>
      </w:tr>
      <w:tr>
        <w:trPr>
          <w:trHeight w:val="180"/>
        </w:trPr>
        <w:tc>
          <w:tcPr>
            <w:tcW w:w="5000" w:type="dxa"/>
            <w:vAlign w:val="bottom"/>
          </w:tcPr>
          <w:p>
            <w:pPr>
              <w:ind w:left="20"/>
              <w:spacing w:after="0"/>
              <w:rPr>
                <w:sz w:val="20"/>
                <w:szCs w:val="20"/>
                <w:color w:val="auto"/>
              </w:rPr>
            </w:pPr>
            <w:r>
              <w:rPr>
                <w:rFonts w:ascii="Arial" w:cs="Arial" w:eastAsia="Arial" w:hAnsi="Arial"/>
                <w:sz w:val="14"/>
                <w:szCs w:val="14"/>
                <w:color w:val="auto"/>
              </w:rPr>
              <w:t>Deferred Taxes:</w:t>
            </w:r>
          </w:p>
        </w:tc>
        <w:tc>
          <w:tcPr>
            <w:tcW w:w="1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Federal</w:t>
            </w:r>
          </w:p>
        </w:tc>
        <w:tc>
          <w:tcPr>
            <w:tcW w:w="1380" w:type="dxa"/>
            <w:vAlign w:val="bottom"/>
            <w:shd w:val="clear" w:color="auto" w:fill="CCEEFF"/>
          </w:tcPr>
          <w:p>
            <w:pPr>
              <w:jc w:val="right"/>
              <w:ind w:right="1231"/>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20" w:type="dxa"/>
            <w:vAlign w:val="bottom"/>
          </w:tcPr>
          <w:p>
            <w:pPr>
              <w:spacing w:after="0"/>
              <w:rPr>
                <w:sz w:val="15"/>
                <w:szCs w:val="15"/>
                <w:color w:val="auto"/>
              </w:rPr>
            </w:pPr>
          </w:p>
        </w:tc>
      </w:tr>
      <w:tr>
        <w:trPr>
          <w:trHeight w:val="180"/>
        </w:trPr>
        <w:tc>
          <w:tcPr>
            <w:tcW w:w="5000" w:type="dxa"/>
            <w:vAlign w:val="bottom"/>
          </w:tcPr>
          <w:p>
            <w:pPr>
              <w:ind w:left="280"/>
              <w:spacing w:after="0"/>
              <w:rPr>
                <w:sz w:val="20"/>
                <w:szCs w:val="20"/>
                <w:color w:val="auto"/>
              </w:rPr>
            </w:pPr>
            <w:r>
              <w:rPr>
                <w:rFonts w:ascii="Arial" w:cs="Arial" w:eastAsia="Arial" w:hAnsi="Arial"/>
                <w:sz w:val="14"/>
                <w:szCs w:val="14"/>
                <w:color w:val="auto"/>
              </w:rPr>
              <w:t>State</w:t>
            </w:r>
          </w:p>
        </w:tc>
        <w:tc>
          <w:tcPr>
            <w:tcW w:w="13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5"/>
                <w:szCs w:val="15"/>
                <w:color w:val="auto"/>
              </w:rPr>
            </w:pPr>
          </w:p>
        </w:tc>
      </w:tr>
      <w:tr>
        <w:trPr>
          <w:trHeight w:val="181"/>
        </w:trPr>
        <w:tc>
          <w:tcPr>
            <w:tcW w:w="5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w:t>
            </w:r>
          </w:p>
        </w:tc>
        <w:tc>
          <w:tcPr>
            <w:tcW w:w="13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5"/>
                <w:szCs w:val="15"/>
                <w:color w:val="auto"/>
              </w:rPr>
            </w:pPr>
          </w:p>
        </w:tc>
      </w:tr>
      <w:tr>
        <w:trPr>
          <w:trHeight w:val="171"/>
        </w:trPr>
        <w:tc>
          <w:tcPr>
            <w:tcW w:w="50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Deferred Income Tax Provision</w:t>
            </w:r>
          </w:p>
        </w:tc>
        <w:tc>
          <w:tcPr>
            <w:tcW w:w="1380" w:type="dxa"/>
            <w:vAlign w:val="bottom"/>
            <w:tcBorders>
              <w:bottom w:val="single" w:sz="8" w:color="auto"/>
            </w:tcBorders>
          </w:tcPr>
          <w:p>
            <w:pPr>
              <w:jc w:val="right"/>
              <w:ind w:right="123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20" w:type="dxa"/>
            <w:vAlign w:val="bottom"/>
          </w:tcPr>
          <w:p>
            <w:pPr>
              <w:spacing w:after="0"/>
              <w:rPr>
                <w:sz w:val="14"/>
                <w:szCs w:val="14"/>
                <w:color w:val="auto"/>
              </w:rPr>
            </w:pPr>
          </w:p>
        </w:tc>
      </w:tr>
      <w:tr>
        <w:trPr>
          <w:trHeight w:val="196"/>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Tax Provision</w:t>
            </w:r>
          </w:p>
        </w:tc>
        <w:tc>
          <w:tcPr>
            <w:tcW w:w="1380" w:type="dxa"/>
            <w:vAlign w:val="bottom"/>
            <w:tcBorders>
              <w:bottom w:val="single" w:sz="8" w:color="auto"/>
            </w:tcBorders>
            <w:shd w:val="clear" w:color="auto" w:fill="CCEEFF"/>
          </w:tcPr>
          <w:p>
            <w:pPr>
              <w:jc w:val="right"/>
              <w:ind w:right="123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4,338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20" w:type="dxa"/>
            <w:vAlign w:val="bottom"/>
          </w:tcPr>
          <w:p>
            <w:pPr>
              <w:spacing w:after="0"/>
              <w:rPr>
                <w:sz w:val="16"/>
                <w:szCs w:val="16"/>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7"/>
        </w:trPr>
        <w:tc>
          <w:tcPr>
            <w:tcW w:w="5000" w:type="dxa"/>
            <w:vAlign w:val="bottom"/>
          </w:tcPr>
          <w:p>
            <w:pPr>
              <w:spacing w:after="0"/>
              <w:rPr>
                <w:sz w:val="24"/>
                <w:szCs w:val="24"/>
                <w:color w:val="auto"/>
              </w:rPr>
            </w:pPr>
          </w:p>
        </w:tc>
        <w:tc>
          <w:tcPr>
            <w:tcW w:w="1380" w:type="dxa"/>
            <w:vAlign w:val="bottom"/>
          </w:tcPr>
          <w:p>
            <w:pPr>
              <w:jc w:val="right"/>
              <w:ind w:right="591"/>
              <w:spacing w:after="0"/>
              <w:rPr>
                <w:sz w:val="20"/>
                <w:szCs w:val="20"/>
                <w:color w:val="auto"/>
              </w:rPr>
            </w:pPr>
            <w:r>
              <w:rPr>
                <w:rFonts w:ascii="Arial" w:cs="Arial" w:eastAsia="Arial" w:hAnsi="Arial"/>
                <w:sz w:val="14"/>
                <w:szCs w:val="14"/>
                <w:color w:val="auto"/>
              </w:rPr>
              <w:t>80</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0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0" w:name="page81"/>
    <w:bookmarkEnd w:id="80"/>
    <w:p>
      <w:pPr>
        <w:ind w:left="260"/>
        <w:spacing w:after="0"/>
        <w:rPr>
          <w:sz w:val="20"/>
          <w:szCs w:val="20"/>
          <w:color w:val="auto"/>
        </w:rPr>
      </w:pPr>
      <w:r>
        <w:rPr>
          <w:rFonts w:ascii="Arial" w:cs="Arial" w:eastAsia="Arial" w:hAnsi="Arial"/>
          <w:sz w:val="14"/>
          <w:szCs w:val="14"/>
          <w:color w:val="auto"/>
        </w:rPr>
        <w:t>The effective income tax rate for the fiscal years ended June 30, 2022, 2021 and 2020 differs from the U.S. Federal statutory income tax rate due to the following:</w:t>
      </w:r>
    </w:p>
    <w:p>
      <w:pPr>
        <w:spacing w:after="0" w:line="214" w:lineRule="exact"/>
        <w:rPr>
          <w:sz w:val="20"/>
          <w:szCs w:val="20"/>
          <w:color w:val="auto"/>
        </w:rPr>
      </w:pPr>
    </w:p>
    <w:p>
      <w:pPr>
        <w:ind w:left="7560"/>
        <w:spacing w:after="0"/>
        <w:rPr>
          <w:sz w:val="20"/>
          <w:szCs w:val="20"/>
          <w:color w:val="auto"/>
        </w:rPr>
      </w:pPr>
      <w:r>
        <w:rPr>
          <w:rFonts w:ascii="Arial" w:cs="Arial" w:eastAsia="Arial" w:hAnsi="Arial"/>
          <w:sz w:val="11"/>
          <w:szCs w:val="11"/>
          <w:b w:val="1"/>
          <w:bCs w:val="1"/>
          <w:color w:val="auto"/>
        </w:rPr>
        <w:t>Year ended June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40" w:type="dxa"/>
            <w:vAlign w:val="bottom"/>
          </w:tcPr>
          <w:p>
            <w:pPr>
              <w:spacing w:after="0"/>
              <w:rPr>
                <w:sz w:val="14"/>
                <w:szCs w:val="14"/>
                <w:color w:val="auto"/>
              </w:rPr>
            </w:pPr>
          </w:p>
        </w:tc>
        <w:tc>
          <w:tcPr>
            <w:tcW w:w="1360" w:type="dxa"/>
            <w:vAlign w:val="bottom"/>
            <w:tcBorders>
              <w:top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2022</w:t>
            </w:r>
          </w:p>
        </w:tc>
        <w:tc>
          <w:tcPr>
            <w:tcW w:w="2260" w:type="dxa"/>
            <w:vAlign w:val="bottom"/>
            <w:tcBorders>
              <w:top w:val="single" w:sz="8" w:color="auto"/>
            </w:tcBorders>
            <w:gridSpan w:val="4"/>
          </w:tcPr>
          <w:p>
            <w:pPr>
              <w:jc w:val="right"/>
              <w:ind w:right="234"/>
              <w:spacing w:after="0"/>
              <w:rPr>
                <w:sz w:val="20"/>
                <w:szCs w:val="20"/>
                <w:color w:val="auto"/>
              </w:rPr>
            </w:pPr>
            <w:r>
              <w:rPr>
                <w:rFonts w:ascii="Arial" w:cs="Arial" w:eastAsia="Arial" w:hAnsi="Arial"/>
                <w:sz w:val="11"/>
                <w:szCs w:val="11"/>
                <w:b w:val="1"/>
                <w:bCs w:val="1"/>
                <w:color w:val="auto"/>
              </w:rPr>
              <w:t>2021</w:t>
            </w:r>
          </w:p>
        </w:tc>
        <w:tc>
          <w:tcPr>
            <w:tcW w:w="6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850"/>
              <w:spacing w:after="0"/>
              <w:rPr>
                <w:sz w:val="20"/>
                <w:szCs w:val="20"/>
                <w:color w:val="auto"/>
              </w:rPr>
            </w:pPr>
            <w:r>
              <w:rPr>
                <w:rFonts w:ascii="Arial" w:cs="Arial" w:eastAsia="Arial" w:hAnsi="Arial"/>
                <w:sz w:val="11"/>
                <w:szCs w:val="11"/>
                <w:b w:val="1"/>
                <w:bCs w:val="1"/>
                <w:color w:val="auto"/>
              </w:rPr>
              <w:t>2020</w:t>
            </w:r>
          </w:p>
        </w:tc>
      </w:tr>
      <w:tr>
        <w:trPr>
          <w:trHeight w:val="177"/>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 statutory income tax rate</w:t>
            </w:r>
          </w:p>
        </w:tc>
        <w:tc>
          <w:tcPr>
            <w:tcW w:w="13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r>
      <w:tr>
        <w:trPr>
          <w:trHeight w:val="180"/>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72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3.8 %</w:t>
            </w:r>
          </w:p>
        </w:tc>
      </w:tr>
      <w:tr>
        <w:trPr>
          <w:trHeight w:val="181"/>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tax rate difference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80"/>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Tax return to provision true-up</w:t>
            </w:r>
          </w:p>
        </w:tc>
        <w:tc>
          <w:tcPr>
            <w:tcW w:w="72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0.0 %</w:t>
            </w:r>
          </w:p>
        </w:tc>
      </w:tr>
      <w:tr>
        <w:trPr>
          <w:trHeight w:val="181"/>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Limit on future stock compensation due to 162(m)</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r>
      <w:tr>
        <w:trPr>
          <w:trHeight w:val="180"/>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Foreign withholding tax</w:t>
            </w:r>
          </w:p>
        </w:tc>
        <w:tc>
          <w:tcPr>
            <w:tcW w:w="720" w:type="dxa"/>
            <w:vAlign w:val="bottom"/>
          </w:tcPr>
          <w:p>
            <w:pPr>
              <w:jc w:val="right"/>
              <w:spacing w:after="0"/>
              <w:rPr>
                <w:sz w:val="20"/>
                <w:szCs w:val="20"/>
                <w:color w:val="auto"/>
              </w:rPr>
            </w:pPr>
            <w:r>
              <w:rPr>
                <w:rFonts w:ascii="Arial" w:cs="Arial" w:eastAsia="Arial" w:hAnsi="Arial"/>
                <w:sz w:val="14"/>
                <w:szCs w:val="14"/>
                <w:color w:val="auto"/>
              </w:rPr>
              <w:t>1.3 %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0.4 %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3.3 %</w:t>
            </w:r>
          </w:p>
        </w:tc>
      </w:tr>
      <w:tr>
        <w:trPr>
          <w:trHeight w:val="181"/>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differences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r>
      <w:tr>
        <w:trPr>
          <w:trHeight w:val="180"/>
        </w:trPr>
        <w:tc>
          <w:tcPr>
            <w:tcW w:w="6200" w:type="dxa"/>
            <w:vAlign w:val="bottom"/>
            <w:gridSpan w:val="2"/>
          </w:tcPr>
          <w:p>
            <w:pPr>
              <w:ind w:left="20"/>
              <w:spacing w:after="0"/>
              <w:rPr>
                <w:sz w:val="20"/>
                <w:szCs w:val="20"/>
                <w:color w:val="auto"/>
              </w:rPr>
            </w:pPr>
            <w:r>
              <w:rPr>
                <w:rFonts w:ascii="Arial" w:cs="Arial" w:eastAsia="Arial" w:hAnsi="Arial"/>
                <w:sz w:val="14"/>
                <w:szCs w:val="14"/>
                <w:color w:val="auto"/>
              </w:rPr>
              <w:t>Revalue of deferred for change in federal tax rate</w:t>
            </w:r>
          </w:p>
        </w:tc>
        <w:tc>
          <w:tcPr>
            <w:tcW w:w="72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1"/>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Permanent differences: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6200" w:type="dxa"/>
            <w:vAlign w:val="bottom"/>
            <w:gridSpan w:val="2"/>
          </w:tcPr>
          <w:p>
            <w:pPr>
              <w:ind w:left="280"/>
              <w:spacing w:after="0"/>
              <w:rPr>
                <w:sz w:val="20"/>
                <w:szCs w:val="20"/>
                <w:color w:val="auto"/>
              </w:rPr>
            </w:pPr>
            <w:r>
              <w:rPr>
                <w:rFonts w:ascii="Arial" w:cs="Arial" w:eastAsia="Arial" w:hAnsi="Arial"/>
                <w:sz w:val="14"/>
                <w:szCs w:val="14"/>
                <w:color w:val="auto"/>
              </w:rPr>
              <w:t>— stock based compensation</w:t>
            </w:r>
          </w:p>
        </w:tc>
        <w:tc>
          <w:tcPr>
            <w:tcW w:w="720" w:type="dxa"/>
            <w:vAlign w:val="bottom"/>
          </w:tcPr>
          <w:p>
            <w:pPr>
              <w:jc w:val="right"/>
              <w:spacing w:after="0"/>
              <w:rPr>
                <w:sz w:val="20"/>
                <w:szCs w:val="20"/>
                <w:color w:val="auto"/>
              </w:rPr>
            </w:pPr>
            <w:r>
              <w:rPr>
                <w:rFonts w:ascii="Arial" w:cs="Arial" w:eastAsia="Arial" w:hAnsi="Arial"/>
                <w:sz w:val="14"/>
                <w:szCs w:val="14"/>
                <w:color w:val="auto"/>
              </w:rPr>
              <w:t>3.9 %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181"/>
        </w:trPr>
        <w:tc>
          <w:tcPr>
            <w:tcW w:w="62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current year section 162(m) limitation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80"/>
        </w:trPr>
        <w:tc>
          <w:tcPr>
            <w:tcW w:w="6200" w:type="dxa"/>
            <w:vAlign w:val="bottom"/>
            <w:gridSpan w:val="2"/>
          </w:tcPr>
          <w:p>
            <w:pPr>
              <w:ind w:left="280"/>
              <w:spacing w:after="0"/>
              <w:rPr>
                <w:sz w:val="20"/>
                <w:szCs w:val="20"/>
                <w:color w:val="auto"/>
              </w:rPr>
            </w:pPr>
            <w:r>
              <w:rPr>
                <w:rFonts w:ascii="Arial" w:cs="Arial" w:eastAsia="Arial" w:hAnsi="Arial"/>
                <w:sz w:val="14"/>
                <w:szCs w:val="14"/>
                <w:color w:val="auto"/>
              </w:rPr>
              <w:t>— foreign derived intangible income deduction</w:t>
            </w:r>
          </w:p>
        </w:tc>
        <w:tc>
          <w:tcPr>
            <w:tcW w:w="72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1"/>
        </w:trPr>
        <w:tc>
          <w:tcPr>
            <w:tcW w:w="62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tax credits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0"/>
        </w:trPr>
        <w:tc>
          <w:tcPr>
            <w:tcW w:w="6200" w:type="dxa"/>
            <w:vAlign w:val="bottom"/>
            <w:gridSpan w:val="2"/>
          </w:tcPr>
          <w:p>
            <w:pPr>
              <w:ind w:left="280"/>
              <w:spacing w:after="0"/>
              <w:rPr>
                <w:sz w:val="20"/>
                <w:szCs w:val="20"/>
                <w:color w:val="auto"/>
              </w:rPr>
            </w:pPr>
            <w:r>
              <w:rPr>
                <w:rFonts w:ascii="Arial" w:cs="Arial" w:eastAsia="Arial" w:hAnsi="Arial"/>
                <w:sz w:val="14"/>
                <w:szCs w:val="14"/>
                <w:color w:val="auto"/>
              </w:rPr>
              <w:t>— meals and entertainment</w:t>
            </w:r>
          </w:p>
        </w:tc>
        <w:tc>
          <w:tcPr>
            <w:tcW w:w="720" w:type="dxa"/>
            <w:vAlign w:val="bottom"/>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0.1 %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181"/>
        </w:trPr>
        <w:tc>
          <w:tcPr>
            <w:tcW w:w="62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removal of permanent reinvestment assertion in Japan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0.0 %</w:t>
            </w:r>
          </w:p>
        </w:tc>
      </w:tr>
      <w:tr>
        <w:trPr>
          <w:trHeight w:val="180"/>
        </w:trPr>
        <w:tc>
          <w:tcPr>
            <w:tcW w:w="6200" w:type="dxa"/>
            <w:vAlign w:val="bottom"/>
            <w:gridSpan w:val="2"/>
          </w:tcPr>
          <w:p>
            <w:pPr>
              <w:ind w:left="280"/>
              <w:spacing w:after="0"/>
              <w:rPr>
                <w:sz w:val="20"/>
                <w:szCs w:val="20"/>
                <w:color w:val="auto"/>
              </w:rPr>
            </w:pPr>
            <w:r>
              <w:rPr>
                <w:rFonts w:ascii="Arial" w:cs="Arial" w:eastAsia="Arial" w:hAnsi="Arial"/>
                <w:sz w:val="14"/>
                <w:szCs w:val="14"/>
                <w:color w:val="auto"/>
              </w:rPr>
              <w:t>— other permanent differences</w:t>
            </w:r>
          </w:p>
        </w:tc>
        <w:tc>
          <w:tcPr>
            <w:tcW w:w="720" w:type="dxa"/>
            <w:vAlign w:val="bottom"/>
          </w:tcPr>
          <w:p>
            <w:pPr>
              <w:jc w:val="right"/>
              <w:spacing w:after="0"/>
              <w:rPr>
                <w:sz w:val="20"/>
                <w:szCs w:val="20"/>
                <w:color w:val="auto"/>
              </w:rPr>
            </w:pPr>
            <w:r>
              <w:rPr>
                <w:rFonts w:ascii="Arial" w:cs="Arial" w:eastAsia="Arial" w:hAnsi="Arial"/>
                <w:sz w:val="14"/>
                <w:szCs w:val="14"/>
                <w:color w:val="auto"/>
              </w:rPr>
              <w:t>2.2 %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0.9 %</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181"/>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0.2 %</w:t>
            </w:r>
          </w:p>
        </w:tc>
      </w:tr>
      <w:tr>
        <w:trPr>
          <w:trHeight w:val="171"/>
        </w:trPr>
        <w:tc>
          <w:tcPr>
            <w:tcW w:w="4840" w:type="dxa"/>
            <w:vAlign w:val="bottom"/>
          </w:tcPr>
          <w:p>
            <w:pPr>
              <w:ind w:left="20"/>
              <w:spacing w:after="0"/>
              <w:rPr>
                <w:sz w:val="20"/>
                <w:szCs w:val="20"/>
                <w:color w:val="auto"/>
              </w:rPr>
            </w:pPr>
            <w:r>
              <w:rPr>
                <w:rFonts w:ascii="Arial" w:cs="Arial" w:eastAsia="Arial" w:hAnsi="Arial"/>
                <w:sz w:val="14"/>
                <w:szCs w:val="14"/>
                <w:color w:val="auto"/>
              </w:rPr>
              <w:t>Net income tax provision</w:t>
            </w:r>
          </w:p>
        </w:tc>
        <w:tc>
          <w:tcPr>
            <w:tcW w:w="13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33.5 %</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21.2 %</w:t>
            </w:r>
          </w:p>
        </w:tc>
      </w:tr>
      <w:tr>
        <w:trPr>
          <w:trHeight w:val="20"/>
        </w:trPr>
        <w:tc>
          <w:tcPr>
            <w:tcW w:w="4840" w:type="dxa"/>
            <w:vAlign w:val="bottom"/>
          </w:tcPr>
          <w:p>
            <w:pPr>
              <w:spacing w:after="0" w:line="20" w:lineRule="exact"/>
              <w:rPr>
                <w:sz w:val="1"/>
                <w:szCs w:val="1"/>
                <w:color w:val="auto"/>
              </w:rPr>
            </w:pPr>
          </w:p>
        </w:tc>
        <w:tc>
          <w:tcPr>
            <w:tcW w:w="2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332"/>
        </w:trPr>
        <w:tc>
          <w:tcPr>
            <w:tcW w:w="8460" w:type="dxa"/>
            <w:vAlign w:val="bottom"/>
            <w:gridSpan w:val="6"/>
          </w:tcPr>
          <w:p>
            <w:pPr>
              <w:ind w:left="260"/>
              <w:spacing w:after="0"/>
              <w:rPr>
                <w:sz w:val="20"/>
                <w:szCs w:val="20"/>
                <w:color w:val="auto"/>
              </w:rPr>
            </w:pPr>
            <w:r>
              <w:rPr>
                <w:rFonts w:ascii="Arial" w:cs="Arial" w:eastAsia="Arial" w:hAnsi="Arial"/>
                <w:sz w:val="14"/>
                <w:szCs w:val="14"/>
                <w:color w:val="auto"/>
              </w:rPr>
              <w:t>The components of the deferred tax assets and liabilities as of June 30, 2022 and 2021 are as follows (in thousands):</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2"/>
        </w:trPr>
        <w:tc>
          <w:tcPr>
            <w:tcW w:w="4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289"/>
              <w:spacing w:after="0"/>
              <w:rPr>
                <w:sz w:val="20"/>
                <w:szCs w:val="20"/>
                <w:color w:val="auto"/>
              </w:rPr>
            </w:pPr>
            <w:r>
              <w:rPr>
                <w:rFonts w:ascii="Arial" w:cs="Arial" w:eastAsia="Arial" w:hAnsi="Arial"/>
                <w:sz w:val="11"/>
                <w:szCs w:val="11"/>
                <w:b w:val="1"/>
                <w:bCs w:val="1"/>
                <w:color w:val="auto"/>
              </w:rPr>
              <w:t>June 30,</w:t>
            </w:r>
          </w:p>
        </w:tc>
        <w:tc>
          <w:tcPr>
            <w:tcW w:w="1520" w:type="dxa"/>
            <w:vAlign w:val="bottom"/>
            <w:tcBorders>
              <w:bottom w:val="single" w:sz="8" w:color="auto"/>
            </w:tcBorders>
          </w:tcPr>
          <w:p>
            <w:pPr>
              <w:spacing w:after="0"/>
              <w:rPr>
                <w:sz w:val="24"/>
                <w:szCs w:val="24"/>
                <w:color w:val="auto"/>
              </w:rPr>
            </w:pPr>
          </w:p>
        </w:tc>
      </w:tr>
      <w:tr>
        <w:trPr>
          <w:trHeight w:val="153"/>
        </w:trPr>
        <w:tc>
          <w:tcPr>
            <w:tcW w:w="484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gridSpan w:val="3"/>
          </w:tcPr>
          <w:p>
            <w:pPr>
              <w:spacing w:after="0"/>
              <w:rPr>
                <w:sz w:val="13"/>
                <w:szCs w:val="13"/>
                <w:color w:val="auto"/>
              </w:rPr>
            </w:pPr>
          </w:p>
        </w:tc>
        <w:tc>
          <w:tcPr>
            <w:tcW w:w="1340" w:type="dxa"/>
            <w:vAlign w:val="bottom"/>
            <w:tcBorders>
              <w:bottom w:val="single" w:sz="8" w:color="auto"/>
            </w:tcBorders>
          </w:tcPr>
          <w:p>
            <w:pPr>
              <w:jc w:val="right"/>
              <w:ind w:right="154"/>
              <w:spacing w:after="0"/>
              <w:rPr>
                <w:sz w:val="20"/>
                <w:szCs w:val="20"/>
                <w:color w:val="auto"/>
              </w:rPr>
            </w:pPr>
            <w:r>
              <w:rPr>
                <w:rFonts w:ascii="Arial" w:cs="Arial" w:eastAsia="Arial" w:hAnsi="Arial"/>
                <w:sz w:val="11"/>
                <w:szCs w:val="11"/>
                <w:b w:val="1"/>
                <w:bCs w:val="1"/>
                <w:color w:val="auto"/>
              </w:rPr>
              <w:t>2022</w:t>
            </w: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830"/>
              <w:spacing w:after="0"/>
              <w:rPr>
                <w:sz w:val="20"/>
                <w:szCs w:val="20"/>
                <w:color w:val="auto"/>
              </w:rPr>
            </w:pPr>
            <w:r>
              <w:rPr>
                <w:rFonts w:ascii="Arial" w:cs="Arial" w:eastAsia="Arial" w:hAnsi="Arial"/>
                <w:sz w:val="11"/>
                <w:szCs w:val="11"/>
                <w:b w:val="1"/>
                <w:bCs w:val="1"/>
                <w:color w:val="auto"/>
              </w:rPr>
              <w:t>2021</w:t>
            </w:r>
          </w:p>
        </w:tc>
      </w:tr>
      <w:tr>
        <w:trPr>
          <w:trHeight w:val="167"/>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0"/>
        </w:trPr>
        <w:tc>
          <w:tcPr>
            <w:tcW w:w="6200" w:type="dxa"/>
            <w:vAlign w:val="bottom"/>
            <w:gridSpan w:val="2"/>
          </w:tcPr>
          <w:p>
            <w:pPr>
              <w:ind w:left="280"/>
              <w:spacing w:after="0"/>
              <w:rPr>
                <w:sz w:val="20"/>
                <w:szCs w:val="20"/>
                <w:color w:val="auto"/>
              </w:rPr>
            </w:pPr>
            <w:r>
              <w:rPr>
                <w:rFonts w:ascii="Arial" w:cs="Arial" w:eastAsia="Arial" w:hAnsi="Arial"/>
                <w:sz w:val="14"/>
                <w:szCs w:val="14"/>
                <w:color w:val="auto"/>
              </w:rPr>
              <w:t>Federal, state, and foreign net operating loss carryovers</w:t>
            </w:r>
          </w:p>
        </w:tc>
        <w:tc>
          <w:tcPr>
            <w:tcW w:w="2260" w:type="dxa"/>
            <w:vAlign w:val="bottom"/>
            <w:gridSpan w:val="4"/>
          </w:tcPr>
          <w:p>
            <w:pPr>
              <w:jc w:val="right"/>
              <w:ind w:right="1194"/>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292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271</w:t>
            </w:r>
          </w:p>
        </w:tc>
      </w:tr>
      <w:tr>
        <w:trPr>
          <w:trHeight w:val="181"/>
        </w:trPr>
        <w:tc>
          <w:tcPr>
            <w:tcW w:w="62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Stock option compensation</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r>
      <w:tr>
        <w:trPr>
          <w:trHeight w:val="180"/>
        </w:trPr>
        <w:tc>
          <w:tcPr>
            <w:tcW w:w="620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Accrued vacation, allowance for returns, bonuses &amp; other</w:t>
            </w:r>
          </w:p>
        </w:tc>
        <w:tc>
          <w:tcPr>
            <w:tcW w:w="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3,923</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2,104</w:t>
            </w:r>
          </w:p>
        </w:tc>
      </w:tr>
      <w:tr>
        <w:trPr>
          <w:trHeight w:val="171"/>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Gross deferred tax asset</w:t>
            </w:r>
          </w:p>
        </w:tc>
        <w:tc>
          <w:tcPr>
            <w:tcW w:w="920" w:type="dxa"/>
            <w:vAlign w:val="bottom"/>
            <w:gridSpan w:val="3"/>
            <w:shd w:val="clear" w:color="auto" w:fill="CCEEFF"/>
          </w:tcPr>
          <w:p>
            <w:pPr>
              <w:spacing w:after="0"/>
              <w:rPr>
                <w:sz w:val="14"/>
                <w:szCs w:val="14"/>
                <w:color w:val="auto"/>
              </w:rPr>
            </w:pPr>
          </w:p>
        </w:tc>
        <w:tc>
          <w:tcPr>
            <w:tcW w:w="1340" w:type="dxa"/>
            <w:vAlign w:val="bottom"/>
            <w:shd w:val="clear" w:color="auto" w:fill="CCEEFF"/>
          </w:tcPr>
          <w:p>
            <w:pPr>
              <w:jc w:val="right"/>
              <w:ind w:right="1194"/>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w:t>
            </w:r>
          </w:p>
        </w:tc>
      </w:tr>
      <w:tr>
        <w:trPr>
          <w:trHeight w:val="202"/>
        </w:trPr>
        <w:tc>
          <w:tcPr>
            <w:tcW w:w="620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0"/>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Deferred tax liabilities:</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80"/>
        </w:trPr>
        <w:tc>
          <w:tcPr>
            <w:tcW w:w="6200" w:type="dxa"/>
            <w:vAlign w:val="bottom"/>
            <w:gridSpan w:val="2"/>
          </w:tcPr>
          <w:p>
            <w:pPr>
              <w:ind w:left="280"/>
              <w:spacing w:after="0"/>
              <w:rPr>
                <w:sz w:val="20"/>
                <w:szCs w:val="20"/>
                <w:color w:val="auto"/>
              </w:rPr>
            </w:pPr>
            <w:r>
              <w:rPr>
                <w:rFonts w:ascii="Arial" w:cs="Arial" w:eastAsia="Arial" w:hAnsi="Arial"/>
                <w:sz w:val="14"/>
                <w:szCs w:val="14"/>
                <w:color w:val="auto"/>
              </w:rPr>
              <w:t>Patents and trademarks</w:t>
            </w:r>
          </w:p>
        </w:tc>
        <w:tc>
          <w:tcPr>
            <w:tcW w:w="2260" w:type="dxa"/>
            <w:vAlign w:val="bottom"/>
            <w:gridSpan w:val="4"/>
          </w:tcPr>
          <w:p>
            <w:pPr>
              <w:jc w:val="right"/>
              <w:ind w:right="1194"/>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(78)</w:t>
            </w:r>
          </w:p>
        </w:tc>
        <w:tc>
          <w:tcPr>
            <w:tcW w:w="40" w:type="dxa"/>
            <w:vAlign w:val="bottom"/>
          </w:tcPr>
          <w:p>
            <w:pPr>
              <w:spacing w:after="0"/>
              <w:rPr>
                <w:sz w:val="15"/>
                <w:szCs w:val="15"/>
                <w:color w:val="auto"/>
              </w:rPr>
            </w:pPr>
          </w:p>
        </w:tc>
        <w:tc>
          <w:tcPr>
            <w:tcW w:w="560" w:type="dxa"/>
            <w:vAlign w:val="bottom"/>
            <w:gridSpan w:val="2"/>
          </w:tcPr>
          <w:p>
            <w:pPr>
              <w:jc w:val="right"/>
              <w:ind w:right="349"/>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81"/>
        </w:trPr>
        <w:tc>
          <w:tcPr>
            <w:tcW w:w="62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Property &amp; equipment</w:t>
            </w: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(1,996)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r>
      <w:tr>
        <w:trPr>
          <w:trHeight w:val="180"/>
        </w:trPr>
        <w:tc>
          <w:tcPr>
            <w:tcW w:w="620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(409)</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r>
      <w:tr>
        <w:trPr>
          <w:trHeight w:val="171"/>
        </w:trPr>
        <w:tc>
          <w:tcPr>
            <w:tcW w:w="62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Gross deferred tax liabilities</w:t>
            </w: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(2,483)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w:t>
            </w:r>
          </w:p>
        </w:tc>
      </w:tr>
      <w:tr>
        <w:trPr>
          <w:trHeight w:val="171"/>
        </w:trPr>
        <w:tc>
          <w:tcPr>
            <w:tcW w:w="6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valuation allowance</w:t>
            </w:r>
          </w:p>
        </w:tc>
        <w:tc>
          <w:tcPr>
            <w:tcW w:w="7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(675)</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r>
      <w:tr>
        <w:trPr>
          <w:trHeight w:val="196"/>
        </w:trPr>
        <w:tc>
          <w:tcPr>
            <w:tcW w:w="6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920" w:type="dxa"/>
            <w:vAlign w:val="bottom"/>
            <w:tcBorders>
              <w:bottom w:val="single" w:sz="8" w:color="CCEEFF"/>
            </w:tcBorders>
            <w:gridSpan w:val="3"/>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ind w:right="1194"/>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60" w:type="dxa"/>
            <w:vAlign w:val="bottom"/>
            <w:tcBorders>
              <w:bottom w:val="single" w:sz="8" w:color="auto"/>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During fiscal 2022, the Company impaired its investment in GEG Corporation for book purposes. The Company performed an analysis and determined that for tax purposes the loss would be capital in nature, but that the tax event had not yet occurred. The Company recorded a deferred tax asset for the loss in the current year, but recorded a full valuation allowance against the deferred tax asset because the Company believes that when the tax event does occur, it will not be able to utilize the capital loss within the carryback or carryforward period. This valuation allowance is the main driving factor behind the Company's increased tax rate in fiscal 2022.</w:t>
      </w:r>
    </w:p>
    <w:p>
      <w:pPr>
        <w:spacing w:after="0" w:line="93" w:lineRule="exact"/>
        <w:rPr>
          <w:sz w:val="20"/>
          <w:szCs w:val="20"/>
          <w:color w:val="auto"/>
        </w:rPr>
      </w:pPr>
    </w:p>
    <w:p>
      <w:pPr>
        <w:ind w:right="140" w:firstLine="255"/>
        <w:spacing w:after="0" w:line="321" w:lineRule="auto"/>
        <w:rPr>
          <w:sz w:val="20"/>
          <w:szCs w:val="20"/>
          <w:color w:val="auto"/>
        </w:rPr>
      </w:pPr>
      <w:r>
        <w:rPr>
          <w:rFonts w:ascii="Arial" w:cs="Arial" w:eastAsia="Arial" w:hAnsi="Arial"/>
          <w:sz w:val="13"/>
          <w:szCs w:val="13"/>
          <w:color w:val="auto"/>
        </w:rPr>
        <w:t>During fiscal 2022, the Company removed its permanent reinvestment assertion in Japan. As a result, the Company recorded provisions for withholding tax that it will pay to Japan and income taxes it will pay to various states when the cash is repatriated from Japan to Singapore. During the year, the Company made a check the box election for LifeVantage Asia to be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81" w:name="page82"/>
    <w:bookmarkEnd w:id="81"/>
    <w:p>
      <w:pPr>
        <w:ind w:right="60"/>
        <w:spacing w:after="0" w:line="262" w:lineRule="auto"/>
        <w:rPr>
          <w:sz w:val="20"/>
          <w:szCs w:val="20"/>
          <w:color w:val="auto"/>
        </w:rPr>
      </w:pPr>
      <w:r>
        <w:rPr>
          <w:rFonts w:ascii="Arial" w:cs="Arial" w:eastAsia="Arial" w:hAnsi="Arial"/>
          <w:sz w:val="14"/>
          <w:szCs w:val="14"/>
          <w:color w:val="auto"/>
        </w:rPr>
        <w:t>taxed as a DRE of the parent company, so dividends from Japan to Singapore are treated as received by the United States for USA income tax purposes. The Company also recorded an unborn foreign tax credit related to the 965(a) PTEP in Japan that will be given a partial FTC when the cash is repatriated. Japan also has E&amp;P in the 965(b) PTEP basket, but is not allowed to take a foreign tax credit against that income. It also has E&amp;P in the 951A basket. The Company has historically had little or no excess FTC limitation in the 951A basket and has therefore chosen not to record the unborn foreign tax credit related to that basket.</w:t>
      </w:r>
    </w:p>
    <w:p>
      <w:pPr>
        <w:spacing w:after="0" w:line="82" w:lineRule="exact"/>
        <w:rPr>
          <w:sz w:val="20"/>
          <w:szCs w:val="20"/>
          <w:color w:val="auto"/>
        </w:rPr>
      </w:pPr>
    </w:p>
    <w:p>
      <w:pPr>
        <w:ind w:right="100" w:firstLine="255"/>
        <w:spacing w:after="0" w:line="297" w:lineRule="auto"/>
        <w:rPr>
          <w:sz w:val="20"/>
          <w:szCs w:val="20"/>
          <w:color w:val="auto"/>
        </w:rPr>
      </w:pPr>
      <w:r>
        <w:rPr>
          <w:rFonts w:ascii="Arial" w:cs="Arial" w:eastAsia="Arial" w:hAnsi="Arial"/>
          <w:sz w:val="13"/>
          <w:szCs w:val="13"/>
          <w:color w:val="auto"/>
        </w:rPr>
        <w:t>The Company has adopted accounting guidance for uncertain tax positions which provides that in order to recognize an uncertain tax benefit, the taxpayer must be more likely than not of sustaining the position. The measurement of the benefit is calculated as the largest amount that is more than 50% likely to be realized upon recognition of the benefit. Currently, the Company has no material uncertain tax positions and does not expect significant changes within the next twelve months. Accordingly, the Company has not reserved for any corresponding interest or penalties.</w:t>
      </w:r>
    </w:p>
    <w:p>
      <w:pPr>
        <w:spacing w:after="0" w:line="71"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In fiscal 2020, LifeVantage recorded an uncertain tax position related to withholding taxes in Taiwan. During fiscal 2021, the Company determined that this liability was owed, and moved it out of the UTP into taxes payable. In fiscal 2022, the Company made the payment. The Company applied for a reduced withholding rate with the Taiwan government and was advised by its tax service providers who assisted with the application to hold payment until after a decision was made on the application. Near the end of fiscal 2021, the Taiwan government approved the application, and accordingly, LifeVantage made the required payments in the beginning of fiscal 2022.</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beginning balance, ending balance, and changes to the liability for uncertain tax positions for the fiscal years ending June 30, 2021 and 2020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380"/>
              <w:spacing w:after="0"/>
              <w:rPr>
                <w:sz w:val="20"/>
                <w:szCs w:val="20"/>
                <w:color w:val="auto"/>
              </w:rPr>
            </w:pPr>
            <w:r>
              <w:rPr>
                <w:rFonts w:ascii="Arial" w:cs="Arial" w:eastAsia="Arial" w:hAnsi="Arial"/>
                <w:sz w:val="11"/>
                <w:szCs w:val="11"/>
                <w:b w:val="1"/>
                <w:bCs w:val="1"/>
                <w:color w:val="auto"/>
              </w:rPr>
              <w:t>June 30,</w:t>
            </w:r>
          </w:p>
        </w:tc>
        <w:tc>
          <w:tcPr>
            <w:tcW w:w="1500" w:type="dxa"/>
            <w:vAlign w:val="bottom"/>
            <w:tcBorders>
              <w:bottom w:val="single" w:sz="8" w:color="auto"/>
            </w:tcBorders>
          </w:tcPr>
          <w:p>
            <w:pPr>
              <w:spacing w:after="0"/>
              <w:rPr>
                <w:sz w:val="13"/>
                <w:szCs w:val="13"/>
                <w:color w:val="auto"/>
              </w:rPr>
            </w:pPr>
          </w:p>
        </w:tc>
      </w:tr>
      <w:tr>
        <w:trPr>
          <w:trHeight w:val="153"/>
        </w:trPr>
        <w:tc>
          <w:tcPr>
            <w:tcW w:w="7120" w:type="dxa"/>
            <w:vAlign w:val="bottom"/>
            <w:tcBorders>
              <w:bottom w:val="single" w:sz="8" w:color="CCEEFF"/>
            </w:tcBorders>
          </w:tcPr>
          <w:p>
            <w:pPr>
              <w:spacing w:after="0"/>
              <w:rPr>
                <w:sz w:val="13"/>
                <w:szCs w:val="13"/>
                <w:color w:val="auto"/>
              </w:rPr>
            </w:pPr>
          </w:p>
        </w:tc>
        <w:tc>
          <w:tcPr>
            <w:tcW w:w="148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31"/>
              <w:spacing w:after="0"/>
              <w:rPr>
                <w:sz w:val="20"/>
                <w:szCs w:val="20"/>
                <w:color w:val="auto"/>
              </w:rPr>
            </w:pPr>
            <w:r>
              <w:rPr>
                <w:rFonts w:ascii="Arial" w:cs="Arial" w:eastAsia="Arial" w:hAnsi="Arial"/>
                <w:sz w:val="11"/>
                <w:szCs w:val="11"/>
                <w:b w:val="1"/>
                <w:bCs w:val="1"/>
                <w:color w:val="auto"/>
              </w:rPr>
              <w:t>2021</w:t>
            </w:r>
          </w:p>
        </w:tc>
      </w:tr>
      <w:tr>
        <w:trPr>
          <w:trHeight w:val="177"/>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benefits, beginning of period</w:t>
            </w:r>
          </w:p>
        </w:tc>
        <w:tc>
          <w:tcPr>
            <w:tcW w:w="1480" w:type="dxa"/>
            <w:vAlign w:val="bottom"/>
            <w:shd w:val="clear" w:color="auto" w:fill="CCEEFF"/>
          </w:tcPr>
          <w:p>
            <w:pPr>
              <w:jc w:val="right"/>
              <w:ind w:right="133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Gross increases - tax positions in prior period</w:t>
            </w:r>
          </w:p>
        </w:tc>
        <w:tc>
          <w:tcPr>
            <w:tcW w:w="148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decreases - tax positions in prior period</w:t>
            </w:r>
          </w:p>
        </w:tc>
        <w:tc>
          <w:tcPr>
            <w:tcW w:w="14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Gross increases - tax positions in current period</w:t>
            </w:r>
          </w:p>
        </w:tc>
        <w:tc>
          <w:tcPr>
            <w:tcW w:w="148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Settlement</w:t>
            </w:r>
          </w:p>
        </w:tc>
        <w:tc>
          <w:tcPr>
            <w:tcW w:w="14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7120" w:type="dxa"/>
            <w:vAlign w:val="bottom"/>
          </w:tcPr>
          <w:p>
            <w:pPr>
              <w:ind w:left="280"/>
              <w:spacing w:after="0"/>
              <w:rPr>
                <w:sz w:val="20"/>
                <w:szCs w:val="20"/>
                <w:color w:val="auto"/>
              </w:rPr>
            </w:pPr>
            <w:r>
              <w:rPr>
                <w:rFonts w:ascii="Arial" w:cs="Arial" w:eastAsia="Arial" w:hAnsi="Arial"/>
                <w:sz w:val="14"/>
                <w:szCs w:val="14"/>
                <w:color w:val="auto"/>
              </w:rPr>
              <w:t>Lapse of statute of limitations</w:t>
            </w:r>
          </w:p>
        </w:tc>
        <w:tc>
          <w:tcPr>
            <w:tcW w:w="148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7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Currency adjustment</w:t>
            </w:r>
          </w:p>
        </w:tc>
        <w:tc>
          <w:tcPr>
            <w:tcW w:w="14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Unrecognized tax benefits, end of period</w:t>
            </w:r>
          </w:p>
        </w:tc>
        <w:tc>
          <w:tcPr>
            <w:tcW w:w="1480" w:type="dxa"/>
            <w:vAlign w:val="bottom"/>
            <w:tcBorders>
              <w:top w:val="single" w:sz="8" w:color="auto"/>
              <w:bottom w:val="single" w:sz="8" w:color="auto"/>
            </w:tcBorders>
          </w:tcPr>
          <w:p>
            <w:pPr>
              <w:jc w:val="right"/>
              <w:ind w:right="1334"/>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00" w:firstLine="255"/>
        <w:spacing w:after="0" w:line="368" w:lineRule="auto"/>
        <w:rPr>
          <w:sz w:val="20"/>
          <w:szCs w:val="20"/>
          <w:color w:val="auto"/>
        </w:rPr>
      </w:pPr>
      <w:r>
        <w:rPr>
          <w:rFonts w:ascii="Arial" w:cs="Arial" w:eastAsia="Arial" w:hAnsi="Arial"/>
          <w:sz w:val="12"/>
          <w:szCs w:val="12"/>
          <w:color w:val="auto"/>
        </w:rPr>
        <w:t>The tax years open for examination by the Internal Revenue Service (“IRS”) include returns for fiscal years June 30, 2019 through present and the open tax years by state tax authorities include returns for fiscal years June 30, 2018 through present. In addition, the IRS and state tax authorities may examine net operating losses ("NOLs") for any previous years if utilized by the Company.</w:t>
      </w:r>
    </w:p>
    <w:p>
      <w:pPr>
        <w:spacing w:after="0" w:line="22" w:lineRule="exact"/>
        <w:rPr>
          <w:sz w:val="20"/>
          <w:szCs w:val="20"/>
          <w:color w:val="auto"/>
        </w:rPr>
      </w:pPr>
    </w:p>
    <w:p>
      <w:pPr>
        <w:ind w:right="60" w:firstLine="255"/>
        <w:spacing w:after="0" w:line="321" w:lineRule="auto"/>
        <w:rPr>
          <w:sz w:val="20"/>
          <w:szCs w:val="20"/>
          <w:color w:val="auto"/>
        </w:rPr>
      </w:pPr>
      <w:r>
        <w:rPr>
          <w:rFonts w:ascii="Arial" w:cs="Arial" w:eastAsia="Arial" w:hAnsi="Arial"/>
          <w:sz w:val="13"/>
          <w:szCs w:val="13"/>
          <w:color w:val="auto"/>
        </w:rPr>
        <w:t>As of June 30, 2022, the Company had utilized all of its Federal NOL carry-forwards. The net operating losses were to expire by June 30, 2024 and are subject to review by the Internal Revenue Service, and are subject to U.S. Internal Revenue Code Section 382 limitations. As of June 30, 2022, state NOLs were $6.5 million and foreign NOLs were $0.3 million.</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total recognized tax benefit from settlement of stock based awards for the fiscal years ending June 30, 2022 and 2021, was $0.2 million and $8,000, respectively.</w:t>
      </w:r>
    </w:p>
    <w:p>
      <w:pPr>
        <w:spacing w:after="0" w:line="125"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The Company conducts its business globally. As a result, the Company and its subsidiaries file income tax returns in the U.S. federal jurisdiction and various state and foreign jurisdictions, and are subject to examination for the open tax years of June 30, 2018 through June 30, 2022.</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Leases</w:t>
      </w:r>
    </w:p>
    <w:p>
      <w:pPr>
        <w:spacing w:after="0" w:line="129"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The Company has operating leases for current corporate offices and certain equipment. These leases have remaining terms of approximately one to ten years. As of June 30, 2022, the weighted average remaining lease term and weighted average discount rate for operating leases was 8.51 years and 3.27%,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the fiscal years ended June 30, 2022, 2021, and 2020, operating lease expense was $3.2 million, $3.6 million, and $2.7 million, respectively.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50" w:right="339" w:bottom="1440" w:gutter="0" w:footer="0" w:header="0"/>
        </w:sectPr>
      </w:pPr>
    </w:p>
    <w:bookmarkStart w:id="82" w:name="page83"/>
    <w:bookmarkEnd w:id="82"/>
    <w:p>
      <w:pPr>
        <w:ind w:left="260"/>
        <w:spacing w:after="0"/>
        <w:rPr>
          <w:sz w:val="20"/>
          <w:szCs w:val="20"/>
          <w:color w:val="auto"/>
        </w:rPr>
      </w:pPr>
      <w:r>
        <w:rPr>
          <w:rFonts w:ascii="Arial" w:cs="Arial" w:eastAsia="Arial" w:hAnsi="Arial"/>
          <w:sz w:val="14"/>
          <w:szCs w:val="14"/>
          <w:color w:val="auto"/>
        </w:rPr>
        <w:t>Supplemental cash flow information related to operating leases was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1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June 30, 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June 30, 2021</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cash outflows from operating leases</w:t>
            </w:r>
          </w:p>
        </w:tc>
        <w:tc>
          <w:tcPr>
            <w:tcW w:w="1500" w:type="dxa"/>
            <w:vAlign w:val="bottom"/>
            <w:shd w:val="clear" w:color="auto" w:fill="CCEEFF"/>
          </w:tcPr>
          <w:p>
            <w:pPr>
              <w:jc w:val="right"/>
              <w:ind w:right="135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2,709</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1500" w:type="dxa"/>
            <w:vAlign w:val="bottom"/>
          </w:tcPr>
          <w:p>
            <w:pPr>
              <w:jc w:val="right"/>
              <w:ind w:right="1354"/>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15,725</w:t>
            </w:r>
          </w:p>
        </w:tc>
      </w:tr>
      <w:tr>
        <w:trPr>
          <w:trHeight w:val="361"/>
        </w:trPr>
        <w:tc>
          <w:tcPr>
            <w:tcW w:w="7120" w:type="dxa"/>
            <w:vAlign w:val="bottom"/>
          </w:tcPr>
          <w:p>
            <w:pPr>
              <w:ind w:left="260"/>
              <w:spacing w:after="0"/>
              <w:rPr>
                <w:sz w:val="20"/>
                <w:szCs w:val="20"/>
                <w:color w:val="auto"/>
              </w:rPr>
            </w:pPr>
            <w:r>
              <w:rPr>
                <w:rFonts w:ascii="Arial" w:cs="Arial" w:eastAsia="Arial" w:hAnsi="Arial"/>
                <w:sz w:val="14"/>
                <w:szCs w:val="14"/>
                <w:color w:val="auto"/>
              </w:rPr>
              <w:t>Maturity of lease liabilities at June 30, 2022 are as follows (in thousands):</w:t>
            </w: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8"/>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Year ended June 30,</w:t>
            </w:r>
          </w:p>
        </w:tc>
        <w:tc>
          <w:tcPr>
            <w:tcW w:w="1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751"/>
              <w:spacing w:after="0"/>
              <w:rPr>
                <w:sz w:val="20"/>
                <w:szCs w:val="20"/>
                <w:color w:val="auto"/>
              </w:rPr>
            </w:pPr>
            <w:r>
              <w:rPr>
                <w:rFonts w:ascii="Arial" w:cs="Arial" w:eastAsia="Arial" w:hAnsi="Arial"/>
                <w:sz w:val="11"/>
                <w:szCs w:val="11"/>
                <w:b w:val="1"/>
                <w:bCs w:val="1"/>
                <w:color w:val="auto"/>
              </w:rPr>
              <w:t>Amount</w:t>
            </w:r>
          </w:p>
        </w:tc>
      </w:tr>
      <w:tr>
        <w:trPr>
          <w:trHeight w:val="180"/>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2024</w:t>
            </w: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1,985</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1,606</w:t>
            </w: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2026</w:t>
            </w: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1,646</w:t>
            </w:r>
          </w:p>
        </w:tc>
      </w:tr>
      <w:tr>
        <w:trPr>
          <w:trHeight w:val="18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5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8,123</w:t>
            </w:r>
          </w:p>
        </w:tc>
      </w:tr>
      <w:tr>
        <w:trPr>
          <w:trHeight w:val="17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5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18,117</w:t>
            </w:r>
          </w:p>
        </w:tc>
      </w:tr>
      <w:tr>
        <w:trPr>
          <w:trHeight w:val="18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15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(2,362)</w:t>
            </w: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p>
        </w:tc>
        <w:tc>
          <w:tcPr>
            <w:tcW w:w="15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15,755</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 Commitments and Contingencies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Contingencies</w:t>
      </w:r>
    </w:p>
    <w:p>
      <w:pPr>
        <w:spacing w:after="0" w:line="125" w:lineRule="exact"/>
        <w:rPr>
          <w:sz w:val="20"/>
          <w:szCs w:val="20"/>
          <w:color w:val="auto"/>
        </w:rPr>
      </w:pPr>
    </w:p>
    <w:p>
      <w:pPr>
        <w:ind w:firstLine="255"/>
        <w:spacing w:after="0" w:line="309" w:lineRule="auto"/>
        <w:rPr>
          <w:sz w:val="20"/>
          <w:szCs w:val="20"/>
          <w:color w:val="auto"/>
        </w:rPr>
      </w:pPr>
      <w:r>
        <w:rPr>
          <w:rFonts w:ascii="Arial" w:cs="Arial" w:eastAsia="Arial" w:hAnsi="Arial"/>
          <w:sz w:val="12"/>
          <w:szCs w:val="12"/>
          <w:color w:val="auto"/>
        </w:rPr>
        <w:t xml:space="preserve">The Company accounts for contingent liabilities in accordance with ASC 450, </w:t>
      </w:r>
      <w:r>
        <w:rPr>
          <w:rFonts w:ascii="Arial" w:cs="Arial" w:eastAsia="Arial" w:hAnsi="Arial"/>
          <w:sz w:val="12"/>
          <w:szCs w:val="12"/>
          <w:i w:val="1"/>
          <w:iCs w:val="1"/>
          <w:color w:val="auto"/>
        </w:rPr>
        <w:t>Contingencies</w:t>
      </w:r>
      <w:r>
        <w:rPr>
          <w:rFonts w:ascii="Arial" w:cs="Arial" w:eastAsia="Arial" w:hAnsi="Arial"/>
          <w:sz w:val="12"/>
          <w:szCs w:val="12"/>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June 30, 2022, and based on the assessment there are no probable loss contingencies requiring accrual or disclosures within its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Accruals</w:t>
      </w:r>
    </w:p>
    <w:p>
      <w:pPr>
        <w:spacing w:after="0" w:line="125" w:lineRule="exact"/>
        <w:rPr>
          <w:sz w:val="20"/>
          <w:szCs w:val="20"/>
          <w:color w:val="auto"/>
        </w:rPr>
      </w:pPr>
    </w:p>
    <w:p>
      <w:pPr>
        <w:ind w:right="40" w:firstLine="255"/>
        <w:spacing w:after="0" w:line="276" w:lineRule="auto"/>
        <w:rPr>
          <w:sz w:val="20"/>
          <w:szCs w:val="20"/>
          <w:color w:val="auto"/>
        </w:rPr>
      </w:pPr>
      <w:r>
        <w:rPr>
          <w:rFonts w:ascii="Arial" w:cs="Arial" w:eastAsia="Arial" w:hAnsi="Arial"/>
          <w:sz w:val="13"/>
          <w:szCs w:val="13"/>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publicity or resolution of one or more of these contingencies. Whether any losses finally determined in any claim, action, investigation or proceeding or publicity related to such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0" w:right="319" w:bottom="1440" w:gutter="0" w:footer="0" w:header="0"/>
        </w:sectPr>
      </w:pPr>
    </w:p>
    <w:bookmarkStart w:id="83" w:name="page84"/>
    <w:bookmarkEnd w:id="83"/>
    <w:p>
      <w:pPr>
        <w:ind w:firstLine="255"/>
        <w:spacing w:after="0" w:line="255" w:lineRule="auto"/>
        <w:rPr>
          <w:sz w:val="20"/>
          <w:szCs w:val="20"/>
          <w:color w:val="auto"/>
        </w:rPr>
      </w:pPr>
      <w:r>
        <w:rPr>
          <w:rFonts w:ascii="Arial" w:cs="Arial" w:eastAsia="Arial" w:hAnsi="Arial"/>
          <w:sz w:val="13"/>
          <w:szCs w:val="13"/>
          <w:b w:val="1"/>
          <w:bCs w:val="1"/>
          <w:color w:val="auto"/>
        </w:rPr>
        <w:t xml:space="preserve">Class Action Lawsuit (Smith v. LifeVantage Corp.): </w:t>
      </w:r>
      <w:r>
        <w:rPr>
          <w:rFonts w:ascii="Arial" w:cs="Arial" w:eastAsia="Arial" w:hAnsi="Arial"/>
          <w:sz w:val="13"/>
          <w:szCs w:val="13"/>
          <w:color w:val="auto"/>
        </w:rPr>
        <w:t>On January 24, 2018, a purported class action was filed in the United States District Court for the District of Connecticut, entitled Smith v.</w:t>
      </w:r>
      <w:r>
        <w:rPr>
          <w:rFonts w:ascii="Arial" w:cs="Arial" w:eastAsia="Arial" w:hAnsi="Arial"/>
          <w:sz w:val="13"/>
          <w:szCs w:val="13"/>
          <w:b w:val="1"/>
          <w:bCs w:val="1"/>
          <w:color w:val="auto"/>
        </w:rPr>
        <w:t xml:space="preserve"> </w:t>
      </w:r>
      <w:r>
        <w:rPr>
          <w:rFonts w:ascii="Arial" w:cs="Arial" w:eastAsia="Arial" w:hAnsi="Arial"/>
          <w:sz w:val="13"/>
          <w:szCs w:val="13"/>
          <w:color w:val="auto"/>
        </w:rPr>
        <w:t>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former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LifeVantage filed a Motion to Dismiss the Second Amended Complaint on January 28, 2020, and with the Motion fully briefed by the parties as of March 17, 2020, the Court decided the matter on the parties’ briefs only on November 25, 2020. In its decision, the Court dismissed with prejudice the Plaintiffs’ Section 12(1) claim (sale of an unregistered security), because the Court concluded the claim is time barred. The Court also dismissed the Plaintiffs’ claim for unjust enrichment against LifeVantage without prejudice, and the Plaintiffs did not amend their complaint following the Court’s order to re-plead unjust enrichment. The court found that the Plaintiffs had sufficiently pled their claim under Section 12(2) (offer to sell a security that misstates or omits a material fact by means of a prospectus or oral communication). LifeVantage filed its Answer to the Second Amended Complaint on December 23, 2020, responding to the Plaintiffs’ remaining securities claims. On February 2, 2021, the Court issued an amended scheduling order that reflects the parties’ agreement on a schedule for discovery and other litigation matters. On June 15, 2021, the plaintiffs filed their motion for class certification, and on July 13, 2021, the defendants, including LifeVantage Corporation, filed their opposition brief that opposed class certification. On July 27, 2021, the Plaintiffs filed their reply to the Company's</w:t>
      </w:r>
    </w:p>
    <w:p>
      <w:pPr>
        <w:spacing w:after="0" w:line="11" w:lineRule="exact"/>
        <w:rPr>
          <w:sz w:val="20"/>
          <w:szCs w:val="20"/>
          <w:color w:val="auto"/>
        </w:rPr>
      </w:pPr>
    </w:p>
    <w:p>
      <w:pPr>
        <w:ind w:right="60"/>
        <w:spacing w:after="0" w:line="236" w:lineRule="auto"/>
        <w:rPr>
          <w:sz w:val="20"/>
          <w:szCs w:val="20"/>
          <w:color w:val="auto"/>
        </w:rPr>
      </w:pPr>
      <w:r>
        <w:rPr>
          <w:rFonts w:ascii="Arial" w:cs="Arial" w:eastAsia="Arial" w:hAnsi="Arial"/>
          <w:sz w:val="14"/>
          <w:szCs w:val="14"/>
          <w:color w:val="auto"/>
        </w:rPr>
        <w:t>opposition brief. The court held a hearing for the motion for class certification on March 28, 2022. On April 19, 2022, the court issued an order denying the Plaintiff’s motion for class certification. The case has been stayed by the Court as of June 24, 2022 and is currently stayed until September 23, 2022.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104" w:lineRule="exact"/>
        <w:rPr>
          <w:sz w:val="20"/>
          <w:szCs w:val="20"/>
          <w:color w:val="auto"/>
        </w:rPr>
      </w:pPr>
    </w:p>
    <w:p>
      <w:pPr>
        <w:ind w:right="40" w:firstLine="255"/>
        <w:spacing w:after="0" w:line="253" w:lineRule="auto"/>
        <w:rPr>
          <w:sz w:val="20"/>
          <w:szCs w:val="20"/>
          <w:color w:val="auto"/>
        </w:rPr>
      </w:pPr>
      <w:r>
        <w:rPr>
          <w:rFonts w:ascii="Arial" w:cs="Arial" w:eastAsia="Arial" w:hAnsi="Arial"/>
          <w:sz w:val="14"/>
          <w:szCs w:val="14"/>
          <w:b w:val="1"/>
          <w:bCs w:val="1"/>
          <w:color w:val="auto"/>
        </w:rPr>
        <w:t>Other Matters</w:t>
      </w:r>
      <w:r>
        <w:rPr>
          <w:rFonts w:ascii="Arial" w:cs="Arial" w:eastAsia="Arial" w:hAnsi="Arial"/>
          <w:sz w:val="14"/>
          <w:szCs w:val="14"/>
          <w:color w:val="auto"/>
        </w:rPr>
        <w:t>. In addition to the matters described above, the Company also may become involved in other litigation and regulatory matters incidental to its business and the matters disclosed</w:t>
      </w:r>
      <w:r>
        <w:rPr>
          <w:rFonts w:ascii="Arial" w:cs="Arial" w:eastAsia="Arial" w:hAnsi="Arial"/>
          <w:sz w:val="14"/>
          <w:szCs w:val="14"/>
          <w:b w:val="1"/>
          <w:bCs w:val="1"/>
          <w:color w:val="auto"/>
        </w:rPr>
        <w:t xml:space="preserve"> </w:t>
      </w:r>
      <w:r>
        <w:rPr>
          <w:rFonts w:ascii="Arial" w:cs="Arial" w:eastAsia="Arial" w:hAnsi="Arial"/>
          <w:sz w:val="14"/>
          <w:szCs w:val="14"/>
          <w:color w:val="auto"/>
        </w:rPr>
        <w:t>in this annual report on Form 10-K,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 Related Party Transactions</w:t>
      </w:r>
    </w:p>
    <w:p>
      <w:pPr>
        <w:spacing w:after="0" w:line="11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6. Two members of the Company's board of directors serve on the GEG board of directors. During the fiscal year ended June 30, 2020, the Company paid $1.2 million to GEG for software application development services. No payments were made to GEG for software and application development services during the fiscal years ended June 30, 2022 and 2021.</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 Interim Financial Results (Unaudited)</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summarizes selected quarterly financial information for quarterly periods during the fiscal years ended June 30, 2022 and 2021: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LIFEVANTAGE CORPORATION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QUARTERLY RESULTS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data)</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19"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1"/>
                <w:szCs w:val="11"/>
                <w:b w:val="1"/>
                <w:bCs w:val="1"/>
                <w:color w:val="auto"/>
              </w:rPr>
              <w:t>Fiscal Quarter</w:t>
            </w:r>
          </w:p>
        </w:tc>
        <w:tc>
          <w:tcPr>
            <w:tcW w:w="9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First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4"/>
          </w:tcPr>
          <w:p>
            <w:pPr>
              <w:ind w:left="160"/>
              <w:spacing w:after="0"/>
              <w:rPr>
                <w:sz w:val="20"/>
                <w:szCs w:val="20"/>
                <w:color w:val="auto"/>
              </w:rPr>
            </w:pPr>
            <w:r>
              <w:rPr>
                <w:rFonts w:ascii="Arial" w:cs="Arial" w:eastAsia="Arial" w:hAnsi="Arial"/>
                <w:sz w:val="11"/>
                <w:szCs w:val="11"/>
                <w:b w:val="1"/>
                <w:bCs w:val="1"/>
                <w:color w:val="auto"/>
              </w:rPr>
              <w:t>Second</w:t>
            </w:r>
          </w:p>
        </w:tc>
        <w:tc>
          <w:tcPr>
            <w:tcW w:w="420" w:type="dxa"/>
            <w:vAlign w:val="bottom"/>
          </w:tcPr>
          <w:p>
            <w:pPr>
              <w:spacing w:after="0"/>
              <w:rPr>
                <w:sz w:val="13"/>
                <w:szCs w:val="13"/>
                <w:color w:val="auto"/>
              </w:rPr>
            </w:pPr>
          </w:p>
        </w:tc>
        <w:tc>
          <w:tcPr>
            <w:tcW w:w="1040" w:type="dxa"/>
            <w:vAlign w:val="bottom"/>
            <w:gridSpan w:val="4"/>
          </w:tcPr>
          <w:p>
            <w:pPr>
              <w:ind w:left="120"/>
              <w:spacing w:after="0"/>
              <w:rPr>
                <w:sz w:val="20"/>
                <w:szCs w:val="20"/>
                <w:color w:val="auto"/>
              </w:rPr>
            </w:pPr>
            <w:r>
              <w:rPr>
                <w:rFonts w:ascii="Arial" w:cs="Arial" w:eastAsia="Arial" w:hAnsi="Arial"/>
                <w:sz w:val="11"/>
                <w:szCs w:val="11"/>
                <w:b w:val="1"/>
                <w:bCs w:val="1"/>
                <w:color w:val="auto"/>
              </w:rPr>
              <w:t>Third</w:t>
            </w:r>
          </w:p>
        </w:tc>
        <w:tc>
          <w:tcPr>
            <w:tcW w:w="30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Fourth</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b w:val="1"/>
                <w:bCs w:val="1"/>
                <w:color w:val="auto"/>
                <w:w w:val="95"/>
              </w:rPr>
              <w:t>Year ended June 30, 2022</w:t>
            </w:r>
          </w:p>
        </w:tc>
      </w:tr>
      <w:tr>
        <w:trPr>
          <w:trHeight w:val="177"/>
        </w:trPr>
        <w:tc>
          <w:tcPr>
            <w:tcW w:w="20" w:type="dxa"/>
            <w:vAlign w:val="bottom"/>
          </w:tcPr>
          <w:p>
            <w:pPr>
              <w:spacing w:after="0"/>
              <w:rPr>
                <w:sz w:val="15"/>
                <w:szCs w:val="15"/>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Revenue, net</w:t>
            </w:r>
          </w:p>
        </w:tc>
        <w:tc>
          <w:tcPr>
            <w:tcW w:w="840" w:type="dxa"/>
            <w:vAlign w:val="bottom"/>
            <w:tcBorders>
              <w:top w:val="single" w:sz="8" w:color="auto"/>
            </w:tcBorders>
            <w:shd w:val="clear" w:color="auto" w:fill="CCEEFF"/>
          </w:tcPr>
          <w:p>
            <w:pPr>
              <w:jc w:val="right"/>
              <w:ind w:right="700"/>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53,224</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52,189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50,004</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50,943</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206,360</w:t>
            </w:r>
          </w:p>
        </w:tc>
        <w:tc>
          <w:tcPr>
            <w:tcW w:w="20" w:type="dxa"/>
            <w:vAlign w:val="bottom"/>
            <w:tcBorders>
              <w:top w:val="single" w:sz="8" w:color="auto"/>
            </w:tcBorders>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43,793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40,347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41,611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168,263</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w:t>
            </w: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3,120</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Per common share:</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Income (loss) per share, basic</w:t>
            </w: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ind w:left="260"/>
              <w:spacing w:after="0"/>
              <w:rPr>
                <w:sz w:val="20"/>
                <w:szCs w:val="20"/>
                <w:color w:val="auto"/>
              </w:rPr>
            </w:pPr>
            <w:r>
              <w:rPr>
                <w:rFonts w:ascii="Arial" w:cs="Arial" w:eastAsia="Arial" w:hAnsi="Arial"/>
                <w:sz w:val="14"/>
                <w:szCs w:val="14"/>
                <w:color w:val="auto"/>
              </w:rPr>
              <w:t>Income (loss) per share, diluted</w:t>
            </w:r>
          </w:p>
        </w:tc>
        <w:tc>
          <w:tcPr>
            <w:tcW w:w="840" w:type="dxa"/>
            <w:vAlign w:val="bottom"/>
          </w:tcPr>
          <w:p>
            <w:pPr>
              <w:jc w:val="right"/>
              <w:ind w:right="70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jc w:val="right"/>
              <w:ind w:right="27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(0.11)</w:t>
            </w:r>
          </w:p>
        </w:tc>
        <w:tc>
          <w:tcPr>
            <w:tcW w:w="20" w:type="dxa"/>
            <w:vAlign w:val="bottom"/>
          </w:tcPr>
          <w:p>
            <w:pPr>
              <w:spacing w:after="0"/>
              <w:rPr>
                <w:sz w:val="15"/>
                <w:szCs w:val="15"/>
                <w:color w:val="auto"/>
              </w:rPr>
            </w:pPr>
          </w:p>
        </w:tc>
        <w:tc>
          <w:tcPr>
            <w:tcW w:w="540" w:type="dxa"/>
            <w:vAlign w:val="bottom"/>
            <w:gridSpan w:val="3"/>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0.24</w:t>
            </w:r>
          </w:p>
        </w:tc>
        <w:tc>
          <w:tcPr>
            <w:tcW w:w="20" w:type="dxa"/>
            <w:vAlign w:val="bottom"/>
          </w:tcPr>
          <w:p>
            <w:pPr>
              <w:spacing w:after="0"/>
              <w:rPr>
                <w:sz w:val="15"/>
                <w:szCs w:val="15"/>
                <w:color w:val="auto"/>
              </w:rPr>
            </w:pPr>
          </w:p>
        </w:tc>
      </w:tr>
      <w:tr>
        <w:trPr>
          <w:trHeight w:val="40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1"/>
                <w:szCs w:val="11"/>
                <w:b w:val="1"/>
                <w:bCs w:val="1"/>
                <w:color w:val="auto"/>
              </w:rPr>
              <w:t>Fiscal Quarter</w:t>
            </w: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3"/>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First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gridSpan w:val="4"/>
          </w:tcPr>
          <w:p>
            <w:pPr>
              <w:ind w:left="160"/>
              <w:spacing w:after="0"/>
              <w:rPr>
                <w:sz w:val="20"/>
                <w:szCs w:val="20"/>
                <w:color w:val="auto"/>
              </w:rPr>
            </w:pPr>
            <w:r>
              <w:rPr>
                <w:rFonts w:ascii="Arial" w:cs="Arial" w:eastAsia="Arial" w:hAnsi="Arial"/>
                <w:sz w:val="11"/>
                <w:szCs w:val="11"/>
                <w:b w:val="1"/>
                <w:bCs w:val="1"/>
                <w:color w:val="auto"/>
              </w:rPr>
              <w:t>Second</w:t>
            </w:r>
          </w:p>
        </w:tc>
        <w:tc>
          <w:tcPr>
            <w:tcW w:w="420" w:type="dxa"/>
            <w:vAlign w:val="bottom"/>
          </w:tcPr>
          <w:p>
            <w:pPr>
              <w:spacing w:after="0"/>
              <w:rPr>
                <w:sz w:val="13"/>
                <w:szCs w:val="13"/>
                <w:color w:val="auto"/>
              </w:rPr>
            </w:pPr>
          </w:p>
        </w:tc>
        <w:tc>
          <w:tcPr>
            <w:tcW w:w="1040" w:type="dxa"/>
            <w:vAlign w:val="bottom"/>
            <w:gridSpan w:val="4"/>
          </w:tcPr>
          <w:p>
            <w:pPr>
              <w:ind w:left="100"/>
              <w:spacing w:after="0"/>
              <w:rPr>
                <w:sz w:val="20"/>
                <w:szCs w:val="20"/>
                <w:color w:val="auto"/>
              </w:rPr>
            </w:pPr>
            <w:r>
              <w:rPr>
                <w:rFonts w:ascii="Arial" w:cs="Arial" w:eastAsia="Arial" w:hAnsi="Arial"/>
                <w:sz w:val="11"/>
                <w:szCs w:val="11"/>
                <w:b w:val="1"/>
                <w:bCs w:val="1"/>
                <w:color w:val="auto"/>
              </w:rPr>
              <w:t>Third</w:t>
            </w:r>
          </w:p>
        </w:tc>
        <w:tc>
          <w:tcPr>
            <w:tcW w:w="300" w:type="dxa"/>
            <w:vAlign w:val="bottom"/>
          </w:tcPr>
          <w:p>
            <w:pPr>
              <w:spacing w:after="0"/>
              <w:rPr>
                <w:sz w:val="13"/>
                <w:szCs w:val="13"/>
                <w:color w:val="auto"/>
              </w:rPr>
            </w:pPr>
          </w:p>
        </w:tc>
        <w:tc>
          <w:tcPr>
            <w:tcW w:w="1060" w:type="dxa"/>
            <w:vAlign w:val="bottom"/>
          </w:tcPr>
          <w:p>
            <w:pPr>
              <w:jc w:val="right"/>
              <w:ind w:right="452"/>
              <w:spacing w:after="0"/>
              <w:rPr>
                <w:sz w:val="20"/>
                <w:szCs w:val="20"/>
                <w:color w:val="auto"/>
              </w:rPr>
            </w:pPr>
            <w:r>
              <w:rPr>
                <w:rFonts w:ascii="Arial" w:cs="Arial" w:eastAsia="Arial" w:hAnsi="Arial"/>
                <w:sz w:val="11"/>
                <w:szCs w:val="11"/>
                <w:b w:val="1"/>
                <w:bCs w:val="1"/>
                <w:color w:val="auto"/>
              </w:rPr>
              <w:t>Fourth</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Arial" w:cs="Arial" w:eastAsia="Arial" w:hAnsi="Arial"/>
                <w:sz w:val="11"/>
                <w:szCs w:val="11"/>
                <w:b w:val="1"/>
                <w:bCs w:val="1"/>
                <w:color w:val="auto"/>
                <w:w w:val="97"/>
              </w:rPr>
              <w:t>Year ended June 30, 2021</w:t>
            </w: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 net</w:t>
            </w: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72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54,827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59,007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51,570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54,777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gridSpan w:val="2"/>
            <w:shd w:val="clear" w:color="auto" w:fill="CCEEFF"/>
          </w:tcPr>
          <w:p>
            <w:pPr>
              <w:jc w:val="right"/>
              <w:ind w:right="325"/>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220,181</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45,429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48,818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42,752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44,995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181,994</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840" w:type="dxa"/>
            <w:vAlign w:val="bottom"/>
            <w:shd w:val="clear" w:color="auto" w:fill="CCEEFF"/>
          </w:tcPr>
          <w:p>
            <w:pPr>
              <w:jc w:val="right"/>
              <w:ind w:right="7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9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4,907</w:t>
            </w: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12,894</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spacing w:after="0"/>
              <w:rPr>
                <w:sz w:val="20"/>
                <w:szCs w:val="20"/>
                <w:color w:val="auto"/>
              </w:rPr>
            </w:pPr>
            <w:r>
              <w:rPr>
                <w:rFonts w:ascii="Arial" w:cs="Arial" w:eastAsia="Arial" w:hAnsi="Arial"/>
                <w:sz w:val="14"/>
                <w:szCs w:val="14"/>
                <w:color w:val="auto"/>
              </w:rPr>
              <w:t>Per common share:</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Income per share, basic</w:t>
            </w:r>
          </w:p>
        </w:tc>
        <w:tc>
          <w:tcPr>
            <w:tcW w:w="840" w:type="dxa"/>
            <w:vAlign w:val="bottom"/>
            <w:shd w:val="clear" w:color="auto" w:fill="CCEEFF"/>
          </w:tcPr>
          <w:p>
            <w:pPr>
              <w:jc w:val="right"/>
              <w:ind w:right="72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9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20" w:type="dxa"/>
            <w:vAlign w:val="bottom"/>
            <w:shd w:val="clear" w:color="auto" w:fill="CCEEFF"/>
          </w:tcPr>
          <w:p>
            <w:pPr>
              <w:spacing w:after="0"/>
              <w:rPr>
                <w:sz w:val="15"/>
                <w:szCs w:val="15"/>
                <w:color w:val="auto"/>
              </w:rPr>
            </w:pPr>
          </w:p>
        </w:tc>
        <w:tc>
          <w:tcPr>
            <w:tcW w:w="540" w:type="dxa"/>
            <w:vAlign w:val="bottom"/>
            <w:gridSpan w:val="3"/>
            <w:shd w:val="clear" w:color="auto" w:fill="CCEEFF"/>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040" w:type="dxa"/>
            <w:vAlign w:val="bottom"/>
            <w:gridSpan w:val="2"/>
          </w:tcPr>
          <w:p>
            <w:pPr>
              <w:ind w:left="260"/>
              <w:spacing w:after="0"/>
              <w:rPr>
                <w:sz w:val="20"/>
                <w:szCs w:val="20"/>
                <w:color w:val="auto"/>
              </w:rPr>
            </w:pPr>
            <w:r>
              <w:rPr>
                <w:rFonts w:ascii="Arial" w:cs="Arial" w:eastAsia="Arial" w:hAnsi="Arial"/>
                <w:sz w:val="14"/>
                <w:szCs w:val="14"/>
                <w:color w:val="auto"/>
              </w:rPr>
              <w:t>Income per share, diluted</w:t>
            </w:r>
          </w:p>
        </w:tc>
        <w:tc>
          <w:tcPr>
            <w:tcW w:w="840" w:type="dxa"/>
            <w:vAlign w:val="bottom"/>
          </w:tcPr>
          <w:p>
            <w:pPr>
              <w:jc w:val="right"/>
              <w:ind w:right="720"/>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0.26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jc w:val="right"/>
              <w:ind w:right="29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0.35</w:t>
            </w:r>
          </w:p>
        </w:tc>
        <w:tc>
          <w:tcPr>
            <w:tcW w:w="20" w:type="dxa"/>
            <w:vAlign w:val="bottom"/>
          </w:tcPr>
          <w:p>
            <w:pPr>
              <w:spacing w:after="0"/>
              <w:rPr>
                <w:sz w:val="15"/>
                <w:szCs w:val="15"/>
                <w:color w:val="auto"/>
              </w:rPr>
            </w:pPr>
          </w:p>
        </w:tc>
        <w:tc>
          <w:tcPr>
            <w:tcW w:w="540" w:type="dxa"/>
            <w:vAlign w:val="bottom"/>
            <w:gridSpan w:val="3"/>
          </w:tcPr>
          <w:p>
            <w:pPr>
              <w:jc w:val="right"/>
              <w:ind w:right="325"/>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0.90</w:t>
            </w:r>
          </w:p>
        </w:tc>
        <w:tc>
          <w:tcPr>
            <w:tcW w:w="20" w:type="dxa"/>
            <w:vAlign w:val="bottom"/>
          </w:tcPr>
          <w:p>
            <w:pPr>
              <w:spacing w:after="0"/>
              <w:rPr>
                <w:sz w:val="15"/>
                <w:szCs w:val="15"/>
                <w:color w:val="auto"/>
              </w:rPr>
            </w:pPr>
          </w:p>
        </w:tc>
      </w:tr>
      <w:tr>
        <w:trPr>
          <w:trHeight w:val="78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4"/>
                <w:szCs w:val="14"/>
                <w:color w:val="auto"/>
              </w:rPr>
              <w:t>85</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80"/>
          </w:cols>
          <w:pgMar w:left="300" w:top="950" w:right="319" w:bottom="1440" w:gutter="0" w:footer="0" w:header="0"/>
        </w:sectPr>
      </w:pPr>
    </w:p>
    <w:bookmarkStart w:id="85" w:name="page86"/>
    <w:bookmarkEnd w:id="85"/>
    <w:p>
      <w:pPr>
        <w:jc w:val="right"/>
        <w:spacing w:after="0"/>
        <w:rPr>
          <w:sz w:val="20"/>
          <w:szCs w:val="20"/>
          <w:color w:val="auto"/>
        </w:rPr>
      </w:pPr>
      <w:r>
        <w:rPr>
          <w:rFonts w:ascii="Arial" w:cs="Arial" w:eastAsia="Arial" w:hAnsi="Arial"/>
          <w:sz w:val="14"/>
          <w:szCs w:val="14"/>
          <w:color w:val="auto"/>
        </w:rPr>
        <w:t>Exhibit 4.2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29" w:lineRule="exact"/>
        <w:rPr>
          <w:sz w:val="20"/>
          <w:szCs w:val="20"/>
          <w:color w:val="auto"/>
        </w:rPr>
      </w:pPr>
    </w:p>
    <w:p>
      <w:pPr>
        <w:ind w:right="180" w:firstLine="318"/>
        <w:spacing w:after="0" w:line="281" w:lineRule="auto"/>
        <w:rPr>
          <w:sz w:val="20"/>
          <w:szCs w:val="20"/>
          <w:color w:val="auto"/>
        </w:rPr>
      </w:pPr>
      <w:r>
        <w:rPr>
          <w:rFonts w:ascii="Arial" w:cs="Arial" w:eastAsia="Arial" w:hAnsi="Arial"/>
          <w:sz w:val="14"/>
          <w:szCs w:val="14"/>
          <w:color w:val="auto"/>
        </w:rPr>
        <w:t>LifeVantage Corporation (“we,” “us,” and “our”) has one class of securities registered under Section 12 of the Securities Exchange Act of 1934, as amended - our common stock, $0.0001 par value per share.</w:t>
      </w:r>
    </w:p>
    <w:p>
      <w:pPr>
        <w:spacing w:after="0" w:line="79" w:lineRule="exact"/>
        <w:rPr>
          <w:sz w:val="20"/>
          <w:szCs w:val="20"/>
          <w:color w:val="auto"/>
        </w:rPr>
      </w:pPr>
    </w:p>
    <w:p>
      <w:pPr>
        <w:jc w:val="both"/>
        <w:ind w:right="260" w:firstLine="318"/>
        <w:spacing w:after="0" w:line="267" w:lineRule="auto"/>
        <w:rPr>
          <w:sz w:val="20"/>
          <w:szCs w:val="20"/>
          <w:color w:val="auto"/>
        </w:rPr>
      </w:pPr>
      <w:r>
        <w:rPr>
          <w:rFonts w:ascii="Arial" w:cs="Arial" w:eastAsia="Arial" w:hAnsi="Arial"/>
          <w:sz w:val="14"/>
          <w:szCs w:val="14"/>
          <w:color w:val="auto"/>
        </w:rPr>
        <w:t>The following information describes our capital stock, as well as certain provisions of our certificate of incorporation and amended and restated bylaws. The summary does not purport to be complete and is qualified in its entirety by reference to our certificate of incorporation and amended and restated bylaws, copies of which have been filed as exhibits to our public filings with the Securities and Exchange Commission.</w:t>
      </w:r>
    </w:p>
    <w:p>
      <w:pPr>
        <w:spacing w:after="0" w:line="78"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Our authorized capital stock consists of 40,000,000 shares of common stock and 5,000,000 shares of preferred stock with a $0.0001 par value per share, all of which shares of preferred stock are undesignated. Our board of directors may establish the rights and preferences of the preferred stock from time to time. As of August 13, 2021, there were 13,647,499 shares of common stock issued and outstanding, held of record by 82 stockholders, although we believe that there may be a significantly larger number of beneficial owners of our common stock. We derived the number of stockholders by reviewing the listing of outstanding common stock recorded by our transfer agent as of August 13, 2021.</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29" w:lineRule="exact"/>
        <w:rPr>
          <w:sz w:val="20"/>
          <w:szCs w:val="20"/>
          <w:color w:val="auto"/>
        </w:rPr>
      </w:pPr>
    </w:p>
    <w:p>
      <w:pPr>
        <w:ind w:right="100" w:firstLine="318"/>
        <w:spacing w:after="0" w:line="284" w:lineRule="auto"/>
        <w:rPr>
          <w:sz w:val="20"/>
          <w:szCs w:val="20"/>
          <w:color w:val="auto"/>
        </w:rPr>
      </w:pPr>
      <w:r>
        <w:rPr>
          <w:rFonts w:ascii="Arial" w:cs="Arial" w:eastAsia="Arial" w:hAnsi="Arial"/>
          <w:sz w:val="13"/>
          <w:szCs w:val="13"/>
          <w:color w:val="auto"/>
        </w:rPr>
        <w:t>The holders of common stock are entitled to one vote per share on all matters to be voted upon by the stockholders. The holders of common stock are entitled to receive ratably such dividends, if any, as may be declared from time to time by the board of directors out of funds legally available, subject to preferences that may be applicable to preferred stock, if any, then outstanding. In the event of a liquidation, dissolution or winding up of our company, the holders of common stock are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70" w:lineRule="exact"/>
        <w:rPr>
          <w:sz w:val="20"/>
          <w:szCs w:val="20"/>
          <w:color w:val="auto"/>
        </w:rPr>
      </w:pPr>
    </w:p>
    <w:p>
      <w:pPr>
        <w:ind w:right="40" w:firstLine="318"/>
        <w:spacing w:after="0" w:line="281" w:lineRule="auto"/>
        <w:rPr>
          <w:sz w:val="20"/>
          <w:szCs w:val="20"/>
          <w:color w:val="auto"/>
        </w:rPr>
      </w:pPr>
      <w:r>
        <w:rPr>
          <w:rFonts w:ascii="Arial" w:cs="Arial" w:eastAsia="Arial" w:hAnsi="Arial"/>
          <w:sz w:val="14"/>
          <w:szCs w:val="14"/>
          <w:color w:val="auto"/>
        </w:rPr>
        <w:t>The rights, preferences and privileges of the holders of our common stock are subject to, and may be adversely affected by, the rights of the holders of shares of any series of preferred stock that we may designate and issue in the future.</w:t>
      </w:r>
    </w:p>
    <w:p>
      <w:pPr>
        <w:spacing w:after="0" w:line="79" w:lineRule="exact"/>
        <w:rPr>
          <w:sz w:val="20"/>
          <w:szCs w:val="20"/>
          <w:color w:val="auto"/>
        </w:rPr>
      </w:pPr>
    </w:p>
    <w:p>
      <w:pPr>
        <w:ind w:right="20" w:firstLine="318"/>
        <w:spacing w:after="0" w:line="281" w:lineRule="auto"/>
        <w:rPr>
          <w:sz w:val="20"/>
          <w:szCs w:val="20"/>
          <w:color w:val="auto"/>
        </w:rPr>
      </w:pPr>
      <w:r>
        <w:rPr>
          <w:rFonts w:ascii="Arial" w:cs="Arial" w:eastAsia="Arial" w:hAnsi="Arial"/>
          <w:sz w:val="14"/>
          <w:szCs w:val="14"/>
          <w:color w:val="auto"/>
        </w:rPr>
        <w:t>Our common stock is listed on the Nasdaq Capital Market under the symbol “LFVN.” The transfer agent and registrar for the common stock is Computershare Trust Company, Inc. Its address is P.O. Box 505000, Louisville, KY 40233, and its telephone number is 1-800-962-4284.</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19" w:lineRule="exact"/>
        <w:rPr>
          <w:sz w:val="20"/>
          <w:szCs w:val="20"/>
          <w:color w:val="auto"/>
        </w:rPr>
      </w:pPr>
    </w:p>
    <w:p>
      <w:pPr>
        <w:ind w:right="40" w:firstLine="318"/>
        <w:spacing w:after="0" w:line="258" w:lineRule="auto"/>
        <w:rPr>
          <w:sz w:val="20"/>
          <w:szCs w:val="20"/>
          <w:color w:val="auto"/>
        </w:rPr>
      </w:pPr>
      <w:r>
        <w:rPr>
          <w:rFonts w:ascii="Arial" w:cs="Arial" w:eastAsia="Arial" w:hAnsi="Arial"/>
          <w:sz w:val="14"/>
          <w:szCs w:val="14"/>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ectPr>
          <w:pgSz w:w="11900" w:h="16838" w:orient="portrait"/>
          <w:cols w:equalWidth="0" w:num="1">
            <w:col w:w="11280"/>
          </w:cols>
          <w:pgMar w:left="300" w:top="1264"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auto"/>
        </w:rPr>
        <w:t>Effect of Certain Provisions of our Certificate of Incorporation and Amended and Restated Bylaws</w:t>
      </w:r>
    </w:p>
    <w:p>
      <w:pPr>
        <w:spacing w:after="0" w:line="119" w:lineRule="exact"/>
        <w:rPr>
          <w:sz w:val="20"/>
          <w:szCs w:val="20"/>
          <w:color w:val="auto"/>
        </w:rPr>
      </w:pPr>
    </w:p>
    <w:p>
      <w:pPr>
        <w:jc w:val="both"/>
        <w:ind w:right="40" w:firstLine="318"/>
        <w:spacing w:after="0" w:line="262" w:lineRule="auto"/>
        <w:rPr>
          <w:sz w:val="20"/>
          <w:szCs w:val="20"/>
          <w:color w:val="auto"/>
        </w:rPr>
      </w:pPr>
      <w:r>
        <w:rPr>
          <w:rFonts w:ascii="Arial" w:cs="Arial" w:eastAsia="Arial" w:hAnsi="Arial"/>
          <w:sz w:val="14"/>
          <w:szCs w:val="14"/>
          <w:color w:val="auto"/>
        </w:rPr>
        <w:t>Provisions of our certificate of incorporation and our amended and restated bylaws could have the effect of delaying, deferring or discouraging another party from acquiring control of us. These provisions, which are summarized below, may have the effect of discouraging takeover bids. These provisions are also designed, in part, to encourage persons seeking to acquire control of us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93" w:lineRule="exact"/>
        <w:rPr>
          <w:sz w:val="20"/>
          <w:szCs w:val="20"/>
          <w:color w:val="auto"/>
        </w:rPr>
      </w:pPr>
    </w:p>
    <w:p>
      <w:pPr>
        <w:ind w:right="240" w:firstLine="318"/>
        <w:spacing w:after="0" w:line="281" w:lineRule="auto"/>
        <w:rPr>
          <w:sz w:val="20"/>
          <w:szCs w:val="20"/>
          <w:color w:val="auto"/>
        </w:rPr>
      </w:pPr>
      <w:r>
        <w:rPr>
          <w:rFonts w:ascii="Arial" w:cs="Arial" w:eastAsia="Arial" w:hAnsi="Arial"/>
          <w:sz w:val="14"/>
          <w:szCs w:val="14"/>
          <w:i w:val="1"/>
          <w:iCs w:val="1"/>
          <w:color w:val="auto"/>
        </w:rPr>
        <w:t xml:space="preserve">Undesignated preferred stock. </w:t>
      </w:r>
      <w:r>
        <w:rPr>
          <w:rFonts w:ascii="Arial" w:cs="Arial" w:eastAsia="Arial" w:hAnsi="Arial"/>
          <w:sz w:val="14"/>
          <w:szCs w:val="14"/>
          <w:color w:val="auto"/>
        </w:rPr>
        <w:t>Our board of directors has the ability to issue preferred stock with voting or other rights or preferences that could impede the success of any attempt to change</w:t>
      </w:r>
      <w:r>
        <w:rPr>
          <w:rFonts w:ascii="Arial" w:cs="Arial" w:eastAsia="Arial" w:hAnsi="Arial"/>
          <w:sz w:val="14"/>
          <w:szCs w:val="14"/>
          <w:i w:val="1"/>
          <w:iCs w:val="1"/>
          <w:color w:val="auto"/>
        </w:rPr>
        <w:t xml:space="preserve"> </w:t>
      </w:r>
      <w:r>
        <w:rPr>
          <w:rFonts w:ascii="Arial" w:cs="Arial" w:eastAsia="Arial" w:hAnsi="Arial"/>
          <w:sz w:val="14"/>
          <w:szCs w:val="14"/>
          <w:color w:val="auto"/>
        </w:rPr>
        <w:t>control of us. These and other provisions may have the effect of deferring hostile takeovers or delaying changes in control or management of our company.</w:t>
      </w:r>
    </w:p>
    <w:p>
      <w:pPr>
        <w:spacing w:after="0" w:line="79" w:lineRule="exact"/>
        <w:rPr>
          <w:sz w:val="20"/>
          <w:szCs w:val="20"/>
          <w:color w:val="auto"/>
        </w:rPr>
      </w:pPr>
    </w:p>
    <w:p>
      <w:pPr>
        <w:ind w:right="180" w:firstLine="318"/>
        <w:spacing w:after="0" w:line="262" w:lineRule="auto"/>
        <w:rPr>
          <w:sz w:val="20"/>
          <w:szCs w:val="20"/>
          <w:color w:val="auto"/>
        </w:rPr>
      </w:pPr>
      <w:r>
        <w:rPr>
          <w:rFonts w:ascii="Arial" w:cs="Arial" w:eastAsia="Arial" w:hAnsi="Arial"/>
          <w:sz w:val="14"/>
          <w:szCs w:val="14"/>
          <w:i w:val="1"/>
          <w:iCs w:val="1"/>
          <w:color w:val="auto"/>
        </w:rPr>
        <w:t xml:space="preserve">Limits on ability of stockholders to act by written consent or call a special meeting. </w:t>
      </w:r>
      <w:r>
        <w:rPr>
          <w:rFonts w:ascii="Arial" w:cs="Arial" w:eastAsia="Arial" w:hAnsi="Arial"/>
          <w:sz w:val="14"/>
          <w:szCs w:val="14"/>
          <w:color w:val="auto"/>
        </w:rPr>
        <w:t>Except in the case of holders of our preferred stock, if any, which are entitled to take action by written</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as provided in an applicable certificate of designation,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14" w:lineRule="exact"/>
        <w:rPr>
          <w:sz w:val="20"/>
          <w:szCs w:val="20"/>
          <w:color w:val="auto"/>
        </w:rPr>
      </w:pPr>
    </w:p>
    <w:p>
      <w:pPr>
        <w:ind w:right="40" w:firstLine="318"/>
        <w:spacing w:after="0" w:line="297" w:lineRule="auto"/>
        <w:rPr>
          <w:sz w:val="20"/>
          <w:szCs w:val="20"/>
          <w:color w:val="auto"/>
        </w:rPr>
      </w:pPr>
      <w:r>
        <w:rPr>
          <w:rFonts w:ascii="Arial" w:cs="Arial" w:eastAsia="Arial" w:hAnsi="Arial"/>
          <w:sz w:val="13"/>
          <w:szCs w:val="13"/>
          <w:color w:val="auto"/>
        </w:rPr>
        <w:t>In addition, our amended and restated bylaws provide that special meetings of the stockholders may be called only by the chairperson of our board of directors, our Chief Executive Officer, our board of directors or by stockholders holding at least ten percent (10%) of the outstanding shares entitled to vote as such special meeting. Other than as set forth in the preceding sentence, our amended and restated bylaws prohibit a stockholder from calling a special meeting, which may delay the ability of our stockholders to force consideration of a proposal.</w:t>
      </w:r>
    </w:p>
    <w:p>
      <w:pPr>
        <w:spacing w:after="0" w:line="71" w:lineRule="exact"/>
        <w:rPr>
          <w:sz w:val="20"/>
          <w:szCs w:val="20"/>
          <w:color w:val="auto"/>
        </w:rPr>
      </w:pPr>
    </w:p>
    <w:p>
      <w:pPr>
        <w:ind w:firstLine="318"/>
        <w:spacing w:after="0" w:line="288" w:lineRule="auto"/>
        <w:rPr>
          <w:sz w:val="20"/>
          <w:szCs w:val="20"/>
          <w:color w:val="auto"/>
        </w:rPr>
      </w:pPr>
      <w:r>
        <w:rPr>
          <w:rFonts w:ascii="Arial" w:cs="Arial" w:eastAsia="Arial" w:hAnsi="Arial"/>
          <w:sz w:val="13"/>
          <w:szCs w:val="13"/>
          <w:i w:val="1"/>
          <w:iCs w:val="1"/>
          <w:color w:val="auto"/>
        </w:rPr>
        <w:t xml:space="preserve">Requirements for advance notification of stockholder nominations and proposals. </w:t>
      </w:r>
      <w:r>
        <w:rPr>
          <w:rFonts w:ascii="Arial" w:cs="Arial" w:eastAsia="Arial" w:hAnsi="Arial"/>
          <w:sz w:val="13"/>
          <w:szCs w:val="13"/>
          <w:color w:val="auto"/>
        </w:rPr>
        <w:t>Our amended and restated bylaws establish advance notice procedures with respect to stockholder proposals</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nomination of candidates for election as directors, other than nominations made by or at the direction of our board of directors or a committee of our board of directors. However, our amended and restated bylaws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78" w:lineRule="exact"/>
        <w:rPr>
          <w:sz w:val="20"/>
          <w:szCs w:val="20"/>
          <w:color w:val="auto"/>
        </w:rPr>
      </w:pPr>
    </w:p>
    <w:p>
      <w:pPr>
        <w:ind w:right="60" w:firstLine="318"/>
        <w:spacing w:after="0" w:line="262" w:lineRule="auto"/>
        <w:rPr>
          <w:sz w:val="20"/>
          <w:szCs w:val="20"/>
          <w:color w:val="auto"/>
        </w:rPr>
      </w:pPr>
      <w:r>
        <w:rPr>
          <w:rFonts w:ascii="Arial" w:cs="Arial" w:eastAsia="Arial" w:hAnsi="Arial"/>
          <w:sz w:val="14"/>
          <w:szCs w:val="14"/>
          <w:i w:val="1"/>
          <w:iCs w:val="1"/>
          <w:color w:val="auto"/>
        </w:rPr>
        <w:t xml:space="preserve">Board vacancies filled only by majority of directors then in office. </w:t>
      </w:r>
      <w:r>
        <w:rPr>
          <w:rFonts w:ascii="Arial" w:cs="Arial" w:eastAsia="Arial" w:hAnsi="Arial"/>
          <w:sz w:val="14"/>
          <w:szCs w:val="14"/>
          <w:color w:val="auto"/>
        </w:rPr>
        <w:t>Subject to the rights of the holders of any series of outstanding preferred stock, if any, vacancies and newly created seats on</w:t>
      </w:r>
      <w:r>
        <w:rPr>
          <w:rFonts w:ascii="Arial" w:cs="Arial" w:eastAsia="Arial" w:hAnsi="Arial"/>
          <w:sz w:val="14"/>
          <w:szCs w:val="14"/>
          <w:i w:val="1"/>
          <w:iCs w:val="1"/>
          <w:color w:val="auto"/>
        </w:rPr>
        <w:t xml:space="preserve"> </w:t>
      </w:r>
      <w:r>
        <w:rPr>
          <w:rFonts w:ascii="Arial" w:cs="Arial" w:eastAsia="Arial" w:hAnsi="Arial"/>
          <w:sz w:val="14"/>
          <w:szCs w:val="14"/>
          <w:color w:val="auto"/>
        </w:rPr>
        <w:t>our board of directors may be filled only by our board of directors. Only our board of directors may determine the number of directors on our board of directors. The inability of stockholders to determine the number of directors or to fill vacancies or newly created seats on our board of directors makes it more difficult to change the composition of our board of directors, but these provisions promote a continuity of existing management.</w:t>
      </w:r>
    </w:p>
    <w:p>
      <w:pPr>
        <w:spacing w:after="0" w:line="82" w:lineRule="exact"/>
        <w:rPr>
          <w:sz w:val="20"/>
          <w:szCs w:val="20"/>
          <w:color w:val="auto"/>
        </w:rPr>
      </w:pPr>
    </w:p>
    <w:p>
      <w:pPr>
        <w:ind w:right="400" w:firstLine="318"/>
        <w:spacing w:after="0" w:line="281" w:lineRule="auto"/>
        <w:rPr>
          <w:sz w:val="20"/>
          <w:szCs w:val="20"/>
          <w:color w:val="auto"/>
        </w:rPr>
      </w:pPr>
      <w:r>
        <w:rPr>
          <w:rFonts w:ascii="Arial" w:cs="Arial" w:eastAsia="Arial" w:hAnsi="Arial"/>
          <w:sz w:val="14"/>
          <w:szCs w:val="14"/>
          <w:i w:val="1"/>
          <w:iCs w:val="1"/>
          <w:color w:val="auto"/>
        </w:rPr>
        <w:t xml:space="preserve">No cumulative voting. </w:t>
      </w:r>
      <w:r>
        <w:rPr>
          <w:rFonts w:ascii="Arial" w:cs="Arial" w:eastAsia="Arial" w:hAnsi="Arial"/>
          <w:sz w:val="14"/>
          <w:szCs w:val="14"/>
          <w:color w:val="auto"/>
        </w:rPr>
        <w:t>The Delaware General Corporation Law provides that stockholders are not entitled to the right to cumulate votes in the election of directors unless our certificate of</w:t>
      </w:r>
      <w:r>
        <w:rPr>
          <w:rFonts w:ascii="Arial" w:cs="Arial" w:eastAsia="Arial" w:hAnsi="Arial"/>
          <w:sz w:val="14"/>
          <w:szCs w:val="14"/>
          <w:i w:val="1"/>
          <w:iCs w:val="1"/>
          <w:color w:val="auto"/>
        </w:rPr>
        <w:t xml:space="preserve"> </w:t>
      </w:r>
      <w:r>
        <w:rPr>
          <w:rFonts w:ascii="Arial" w:cs="Arial" w:eastAsia="Arial" w:hAnsi="Arial"/>
          <w:sz w:val="14"/>
          <w:szCs w:val="14"/>
          <w:color w:val="auto"/>
        </w:rPr>
        <w:t>incorporation provides otherwise. Our certificate of incorporation and amended and restated bylaws do not expressly provide for cumulative voting.</w:t>
      </w:r>
    </w:p>
    <w:p>
      <w:pPr>
        <w:spacing w:after="0" w:line="79" w:lineRule="exact"/>
        <w:rPr>
          <w:sz w:val="20"/>
          <w:szCs w:val="20"/>
          <w:color w:val="auto"/>
        </w:rPr>
      </w:pPr>
    </w:p>
    <w:p>
      <w:pPr>
        <w:ind w:right="340" w:firstLine="318"/>
        <w:spacing w:after="0" w:line="281" w:lineRule="auto"/>
        <w:rPr>
          <w:sz w:val="20"/>
          <w:szCs w:val="20"/>
          <w:color w:val="auto"/>
        </w:rPr>
      </w:pPr>
      <w:r>
        <w:rPr>
          <w:rFonts w:ascii="Arial" w:cs="Arial" w:eastAsia="Arial" w:hAnsi="Arial"/>
          <w:sz w:val="14"/>
          <w:szCs w:val="14"/>
          <w:i w:val="1"/>
          <w:iCs w:val="1"/>
          <w:color w:val="auto"/>
        </w:rPr>
        <w:t xml:space="preserve">Amendment of charter provisions. </w:t>
      </w:r>
      <w:r>
        <w:rPr>
          <w:rFonts w:ascii="Arial" w:cs="Arial" w:eastAsia="Arial" w:hAnsi="Arial"/>
          <w:sz w:val="14"/>
          <w:szCs w:val="14"/>
          <w:color w:val="auto"/>
        </w:rPr>
        <w:t>The amendment of the above provisions in our certificate of incorporation requires approval by holders of at least a majority of our outstanding common</w:t>
      </w:r>
      <w:r>
        <w:rPr>
          <w:rFonts w:ascii="Arial" w:cs="Arial" w:eastAsia="Arial" w:hAnsi="Arial"/>
          <w:sz w:val="14"/>
          <w:szCs w:val="14"/>
          <w:i w:val="1"/>
          <w:iCs w:val="1"/>
          <w:color w:val="auto"/>
        </w:rPr>
        <w:t xml:space="preserve"> </w:t>
      </w:r>
      <w:r>
        <w:rPr>
          <w:rFonts w:ascii="Arial" w:cs="Arial" w:eastAsia="Arial" w:hAnsi="Arial"/>
          <w:sz w:val="14"/>
          <w:szCs w:val="14"/>
          <w:color w:val="auto"/>
        </w:rPr>
        <w:t>stock.</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Delaware Anti-Takeover Statute</w:t>
      </w:r>
    </w:p>
    <w:p>
      <w:pPr>
        <w:spacing w:after="0" w:line="119" w:lineRule="exact"/>
        <w:rPr>
          <w:sz w:val="20"/>
          <w:szCs w:val="20"/>
          <w:color w:val="auto"/>
        </w:rPr>
      </w:pPr>
    </w:p>
    <w:p>
      <w:pPr>
        <w:ind w:right="140" w:firstLine="318"/>
        <w:spacing w:after="0" w:line="368" w:lineRule="auto"/>
        <w:rPr>
          <w:sz w:val="20"/>
          <w:szCs w:val="20"/>
          <w:color w:val="auto"/>
        </w:rPr>
      </w:pPr>
      <w:r>
        <w:rPr>
          <w:rFonts w:ascii="Arial" w:cs="Arial" w:eastAsia="Arial" w:hAnsi="Arial"/>
          <w:sz w:val="12"/>
          <w:szCs w:val="12"/>
          <w:color w:val="auto"/>
        </w:rPr>
        <w:t>We are subject to the provisions of Section 203 of the Delaware General Corporation Law regulating corporate takeovers. In general, Section 203 generally prohibits a publicly-held Delaware corporation from engaging in a business combination with an interested stockholder for a period of three years following the date on which the person became an interested stockholder unless:</w:t>
      </w:r>
    </w:p>
    <w:p>
      <w:pPr>
        <w:sectPr>
          <w:pgSz w:w="11900" w:h="16838" w:orient="portrait"/>
          <w:cols w:equalWidth="0" w:num="1">
            <w:col w:w="11260"/>
          </w:cols>
          <w:pgMar w:left="300" w:top="1260" w:right="339" w:bottom="1440" w:gutter="0" w:footer="0" w:header="0"/>
        </w:sectPr>
      </w:pPr>
    </w:p>
    <w:bookmarkStart w:id="87" w:name="page88"/>
    <w:bookmarkEnd w:id="87"/>
    <w:p>
      <w:pPr>
        <w:ind w:left="520" w:right="44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prior to the date of the transaction, the board of directors of the corporation approved either the business combination or the transaction which resulted in the stockholder becoming an interested stockholder;</w:t>
      </w:r>
    </w:p>
    <w:p>
      <w:pPr>
        <w:spacing w:after="0" w:line="68" w:lineRule="exact"/>
        <w:rPr>
          <w:rFonts w:ascii="Arial" w:cs="Arial" w:eastAsia="Arial" w:hAnsi="Arial"/>
          <w:sz w:val="14"/>
          <w:szCs w:val="14"/>
          <w:color w:val="auto"/>
        </w:rPr>
      </w:pPr>
    </w:p>
    <w:p>
      <w:pPr>
        <w:ind w:left="520" w:right="20" w:hanging="260"/>
        <w:spacing w:after="0" w:line="262"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2" w:lineRule="exact"/>
        <w:rPr>
          <w:rFonts w:ascii="Arial" w:cs="Arial" w:eastAsia="Arial" w:hAnsi="Arial"/>
          <w:sz w:val="14"/>
          <w:szCs w:val="14"/>
          <w:color w:val="auto"/>
        </w:rPr>
      </w:pPr>
    </w:p>
    <w:p>
      <w:pPr>
        <w:ind w:left="520" w:right="720" w:hanging="260"/>
        <w:spacing w:after="0" w:line="286" w:lineRule="auto"/>
        <w:tabs>
          <w:tab w:leader="none" w:pos="516" w:val="left"/>
        </w:tabs>
        <w:numPr>
          <w:ilvl w:val="0"/>
          <w:numId w:val="34"/>
        </w:numPr>
        <w:rPr>
          <w:rFonts w:ascii="Arial" w:cs="Arial" w:eastAsia="Arial" w:hAnsi="Arial"/>
          <w:sz w:val="13"/>
          <w:szCs w:val="13"/>
          <w:color w:val="auto"/>
        </w:rPr>
      </w:pPr>
      <w:r>
        <w:rPr>
          <w:rFonts w:ascii="Arial" w:cs="Arial" w:eastAsia="Arial" w:hAnsi="Arial"/>
          <w:sz w:val="13"/>
          <w:szCs w:val="13"/>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w:t>
      </w:r>
      <w:r>
        <w:rPr>
          <w:rFonts w:ascii="Arial" w:cs="Arial" w:eastAsia="Arial" w:hAnsi="Arial"/>
          <w:sz w:val="20"/>
          <w:szCs w:val="20"/>
          <w:color w:val="auto"/>
          <w:vertAlign w:val="superscript"/>
        </w:rPr>
        <w:t>2</w:t>
      </w:r>
      <w:r>
        <w:rPr>
          <w:rFonts w:ascii="Arial" w:cs="Arial" w:eastAsia="Arial" w:hAnsi="Arial"/>
          <w:sz w:val="13"/>
          <w:szCs w:val="13"/>
          <w:color w:val="auto"/>
        </w:rPr>
        <w:t>/3% of the outstanding voting stock that is not owned by the interested stockholder.</w:t>
      </w:r>
    </w:p>
    <w:p>
      <w:pPr>
        <w:spacing w:after="0" w:line="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 general, Section 203 defines business combination to include the following:</w:t>
      </w:r>
    </w:p>
    <w:p>
      <w:pPr>
        <w:spacing w:after="0" w:line="115"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merger or consolidation involving the corporation and the interested stockholder;</w:t>
      </w:r>
    </w:p>
    <w:p>
      <w:pPr>
        <w:spacing w:after="0" w:line="125"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any sale, lease, exchange, mortgage, transfer, pledge or other disposition of 10% or more of either the assets or outstanding stock of the corporation involving the interested stockholder;</w:t>
      </w:r>
    </w:p>
    <w:p>
      <w:pPr>
        <w:spacing w:after="0" w:line="136" w:lineRule="exact"/>
        <w:rPr>
          <w:rFonts w:ascii="Arial" w:cs="Arial" w:eastAsia="Arial" w:hAnsi="Arial"/>
          <w:sz w:val="13"/>
          <w:szCs w:val="13"/>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subject to certain exceptions, any transaction that results in the issuance or transfer by the corporation of any stock of the corporation to the interested stockholder;</w:t>
      </w:r>
    </w:p>
    <w:p>
      <w:pPr>
        <w:spacing w:after="0" w:line="114" w:lineRule="exact"/>
        <w:rPr>
          <w:rFonts w:ascii="Arial" w:cs="Arial" w:eastAsia="Arial" w:hAnsi="Arial"/>
          <w:sz w:val="14"/>
          <w:szCs w:val="14"/>
          <w:color w:val="auto"/>
        </w:rPr>
      </w:pPr>
    </w:p>
    <w:p>
      <w:pPr>
        <w:ind w:left="520" w:right="260" w:hanging="260"/>
        <w:spacing w:after="0" w:line="281"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transaction involving the corporation that has the effect of increasing the proportionate share of the stock of any class or series of the corporation beneficially owned by the interested stockholder; or</w:t>
      </w:r>
    </w:p>
    <w:p>
      <w:pPr>
        <w:spacing w:after="0" w:line="79"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receipt by the interested stockholder of the benefit of any loans, advances, guarantees, pledges or other financial benefits by or through the corporation.</w:t>
      </w:r>
    </w:p>
    <w:p>
      <w:pPr>
        <w:spacing w:after="0" w:line="125" w:lineRule="exact"/>
        <w:rPr>
          <w:sz w:val="20"/>
          <w:szCs w:val="20"/>
          <w:color w:val="auto"/>
        </w:rPr>
      </w:pPr>
    </w:p>
    <w:p>
      <w:pPr>
        <w:ind w:right="260" w:firstLine="318"/>
        <w:spacing w:after="0" w:line="281" w:lineRule="auto"/>
        <w:rPr>
          <w:sz w:val="20"/>
          <w:szCs w:val="20"/>
          <w:color w:val="auto"/>
        </w:rPr>
      </w:pPr>
      <w:r>
        <w:rPr>
          <w:rFonts w:ascii="Arial" w:cs="Arial" w:eastAsia="Arial" w:hAnsi="Arial"/>
          <w:sz w:val="14"/>
          <w:szCs w:val="14"/>
          <w:color w:val="auto"/>
        </w:rPr>
        <w:t>In general, Section 203 defines interested stockholder as an entity or person who, together with affiliates and associates, beneficially owns, or within three years prior to the determination of interested stockholder status did own, 15% or more of the outstanding voting stock of the corporation.</w:t>
      </w:r>
    </w:p>
    <w:p>
      <w:pPr>
        <w:spacing w:after="0" w:line="69" w:lineRule="exact"/>
        <w:rPr>
          <w:sz w:val="20"/>
          <w:szCs w:val="20"/>
          <w:color w:val="auto"/>
        </w:rPr>
      </w:pPr>
    </w:p>
    <w:p>
      <w:pPr>
        <w:ind w:firstLine="318"/>
        <w:spacing w:after="0" w:line="262" w:lineRule="auto"/>
        <w:rPr>
          <w:sz w:val="20"/>
          <w:szCs w:val="20"/>
          <w:color w:val="auto"/>
        </w:rPr>
      </w:pPr>
      <w:r>
        <w:rPr>
          <w:rFonts w:ascii="Arial" w:cs="Arial" w:eastAsia="Arial" w:hAnsi="Arial"/>
          <w:sz w:val="14"/>
          <w:szCs w:val="14"/>
          <w:color w:val="auto"/>
        </w:rPr>
        <w:t>The provisions of Delaware law and our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may make it more difficult to accomplish transactions that stockholders may otherwise deem to be in their best interests.</w:t>
      </w:r>
    </w:p>
    <w:p>
      <w:pPr>
        <w:sectPr>
          <w:pgSz w:w="11900" w:h="16838" w:orient="portrait"/>
          <w:cols w:equalWidth="0" w:num="1">
            <w:col w:w="11280"/>
          </w:cols>
          <w:pgMar w:left="300" w:top="1264" w:right="319" w:bottom="1440" w:gutter="0" w:footer="0" w:header="0"/>
        </w:sectPr>
      </w:pPr>
    </w:p>
    <w:bookmarkStart w:id="88" w:name="page89"/>
    <w:bookmarkEnd w:id="8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115" w:name="page116"/>
    <w:bookmarkEnd w:id="11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132" w:name="page133"/>
    <w:bookmarkEnd w:id="13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9611995</wp:posOffset>
            </wp:positionV>
            <wp:extent cx="7105650" cy="196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62" w:lineRule="auto"/>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SUBSIDIARIES OF LIFEVANTAGE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Set forth below is a list of all subsidiaries of LifeVantage Corporation, a Delaware corporation, and the state or country of incorporation of each as of June 30, 2021.</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00" w:type="dxa"/>
            <w:vAlign w:val="bottom"/>
            <w:gridSpan w:val="2"/>
          </w:tcPr>
          <w:p>
            <w:pPr>
              <w:spacing w:after="0"/>
              <w:rPr>
                <w:sz w:val="20"/>
                <w:szCs w:val="20"/>
                <w:color w:val="auto"/>
              </w:rPr>
            </w:pPr>
            <w:r>
              <w:rPr>
                <w:rFonts w:ascii="Arial" w:cs="Arial" w:eastAsia="Arial" w:hAnsi="Arial"/>
                <w:sz w:val="14"/>
                <w:szCs w:val="14"/>
                <w:color w:val="auto"/>
              </w:rPr>
              <w:t>Name</w:t>
            </w:r>
          </w:p>
        </w:tc>
        <w:tc>
          <w:tcPr>
            <w:tcW w:w="1880" w:type="dxa"/>
            <w:vAlign w:val="bottom"/>
          </w:tcPr>
          <w:p>
            <w:pPr>
              <w:spacing w:after="0"/>
              <w:rPr>
                <w:sz w:val="20"/>
                <w:szCs w:val="20"/>
                <w:color w:val="auto"/>
              </w:rPr>
            </w:pPr>
            <w:r>
              <w:rPr>
                <w:rFonts w:ascii="Arial" w:cs="Arial" w:eastAsia="Arial" w:hAnsi="Arial"/>
                <w:sz w:val="14"/>
                <w:szCs w:val="14"/>
                <w:color w:val="auto"/>
                <w:w w:val="91"/>
              </w:rPr>
              <w:t>State or Country of Incorporation</w:t>
            </w:r>
          </w:p>
        </w:tc>
      </w:tr>
      <w:tr>
        <w:trPr>
          <w:trHeight w:val="20"/>
        </w:trPr>
        <w:tc>
          <w:tcPr>
            <w:tcW w:w="34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r>
      <w:tr>
        <w:trPr>
          <w:trHeight w:val="192"/>
        </w:trPr>
        <w:tc>
          <w:tcPr>
            <w:tcW w:w="6000" w:type="dxa"/>
            <w:vAlign w:val="bottom"/>
            <w:gridSpan w:val="2"/>
          </w:tcPr>
          <w:p>
            <w:pPr>
              <w:spacing w:after="0"/>
              <w:rPr>
                <w:sz w:val="20"/>
                <w:szCs w:val="20"/>
                <w:color w:val="auto"/>
              </w:rPr>
            </w:pPr>
            <w:r>
              <w:rPr>
                <w:rFonts w:ascii="Arial" w:cs="Arial" w:eastAsia="Arial" w:hAnsi="Arial"/>
                <w:sz w:val="14"/>
                <w:szCs w:val="14"/>
                <w:color w:val="auto"/>
              </w:rPr>
              <w:t>Dinng Creative, Inc.</w:t>
            </w:r>
          </w:p>
        </w:tc>
        <w:tc>
          <w:tcPr>
            <w:tcW w:w="1880" w:type="dxa"/>
            <w:vAlign w:val="bottom"/>
          </w:tcPr>
          <w:p>
            <w:pPr>
              <w:spacing w:after="0"/>
              <w:rPr>
                <w:sz w:val="20"/>
                <w:szCs w:val="20"/>
                <w:color w:val="auto"/>
              </w:rPr>
            </w:pPr>
            <w:r>
              <w:rPr>
                <w:rFonts w:ascii="Arial" w:cs="Arial" w:eastAsia="Arial" w:hAnsi="Arial"/>
                <w:sz w:val="14"/>
                <w:szCs w:val="14"/>
                <w:color w:val="auto"/>
              </w:rPr>
              <w:t>Utah</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Importadora LifeVantage S. de R.L. de C.V.</w:t>
            </w:r>
          </w:p>
        </w:tc>
        <w:tc>
          <w:tcPr>
            <w:tcW w:w="1880" w:type="dxa"/>
            <w:vAlign w:val="bottom"/>
          </w:tcPr>
          <w:p>
            <w:pPr>
              <w:spacing w:after="0"/>
              <w:rPr>
                <w:sz w:val="20"/>
                <w:szCs w:val="20"/>
                <w:color w:val="auto"/>
              </w:rPr>
            </w:pPr>
            <w:r>
              <w:rPr>
                <w:rFonts w:ascii="Arial" w:cs="Arial" w:eastAsia="Arial" w:hAnsi="Arial"/>
                <w:sz w:val="14"/>
                <w:szCs w:val="14"/>
                <w:color w:val="auto"/>
              </w:rPr>
              <w:t>Mexico</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LFVN Malaysia SDN. BHD.</w:t>
            </w:r>
          </w:p>
        </w:tc>
        <w:tc>
          <w:tcPr>
            <w:tcW w:w="1880" w:type="dxa"/>
            <w:vAlign w:val="bottom"/>
          </w:tcPr>
          <w:p>
            <w:pPr>
              <w:spacing w:after="0"/>
              <w:rPr>
                <w:sz w:val="20"/>
                <w:szCs w:val="20"/>
                <w:color w:val="auto"/>
              </w:rPr>
            </w:pPr>
            <w:r>
              <w:rPr>
                <w:rFonts w:ascii="Arial" w:cs="Arial" w:eastAsia="Arial" w:hAnsi="Arial"/>
                <w:sz w:val="14"/>
                <w:szCs w:val="14"/>
                <w:color w:val="auto"/>
              </w:rPr>
              <w:t>Malaysia</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LifeLine Nutraceuticals Corporation</w:t>
            </w:r>
          </w:p>
        </w:tc>
        <w:tc>
          <w:tcPr>
            <w:tcW w:w="1880" w:type="dxa"/>
            <w:vAlign w:val="bottom"/>
          </w:tcPr>
          <w:p>
            <w:pPr>
              <w:spacing w:after="0"/>
              <w:rPr>
                <w:sz w:val="20"/>
                <w:szCs w:val="20"/>
                <w:color w:val="auto"/>
              </w:rPr>
            </w:pPr>
            <w:r>
              <w:rPr>
                <w:rFonts w:ascii="Arial" w:cs="Arial" w:eastAsia="Arial" w:hAnsi="Arial"/>
                <w:sz w:val="14"/>
                <w:szCs w:val="14"/>
                <w:color w:val="auto"/>
              </w:rPr>
              <w:t>Colorado</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Asia Pte. Ltd.</w:t>
            </w:r>
          </w:p>
        </w:tc>
        <w:tc>
          <w:tcPr>
            <w:tcW w:w="1880" w:type="dxa"/>
            <w:vAlign w:val="bottom"/>
          </w:tcPr>
          <w:p>
            <w:pPr>
              <w:spacing w:after="0"/>
              <w:rPr>
                <w:sz w:val="20"/>
                <w:szCs w:val="20"/>
                <w:color w:val="auto"/>
              </w:rPr>
            </w:pPr>
            <w:r>
              <w:rPr>
                <w:rFonts w:ascii="Arial" w:cs="Arial" w:eastAsia="Arial" w:hAnsi="Arial"/>
                <w:sz w:val="14"/>
                <w:szCs w:val="14"/>
                <w:color w:val="auto"/>
              </w:rPr>
              <w:t>Singapore</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Australia Pty. Ltd.</w:t>
            </w:r>
          </w:p>
        </w:tc>
        <w:tc>
          <w:tcPr>
            <w:tcW w:w="1880" w:type="dxa"/>
            <w:vAlign w:val="bottom"/>
          </w:tcPr>
          <w:p>
            <w:pPr>
              <w:spacing w:after="0"/>
              <w:rPr>
                <w:sz w:val="20"/>
                <w:szCs w:val="20"/>
                <w:color w:val="auto"/>
              </w:rPr>
            </w:pPr>
            <w:r>
              <w:rPr>
                <w:rFonts w:ascii="Arial" w:cs="Arial" w:eastAsia="Arial" w:hAnsi="Arial"/>
                <w:sz w:val="14"/>
                <w:szCs w:val="14"/>
                <w:color w:val="auto"/>
              </w:rPr>
              <w:t>Australia</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Canada Ltd.</w:t>
            </w:r>
          </w:p>
        </w:tc>
        <w:tc>
          <w:tcPr>
            <w:tcW w:w="1880" w:type="dxa"/>
            <w:vAlign w:val="bottom"/>
          </w:tcPr>
          <w:p>
            <w:pPr>
              <w:spacing w:after="0"/>
              <w:rPr>
                <w:sz w:val="20"/>
                <w:szCs w:val="20"/>
                <w:color w:val="auto"/>
              </w:rPr>
            </w:pPr>
            <w:r>
              <w:rPr>
                <w:rFonts w:ascii="Arial" w:cs="Arial" w:eastAsia="Arial" w:hAnsi="Arial"/>
                <w:sz w:val="14"/>
                <w:szCs w:val="14"/>
                <w:color w:val="auto"/>
              </w:rPr>
              <w:t>Canada</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de Mexico S. de R.L. de C.V.</w:t>
            </w:r>
          </w:p>
        </w:tc>
        <w:tc>
          <w:tcPr>
            <w:tcW w:w="1880" w:type="dxa"/>
            <w:vAlign w:val="bottom"/>
          </w:tcPr>
          <w:p>
            <w:pPr>
              <w:spacing w:after="0"/>
              <w:rPr>
                <w:sz w:val="20"/>
                <w:szCs w:val="20"/>
                <w:color w:val="auto"/>
              </w:rPr>
            </w:pPr>
            <w:r>
              <w:rPr>
                <w:rFonts w:ascii="Arial" w:cs="Arial" w:eastAsia="Arial" w:hAnsi="Arial"/>
                <w:sz w:val="14"/>
                <w:szCs w:val="14"/>
                <w:color w:val="auto"/>
              </w:rPr>
              <w:t>Mexico</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Hong Kong Limited</w:t>
            </w:r>
          </w:p>
        </w:tc>
        <w:tc>
          <w:tcPr>
            <w:tcW w:w="1880" w:type="dxa"/>
            <w:vAlign w:val="bottom"/>
          </w:tcPr>
          <w:p>
            <w:pPr>
              <w:spacing w:after="0"/>
              <w:rPr>
                <w:sz w:val="20"/>
                <w:szCs w:val="20"/>
                <w:color w:val="auto"/>
              </w:rPr>
            </w:pPr>
            <w:r>
              <w:rPr>
                <w:rFonts w:ascii="Arial" w:cs="Arial" w:eastAsia="Arial" w:hAnsi="Arial"/>
                <w:sz w:val="14"/>
                <w:szCs w:val="14"/>
                <w:color w:val="auto"/>
              </w:rPr>
              <w:t>Hong Kong</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Japan Kabushiki Kaisha (KK)</w:t>
            </w:r>
          </w:p>
        </w:tc>
        <w:tc>
          <w:tcPr>
            <w:tcW w:w="1880" w:type="dxa"/>
            <w:vAlign w:val="bottom"/>
          </w:tcPr>
          <w:p>
            <w:pPr>
              <w:spacing w:after="0"/>
              <w:rPr>
                <w:sz w:val="20"/>
                <w:szCs w:val="20"/>
                <w:color w:val="auto"/>
              </w:rPr>
            </w:pPr>
            <w:r>
              <w:rPr>
                <w:rFonts w:ascii="Arial" w:cs="Arial" w:eastAsia="Arial" w:hAnsi="Arial"/>
                <w:sz w:val="14"/>
                <w:szCs w:val="14"/>
                <w:color w:val="auto"/>
              </w:rPr>
              <w:t>Japan</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Netherlands B.V.</w:t>
            </w:r>
          </w:p>
        </w:tc>
        <w:tc>
          <w:tcPr>
            <w:tcW w:w="1880" w:type="dxa"/>
            <w:vAlign w:val="bottom"/>
          </w:tcPr>
          <w:p>
            <w:pPr>
              <w:spacing w:after="0"/>
              <w:rPr>
                <w:sz w:val="20"/>
                <w:szCs w:val="20"/>
                <w:color w:val="auto"/>
              </w:rPr>
            </w:pPr>
            <w:r>
              <w:rPr>
                <w:rFonts w:ascii="Arial" w:cs="Arial" w:eastAsia="Arial" w:hAnsi="Arial"/>
                <w:sz w:val="14"/>
                <w:szCs w:val="14"/>
                <w:color w:val="auto"/>
              </w:rPr>
              <w:t>Netherlands</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New Zealand Limited</w:t>
            </w:r>
          </w:p>
        </w:tc>
        <w:tc>
          <w:tcPr>
            <w:tcW w:w="1880" w:type="dxa"/>
            <w:vAlign w:val="bottom"/>
          </w:tcPr>
          <w:p>
            <w:pPr>
              <w:spacing w:after="0"/>
              <w:rPr>
                <w:sz w:val="20"/>
                <w:szCs w:val="20"/>
                <w:color w:val="auto"/>
              </w:rPr>
            </w:pPr>
            <w:r>
              <w:rPr>
                <w:rFonts w:ascii="Arial" w:cs="Arial" w:eastAsia="Arial" w:hAnsi="Arial"/>
                <w:sz w:val="14"/>
                <w:szCs w:val="14"/>
                <w:color w:val="auto"/>
              </w:rPr>
              <w:t>New Zealand</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(Shanghai) Trading Co. Ltd.</w:t>
            </w:r>
          </w:p>
        </w:tc>
        <w:tc>
          <w:tcPr>
            <w:tcW w:w="1880" w:type="dxa"/>
            <w:vAlign w:val="bottom"/>
          </w:tcPr>
          <w:p>
            <w:pPr>
              <w:spacing w:after="0"/>
              <w:rPr>
                <w:sz w:val="20"/>
                <w:szCs w:val="20"/>
                <w:color w:val="auto"/>
              </w:rPr>
            </w:pPr>
            <w:r>
              <w:rPr>
                <w:rFonts w:ascii="Arial" w:cs="Arial" w:eastAsia="Arial" w:hAnsi="Arial"/>
                <w:sz w:val="14"/>
                <w:szCs w:val="14"/>
                <w:color w:val="auto"/>
              </w:rPr>
              <w:t>China</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Singapore Pte. Ltd.</w:t>
            </w:r>
          </w:p>
        </w:tc>
        <w:tc>
          <w:tcPr>
            <w:tcW w:w="1880" w:type="dxa"/>
            <w:vAlign w:val="bottom"/>
          </w:tcPr>
          <w:p>
            <w:pPr>
              <w:spacing w:after="0"/>
              <w:rPr>
                <w:sz w:val="20"/>
                <w:szCs w:val="20"/>
                <w:color w:val="auto"/>
              </w:rPr>
            </w:pPr>
            <w:r>
              <w:rPr>
                <w:rFonts w:ascii="Arial" w:cs="Arial" w:eastAsia="Arial" w:hAnsi="Arial"/>
                <w:sz w:val="14"/>
                <w:szCs w:val="14"/>
                <w:color w:val="auto"/>
              </w:rPr>
              <w:t>Singapore</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Taiwan Pte. Ltd.</w:t>
            </w:r>
          </w:p>
        </w:tc>
        <w:tc>
          <w:tcPr>
            <w:tcW w:w="1880" w:type="dxa"/>
            <w:vAlign w:val="bottom"/>
          </w:tcPr>
          <w:p>
            <w:pPr>
              <w:spacing w:after="0"/>
              <w:rPr>
                <w:sz w:val="20"/>
                <w:szCs w:val="20"/>
                <w:color w:val="auto"/>
              </w:rPr>
            </w:pPr>
            <w:r>
              <w:rPr>
                <w:rFonts w:ascii="Arial" w:cs="Arial" w:eastAsia="Arial" w:hAnsi="Arial"/>
                <w:sz w:val="14"/>
                <w:szCs w:val="14"/>
                <w:color w:val="auto"/>
              </w:rPr>
              <w:t>Taiwan</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Thailand Company Limited</w:t>
            </w:r>
          </w:p>
        </w:tc>
        <w:tc>
          <w:tcPr>
            <w:tcW w:w="1880" w:type="dxa"/>
            <w:vAlign w:val="bottom"/>
          </w:tcPr>
          <w:p>
            <w:pPr>
              <w:spacing w:after="0"/>
              <w:rPr>
                <w:sz w:val="20"/>
                <w:szCs w:val="20"/>
                <w:color w:val="auto"/>
              </w:rPr>
            </w:pPr>
            <w:r>
              <w:rPr>
                <w:rFonts w:ascii="Arial" w:cs="Arial" w:eastAsia="Arial" w:hAnsi="Arial"/>
                <w:sz w:val="14"/>
                <w:szCs w:val="14"/>
                <w:color w:val="auto"/>
              </w:rPr>
              <w:t>Thailand</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LifeVantage UK Limited</w:t>
            </w:r>
          </w:p>
        </w:tc>
        <w:tc>
          <w:tcPr>
            <w:tcW w:w="1880" w:type="dxa"/>
            <w:vAlign w:val="bottom"/>
          </w:tcPr>
          <w:p>
            <w:pPr>
              <w:spacing w:after="0"/>
              <w:rPr>
                <w:sz w:val="20"/>
                <w:szCs w:val="20"/>
                <w:color w:val="auto"/>
              </w:rPr>
            </w:pPr>
            <w:r>
              <w:rPr>
                <w:rFonts w:ascii="Arial" w:cs="Arial" w:eastAsia="Arial" w:hAnsi="Arial"/>
                <w:sz w:val="14"/>
                <w:szCs w:val="14"/>
                <w:color w:val="auto"/>
              </w:rPr>
              <w:t>United Kingdom</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Protandum Philippines Corporation</w:t>
            </w:r>
          </w:p>
        </w:tc>
        <w:tc>
          <w:tcPr>
            <w:tcW w:w="1880" w:type="dxa"/>
            <w:vAlign w:val="bottom"/>
          </w:tcPr>
          <w:p>
            <w:pPr>
              <w:spacing w:after="0"/>
              <w:rPr>
                <w:sz w:val="20"/>
                <w:szCs w:val="20"/>
                <w:color w:val="auto"/>
              </w:rPr>
            </w:pPr>
            <w:r>
              <w:rPr>
                <w:rFonts w:ascii="Arial" w:cs="Arial" w:eastAsia="Arial" w:hAnsi="Arial"/>
                <w:sz w:val="14"/>
                <w:szCs w:val="14"/>
                <w:color w:val="auto"/>
              </w:rPr>
              <w:t>Philippines</w:t>
            </w:r>
          </w:p>
        </w:tc>
      </w:tr>
      <w:tr>
        <w:trPr>
          <w:trHeight w:val="180"/>
        </w:trPr>
        <w:tc>
          <w:tcPr>
            <w:tcW w:w="6000" w:type="dxa"/>
            <w:vAlign w:val="bottom"/>
            <w:gridSpan w:val="2"/>
          </w:tcPr>
          <w:p>
            <w:pPr>
              <w:spacing w:after="0"/>
              <w:rPr>
                <w:sz w:val="20"/>
                <w:szCs w:val="20"/>
                <w:color w:val="auto"/>
              </w:rPr>
            </w:pPr>
            <w:r>
              <w:rPr>
                <w:rFonts w:ascii="Arial" w:cs="Arial" w:eastAsia="Arial" w:hAnsi="Arial"/>
                <w:sz w:val="14"/>
                <w:szCs w:val="14"/>
                <w:color w:val="auto"/>
              </w:rPr>
              <w:t>Puyoujian (Guangzhou) Technology Co., Ltd.</w:t>
            </w:r>
          </w:p>
        </w:tc>
        <w:tc>
          <w:tcPr>
            <w:tcW w:w="1880" w:type="dxa"/>
            <w:vAlign w:val="bottom"/>
          </w:tcPr>
          <w:p>
            <w:pPr>
              <w:spacing w:after="0"/>
              <w:rPr>
                <w:sz w:val="20"/>
                <w:szCs w:val="20"/>
                <w:color w:val="auto"/>
              </w:rPr>
            </w:pPr>
            <w:r>
              <w:rPr>
                <w:rFonts w:ascii="Arial" w:cs="Arial" w:eastAsia="Arial" w:hAnsi="Arial"/>
                <w:sz w:val="14"/>
                <w:szCs w:val="14"/>
                <w:color w:val="auto"/>
              </w:rPr>
              <w:t>China</w:t>
            </w:r>
          </w:p>
        </w:tc>
      </w:tr>
    </w:tbl>
    <w:p>
      <w:pPr>
        <w:sectPr>
          <w:pgSz w:w="11900" w:h="16838" w:orient="portrait"/>
          <w:cols w:equalWidth="0" w:num="1">
            <w:col w:w="11280"/>
          </w:cols>
          <w:pgMar w:left="300" w:top="740"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1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We consent to the incorporation by reference in this Registration Statement on Form S-8 (No. 333-200363) of LifeVantage Corporation and subsidiaries (the “Company”) of our report dated August 23, 2022 with respect to the consolidated balance sheets of the Company as of June 30, 2022 and 2021, and the related consolidated statements of operations and comprehensive income, changes in stockholders' equity, and cash flows for the three-year period ended June 30, 2022, which report appears in the Company's annual report on Form 10-K filed with the Securities and Exchange Commission on August 23, 2022, and the effectiveness of internal control over financial reporting as of June 30, 2022, which report appears in the June 30, 2022 annual report on Form 10-K of the Company.</w:t>
      </w: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/s/ WSRP, LLC</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Salt Lake City, Utah</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August 23, 2022</w:t>
      </w:r>
    </w:p>
    <w:p>
      <w:pPr>
        <w:sectPr>
          <w:pgSz w:w="11900" w:h="16838" w:orient="portrait"/>
          <w:cols w:equalWidth="0" w:num="1">
            <w:col w:w="11280"/>
          </w:cols>
          <w:pgMar w:left="300" w:top="740"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PRINCIPAL EXECUTIVE OFFICER PURSUANT TO SECURITIES EXCHANGE ACT RULES 13a-14(a) AND 15(d)-14(a) AS ADOPTED PURSUANT TO SECTION 302 OF THE SARBANES-OXLEY ACT OF 2002</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 Steven R. Fife, certify that:</w:t>
      </w:r>
    </w:p>
    <w:p>
      <w:pPr>
        <w:spacing w:after="0" w:line="200" w:lineRule="exact"/>
        <w:rPr>
          <w:sz w:val="20"/>
          <w:szCs w:val="20"/>
          <w:color w:val="auto"/>
        </w:rPr>
      </w:pPr>
    </w:p>
    <w:p>
      <w:pPr>
        <w:ind w:left="320" w:hanging="315"/>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LifeVantage Corporation;</w:t>
      </w:r>
    </w:p>
    <w:p>
      <w:pPr>
        <w:spacing w:after="0" w:line="210"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rFonts w:ascii="Arial" w:cs="Arial" w:eastAsia="Arial" w:hAnsi="Arial"/>
          <w:sz w:val="14"/>
          <w:szCs w:val="14"/>
          <w:color w:val="auto"/>
        </w:rPr>
      </w:pPr>
    </w:p>
    <w:p>
      <w:pPr>
        <w:ind w:left="320" w:right="140" w:hanging="315"/>
        <w:spacing w:after="0" w:line="281"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4" w:lineRule="exact"/>
        <w:rPr>
          <w:rFonts w:ascii="Arial" w:cs="Arial" w:eastAsia="Arial" w:hAnsi="Arial"/>
          <w:sz w:val="14"/>
          <w:szCs w:val="14"/>
          <w:color w:val="auto"/>
        </w:rPr>
      </w:pPr>
    </w:p>
    <w:p>
      <w:pPr>
        <w:ind w:left="520" w:right="80" w:hanging="197"/>
        <w:spacing w:after="0" w:line="321" w:lineRule="auto"/>
        <w:tabs>
          <w:tab w:leader="none" w:pos="512" w:val="left"/>
        </w:tabs>
        <w:numPr>
          <w:ilvl w:val="2"/>
          <w:numId w:val="3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3"/>
          <w:szCs w:val="13"/>
          <w:color w:val="auto"/>
        </w:rPr>
      </w:pPr>
    </w:p>
    <w:p>
      <w:pPr>
        <w:ind w:left="520" w:right="500" w:hanging="197"/>
        <w:spacing w:after="0" w:line="368" w:lineRule="auto"/>
        <w:tabs>
          <w:tab w:leader="none" w:pos="520" w:val="left"/>
        </w:tabs>
        <w:numPr>
          <w:ilvl w:val="2"/>
          <w:numId w:val="3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2"/>
          <w:szCs w:val="12"/>
          <w:color w:val="auto"/>
        </w:rPr>
      </w:pPr>
    </w:p>
    <w:p>
      <w:pPr>
        <w:ind w:left="520" w:right="680" w:hanging="260"/>
        <w:spacing w:after="0" w:line="281" w:lineRule="auto"/>
        <w:tabs>
          <w:tab w:leader="none" w:pos="512" w:val="left"/>
        </w:tabs>
        <w:numPr>
          <w:ilvl w:val="1"/>
          <w:numId w:val="3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4"/>
          <w:szCs w:val="14"/>
          <w:color w:val="auto"/>
        </w:rPr>
      </w:pPr>
    </w:p>
    <w:p>
      <w:pPr>
        <w:ind w:left="520" w:right="320" w:hanging="260"/>
        <w:spacing w:after="0" w:line="321" w:lineRule="auto"/>
        <w:tabs>
          <w:tab w:leader="none" w:pos="520" w:val="left"/>
        </w:tabs>
        <w:numPr>
          <w:ilvl w:val="1"/>
          <w:numId w:val="3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3"/>
          <w:szCs w:val="13"/>
          <w:color w:val="auto"/>
        </w:rPr>
      </w:pPr>
    </w:p>
    <w:p>
      <w:pPr>
        <w:ind w:left="320" w:right="580" w:hanging="315"/>
        <w:spacing w:after="0" w:line="281" w:lineRule="auto"/>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520" w:right="360" w:hanging="197"/>
        <w:spacing w:after="0" w:line="281" w:lineRule="auto"/>
        <w:tabs>
          <w:tab w:leader="none" w:pos="512" w:val="left"/>
        </w:tabs>
        <w:numPr>
          <w:ilvl w:val="2"/>
          <w:numId w:val="3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4"/>
          <w:szCs w:val="14"/>
          <w:color w:val="auto"/>
        </w:rPr>
      </w:pPr>
    </w:p>
    <w:p>
      <w:pPr>
        <w:ind w:left="520" w:hanging="197"/>
        <w:spacing w:after="0"/>
        <w:tabs>
          <w:tab w:leader="none" w:pos="520" w:val="left"/>
        </w:tabs>
        <w:numPr>
          <w:ilvl w:val="2"/>
          <w:numId w:val="3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6580" w:type="dxa"/>
            <w:vAlign w:val="bottom"/>
          </w:tcPr>
          <w:p>
            <w:pPr>
              <w:spacing w:after="0"/>
              <w:rPr>
                <w:sz w:val="20"/>
                <w:szCs w:val="20"/>
                <w:color w:val="auto"/>
              </w:rPr>
            </w:pPr>
            <w:r>
              <w:rPr>
                <w:rFonts w:ascii="Arial" w:cs="Arial" w:eastAsia="Arial" w:hAnsi="Arial"/>
                <w:sz w:val="14"/>
                <w:szCs w:val="14"/>
                <w:color w:val="auto"/>
              </w:rPr>
              <w:t>August 23, 2022</w:t>
            </w:r>
          </w:p>
        </w:tc>
        <w:tc>
          <w:tcPr>
            <w:tcW w:w="4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Steven R. Fife</w:t>
            </w:r>
          </w:p>
        </w:tc>
      </w:tr>
      <w:tr>
        <w:trPr>
          <w:trHeight w:val="171"/>
        </w:trPr>
        <w:tc>
          <w:tcPr>
            <w:tcW w:w="658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Steven R. Fife</w:t>
            </w:r>
          </w:p>
        </w:tc>
      </w:tr>
      <w:tr>
        <w:trPr>
          <w:trHeight w:val="138"/>
        </w:trPr>
        <w:tc>
          <w:tcPr>
            <w:tcW w:w="6580" w:type="dxa"/>
            <w:vAlign w:val="bottom"/>
          </w:tcPr>
          <w:p>
            <w:pPr>
              <w:spacing w:after="0"/>
              <w:rPr>
                <w:sz w:val="12"/>
                <w:szCs w:val="12"/>
                <w:color w:val="auto"/>
              </w:rPr>
            </w:pPr>
          </w:p>
        </w:tc>
        <w:tc>
          <w:tcPr>
            <w:tcW w:w="4200" w:type="dxa"/>
            <w:vAlign w:val="bottom"/>
          </w:tcPr>
          <w:p>
            <w:pPr>
              <w:spacing w:after="0" w:line="139" w:lineRule="exact"/>
              <w:rPr>
                <w:sz w:val="20"/>
                <w:szCs w:val="20"/>
                <w:color w:val="auto"/>
              </w:rPr>
            </w:pPr>
            <w:r>
              <w:rPr>
                <w:rFonts w:ascii="Arial" w:cs="Arial" w:eastAsia="Arial" w:hAnsi="Arial"/>
                <w:sz w:val="14"/>
                <w:szCs w:val="14"/>
                <w:color w:val="auto"/>
              </w:rPr>
              <w:t>President &amp; Chief Executive Officer</w:t>
            </w:r>
          </w:p>
        </w:tc>
      </w:tr>
      <w:tr>
        <w:trPr>
          <w:trHeight w:val="180"/>
        </w:trPr>
        <w:tc>
          <w:tcPr>
            <w:tcW w:w="6580" w:type="dxa"/>
            <w:vAlign w:val="bottom"/>
          </w:tcPr>
          <w:p>
            <w:pPr>
              <w:spacing w:after="0"/>
              <w:rPr>
                <w:sz w:val="15"/>
                <w:szCs w:val="15"/>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730"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PRINCIPAL FINANCIAL OFFICER PURSUANT TO SECURITIES EXCHANGE ACT RULES 13a-14(a) AND 15(d)-14(a) AS ADOPTED PURSUANT TO SECTION 302 OF THE SARBANES-OXLEY ACT OF 2002</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I, Carl A. Aure, certify that:</w:t>
      </w:r>
    </w:p>
    <w:p>
      <w:pPr>
        <w:spacing w:after="0" w:line="136" w:lineRule="exact"/>
        <w:rPr>
          <w:sz w:val="20"/>
          <w:szCs w:val="20"/>
          <w:color w:val="auto"/>
        </w:rPr>
      </w:pPr>
    </w:p>
    <w:p>
      <w:pPr>
        <w:ind w:left="320" w:hanging="315"/>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LifeVantage Corporation;</w:t>
      </w:r>
    </w:p>
    <w:p>
      <w:pPr>
        <w:spacing w:after="0" w:line="136"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320" w:right="140" w:hanging="315"/>
        <w:spacing w:after="0" w:line="281"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320" w:right="80" w:hanging="315"/>
        <w:spacing w:after="0" w:line="281"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80" w:right="20" w:hanging="257"/>
        <w:spacing w:after="0" w:line="321" w:lineRule="auto"/>
        <w:tabs>
          <w:tab w:leader="none" w:pos="572" w:val="left"/>
        </w:tabs>
        <w:numPr>
          <w:ilvl w:val="1"/>
          <w:numId w:val="3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80" w:right="420" w:hanging="257"/>
        <w:spacing w:after="0" w:line="368" w:lineRule="auto"/>
        <w:tabs>
          <w:tab w:leader="none" w:pos="580" w:val="left"/>
        </w:tabs>
        <w:numPr>
          <w:ilvl w:val="1"/>
          <w:numId w:val="3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2"/>
          <w:szCs w:val="12"/>
          <w:color w:val="auto"/>
        </w:rPr>
      </w:pPr>
    </w:p>
    <w:p>
      <w:pPr>
        <w:ind w:left="580" w:right="620" w:hanging="257"/>
        <w:spacing w:after="0" w:line="281" w:lineRule="auto"/>
        <w:tabs>
          <w:tab w:leader="none" w:pos="572" w:val="left"/>
        </w:tabs>
        <w:numPr>
          <w:ilvl w:val="1"/>
          <w:numId w:val="3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80" w:right="260" w:hanging="257"/>
        <w:spacing w:after="0" w:line="321" w:lineRule="auto"/>
        <w:tabs>
          <w:tab w:leader="none" w:pos="580" w:val="left"/>
        </w:tabs>
        <w:numPr>
          <w:ilvl w:val="1"/>
          <w:numId w:val="3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320" w:right="580" w:hanging="315"/>
        <w:spacing w:after="0" w:line="281"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840" w:right="40" w:hanging="326"/>
        <w:spacing w:after="0" w:line="281" w:lineRule="auto"/>
        <w:tabs>
          <w:tab w:leader="none" w:pos="832" w:val="left"/>
        </w:tabs>
        <w:numPr>
          <w:ilvl w:val="2"/>
          <w:numId w:val="3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840" w:hanging="326"/>
        <w:spacing w:after="0"/>
        <w:tabs>
          <w:tab w:leader="none" w:pos="840" w:val="left"/>
        </w:tabs>
        <w:numPr>
          <w:ilvl w:val="2"/>
          <w:numId w:val="3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580" w:val="left"/>
        </w:tabs>
        <w:rPr>
          <w:sz w:val="20"/>
          <w:szCs w:val="20"/>
          <w:color w:val="auto"/>
        </w:rPr>
      </w:pPr>
      <w:r>
        <w:rPr>
          <w:rFonts w:ascii="Arial" w:cs="Arial" w:eastAsia="Arial" w:hAnsi="Arial"/>
          <w:sz w:val="14"/>
          <w:szCs w:val="14"/>
          <w:color w:val="auto"/>
        </w:rPr>
        <w:t>August 23, 2022</w:t>
      </w:r>
      <w:r>
        <w:rPr>
          <w:sz w:val="20"/>
          <w:szCs w:val="20"/>
          <w:color w:val="auto"/>
        </w:rPr>
        <w:tab/>
      </w:r>
      <w:r>
        <w:rPr>
          <w:rFonts w:ascii="Arial" w:cs="Arial" w:eastAsia="Arial" w:hAnsi="Arial"/>
          <w:sz w:val="13"/>
          <w:szCs w:val="13"/>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4187190</wp:posOffset>
            </wp:positionH>
            <wp:positionV relativeFrom="paragraph">
              <wp:posOffset>12065</wp:posOffset>
            </wp:positionV>
            <wp:extent cx="220980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4"/>
          <w:szCs w:val="14"/>
          <w:color w:val="auto"/>
        </w:rPr>
        <w:t>Carl A. Aure</w:t>
      </w:r>
    </w:p>
    <w:p>
      <w:pPr>
        <w:ind w:left="6600"/>
        <w:spacing w:after="0" w:line="221" w:lineRule="auto"/>
        <w:rPr>
          <w:sz w:val="20"/>
          <w:szCs w:val="20"/>
          <w:color w:val="auto"/>
        </w:rPr>
      </w:pPr>
      <w:r>
        <w:rPr>
          <w:rFonts w:ascii="Arial" w:cs="Arial" w:eastAsia="Arial" w:hAnsi="Arial"/>
          <w:sz w:val="14"/>
          <w:szCs w:val="14"/>
          <w:color w:val="auto"/>
        </w:rPr>
        <w:t>Chief Financial Officer</w:t>
      </w:r>
    </w:p>
    <w:p>
      <w:pPr>
        <w:ind w:left="6600"/>
        <w:spacing w:after="0" w:line="206" w:lineRule="auto"/>
        <w:rPr>
          <w:sz w:val="20"/>
          <w:szCs w:val="20"/>
          <w:color w:val="auto"/>
        </w:rPr>
      </w:pPr>
      <w:r>
        <w:rPr>
          <w:rFonts w:ascii="Arial" w:cs="Arial" w:eastAsia="Arial" w:hAnsi="Arial"/>
          <w:sz w:val="14"/>
          <w:szCs w:val="14"/>
          <w:color w:val="auto"/>
        </w:rPr>
        <w:t>(Principal Financial Officer and Principal Accounting</w:t>
      </w:r>
    </w:p>
    <w:p>
      <w:pPr>
        <w:ind w:left="6600"/>
        <w:spacing w:after="0"/>
        <w:rPr>
          <w:sz w:val="20"/>
          <w:szCs w:val="20"/>
          <w:color w:val="auto"/>
        </w:rPr>
      </w:pPr>
      <w:r>
        <w:rPr>
          <w:rFonts w:ascii="Arial" w:cs="Arial" w:eastAsia="Arial" w:hAnsi="Arial"/>
          <w:sz w:val="14"/>
          <w:szCs w:val="14"/>
          <w:color w:val="auto"/>
        </w:rPr>
        <w:t>Officer)</w:t>
      </w:r>
    </w:p>
    <w:p>
      <w:pPr>
        <w:sectPr>
          <w:pgSz w:w="11900" w:h="16838" w:orient="portrait"/>
          <w:cols w:equalWidth="0" w:num="1">
            <w:col w:w="11280"/>
          </w:cols>
          <w:pgMar w:left="300" w:top="729"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CERTIFICATION PURSUANT TO 18 U.S.C. SECTION 1350, AS ADOPTED</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26" w:lineRule="exact"/>
        <w:rPr>
          <w:sz w:val="20"/>
          <w:szCs w:val="20"/>
          <w:color w:val="auto"/>
        </w:rPr>
      </w:pPr>
    </w:p>
    <w:p>
      <w:pPr>
        <w:jc w:val="both"/>
        <w:ind w:right="640" w:firstLine="350"/>
        <w:spacing w:after="0" w:line="267" w:lineRule="auto"/>
        <w:rPr>
          <w:sz w:val="20"/>
          <w:szCs w:val="20"/>
          <w:color w:val="auto"/>
        </w:rPr>
      </w:pPr>
      <w:r>
        <w:rPr>
          <w:rFonts w:ascii="Arial" w:cs="Arial" w:eastAsia="Arial" w:hAnsi="Arial"/>
          <w:sz w:val="14"/>
          <w:szCs w:val="14"/>
          <w:color w:val="auto"/>
        </w:rPr>
        <w:t>In connection with the filing of this annual report on Form 10-K of LifeVantage Corporation (the “Company”) for the period ended June 30, 2022, with the Securities and Exchange Commission on the date hereof (the “Report”), I, Steven R. Fife, President and Chief Executive Officer of the Company, certify, pursuant to 18 U.S.C. Section 1350, as adopted pursuant to Section 906 of the Sarbanes-Oxley Act of 2002, that:</w:t>
      </w:r>
    </w:p>
    <w:p>
      <w:pPr>
        <w:spacing w:after="0" w:line="99" w:lineRule="exact"/>
        <w:rPr>
          <w:sz w:val="20"/>
          <w:szCs w:val="20"/>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6660" w:val="left"/>
        </w:tabs>
        <w:rPr>
          <w:sz w:val="20"/>
          <w:szCs w:val="20"/>
          <w:color w:val="auto"/>
        </w:rPr>
      </w:pPr>
      <w:r>
        <w:rPr>
          <w:rFonts w:ascii="Arial" w:cs="Arial" w:eastAsia="Arial" w:hAnsi="Arial"/>
          <w:sz w:val="14"/>
          <w:szCs w:val="14"/>
          <w:color w:val="auto"/>
        </w:rPr>
        <w:t>August 23, 2022</w:t>
      </w:r>
      <w:r>
        <w:rPr>
          <w:sz w:val="20"/>
          <w:szCs w:val="20"/>
          <w:color w:val="auto"/>
        </w:rPr>
        <w:tab/>
      </w:r>
      <w:r>
        <w:rPr>
          <w:rFonts w:ascii="Arial" w:cs="Arial" w:eastAsia="Arial" w:hAnsi="Arial"/>
          <w:sz w:val="12"/>
          <w:szCs w:val="12"/>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12065</wp:posOffset>
            </wp:positionV>
            <wp:extent cx="226377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2263775" cy="6985"/>
                    </a:xfrm>
                    <a:prstGeom prst="rect">
                      <a:avLst/>
                    </a:prstGeom>
                    <a:noFill/>
                  </pic:spPr>
                </pic:pic>
              </a:graphicData>
            </a:graphic>
          </wp:anchor>
        </w:drawing>
      </w:r>
    </w:p>
    <w:p>
      <w:pPr>
        <w:ind w:left="6680"/>
        <w:spacing w:after="0"/>
        <w:rPr>
          <w:sz w:val="20"/>
          <w:szCs w:val="20"/>
          <w:color w:val="auto"/>
        </w:rPr>
      </w:pPr>
      <w:r>
        <w:rPr>
          <w:rFonts w:ascii="Arial" w:cs="Arial" w:eastAsia="Arial" w:hAnsi="Arial"/>
          <w:sz w:val="14"/>
          <w:szCs w:val="14"/>
          <w:color w:val="auto"/>
        </w:rPr>
        <w:t>Steven R. Fife</w:t>
      </w:r>
    </w:p>
    <w:p>
      <w:pPr>
        <w:ind w:left="6680"/>
        <w:spacing w:after="0" w:line="205" w:lineRule="auto"/>
        <w:rPr>
          <w:sz w:val="20"/>
          <w:szCs w:val="20"/>
          <w:color w:val="auto"/>
        </w:rPr>
      </w:pPr>
      <w:r>
        <w:rPr>
          <w:rFonts w:ascii="Arial" w:cs="Arial" w:eastAsia="Arial" w:hAnsi="Arial"/>
          <w:sz w:val="14"/>
          <w:szCs w:val="14"/>
          <w:color w:val="auto"/>
        </w:rPr>
        <w:t>President &amp; Chief Executive Officer</w:t>
      </w:r>
    </w:p>
    <w:p>
      <w:pPr>
        <w:ind w:left="668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11280"/>
          </w:cols>
          <w:pgMar w:left="300" w:top="729"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CERTIFICATION PURSUANT TO 18 U.S.C. SECTION 1350, AS ADOPTED</w:t>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26" w:lineRule="exact"/>
        <w:rPr>
          <w:sz w:val="20"/>
          <w:szCs w:val="20"/>
          <w:color w:val="auto"/>
        </w:rPr>
      </w:pPr>
    </w:p>
    <w:p>
      <w:pPr>
        <w:ind w:right="500" w:firstLine="350"/>
        <w:spacing w:after="0" w:line="267" w:lineRule="auto"/>
        <w:rPr>
          <w:sz w:val="20"/>
          <w:szCs w:val="20"/>
          <w:color w:val="auto"/>
        </w:rPr>
      </w:pPr>
      <w:r>
        <w:rPr>
          <w:rFonts w:ascii="Arial" w:cs="Arial" w:eastAsia="Arial" w:hAnsi="Arial"/>
          <w:sz w:val="14"/>
          <w:szCs w:val="14"/>
          <w:color w:val="auto"/>
        </w:rPr>
        <w:t>In connection with the filing of this annual report on Form 10-K of LifeVantage Corporation (the “Company”) for the period ended June 30, 2022, with the Securities and Exchange Commission on the date hereof (the “Report”), I, Carl A. Aure, Chief Financial Officer of the Company, certify, pursuant to 18 U.S.C. Section 1350, as adopted pursuant to Section 906 of the Sarbanes-Oxley Act of 2002, that:</w:t>
      </w:r>
    </w:p>
    <w:p>
      <w:pPr>
        <w:spacing w:after="0" w:line="99"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4"/>
          <w:szCs w:val="14"/>
          <w:color w:val="auto"/>
        </w:rPr>
        <w:t>August 23, 2022</w:t>
      </w:r>
      <w:r>
        <w:rPr>
          <w:sz w:val="20"/>
          <w:szCs w:val="20"/>
          <w:color w:val="auto"/>
        </w:rPr>
        <w:tab/>
      </w:r>
      <w:r>
        <w:rPr>
          <w:rFonts w:ascii="Arial" w:cs="Arial" w:eastAsia="Arial" w:hAnsi="Arial"/>
          <w:sz w:val="13"/>
          <w:szCs w:val="13"/>
          <w:color w:val="auto"/>
        </w:rPr>
        <w:t>/s/ Carl A. Aure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12065</wp:posOffset>
            </wp:positionV>
            <wp:extent cx="198056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spacing w:after="0" w:line="126" w:lineRule="exact"/>
        <w:rPr>
          <w:sz w:val="20"/>
          <w:szCs w:val="20"/>
          <w:color w:val="auto"/>
        </w:rPr>
      </w:pPr>
    </w:p>
    <w:p>
      <w:pPr>
        <w:ind w:left="6660"/>
        <w:spacing w:after="0"/>
        <w:rPr>
          <w:sz w:val="20"/>
          <w:szCs w:val="20"/>
          <w:color w:val="auto"/>
        </w:rPr>
      </w:pPr>
      <w:r>
        <w:rPr>
          <w:rFonts w:ascii="Arial" w:cs="Arial" w:eastAsia="Arial" w:hAnsi="Arial"/>
          <w:sz w:val="14"/>
          <w:szCs w:val="14"/>
          <w:color w:val="auto"/>
        </w:rPr>
        <w:t>Carl A. Aure</w:t>
      </w:r>
    </w:p>
    <w:p>
      <w:pPr>
        <w:ind w:left="6660"/>
        <w:spacing w:after="0" w:line="205" w:lineRule="auto"/>
        <w:rPr>
          <w:sz w:val="20"/>
          <w:szCs w:val="20"/>
          <w:color w:val="auto"/>
        </w:rPr>
      </w:pPr>
      <w:r>
        <w:rPr>
          <w:rFonts w:ascii="Arial" w:cs="Arial" w:eastAsia="Arial" w:hAnsi="Arial"/>
          <w:sz w:val="14"/>
          <w:szCs w:val="14"/>
          <w:color w:val="auto"/>
        </w:rPr>
        <w:t>Chief Financial Officer</w:t>
      </w:r>
    </w:p>
    <w:p>
      <w:pPr>
        <w:ind w:left="6660"/>
        <w:spacing w:after="0" w:line="222" w:lineRule="auto"/>
        <w:rPr>
          <w:sz w:val="20"/>
          <w:szCs w:val="20"/>
          <w:color w:val="auto"/>
        </w:rPr>
      </w:pPr>
      <w:r>
        <w:rPr>
          <w:rFonts w:ascii="Arial" w:cs="Arial" w:eastAsia="Arial" w:hAnsi="Arial"/>
          <w:sz w:val="14"/>
          <w:szCs w:val="14"/>
          <w:color w:val="auto"/>
        </w:rPr>
        <w:t>(Principal Financial Officer and Principal Accounting</w:t>
      </w:r>
    </w:p>
    <w:p>
      <w:pPr>
        <w:ind w:left="6660"/>
        <w:spacing w:after="0"/>
        <w:rPr>
          <w:sz w:val="20"/>
          <w:szCs w:val="20"/>
          <w:color w:val="auto"/>
        </w:rPr>
      </w:pPr>
      <w:r>
        <w:rPr>
          <w:rFonts w:ascii="Arial" w:cs="Arial" w:eastAsia="Arial" w:hAnsi="Arial"/>
          <w:sz w:val="14"/>
          <w:szCs w:val="14"/>
          <w:color w:val="auto"/>
        </w:rPr>
        <w:t>Officer)</w:t>
      </w:r>
    </w:p>
    <w:sectPr>
      <w:pgSz w:w="11900" w:h="16838" w:orient="portrait"/>
      <w:cols w:equalWidth="0" w:num="1">
        <w:col w:w="11280"/>
      </w:cols>
      <w:pgMar w:left="300" w:top="7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amp;"/>
      <w:numFmt w:val="bullet"/>
      <w:start w:val="1"/>
    </w:lvl>
  </w:abstractNum>
  <w:abstractNum w:abstractNumId="24">
    <w:nsid w:val="6CEAF087"/>
    <w:multiLevelType w:val="hybridMultilevel"/>
    <w:lvl w:ilvl="0">
      <w:lvlJc w:val="left"/>
      <w:lvlText w:val="%1."/>
      <w:numFmt w:val="decimal"/>
      <w:start w:val="19"/>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4" Type="http://schemas.openxmlformats.org/officeDocument/2006/relationships/image" Target="media/image59.png"/><Relationship Id="rId89" Type="http://schemas.openxmlformats.org/officeDocument/2006/relationships/image" Target="media/image60.png"/><Relationship Id="rId90" Type="http://schemas.openxmlformats.org/officeDocument/2006/relationships/image" Target="media/image61.png"/><Relationship Id="rId91" Type="http://schemas.openxmlformats.org/officeDocument/2006/relationships/image" Target="media/image62.png"/><Relationship Id="rId92" Type="http://schemas.openxmlformats.org/officeDocument/2006/relationships/image" Target="media/image63.png"/><Relationship Id="rId93" Type="http://schemas.openxmlformats.org/officeDocument/2006/relationships/image" Target="media/image64.png"/><Relationship Id="rId94" Type="http://schemas.openxmlformats.org/officeDocument/2006/relationships/image" Target="media/image65.png"/><Relationship Id="rId95" Type="http://schemas.openxmlformats.org/officeDocument/2006/relationships/image" Target="media/image66.png"/><Relationship Id="rId96" Type="http://schemas.openxmlformats.org/officeDocument/2006/relationships/image" Target="media/image67.png"/><Relationship Id="rId97"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66" Type="http://schemas.openxmlformats.org/officeDocument/2006/relationships/hyperlink" Target="http://www.sec.gov/Archives/edgar/data/849146/000084914618000046/ex31-certificateofincorpor.htm" TargetMode="External"/><Relationship Id="rId67" Type="http://schemas.openxmlformats.org/officeDocument/2006/relationships/hyperlink" Target="https://www.sec.gov/Archives/edgar/data/849146/000084914619000066/lifevantage-amendedandrest.htm" TargetMode="External"/><Relationship Id="rId68" Type="http://schemas.openxmlformats.org/officeDocument/2006/relationships/hyperlink" Target="http://www.sec.gov/Archives/edgar/data/849146/000084914618000046/exhibit41formofcommonsto.htm" TargetMode="External"/><Relationship Id="rId69" Type="http://schemas.openxmlformats.org/officeDocument/2006/relationships/hyperlink" Target="http://www.sec.gov/Archives/edgar/data/849146/000084914614000072/proxystatementfy2015.htm" TargetMode="External"/><Relationship Id="rId70" Type="http://schemas.openxmlformats.org/officeDocument/2006/relationships/hyperlink" Target="http://www.sec.gov/Archives/edgar/data/849146/000095012311061245/a59763exv4w4.htm" TargetMode="External"/><Relationship Id="rId71" Type="http://schemas.openxmlformats.org/officeDocument/2006/relationships/hyperlink" Target="http://www.sec.gov/Archives/edgar/data/849146/000095012311061245/a59763exv4w5.htm" TargetMode="External"/><Relationship Id="rId72" Type="http://schemas.openxmlformats.org/officeDocument/2006/relationships/hyperlink" Target="http://www.sec.gov/Archives/edgar/data/849146/000084914616000173/lfvn_33116xex103.htm" TargetMode="External"/><Relationship Id="rId73" Type="http://schemas.openxmlformats.org/officeDocument/2006/relationships/hyperlink" Target="http://www.sec.gov/Archives/edgar/data/849146/000084914614000027/dlimanufacturingagreement.htm" TargetMode="External"/><Relationship Id="rId75" Type="http://schemas.openxmlformats.org/officeDocument/2006/relationships/hyperlink" Target="http://www.sec.gov/Archives/edgar/data/849146/000084914614000062/integracoreservicesagreeme.htm" TargetMode="External"/><Relationship Id="rId76" Type="http://schemas.openxmlformats.org/officeDocument/2006/relationships/hyperlink" Target="http://www.sec.gov/Archives/edgar/data/849146/000084914614000062/wasatchmanufagreement.htm" TargetMode="External"/><Relationship Id="rId77" Type="http://schemas.openxmlformats.org/officeDocument/2006/relationships/hyperlink" Target="http://www.sec.gov/Archives/edgar/data/849146/000084914618000046/ex991-indemnificationagree.htm" TargetMode="External"/><Relationship Id="rId78" Type="http://schemas.openxmlformats.org/officeDocument/2006/relationships/hyperlink" Target="http://www.sec.gov/Archives/edgar/data/849146/000084914616000165/exhibit101zfnb-lifevantage.htm" TargetMode="External"/><Relationship Id="rId79" Type="http://schemas.openxmlformats.org/officeDocument/2006/relationships/hyperlink" Target="http://www.sec.gov/Archives/edgar/data/849146/000084914616000165/exhibit102zfnb-lifevantage.htm" TargetMode="External"/><Relationship Id="rId80" Type="http://schemas.openxmlformats.org/officeDocument/2006/relationships/hyperlink" Target="https://www.sec.gov/Archives/edgar/data/849146/000084914621000047/lfvnstevefifeceoofferlet.htm" TargetMode="External"/><Relationship Id="rId81" Type="http://schemas.openxmlformats.org/officeDocument/2006/relationships/hyperlink" Target="https://www.sec.gov/Archives/edgar/data/849146/000084914621000047/sfifeexecutivebenefitspa.htm" TargetMode="External"/><Relationship Id="rId82" Type="http://schemas.openxmlformats.org/officeDocument/2006/relationships/hyperlink" Target="http://www.sec.gov/Archives/edgar/data/849146/000084914617000064/ex992restrictedstockgranta.htm" TargetMode="External"/><Relationship Id="rId83" Type="http://schemas.openxmlformats.org/officeDocument/2006/relationships/hyperlink" Target="http://www.sec.gov/Archives/edgar/data/849146/000084914617000064/ex993stockunitagreement.htm" TargetMode="External"/><Relationship Id="rId84" Type="http://schemas.openxmlformats.org/officeDocument/2006/relationships/hyperlink" Target="http://www.sec.gov/Archives/edgar/data/849146/000084914618000057/ex101-loanmodification.htm" TargetMode="External"/><Relationship Id="rId85" Type="http://schemas.openxmlformats.org/officeDocument/2006/relationships/hyperlink" Target="https://www.sec.gov/Archives/edgar/data/849146/000084914621000047/loandocuments-lifevantag.htm" TargetMode="External"/><Relationship Id="rId86" Type="http://schemas.openxmlformats.org/officeDocument/2006/relationships/hyperlink" Target="http://www.sec.gov/Archives/edgar/data/849146/000084914619000029/ex101loanmodification.htm" TargetMode="External"/><Relationship Id="rId87" Type="http://schemas.openxmlformats.org/officeDocument/2006/relationships/hyperlink" Target="http://www.sec.gov/Archives/edgar/data/849146/000084914618000107/espp.htm" TargetMode="External"/><Relationship Id="rId88" Type="http://schemas.openxmlformats.org/officeDocument/2006/relationships/hyperlink" Target="http://www.sec.gov/Archives/edgar/data/849146/000084914620000040/lfvnleasetrcii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2022-08-23T15:19:11Z</dcterms:created>
  <dcterms:modified xsi:type="dcterms:W3CDTF">2022-08-23T15:19:11Z</dcterms:modified>
</cp:coreProperties>
</file>