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UNDER SECTION 13 OR 15 (d) OF THE SECURITIES EXCHANGE ACT OF 1934</w:t>
            </w:r>
          </w:p>
        </w:tc>
      </w:tr>
    </w:tbl>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 (d) OF THE SECURITIES EXCHANGE ACT OF 1934</w:t>
            </w:r>
          </w:p>
        </w:tc>
      </w:tr>
    </w:tbl>
    <w:p>
      <w:pPr>
        <w:pStyle w:val="TextBody"/>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001-35647</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LIFEVANTAGE CORPORATION</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7150" w:type="dxa"/>
        <w:jc w:val="center"/>
        <w:tblInd w:w="0" w:type="dxa"/>
        <w:tblCellMar>
          <w:top w:w="28" w:type="dxa"/>
          <w:left w:w="28" w:type="dxa"/>
          <w:bottom w:w="28" w:type="dxa"/>
          <w:right w:w="28" w:type="dxa"/>
        </w:tblCellMar>
      </w:tblPr>
      <w:tblGrid>
        <w:gridCol w:w="1549"/>
        <w:gridCol w:w="1360"/>
        <w:gridCol w:w="1380"/>
        <w:gridCol w:w="109"/>
        <w:gridCol w:w="109"/>
        <w:gridCol w:w="109"/>
        <w:gridCol w:w="740"/>
        <w:gridCol w:w="740"/>
        <w:gridCol w:w="1054"/>
      </w:tblGrid>
      <w:tr>
        <w:trPr/>
        <w:tc>
          <w:tcPr>
            <w:tcW w:w="1549"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90-0224471</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3300 Triumph Blvd, Suite 700, Lehi, UT 84043</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(801) 432-9000</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331" w:type="dxa"/>
        <w:jc w:val="center"/>
        <w:tblInd w:w="0" w:type="dxa"/>
        <w:tblCellMar>
          <w:top w:w="28" w:type="dxa"/>
          <w:left w:w="28" w:type="dxa"/>
          <w:bottom w:w="28" w:type="dxa"/>
          <w:right w:w="28" w:type="dxa"/>
        </w:tblCellMar>
      </w:tblPr>
      <w:tblGrid>
        <w:gridCol w:w="1096"/>
        <w:gridCol w:w="965"/>
        <w:gridCol w:w="968"/>
        <w:gridCol w:w="109"/>
        <w:gridCol w:w="109"/>
        <w:gridCol w:w="109"/>
        <w:gridCol w:w="472"/>
        <w:gridCol w:w="472"/>
        <w:gridCol w:w="480"/>
        <w:gridCol w:w="109"/>
        <w:gridCol w:w="109"/>
        <w:gridCol w:w="109"/>
        <w:gridCol w:w="941"/>
        <w:gridCol w:w="941"/>
        <w:gridCol w:w="1342"/>
      </w:tblGrid>
      <w:tr>
        <w:trPr/>
        <w:tc>
          <w:tcPr>
            <w:tcW w:w="1096"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LFVN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bl>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spacing w:lineRule="auto" w:line="288" w:before="180" w:after="283"/>
        <w:rPr/>
      </w:pPr>
      <w:r>
        <w:rPr>
          <w:rFonts w:ascii="Times New Roman;sans-serif" w:hAnsi="Times New Roman;sans-serif"/>
          <w:b w:val="false"/>
          <w:color w:val="000000"/>
          <w:sz w:val="19"/>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spacing w:lineRule="auto" w:line="288" w:before="180" w:after="283"/>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p>
      <w:pPr>
        <w:pStyle w:val="TextBody"/>
        <w:spacing w:lineRule="auto" w:line="288" w:before="180" w:after="283"/>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09" w:type="dxa"/>
        <w:jc w:val="left"/>
        <w:tblInd w:w="0" w:type="dxa"/>
        <w:tblCellMar>
          <w:top w:w="28" w:type="dxa"/>
          <w:left w:w="28" w:type="dxa"/>
          <w:bottom w:w="28" w:type="dxa"/>
          <w:right w:w="28" w:type="dxa"/>
        </w:tblCellMar>
      </w:tblPr>
      <w:tblGrid>
        <w:gridCol w:w="869"/>
        <w:gridCol w:w="764"/>
        <w:gridCol w:w="766"/>
        <w:gridCol w:w="109"/>
        <w:gridCol w:w="109"/>
        <w:gridCol w:w="109"/>
        <w:gridCol w:w="769"/>
        <w:gridCol w:w="769"/>
        <w:gridCol w:w="773"/>
        <w:gridCol w:w="109"/>
        <w:gridCol w:w="109"/>
        <w:gridCol w:w="154"/>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80" w:after="283"/>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shell company (as defined in Rule 12b-2 of the Exchange Act). Yes  ☐  No  ☒</w:t>
      </w:r>
    </w:p>
    <w:p>
      <w:pPr>
        <w:pStyle w:val="TextBody"/>
        <w:spacing w:lineRule="auto" w:line="288" w:before="180" w:after="283"/>
        <w:rPr>
          <w:rFonts w:ascii="Times New Roman;sans-serif" w:hAnsi="Times New Roman;sans-serif"/>
          <w:b w:val="false"/>
          <w:color w:val="000000"/>
          <w:sz w:val="19"/>
          <w:highlight w:val="white"/>
        </w:rPr>
      </w:pPr>
      <w:r>
        <w:rPr>
          <w:rFonts w:ascii="Times New Roman;sans-serif" w:hAnsi="Times New Roman;sans-serif"/>
          <w:b w:val="false"/>
          <w:color w:val="000000"/>
          <w:sz w:val="19"/>
          <w:highlight w:val="white"/>
        </w:rPr>
        <w:t>The number of shares outstanding of the issuer’s common stock, par value $0.0001 per share, as of May 3, 2023 was 12,794,719.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factors are among those that may cause actual results to differ materially from our forward-looking statements:</w:t>
      </w:r>
    </w:p>
    <w:p>
      <w:pPr>
        <w:pStyle w:val="TextBody"/>
        <w:spacing w:lineRule="auto" w:line="288" w:before="0" w:after="160"/>
        <w:ind w:left="0" w:right="0" w:hanging="270"/>
        <w:rPr/>
      </w:pPr>
      <w:r>
        <w:rPr>
          <w:color w:val="000000"/>
        </w:rPr>
        <w:t>•</w:t>
      </w:r>
      <w:r>
        <w:rPr>
          <w:rFonts w:ascii="Times New Roman;sans-serif" w:hAnsi="Times New Roman;sans-serif"/>
          <w:b w:val="false"/>
          <w:color w:val="000000"/>
          <w:sz w:val="20"/>
        </w:rPr>
        <w:t>Inability to properly manage, motivate and retain our independent consultants (formerly known as distributors) or to attract new customers and independent consultants on an ongoing basis;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The COVID-19 pandemic or the widespread outbreak of any other illness or communicable disease or any other public health crisis, could adversely affect our business, results of operations and financial condition;</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Inability to protect against cyber security risks and to maintain the integrity of data;</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Inability to manage existing markets, open new international markets or expand our operations;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Non-compliance by our independent consultants with applicable legal requirements or our policies and procedures, including making improper and/or illegal claims about our products or earnings opportunity;</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Inability of new products and technological innovations to gain customer or independent consultant or market acceptance;</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Our business and stock price may be adversely affected if our internal controls over financial reporting is not effective;</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Inability to execute our product launch process due to increased pressure on our supply chain, information systems and management;</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Inability to appropriately manage our inventory;</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Disruptions in our information technology systems;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International trade or foreign exchange restrictions, increased tariffs, foreign currency exchange fluctuations;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Inability to raise additional capital or complete desired acquisitions;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Inability to comply with financial covenants imposed by our credit facility and the impact of debt service obligations and restrictive debt covenants;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Dependence upon a few products for revenue;</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We may be unable to retain our existing consultant force or customer base or attract additional customers and/or independent consultants;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Changes to the Company’s independent consultant compensation plans;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High quality materials for our products may become difficult to obtain or expensive;</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68" w:before="160" w:after="160"/>
        <w:ind w:left="0" w:right="0" w:hanging="270"/>
        <w:rPr/>
      </w:pPr>
      <w:r>
        <w:rPr>
          <w:color w:val="000000"/>
        </w:rPr>
        <w:t>•</w:t>
      </w:r>
      <w:r>
        <w:rPr>
          <w:rFonts w:ascii="Times New Roman;sans-serif" w:hAnsi="Times New Roman;sans-serif"/>
          <w:b w:val="false"/>
          <w:color w:val="000000"/>
          <w:sz w:val="20"/>
        </w:rPr>
        <w:t>Improper actions by our independent consultants that violate laws or regulations could harm our business;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Dependence on third parties to manufacture our products;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Disruptions to the transportation channels used to distribute our products;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We may be subject to a product recall;</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 xml:space="preserve">Unfavorable publicity on our business or products; </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We are subject to risks related to Global Not For Resale programs;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Our direct selling program could be found to not be in compliance with current or newly adopted laws or regulations in various markets;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Legal proceedings may be expensive and time consuming;</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Strict government regulations on our business;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Our Cannabidiol (“CBD”) products are subject to varying and changing federal, state or local laws which could adversely affect our results of operations and financial condition;</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Regulations governing the production or marketing of our products;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Risk of investigatory and enforcement action;</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Government authorities may question our tax positions or transfer pricing policies or change their laws in a manner that could increase our effective tax rate or otherwise harm our business;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Failure to comply with anti-corruption laws;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Loss of, or inability to attract, key personnel;</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We may be held responsible for certain taxes or assessments and other obligations relating to the activity of our independent consultants;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Competition in the dietary supplement and personal care markets;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Our inability to protect our intellectual property rights;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Third party claims that we infringe on their intellectual property;</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Product liability claims against us;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Consumer discretionary spending habits factor into our economic success;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Economic, political, foreign exchange and other risks associated with international operations;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Potential delisting of our common stock due to non-compliance with Nasdaq's continued listing requirements;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Volatility of the market price of our common stock; and</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Substantial sales of shares may negatively impact the market price of our common stock.</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p>
      <w:pPr>
        <w:pStyle w:val="TextBody"/>
        <w:spacing w:lineRule="auto" w:line="288" w:before="0" w:after="0"/>
        <w:rPr>
          <w:color w:val="000000"/>
        </w:rPr>
      </w:pPr>
      <w:r>
        <w:rPr>
          <w:color w:val="000000"/>
        </w:rPr>
        <w:t> </w:t>
      </w:r>
    </w:p>
    <w:tbl>
      <w:tblPr>
        <w:tblW w:w="10002" w:type="dxa"/>
        <w:jc w:val="left"/>
        <w:tblInd w:w="0" w:type="dxa"/>
        <w:tblCellMar>
          <w:top w:w="28" w:type="dxa"/>
          <w:left w:w="28" w:type="dxa"/>
          <w:bottom w:w="28" w:type="dxa"/>
          <w:right w:w="28" w:type="dxa"/>
        </w:tblCellMar>
      </w:tblPr>
      <w:tblGrid>
        <w:gridCol w:w="477"/>
        <w:gridCol w:w="420"/>
        <w:gridCol w:w="420"/>
        <w:gridCol w:w="2685"/>
        <w:gridCol w:w="2685"/>
        <w:gridCol w:w="2699"/>
        <w:gridCol w:w="180"/>
        <w:gridCol w:w="180"/>
        <w:gridCol w:w="256"/>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9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8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3">
              <w:r>
                <w:rPr>
                  <w:rStyle w:val="InternetLink"/>
                  <w:rFonts w:ascii="Times New Roman;sans-serif" w:hAnsi="Times New Roman;sans-serif"/>
                  <w:b w:val="false"/>
                  <w:color w:val="0000FF"/>
                  <w:sz w:val="20"/>
                  <w:u w:val="single"/>
                </w:rPr>
                <w:t>PART I. Financial Information</w:t>
              </w:r>
            </w:hyperlink>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114d394a06174b798b8499d46c937946_13">
              <w:r>
                <w:rPr>
                  <w:rStyle w:val="InternetLink"/>
                  <w:rFonts w:ascii="Times New Roman;sans-serif" w:hAnsi="Times New Roman;sans-serif"/>
                  <w:b w:val="false"/>
                  <w:color w:val="0000FF"/>
                  <w:sz w:val="20"/>
                  <w:u w:val="single"/>
                </w:rPr>
                <w:t>5</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6">
              <w:r>
                <w:rPr>
                  <w:rStyle w:val="InternetLink"/>
                  <w:rFonts w:ascii="Times New Roman;sans-serif" w:hAnsi="Times New Roman;sans-serif"/>
                  <w:b w:val="false"/>
                  <w:color w:val="0000FF"/>
                  <w:sz w:val="20"/>
                  <w:u w:val="single"/>
                </w:rPr>
                <w:t>Financial Statements: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6">
              <w:r>
                <w:rPr>
                  <w:rStyle w:val="InternetLink"/>
                  <w:rFonts w:ascii="Times New Roman;sans-serif" w:hAnsi="Times New Roman;sans-serif"/>
                  <w:b w:val="false"/>
                  <w:color w:val="0000FF"/>
                  <w:sz w:val="20"/>
                  <w:u w:val="single"/>
                </w:rPr>
                <w:t>5</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9">
              <w:r>
                <w:rPr>
                  <w:rStyle w:val="InternetLink"/>
                  <w:rFonts w:ascii="Times New Roman;sans-serif" w:hAnsi="Times New Roman;sans-serif"/>
                  <w:b w:val="false"/>
                  <w:color w:val="0000FF"/>
                  <w:sz w:val="20"/>
                  <w:u w:val="single"/>
                </w:rPr>
                <w:t xml:space="preserve">Condensed Consolidated Balance Sheets (unaudited) </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9">
              <w:r>
                <w:rPr>
                  <w:rStyle w:val="InternetLink"/>
                  <w:rFonts w:ascii="Times New Roman;sans-serif" w:hAnsi="Times New Roman;sans-serif"/>
                  <w:b w:val="false"/>
                  <w:color w:val="0000FF"/>
                  <w:sz w:val="20"/>
                  <w:u w:val="single"/>
                </w:rPr>
                <w:t>5</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22">
              <w:r>
                <w:rPr>
                  <w:rStyle w:val="InternetLink"/>
                  <w:rFonts w:ascii="Times New Roman;sans-serif" w:hAnsi="Times New Roman;sans-serif"/>
                  <w:b w:val="false"/>
                  <w:color w:val="0000FF"/>
                  <w:sz w:val="20"/>
                  <w:u w:val="single"/>
                </w:rPr>
                <w:t>Condensed Consolidated Statements of Operations and Comprehensive Income (Loss) (unaudited)</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22">
              <w:r>
                <w:rPr>
                  <w:rStyle w:val="InternetLink"/>
                  <w:rFonts w:ascii="Times New Roman;sans-serif" w:hAnsi="Times New Roman;sans-serif"/>
                  <w:b w:val="false"/>
                  <w:color w:val="0000FF"/>
                  <w:sz w:val="20"/>
                  <w:u w:val="single"/>
                </w:rPr>
                <w:t>6</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25">
              <w:r>
                <w:rPr>
                  <w:rStyle w:val="InternetLink"/>
                  <w:rFonts w:ascii="Times New Roman;sans-serif" w:hAnsi="Times New Roman;sans-serif"/>
                  <w:b w:val="false"/>
                  <w:color w:val="0000FF"/>
                  <w:sz w:val="20"/>
                  <w:u w:val="single"/>
                </w:rPr>
                <w:t>Condensed Consolidated Statement of Stockholders’ Equity (unaudited)</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25">
              <w:r>
                <w:rPr>
                  <w:rStyle w:val="InternetLink"/>
                  <w:rFonts w:ascii="Times New Roman;sans-serif" w:hAnsi="Times New Roman;sans-serif"/>
                  <w:b w:val="false"/>
                  <w:color w:val="0000FF"/>
                  <w:sz w:val="20"/>
                  <w:u w:val="single"/>
                </w:rPr>
                <w:t>7</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31">
              <w:r>
                <w:rPr>
                  <w:rStyle w:val="InternetLink"/>
                  <w:rFonts w:ascii="Times New Roman;sans-serif" w:hAnsi="Times New Roman;sans-serif"/>
                  <w:b w:val="false"/>
                  <w:color w:val="0000FF"/>
                  <w:sz w:val="20"/>
                  <w:u w:val="single"/>
                </w:rPr>
                <w:t xml:space="preserve">Condensed Consolidated Statements of Cash Flows (unaudited) </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31">
              <w:r>
                <w:rPr>
                  <w:rStyle w:val="InternetLink"/>
                  <w:rFonts w:ascii="Times New Roman;sans-serif" w:hAnsi="Times New Roman;sans-serif"/>
                  <w:b w:val="false"/>
                  <w:color w:val="0000FF"/>
                  <w:sz w:val="20"/>
                  <w:u w:val="single"/>
                </w:rPr>
                <w:t>9</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34">
              <w:r>
                <w:rPr>
                  <w:rStyle w:val="InternetLink"/>
                  <w:rFonts w:ascii="Times New Roman;sans-serif" w:hAnsi="Times New Roman;sans-serif"/>
                  <w:b w:val="false"/>
                  <w:color w:val="0000FF"/>
                  <w:sz w:val="20"/>
                  <w:u w:val="single"/>
                </w:rPr>
                <w:t>Notes to Condensed Consolidated Financial Statements (unaudited)</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34">
              <w:r>
                <w:rPr>
                  <w:rStyle w:val="InternetLink"/>
                  <w:rFonts w:ascii="Times New Roman;sans-serif" w:hAnsi="Times New Roman;sans-serif"/>
                  <w:b w:val="false"/>
                  <w:color w:val="0000FF"/>
                  <w:sz w:val="20"/>
                  <w:u w:val="single"/>
                </w:rPr>
                <w:t>10</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64">
              <w:r>
                <w:rPr>
                  <w:rStyle w:val="InternetLink"/>
                  <w:rFonts w:ascii="Times New Roman;sans-serif" w:hAnsi="Times New Roman;sans-serif"/>
                  <w:b w:val="false"/>
                  <w:color w:val="0000FF"/>
                  <w:sz w:val="20"/>
                  <w:u w:val="single"/>
                </w:rPr>
                <w:t>20</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88">
              <w:r>
                <w:rPr>
                  <w:rStyle w:val="InternetLink"/>
                  <w:rFonts w:ascii="Times New Roman;sans-serif" w:hAnsi="Times New Roman;sans-serif"/>
                  <w:b w:val="false"/>
                  <w:color w:val="0000FF"/>
                  <w:sz w:val="20"/>
                  <w:u w:val="single"/>
                </w:rPr>
                <w:t>Quantitative and Qualitative Disclosures About Market Risk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88">
              <w:r>
                <w:rPr>
                  <w:rStyle w:val="InternetLink"/>
                  <w:rFonts w:ascii="Times New Roman;sans-serif" w:hAnsi="Times New Roman;sans-serif"/>
                  <w:b w:val="false"/>
                  <w:color w:val="0000FF"/>
                  <w:sz w:val="20"/>
                  <w:u w:val="single"/>
                </w:rPr>
                <w:t>27</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91">
              <w:r>
                <w:rPr>
                  <w:rStyle w:val="InternetLink"/>
                  <w:rFonts w:ascii="Times New Roman;sans-serif" w:hAnsi="Times New Roman;sans-serif"/>
                  <w:b w:val="false"/>
                  <w:color w:val="0000FF"/>
                  <w:sz w:val="20"/>
                  <w:u w:val="single"/>
                </w:rPr>
                <w:t>Controls and Procedures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91">
              <w:r>
                <w:rPr>
                  <w:rStyle w:val="InternetLink"/>
                  <w:rFonts w:ascii="Times New Roman;sans-serif" w:hAnsi="Times New Roman;sans-serif"/>
                  <w:b w:val="false"/>
                  <w:color w:val="0000FF"/>
                  <w:sz w:val="20"/>
                  <w:u w:val="single"/>
                </w:rPr>
                <w:t>28</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94">
              <w:r>
                <w:rPr>
                  <w:rStyle w:val="InternetLink"/>
                  <w:rFonts w:ascii="Times New Roman;sans-serif" w:hAnsi="Times New Roman;sans-serif"/>
                  <w:b w:val="false"/>
                  <w:color w:val="0000FF"/>
                  <w:sz w:val="20"/>
                  <w:u w:val="single"/>
                </w:rPr>
                <w:t>PART II. Other Information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94">
              <w:r>
                <w:rPr>
                  <w:rStyle w:val="InternetLink"/>
                  <w:rFonts w:ascii="Times New Roman;sans-serif" w:hAnsi="Times New Roman;sans-serif"/>
                  <w:b w:val="false"/>
                  <w:color w:val="0000FF"/>
                  <w:sz w:val="20"/>
                  <w:u w:val="single"/>
                </w:rPr>
                <w:t>28</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97">
              <w:r>
                <w:rPr>
                  <w:rStyle w:val="InternetLink"/>
                  <w:rFonts w:ascii="Times New Roman;sans-serif" w:hAnsi="Times New Roman;sans-serif"/>
                  <w:b w:val="false"/>
                  <w:color w:val="0000FF"/>
                  <w:sz w:val="20"/>
                  <w:u w:val="single"/>
                </w:rPr>
                <w:t>Legal Proceedings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97">
              <w:r>
                <w:rPr>
                  <w:rStyle w:val="InternetLink"/>
                  <w:rFonts w:ascii="Times New Roman;sans-serif" w:hAnsi="Times New Roman;sans-serif"/>
                  <w:b w:val="false"/>
                  <w:color w:val="0000FF"/>
                  <w:sz w:val="20"/>
                  <w:u w:val="single"/>
                </w:rPr>
                <w:t>28</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00">
              <w:r>
                <w:rPr>
                  <w:rStyle w:val="InternetLink"/>
                  <w:rFonts w:ascii="Times New Roman;sans-serif" w:hAnsi="Times New Roman;sans-serif"/>
                  <w:b w:val="false"/>
                  <w:color w:val="0000FF"/>
                  <w:sz w:val="20"/>
                  <w:u w:val="single"/>
                </w:rPr>
                <w:t>Risk Factors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00">
              <w:r>
                <w:rPr>
                  <w:rStyle w:val="InternetLink"/>
                  <w:rFonts w:ascii="Times New Roman;sans-serif" w:hAnsi="Times New Roman;sans-serif"/>
                  <w:b w:val="false"/>
                  <w:color w:val="0000FF"/>
                  <w:sz w:val="20"/>
                  <w:u w:val="single"/>
                </w:rPr>
                <w:t>28</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03">
              <w:r>
                <w:rPr>
                  <w:rStyle w:val="InternetLink"/>
                  <w:rFonts w:ascii="Times New Roman;sans-serif" w:hAnsi="Times New Roman;sans-serif"/>
                  <w:b w:val="false"/>
                  <w:color w:val="0000FF"/>
                  <w:sz w:val="20"/>
                  <w:u w:val="single"/>
                </w:rPr>
                <w:t>Unregistered Sales of Equity Securities and Use of Proceeds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03">
              <w:r>
                <w:rPr>
                  <w:rStyle w:val="InternetLink"/>
                  <w:rFonts w:ascii="Times New Roman;sans-serif" w:hAnsi="Times New Roman;sans-serif"/>
                  <w:b w:val="false"/>
                  <w:color w:val="0000FF"/>
                  <w:sz w:val="20"/>
                  <w:u w:val="single"/>
                </w:rPr>
                <w:t>28</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06">
              <w:r>
                <w:rPr>
                  <w:rStyle w:val="InternetLink"/>
                  <w:rFonts w:ascii="Times New Roman;sans-serif" w:hAnsi="Times New Roman;sans-serif"/>
                  <w:b w:val="false"/>
                  <w:color w:val="0000FF"/>
                  <w:sz w:val="20"/>
                  <w:u w:val="single"/>
                </w:rPr>
                <w:t>Defaults Upon Senior Securities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06">
              <w:r>
                <w:rPr>
                  <w:rStyle w:val="InternetLink"/>
                  <w:rFonts w:ascii="Times New Roman;sans-serif" w:hAnsi="Times New Roman;sans-serif"/>
                  <w:b w:val="false"/>
                  <w:color w:val="0000FF"/>
                  <w:sz w:val="20"/>
                  <w:u w:val="single"/>
                </w:rPr>
                <w:t>29</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09">
              <w:r>
                <w:rPr>
                  <w:rStyle w:val="InternetLink"/>
                  <w:rFonts w:ascii="Times New Roman;sans-serif" w:hAnsi="Times New Roman;sans-serif"/>
                  <w:b w:val="false"/>
                  <w:color w:val="0000FF"/>
                  <w:sz w:val="20"/>
                  <w:u w:val="single"/>
                </w:rPr>
                <w:t>Mine Safety Disclosures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09">
              <w:r>
                <w:rPr>
                  <w:rStyle w:val="InternetLink"/>
                  <w:rFonts w:ascii="Times New Roman;sans-serif" w:hAnsi="Times New Roman;sans-serif"/>
                  <w:b w:val="false"/>
                  <w:color w:val="0000FF"/>
                  <w:sz w:val="20"/>
                  <w:u w:val="single"/>
                </w:rPr>
                <w:t>29</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12">
              <w:r>
                <w:rPr>
                  <w:rStyle w:val="InternetLink"/>
                  <w:rFonts w:ascii="Times New Roman;sans-serif" w:hAnsi="Times New Roman;sans-serif"/>
                  <w:b w:val="false"/>
                  <w:color w:val="0000FF"/>
                  <w:sz w:val="20"/>
                  <w:u w:val="single"/>
                </w:rPr>
                <w:t>Other Information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12">
              <w:r>
                <w:rPr>
                  <w:rStyle w:val="InternetLink"/>
                  <w:rFonts w:ascii="Times New Roman;sans-serif" w:hAnsi="Times New Roman;sans-serif"/>
                  <w:b w:val="false"/>
                  <w:color w:val="0000FF"/>
                  <w:sz w:val="20"/>
                  <w:u w:val="single"/>
                </w:rPr>
                <w:t>29</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15">
              <w:r>
                <w:rPr>
                  <w:rStyle w:val="InternetLink"/>
                  <w:rFonts w:ascii="Times New Roman;sans-serif" w:hAnsi="Times New Roman;sans-serif"/>
                  <w:b w:val="false"/>
                  <w:color w:val="0000FF"/>
                  <w:sz w:val="20"/>
                  <w:u w:val="single"/>
                </w:rPr>
                <w:t>Exhibits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15">
              <w:r>
                <w:rPr>
                  <w:rStyle w:val="InternetLink"/>
                  <w:rFonts w:ascii="Times New Roman;sans-serif" w:hAnsi="Times New Roman;sans-serif"/>
                  <w:b w:val="false"/>
                  <w:color w:val="0000FF"/>
                  <w:sz w:val="20"/>
                  <w:u w:val="single"/>
                </w:rPr>
                <w:t>30</w:t>
              </w:r>
            </w:hyperlink>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14d394a06174b798b8499d46c937946_118">
              <w:r>
                <w:rPr>
                  <w:rStyle w:val="InternetLink"/>
                  <w:rFonts w:ascii="Times New Roman;sans-serif" w:hAnsi="Times New Roman;sans-serif"/>
                  <w:b w:val="false"/>
                  <w:color w:val="0000FF"/>
                  <w:sz w:val="20"/>
                  <w:u w:val="single"/>
                </w:rPr>
                <w:t>Signatures</w:t>
              </w:r>
            </w:hyperlink>
          </w:p>
        </w:tc>
        <w:tc>
          <w:tcPr>
            <w:tcW w:w="8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14d394a06174b798b8499d46c937946_118">
              <w:r>
                <w:rPr>
                  <w:rStyle w:val="InternetLink"/>
                  <w:rFonts w:ascii="Times New Roman;sans-serif" w:hAnsi="Times New Roman;sans-serif"/>
                  <w:b w:val="false"/>
                  <w:color w:val="0000FF"/>
                  <w:sz w:val="20"/>
                  <w:u w:val="single"/>
                </w:rPr>
                <w:t>31</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2985"/>
        <w:gridCol w:w="2303"/>
        <w:gridCol w:w="2318"/>
        <w:gridCol w:w="231"/>
        <w:gridCol w:w="792"/>
        <w:gridCol w:w="119"/>
        <w:gridCol w:w="109"/>
        <w:gridCol w:w="109"/>
        <w:gridCol w:w="109"/>
        <w:gridCol w:w="218"/>
        <w:gridCol w:w="747"/>
        <w:gridCol w:w="165"/>
      </w:tblGrid>
      <w:tr>
        <w:trPr/>
        <w:tc>
          <w:tcPr>
            <w:tcW w:w="2985"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7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per share data)</w:t>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w:t>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19,529 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20,190 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receivable</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net</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18,452 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16,472 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3,346 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46,957 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9,454 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Right-of-use assets</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9,249 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11,040 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asset</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67,082 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AND STOCKHOLDERS’ EQUITY</w:t>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5,823 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Commissions payable</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7,285 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payable</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liabilities</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expenses</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6,734 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7,927 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25,728 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lease liabilities</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11,919 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13,154 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33,640 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39,190 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 Note 8</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 par value $0.0001 per share, 5,000 shares authorized, no shares issued or outstanding</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 par value $0.0001 per share, 40,000 shares authorized and 12,771 and 12,493 issued and outstanding as of March 31, 2023 and June 30, 2022, respectively</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133,424 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131,075 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(99,004)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(98,437)</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(1,123)</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33,442 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31,516 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67,082 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70,706 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1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(LOSS)</w:t>
      </w:r>
    </w:p>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044" w:type="dxa"/>
        <w:jc w:val="center"/>
        <w:tblInd w:w="0" w:type="dxa"/>
        <w:tblCellMar>
          <w:top w:w="28" w:type="dxa"/>
          <w:left w:w="28" w:type="dxa"/>
          <w:bottom w:w="28" w:type="dxa"/>
          <w:right w:w="28" w:type="dxa"/>
        </w:tblCellMar>
      </w:tblPr>
      <w:tblGrid>
        <w:gridCol w:w="1319"/>
        <w:gridCol w:w="1158"/>
        <w:gridCol w:w="116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319"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and incentives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 net of tax:</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 net of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w:t>
      </w:r>
    </w:p>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1031"/>
        <w:gridCol w:w="641"/>
        <w:gridCol w:w="645"/>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749"/>
        <w:gridCol w:w="109"/>
        <w:gridCol w:w="109"/>
        <w:gridCol w:w="109"/>
        <w:gridCol w:w="109"/>
        <w:gridCol w:w="286"/>
        <w:gridCol w:w="859"/>
        <w:gridCol w:w="150"/>
        <w:gridCol w:w="109"/>
        <w:gridCol w:w="109"/>
        <w:gridCol w:w="109"/>
        <w:gridCol w:w="211"/>
        <w:gridCol w:w="736"/>
        <w:gridCol w:w="158"/>
      </w:tblGrid>
      <w:tr>
        <w:trPr/>
        <w:tc>
          <w:tcPr>
            <w:tcW w:w="103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9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0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2022</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12,493</w:t>
            </w: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131,075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(98,437)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(1,123)</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31,516</w:t>
            </w: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12,560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131,726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31,890</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12,707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132,530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31,895</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March 31,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12,771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133,424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(99,004)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(979)</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33,442</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180" w:after="283"/>
        <w:jc w:val="center"/>
        <w:rPr/>
      </w:pPr>
      <w:r>
        <w:rPr/>
      </w:r>
    </w:p>
    <w:p>
      <w:pPr>
        <w:pStyle w:val="TextBody"/>
        <w:spacing w:before="1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 (CONTINUED)</w:t>
      </w:r>
    </w:p>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938"/>
        <w:gridCol w:w="537"/>
        <w:gridCol w:w="540"/>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745"/>
        <w:gridCol w:w="109"/>
        <w:gridCol w:w="109"/>
        <w:gridCol w:w="109"/>
        <w:gridCol w:w="109"/>
        <w:gridCol w:w="364"/>
        <w:gridCol w:w="831"/>
        <w:gridCol w:w="189"/>
        <w:gridCol w:w="109"/>
        <w:gridCol w:w="109"/>
        <w:gridCol w:w="109"/>
        <w:gridCol w:w="211"/>
        <w:gridCol w:w="736"/>
        <w:gridCol w:w="109"/>
        <w:gridCol w:w="109"/>
        <w:gridCol w:w="157"/>
      </w:tblGrid>
      <w:tr>
        <w:trPr/>
        <w:tc>
          <w:tcPr>
            <w:tcW w:w="938"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 Income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6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2021</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13,609</w:t>
            </w: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129,048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(92,346)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w:t>
            </w: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36,807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13,236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129,862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37,310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12,844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130,586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34,780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March 31,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12,577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130,714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(96,184)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34,031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954" w:type="dxa"/>
        <w:jc w:val="center"/>
        <w:tblInd w:w="0" w:type="dxa"/>
        <w:tblCellMar>
          <w:top w:w="28" w:type="dxa"/>
          <w:left w:w="28" w:type="dxa"/>
          <w:bottom w:w="28" w:type="dxa"/>
          <w:right w:w="28" w:type="dxa"/>
        </w:tblCellMar>
      </w:tblPr>
      <w:tblGrid>
        <w:gridCol w:w="2706"/>
        <w:gridCol w:w="2379"/>
        <w:gridCol w:w="2385"/>
        <w:gridCol w:w="211"/>
        <w:gridCol w:w="736"/>
        <w:gridCol w:w="109"/>
        <w:gridCol w:w="109"/>
        <w:gridCol w:w="109"/>
        <w:gridCol w:w="109"/>
        <w:gridCol w:w="211"/>
        <w:gridCol w:w="736"/>
        <w:gridCol w:w="154"/>
      </w:tblGrid>
      <w:tr>
        <w:trPr/>
        <w:tc>
          <w:tcPr>
            <w:tcW w:w="2706" w:type="dxa"/>
            <w:tcBorders/>
            <w:shd w:fill="auto" w:val="clear"/>
            <w:vAlign w:val="center"/>
          </w:tcPr>
          <w:p>
            <w:pPr>
              <w:pStyle w:val="TableContents"/>
              <w:spacing w:before="0" w:after="283"/>
              <w:rPr>
                <w:sz w:val="4"/>
                <w:szCs w:val="4"/>
              </w:rPr>
            </w:pPr>
            <w:r>
              <w:rPr>
                <w:sz w:val="4"/>
                <w:szCs w:val="4"/>
              </w:rPr>
            </w:r>
          </w:p>
        </w:tc>
        <w:tc>
          <w:tcPr>
            <w:tcW w:w="2379" w:type="dxa"/>
            <w:tcBorders/>
            <w:shd w:fill="auto" w:val="clear"/>
            <w:vAlign w:val="center"/>
          </w:tcPr>
          <w:p>
            <w:pPr>
              <w:pStyle w:val="TableContents"/>
              <w:spacing w:before="0" w:after="283"/>
              <w:rPr>
                <w:sz w:val="4"/>
                <w:szCs w:val="4"/>
              </w:rPr>
            </w:pPr>
            <w:r>
              <w:rPr>
                <w:sz w:val="4"/>
                <w:szCs w:val="4"/>
              </w:rPr>
            </w:r>
          </w:p>
        </w:tc>
        <w:tc>
          <w:tcPr>
            <w:tcW w:w="23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cash dividends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employee stock purchase plan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Effect on Cash</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19,529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17,796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notes should be read in conjunction with the audited financial statements and notes of LifeVantage Corporation (the “Company”) as of and for the year ended June 30, 2022 included in the annual report on Form 10-K filed with the Securities and Exchange Commission (“SEC”) on August 23,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Note 1 — Organization and Basis of Presentation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LifeVantage Corporation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the Philippines. The Company sold its products in China through a China approved cross-border e-commerce business model until March 15, 2023, at which time the Company closed its e-commerce business in China. </w:t>
      </w:r>
    </w:p>
    <w:p>
      <w:pPr>
        <w:pStyle w:val="TextBody"/>
        <w:spacing w:lineRule="auto" w:line="288" w:before="160" w:after="160"/>
        <w:ind w:left="0" w:right="0" w:firstLine="450"/>
        <w:rPr/>
      </w:pPr>
      <w:r>
        <w:rPr>
          <w:rFonts w:ascii="Times New Roman;sans-serif" w:hAnsi="Times New Roman;sans-serif"/>
          <w:b w:val="false"/>
          <w:color w:val="000000"/>
          <w:sz w:val="20"/>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scientifically-validated dietary supplements includes its flagship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family of products, LifeVantage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the Company's line of skin, hair, bath &amp; body, and targeted relief products. The Company also markets and sells Petandim</w:t>
      </w:r>
      <w:r>
        <w:rPr>
          <w:rFonts w:ascii="Times New Roman;sans-serif" w:hAnsi="Times New Roman;sans-serif"/>
          <w:b w:val="false"/>
          <w:color w:val="000000"/>
          <w:sz w:val="13"/>
        </w:rPr>
        <w:t>®</w:t>
      </w:r>
      <w:r>
        <w:rPr>
          <w:rFonts w:ascii="Times New Roman;sans-serif" w:hAnsi="Times New Roman;sans-serif"/>
          <w:b w:val="false"/>
          <w:color w:val="000000"/>
          <w:sz w:val="20"/>
        </w:rPr>
        <w:t>, its companion pet supplement formulated to combat oxidative stress in dogs,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its nootropic energy drink mixes, and PhysIQ, its smart weight management system.</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January 18, 2023, the Company announced the adoption of a new Compensation Plan for its independent consultants (formerly known as independent distributors), which became effective March 1, 2023 in its United States, Australia, New Zealand and Japan markets. These initiatives are planned to roll out to other markets where LifeVantage products are sold and distributed. As part of the change in Compensation Plan, LifeVantage independent distributors are now referred to as independent consultants.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2023, and the results of operations for the three and nine months ended March 31, 2023 and 2022, and the cash flows for the nine months ended March 31, 2023 and 2022. Interim results are not necessarily indicative of results for a full year or for any future period.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notes included herein are presented as required by Form 10-Q, and do not contain certain information included in the Company’s audited financial statements and notes for the fiscal year ended June 30, 2022, pursuant to the rules and regulations of the SEC. For further information, refer to the financial statements and notes thereto as of and for the year ended June 30, 2022, and included in the annual report on Form 10-K on file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wholly-owned subsidiaries. All significant intercompany accounts and transactions are eliminated in consolidation. </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spacing w:lineRule="auto" w:line="288" w:before="160" w:after="160"/>
        <w:ind w:left="0" w:right="0" w:firstLine="450"/>
        <w:rPr/>
      </w:pPr>
      <w:r>
        <w:rPr>
          <w:rFonts w:ascii="Times New Roman;sans-serif" w:hAnsi="Times New Roman;sans-serif"/>
          <w:b w:val="false"/>
          <w:color w:val="000000"/>
          <w:sz w:val="20"/>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w:t>
      </w:r>
      <w:r>
        <w:rPr>
          <w:rFonts w:ascii="Times New Roman;sans-serif" w:hAnsi="Times New Roman;sans-serif"/>
          <w:b w:val="false"/>
          <w:color w:val="000000"/>
          <w:sz w:val="20"/>
          <w:highlight w:val="white"/>
        </w:rPr>
        <w:t xml:space="preserve">prehensive income. Transaction gains and losses are included in other expense, net in the condensed consolidated statements of operations and comprehensive income. For the three months ended March 31, 2023 and 2022, net foreign currency gains of $36,000 and losses of $0.1 million, respectively, are recorded in other expense, net. For the </w:t>
      </w:r>
      <w:r>
        <w:rPr>
          <w:rFonts w:ascii="Times New Roman;sans-serif" w:hAnsi="Times New Roman;sans-serif"/>
          <w:b w:val="false"/>
          <w:color w:val="000000"/>
          <w:sz w:val="20"/>
        </w:rPr>
        <w:t>nine months ended March 31, 2023</w:t>
      </w:r>
      <w:r>
        <w:rPr>
          <w:color w:val="000000"/>
          <w:highlight w:val="white"/>
        </w:rPr>
        <w:t xml:space="preserve"> </w:t>
      </w:r>
      <w:r>
        <w:rPr>
          <w:rFonts w:ascii="Times New Roman;sans-serif" w:hAnsi="Times New Roman;sans-serif"/>
          <w:b w:val="false"/>
          <w:color w:val="000000"/>
          <w:sz w:val="20"/>
          <w:highlight w:val="white"/>
        </w:rPr>
        <w:t xml:space="preserve">and 2022, net foreign currency losses of $0.2 million and $0.4 million, respectively, are recorded in other expense, net. </w:t>
      </w:r>
    </w:p>
    <w:p>
      <w:pPr>
        <w:pStyle w:val="TextBody"/>
        <w:spacing w:lineRule="auto" w:line="288" w:before="160" w:after="160"/>
        <w:rPr>
          <w:rFonts w:ascii="Times New Roman;sans-serif" w:hAnsi="Times New Roman;sans-serif"/>
          <w:b/>
          <w:color w:val="000000"/>
          <w:sz w:val="20"/>
          <w:highlight w:val="white"/>
        </w:rPr>
      </w:pPr>
      <w:r>
        <w:rPr>
          <w:rFonts w:ascii="Times New Roman;sans-serif" w:hAnsi="Times New Roman;sans-serif"/>
          <w:b/>
          <w:color w:val="000000"/>
          <w:sz w:val="20"/>
          <w:highlight w:val="white"/>
        </w:rPr>
        <w:t>Derivative Instruments and Hedging Activities</w:t>
      </w:r>
    </w:p>
    <w:p>
      <w:pPr>
        <w:pStyle w:val="TextBody"/>
        <w:spacing w:lineRule="auto" w:line="288" w:before="160" w:after="16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 xml:space="preserve">To hedge risks associated with the foreign-currency-denominated intercompany transactions, the Company entered into forward foreign exchange contracts which were all settled by the end of December 2021 and were not designated for hedge accounting. There were no realized gains or losses for three months ended March 31, 2023 and 2022, respectively. There were no realized gains or losses for </w:t>
      </w:r>
      <w:r>
        <w:rPr>
          <w:rFonts w:ascii="Times New Roman;sans-serif" w:hAnsi="Times New Roman;sans-serif"/>
          <w:b w:val="false"/>
          <w:color w:val="000000"/>
          <w:sz w:val="20"/>
        </w:rPr>
        <w:t>nine months ended March 31, 2023</w:t>
      </w:r>
      <w:r>
        <w:rPr>
          <w:rFonts w:ascii="Times New Roman;sans-serif" w:hAnsi="Times New Roman;sans-serif"/>
          <w:b w:val="false"/>
          <w:color w:val="000000"/>
          <w:sz w:val="20"/>
          <w:highlight w:val="white"/>
        </w:rPr>
        <w:t xml:space="preserve">. For the </w:t>
      </w:r>
      <w:r>
        <w:rPr>
          <w:rFonts w:ascii="Times New Roman;sans-serif" w:hAnsi="Times New Roman;sans-serif"/>
          <w:b w:val="false"/>
          <w:color w:val="000000"/>
          <w:sz w:val="20"/>
        </w:rPr>
        <w:t>nine months ended March 31, 2022</w:t>
      </w:r>
      <w:r>
        <w:rPr>
          <w:rFonts w:ascii="Times New Roman;sans-serif" w:hAnsi="Times New Roman;sans-serif"/>
          <w:b w:val="false"/>
          <w:color w:val="000000"/>
          <w:sz w:val="20"/>
          <w:highlight w:val="white"/>
        </w:rPr>
        <w:t>, realized losses of $0.1 million related to forward contracts, are recorded in other expense, net. The Company did not hold any derivative instruments at March 31, 2023.</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considers only its monetary liquid assets with original maturities of three months or less as cash and cash equivalents.</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lineRule="auto" w:line="288" w:before="160" w:after="160"/>
        <w:ind w:left="0" w:right="0" w:firstLine="450"/>
        <w:rPr/>
      </w:pPr>
      <w:r>
        <w:rPr>
          <w:rFonts w:ascii="Times New Roman;sans-serif" w:hAnsi="Times New Roman;sans-serif"/>
          <w:b w:val="false"/>
          <w:color w:val="000000"/>
          <w:sz w:val="20"/>
        </w:rPr>
        <w:t xml:space="preserve">Accounting guidance for financial instruments requires disclosure of significant concentrations of credit risk regardless of the degree of </w:t>
      </w:r>
      <w:r>
        <w:rPr>
          <w:rFonts w:ascii="Times New Roman;sans-serif" w:hAnsi="Times New Roman;sans-serif"/>
          <w:b w:val="false"/>
          <w:color w:val="000000"/>
          <w:sz w:val="20"/>
          <w:highlight w:val="white"/>
        </w:rPr>
        <w:t xml:space="preserve">such risk. Financial instruments with significant credit risk include cash and investments. At March 31, 2023, the Company had $14.8 million in cash accounts at one financial institution and $4.7 million in </w:t>
      </w:r>
      <w:r>
        <w:rPr>
          <w:rFonts w:ascii="Times New Roman;sans-serif" w:hAnsi="Times New Roman;sans-serif"/>
          <w:b w:val="false"/>
          <w:color w:val="000000"/>
          <w:sz w:val="20"/>
        </w:rPr>
        <w:t xml:space="preserve">accounts at other financial institutions. At June 30, 2022, </w:t>
      </w:r>
      <w:r>
        <w:rPr>
          <w:rFonts w:ascii="Times New Roman;sans-serif" w:hAnsi="Times New Roman;sans-serif"/>
          <w:b w:val="false"/>
          <w:color w:val="000000"/>
          <w:sz w:val="20"/>
          <w:highlight w:val="white"/>
        </w:rPr>
        <w:t xml:space="preserve">the Company had $15.4 million in cash accounts at one financial institution and $4.8 million in </w:t>
      </w:r>
      <w:r>
        <w:rPr>
          <w:rFonts w:ascii="Times New Roman;sans-serif" w:hAnsi="Times New Roman;sans-serif"/>
          <w:b w:val="false"/>
          <w:color w:val="000000"/>
          <w:sz w:val="20"/>
        </w:rPr>
        <w:t>accounts at other financial institutions. As of March 31, 2023 and June 30, 2022, and during the periods then ended, the Company’s cash balances exceeded federally insured limits.</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as of March 31, 2023 and June 30, 2022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2023 and June 30, 2022 is not necessary. No bad debt expense was recorded during the three and nine months ended March 31, 2023 and 2022.</w:t>
      </w:r>
    </w:p>
    <w:p>
      <w:pPr>
        <w:pStyle w:val="TextBody"/>
        <w:spacing w:lineRule="auto" w:line="288" w:before="160" w:after="160"/>
        <w:rPr>
          <w:rFonts w:ascii="Times New Roman;sans-serif" w:hAnsi="Times New Roman;sans-serif"/>
          <w:b/>
          <w:color w:val="000000"/>
          <w:sz w:val="20"/>
          <w:highlight w:val="white"/>
        </w:rPr>
      </w:pPr>
      <w:r>
        <w:rPr>
          <w:rFonts w:ascii="Times New Roman;sans-serif" w:hAnsi="Times New Roman;sans-serif"/>
          <w:b/>
          <w:color w:val="000000"/>
          <w:sz w:val="20"/>
          <w:highlight w:val="white"/>
        </w:rPr>
        <w:t>Inventory</w:t>
      </w:r>
    </w:p>
    <w:p>
      <w:pPr>
        <w:pStyle w:val="TextBody"/>
        <w:spacing w:lineRule="auto" w:line="288" w:before="16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and June 30, 2022, inventory consisted of (in thousands):</w:t>
      </w:r>
    </w:p>
    <w:tbl>
      <w:tblPr>
        <w:tblW w:w="6277" w:type="dxa"/>
        <w:jc w:val="left"/>
        <w:tblInd w:w="0" w:type="dxa"/>
        <w:tblCellMar>
          <w:top w:w="28" w:type="dxa"/>
          <w:left w:w="28" w:type="dxa"/>
          <w:bottom w:w="28" w:type="dxa"/>
          <w:right w:w="28" w:type="dxa"/>
        </w:tblCellMar>
      </w:tblPr>
      <w:tblGrid>
        <w:gridCol w:w="505"/>
        <w:gridCol w:w="444"/>
        <w:gridCol w:w="446"/>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6"/>
      </w:tblGrid>
      <w:tr>
        <w:trPr/>
        <w:tc>
          <w:tcPr>
            <w:tcW w:w="50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160"/>
        <w:ind w:left="0" w:right="0" w:firstLine="450"/>
        <w:rPr/>
      </w:pPr>
      <w:r>
        <w:rPr>
          <w:rFonts w:ascii="Times New Roman;sans-serif" w:hAnsi="Times New Roman;sans-serif"/>
          <w:b w:val="false"/>
          <w:color w:val="000000"/>
          <w:sz w:val="20"/>
        </w:rPr>
        <w:t xml:space="preserve">Inventories are carried at the lower of cost or net realizable value, using the first-in, first-out method, which includes a reduction in inventory values </w:t>
      </w:r>
      <w:r>
        <w:rPr>
          <w:rFonts w:ascii="Times New Roman;sans-serif" w:hAnsi="Times New Roman;sans-serif"/>
          <w:b w:val="false"/>
          <w:color w:val="000000"/>
          <w:sz w:val="20"/>
          <w:highlight w:val="white"/>
        </w:rPr>
        <w:t xml:space="preserve">of $1.0 million </w:t>
      </w:r>
      <w:r>
        <w:rPr>
          <w:rFonts w:ascii="Times New Roman;sans-serif" w:hAnsi="Times New Roman;sans-serif"/>
          <w:b w:val="false"/>
          <w:color w:val="000000"/>
          <w:sz w:val="20"/>
        </w:rPr>
        <w:t>and $1.3 million at March 31, 2023 and June 30, 2022, respectively, related to obsolete and slow-moving inventory.</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 xml:space="preserve">Level 1—Quoted prices for identical instruments in active markets; </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Level 3—Valuations derived from valuation techniques in which one or more significant inputs or significant value drivers are unobservable.</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 Equity securities were fully impaired as of March 31, 2023 and June 30, 2022.</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goods or services are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pStyle w:val="TextBody"/>
        <w:spacing w:lineRule="auto" w:line="288" w:before="160" w:after="160"/>
        <w:ind w:left="0" w:right="0" w:firstLine="450"/>
        <w:rPr/>
      </w:pPr>
      <w:r>
        <w:rPr>
          <w:rFonts w:ascii="Times New Roman;sans-serif" w:hAnsi="Times New Roman;sans-serif"/>
          <w:b w:val="false"/>
          <w:color w:val="000000"/>
          <w:sz w:val="20"/>
        </w:rPr>
        <w:t>The Company generates the majority of its revenue through product sales to customers. These products include the Protandim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line of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skin, hair, bath &amp; body and targeted relief, Petandim</w:t>
      </w:r>
      <w:r>
        <w:rPr>
          <w:rFonts w:ascii="Times New Roman;sans-serif" w:hAnsi="Times New Roman;sans-serif"/>
          <w:b w:val="false"/>
          <w:color w:val="000000"/>
          <w:sz w:val="13"/>
        </w:rPr>
        <w:t>®</w:t>
      </w:r>
      <w:r>
        <w:rPr>
          <w:rFonts w:ascii="Times New Roman;sans-serif" w:hAnsi="Times New Roman;sans-serif"/>
          <w:b w:val="false"/>
          <w:color w:val="000000"/>
          <w:sz w:val="20"/>
        </w:rPr>
        <w:t>, Axio</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nootropic energy drink mixes, and the PhysIQ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also charges independent consultants to attend certain events that it holds.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pStyle w:val="TextBody"/>
        <w:spacing w:lineRule="auto" w:line="288" w:before="160" w:after="160"/>
        <w:ind w:left="0" w:right="0" w:firstLine="450"/>
        <w:rPr/>
      </w:pPr>
      <w:r>
        <w:rPr>
          <w:rFonts w:ascii="Times New Roman;sans-serif" w:hAnsi="Times New Roman;sans-serif"/>
          <w:b w:val="false"/>
          <w:color w:val="000000"/>
          <w:sz w:val="20"/>
        </w:rPr>
        <w:t xml:space="preserve">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March 31, 2023 and June 30, 2022, the returns liability reserve, net was </w:t>
      </w:r>
      <w:r>
        <w:rPr>
          <w:rFonts w:ascii="Times New Roman;sans-serif" w:hAnsi="Times New Roman;sans-serif"/>
          <w:b w:val="false"/>
          <w:color w:val="000000"/>
          <w:sz w:val="20"/>
          <w:highlight w:val="white"/>
        </w:rPr>
        <w:t>$0.1 million</w:t>
      </w:r>
      <w:r>
        <w:rPr>
          <w:color w:val="000000"/>
        </w:rPr>
        <w:t xml:space="preserve"> </w:t>
      </w:r>
      <w:r>
        <w:rPr>
          <w:rFonts w:ascii="Times New Roman;sans-serif" w:hAnsi="Times New Roman;sans-serif"/>
          <w:b w:val="false"/>
          <w:color w:val="000000"/>
          <w:sz w:val="20"/>
        </w:rPr>
        <w:t>and $0.1 million, respectively.</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Shipping and Handling</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associated with inbound freight and freight out to customers and independent consultants are included in cost of sales. Shipping and handling fees charged to customers and independent consultants are included in revenue.</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Research and Development Costs</w:t>
      </w:r>
    </w:p>
    <w:p>
      <w:pPr>
        <w:pStyle w:val="TextBody"/>
        <w:spacing w:lineRule="auto" w:line="288" w:before="160" w:after="160"/>
        <w:ind w:left="0" w:right="0" w:firstLine="450"/>
        <w:rPr/>
      </w:pPr>
      <w:r>
        <w:rPr>
          <w:rFonts w:ascii="Times New Roman;sans-serif" w:hAnsi="Times New Roman;sans-serif"/>
          <w:b w:val="false"/>
          <w:color w:val="000000"/>
          <w:sz w:val="20"/>
        </w:rPr>
        <w:t>The Company expenses all costs related to research and development activities, as incurred. Research and development expens</w:t>
      </w:r>
      <w:r>
        <w:rPr>
          <w:rFonts w:ascii="Times New Roman;sans-serif" w:hAnsi="Times New Roman;sans-serif"/>
          <w:b w:val="false"/>
          <w:color w:val="000000"/>
          <w:sz w:val="20"/>
          <w:highlight w:val="white"/>
        </w:rPr>
        <w:t xml:space="preserve">es for the three months ended March 31, 2023 and 2022 were $0.2 million and $0.1 million, respectively. </w:t>
      </w:r>
      <w:r>
        <w:rPr>
          <w:rFonts w:ascii="Times New Roman;sans-serif" w:hAnsi="Times New Roman;sans-serif"/>
          <w:b w:val="false"/>
          <w:color w:val="000000"/>
          <w:sz w:val="20"/>
        </w:rPr>
        <w:t>Research and development expens</w:t>
      </w:r>
      <w:r>
        <w:rPr>
          <w:rFonts w:ascii="Times New Roman;sans-serif" w:hAnsi="Times New Roman;sans-serif"/>
          <w:b w:val="false"/>
          <w:color w:val="000000"/>
          <w:sz w:val="20"/>
          <w:highlight w:val="white"/>
        </w:rPr>
        <w:t xml:space="preserve">es for the </w:t>
      </w:r>
      <w:r>
        <w:rPr>
          <w:rFonts w:ascii="Times New Roman;sans-serif" w:hAnsi="Times New Roman;sans-serif"/>
          <w:b w:val="false"/>
          <w:color w:val="000000"/>
          <w:sz w:val="20"/>
        </w:rPr>
        <w:t>nine months ended March 31, 2023</w:t>
      </w:r>
      <w:r>
        <w:rPr>
          <w:color w:val="000000"/>
          <w:highlight w:val="white"/>
        </w:rPr>
        <w:t xml:space="preserve"> </w:t>
      </w:r>
      <w:r>
        <w:rPr>
          <w:rFonts w:ascii="Times New Roman;sans-serif" w:hAnsi="Times New Roman;sans-serif"/>
          <w:b w:val="false"/>
          <w:color w:val="000000"/>
          <w:sz w:val="20"/>
          <w:highlight w:val="white"/>
        </w:rPr>
        <w:t xml:space="preserve">and 2022 were $0.4 million and $0.6 million, respectively. </w:t>
      </w:r>
    </w:p>
    <w:p>
      <w:pPr>
        <w:pStyle w:val="TextBody"/>
        <w:spacing w:before="160" w:after="160"/>
        <w:rPr/>
      </w:pPr>
      <w:r>
        <w:rPr/>
      </w:r>
    </w:p>
    <w:p>
      <w:pPr>
        <w:pStyle w:val="TextBody"/>
        <w:spacing w:before="160" w:after="16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pStyle w:val="TextBody"/>
        <w:spacing w:lineRule="auto" w:line="288" w:before="160" w:after="16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Changes in the Company's strategies have resulted in operation modifications in certain Asia/Pacific markets resulting in the closure of showrooms and changes to selling models. As of December 31, 2022, the Company abandoned the ROU assets related to the Hong Kong and Singapore showroom leases. These leases were to terminate in August and September 2023, respectively. However, the Company reached agreements with each of the landlords to modify the termination date to February 2023. There is no remaining lease liability for these showrooms as of March 31, 2023. </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 xml:space="preserve">Total expenses related to the abandonment of the ROU assets and costs associated with the change in operations in these markets for the </w:t>
      </w:r>
      <w:r>
        <w:rPr>
          <w:rFonts w:ascii="Times New Roman;sans-serif" w:hAnsi="Times New Roman;sans-serif"/>
          <w:b w:val="false"/>
          <w:color w:val="000000"/>
          <w:sz w:val="20"/>
        </w:rPr>
        <w:t>nine months ended March 31, 2023</w:t>
      </w:r>
      <w:r>
        <w:rPr>
          <w:color w:val="000000"/>
          <w:highlight w:val="white"/>
        </w:rPr>
        <w:t xml:space="preserve"> </w:t>
      </w:r>
      <w:r>
        <w:rPr>
          <w:rFonts w:ascii="Times New Roman;sans-serif" w:hAnsi="Times New Roman;sans-serif"/>
          <w:b w:val="false"/>
          <w:color w:val="000000"/>
          <w:sz w:val="20"/>
          <w:highlight w:val="white"/>
        </w:rPr>
        <w:t xml:space="preserve">is $0.4 million and is included in selling, general, and administrative expenses. </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fair value of restricted stock grants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160" w:after="160"/>
        <w:ind w:left="0" w:right="0" w:firstLine="450"/>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w:t>
      </w:r>
      <w:r>
        <w:rPr>
          <w:rFonts w:ascii="Times New Roman;sans-serif" w:hAnsi="Times New Roman;sans-serif"/>
          <w:b w:val="false"/>
          <w:color w:val="000000"/>
          <w:sz w:val="20"/>
          <w:highlight w:val="white"/>
        </w:rPr>
        <w:t>ained upon examination by taxing authorities based on the technical merits of the issue. The amount recognized would be the largest liability or benefit that the Company believes has greater than a 50% likelihood of being realized upon settlement.</w:t>
      </w:r>
    </w:p>
    <w:p>
      <w:pPr>
        <w:pStyle w:val="TextBody"/>
        <w:spacing w:lineRule="auto" w:line="288" w:before="160" w:after="16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For the nine months ended March 31, 2023 and 2022, the Company recognized income tax expense of $0.9 million and $1.1 million, respectively, which is reflective of the Company’s current estimated federal, state and foreign effective tax rate.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Realization of deferred tax assets is dependent upon future earnings in specific tax jurisdictions, the timing and amount of which are uncertain.</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Income Per Share</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 xml:space="preserve">For the three months ended March 31, 2023 and 2022, the effects of approximately 0.1 million and 0.1 million common shares, respectively, issuable upon exercise of options and non-vested shares of restricted stock are not included in computations as their effect was anti-dilutive. For the </w:t>
      </w:r>
      <w:r>
        <w:rPr>
          <w:rFonts w:ascii="Times New Roman;sans-serif" w:hAnsi="Times New Roman;sans-serif"/>
          <w:b w:val="false"/>
          <w:color w:val="000000"/>
          <w:sz w:val="20"/>
        </w:rPr>
        <w:t>nine months ended March 31, 2023</w:t>
      </w:r>
      <w:r>
        <w:rPr>
          <w:color w:val="000000"/>
          <w:highlight w:val="white"/>
        </w:rPr>
        <w:t xml:space="preserve"> </w:t>
      </w:r>
      <w:r>
        <w:rPr>
          <w:rFonts w:ascii="Times New Roman;sans-serif" w:hAnsi="Times New Roman;sans-serif"/>
          <w:b w:val="false"/>
          <w:color w:val="000000"/>
          <w:sz w:val="20"/>
          <w:highlight w:val="white"/>
        </w:rPr>
        <w:t xml:space="preserve">and 2022, the effects of approximately 0.3 million and 0.2 million common shares, respectively, issuable upon exercise of options and non-vested shares of restricted stock are not included in computations as their effect was anti-dilutive.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per share and the weighted-average common shares outstanding for purposes of computing basic and diluted net income per share (in thousands, except per share amounts):</w:t>
      </w:r>
    </w:p>
    <w:tbl>
      <w:tblPr>
        <w:tblW w:w="9608" w:type="dxa"/>
        <w:jc w:val="left"/>
        <w:tblInd w:w="0" w:type="dxa"/>
        <w:tblCellMar>
          <w:top w:w="28" w:type="dxa"/>
          <w:left w:w="28" w:type="dxa"/>
          <w:bottom w:w="28" w:type="dxa"/>
          <w:right w:w="28" w:type="dxa"/>
        </w:tblCellMar>
      </w:tblPr>
      <w:tblGrid>
        <w:gridCol w:w="1633"/>
        <w:gridCol w:w="1439"/>
        <w:gridCol w:w="1457"/>
        <w:gridCol w:w="230"/>
        <w:gridCol w:w="672"/>
        <w:gridCol w:w="119"/>
        <w:gridCol w:w="119"/>
        <w:gridCol w:w="119"/>
        <w:gridCol w:w="119"/>
        <w:gridCol w:w="230"/>
        <w:gridCol w:w="672"/>
        <w:gridCol w:w="119"/>
        <w:gridCol w:w="109"/>
        <w:gridCol w:w="109"/>
        <w:gridCol w:w="109"/>
        <w:gridCol w:w="232"/>
        <w:gridCol w:w="562"/>
        <w:gridCol w:w="120"/>
        <w:gridCol w:w="120"/>
        <w:gridCol w:w="120"/>
        <w:gridCol w:w="120"/>
        <w:gridCol w:w="232"/>
        <w:gridCol w:w="678"/>
        <w:gridCol w:w="169"/>
      </w:tblGrid>
      <w:tr>
        <w:trPr/>
        <w:tc>
          <w:tcPr>
            <w:tcW w:w="1633"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and options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ind w:left="0" w:right="0" w:firstLine="450"/>
        <w:rPr>
          <w:rFonts w:ascii="Times New Roman;sans-serif" w:hAnsi="Times New Roman;sans-serif"/>
          <w:b/>
          <w:color w:val="000000"/>
          <w:sz w:val="20"/>
        </w:rPr>
      </w:pPr>
      <w:r>
        <w:rPr>
          <w:rFonts w:ascii="Times New Roman;sans-serif" w:hAnsi="Times New Roman;sans-serif"/>
          <w:b/>
          <w:color w:val="000000"/>
          <w:sz w:val="20"/>
        </w:rPr>
        <w:t>Segment Information and Disaggregated Revenue</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by selling products directly to customers and through an international network of independent consultants that operates in an integrated manner from market to market. Commissions and incentives expenses are the Company’s largest expense comprised of the commissions paid to its independent consultants. The Company manages its business primarily by managing its international network of independent consultants. The Company disaggregates revenue in two geographic regions: the Americas region and the Asia/Pacific &amp; Europe region.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these two geographic regions (in thousands):</w:t>
      </w:r>
    </w:p>
    <w:tbl>
      <w:tblPr>
        <w:tblW w:w="7319" w:type="dxa"/>
        <w:jc w:val="left"/>
        <w:tblInd w:w="0" w:type="dxa"/>
        <w:tblCellMar>
          <w:top w:w="28" w:type="dxa"/>
          <w:left w:w="28" w:type="dxa"/>
          <w:bottom w:w="28" w:type="dxa"/>
          <w:right w:w="28" w:type="dxa"/>
        </w:tblCellMar>
      </w:tblPr>
      <w:tblGrid>
        <w:gridCol w:w="692"/>
        <w:gridCol w:w="609"/>
        <w:gridCol w:w="61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92"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Additional information as to the Company’s revenue from operations in the most significant geographical areas is set forth below (in thousands):</w:t>
      </w:r>
    </w:p>
    <w:tbl>
      <w:tblPr>
        <w:tblW w:w="6494" w:type="dxa"/>
        <w:jc w:val="left"/>
        <w:tblInd w:w="0" w:type="dxa"/>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long-lived assets for its most significant geographic markets (in thousands):</w:t>
      </w:r>
    </w:p>
    <w:tbl>
      <w:tblPr>
        <w:tblW w:w="3653" w:type="dxa"/>
        <w:jc w:val="left"/>
        <w:tblInd w:w="0" w:type="dxa"/>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Note 3 — Gig Economy Group Investment</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Convertible Note Receivable</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in consideration for conversion and cancellation of all principal, interest and other amounts due under the Convertible Note (representing $0.0 million in aggregate consideration).</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Equity Securities under ASC 321</w:t>
      </w:r>
    </w:p>
    <w:p>
      <w:pPr>
        <w:pStyle w:val="TextBody"/>
        <w:spacing w:lineRule="auto" w:line="288" w:before="160" w:after="160"/>
        <w:ind w:left="0" w:right="0" w:firstLine="450"/>
        <w:rPr/>
      </w:pPr>
      <w:r>
        <w:rPr>
          <w:rFonts w:ascii="Times New Roman;sans-serif" w:hAnsi="Times New Roman;sans-serif"/>
          <w:b w:val="false"/>
          <w:color w:val="000000"/>
          <w:sz w:val="20"/>
        </w:rPr>
        <w:t xml:space="preserve">Upon conversion of the convertible promissory note receivable with GEG, the Company held a minority interest (less than 20%) in GEG, accounted for under ASC 321, </w:t>
      </w:r>
      <w:r>
        <w:rPr>
          <w:rFonts w:ascii="Times New Roman;sans-serif" w:hAnsi="Times New Roman;sans-serif"/>
          <w:b w:val="false"/>
          <w:i/>
          <w:color w:val="000000"/>
          <w:sz w:val="20"/>
        </w:rPr>
        <w:t>Investments - Equity Securities</w:t>
      </w:r>
      <w:r>
        <w:rPr>
          <w:color w:val="000000"/>
        </w:rPr>
        <w:t xml:space="preserve"> </w:t>
      </w:r>
      <w:r>
        <w:rPr>
          <w:rFonts w:ascii="Times New Roman;sans-serif" w:hAnsi="Times New Roman;sans-serif"/>
          <w:b w:val="false"/>
          <w:color w:val="000000"/>
          <w:sz w:val="20"/>
        </w:rPr>
        <w:t>("ASC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(loss)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 which may result in future impairment.</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During the fourth quarter of the fiscal year ended June 30, 2022, the Company determined its investment in GEG had declined significantly as a result of the business failing to achieve profitability due to weak market conditions for its products. The Company determined the book value of its investment exceeded its fair value and concluded this decline in value was other than temporary. The Company recorded a non-cash impairment charge of $2.2 million related to these equity securities. There was no carrying amount of equity securities held by the Company without readily determinable fair values at March 31, 2023 and June 30, 2022. During the three and nine months ended March 31, 2023 and 2022, there were no impairments recognized.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4 — Leases</w:t>
      </w:r>
    </w:p>
    <w:p>
      <w:pPr>
        <w:pStyle w:val="TextBody"/>
        <w:spacing w:lineRule="auto" w:line="288" w:before="160" w:after="160"/>
        <w:ind w:left="0" w:right="0" w:firstLine="450"/>
        <w:rPr/>
      </w:pPr>
      <w:r>
        <w:rPr>
          <w:rFonts w:ascii="Times New Roman;sans-serif" w:hAnsi="Times New Roman;sans-serif"/>
          <w:b w:val="false"/>
          <w:color w:val="000000"/>
          <w:sz w:val="20"/>
        </w:rPr>
        <w:t>The Company has operating leases for current corporate offices and certain equipment. These leases have remaining terms of appro</w:t>
      </w:r>
      <w:r>
        <w:rPr>
          <w:rFonts w:ascii="Times New Roman;sans-serif" w:hAnsi="Times New Roman;sans-serif"/>
          <w:b w:val="false"/>
          <w:color w:val="000000"/>
          <w:sz w:val="20"/>
          <w:highlight w:val="white"/>
        </w:rPr>
        <w:t xml:space="preserve">ximately one to nine years. </w:t>
      </w:r>
      <w:r>
        <w:rPr>
          <w:rFonts w:ascii="Times New Roman;sans-serif" w:hAnsi="Times New Roman;sans-serif"/>
          <w:b w:val="false"/>
          <w:color w:val="000000"/>
          <w:sz w:val="20"/>
        </w:rPr>
        <w:t xml:space="preserve">As of March 31, 2023, the weighted average remaining lease term and weighted average discount rate for operating leases was 8.36 years and 3.25%, respectively.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operating lease expense was $0.6 million and $0.8 million, respectively. For the nine months ended March 31, 2023 and 2022, operating lease expense was $2.2 million and $2.5 million, respectively.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was as follows (in thousands):</w:t>
      </w:r>
    </w:p>
    <w:tbl>
      <w:tblPr>
        <w:tblW w:w="8927" w:type="dxa"/>
        <w:jc w:val="left"/>
        <w:tblInd w:w="0" w:type="dxa"/>
        <w:tblCellMar>
          <w:top w:w="28" w:type="dxa"/>
          <w:left w:w="28" w:type="dxa"/>
          <w:bottom w:w="28" w:type="dxa"/>
          <w:right w:w="28" w:type="dxa"/>
        </w:tblCellMar>
      </w:tblPr>
      <w:tblGrid>
        <w:gridCol w:w="1395"/>
        <w:gridCol w:w="1225"/>
        <w:gridCol w:w="1234"/>
        <w:gridCol w:w="266"/>
        <w:gridCol w:w="589"/>
        <w:gridCol w:w="137"/>
        <w:gridCol w:w="137"/>
        <w:gridCol w:w="137"/>
        <w:gridCol w:w="137"/>
        <w:gridCol w:w="266"/>
        <w:gridCol w:w="589"/>
        <w:gridCol w:w="137"/>
        <w:gridCol w:w="109"/>
        <w:gridCol w:w="109"/>
        <w:gridCol w:w="109"/>
        <w:gridCol w:w="221"/>
        <w:gridCol w:w="646"/>
        <w:gridCol w:w="114"/>
        <w:gridCol w:w="114"/>
        <w:gridCol w:w="114"/>
        <w:gridCol w:w="114"/>
        <w:gridCol w:w="221"/>
        <w:gridCol w:w="646"/>
        <w:gridCol w:w="161"/>
      </w:tblGrid>
      <w:tr>
        <w:trPr/>
        <w:tc>
          <w:tcPr>
            <w:tcW w:w="139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3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at March 31, 2023 are as follows (in thousands):</w:t>
      </w:r>
    </w:p>
    <w:tbl>
      <w:tblPr>
        <w:tblW w:w="5838" w:type="dxa"/>
        <w:jc w:val="left"/>
        <w:tblInd w:w="0" w:type="dxa"/>
        <w:tblCellMar>
          <w:top w:w="28" w:type="dxa"/>
          <w:left w:w="28" w:type="dxa"/>
          <w:bottom w:w="28" w:type="dxa"/>
          <w:right w:w="28" w:type="dxa"/>
        </w:tblCellMar>
      </w:tblPr>
      <w:tblGrid>
        <w:gridCol w:w="1603"/>
        <w:gridCol w:w="1407"/>
        <w:gridCol w:w="1415"/>
        <w:gridCol w:w="109"/>
        <w:gridCol w:w="109"/>
        <w:gridCol w:w="109"/>
        <w:gridCol w:w="211"/>
        <w:gridCol w:w="721"/>
        <w:gridCol w:w="154"/>
      </w:tblGrid>
      <w:tr>
        <w:trPr/>
        <w:tc>
          <w:tcPr>
            <w:tcW w:w="1603"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4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three months ending June 30,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Note 5 — Long-Term Debt</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May 4, 2018, the Company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February 1, 2019, the Company entered into a loan modification agreement, which further amended the 2016 Credit Facility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2021, the Company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loan modification agreement ("Amendment No. 4"), effective September 30, 2022, which amended the 2016 Credit Facility, as previously amended. Amendment No. 4 revised the calculation of the minimum fixed charge coverage ratio (as defined in Amendment No. 4) and allows the Company to declare and pay dividends, up to $500,000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per quarter, through September 30, 2023. There were no other changes to the covenants or revolving loan facility as set forth in Amendment No. 3.</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March 31, 2023, the Company was in compliance with all applicable covenants under the 2016 Credit Facility, as amended.</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 As of March 31, 2023, the balances on the 2016 Term Loan and the revolving loan facility were zero.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Note 6 — Stockholders’ Equity</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three months ended March 31, 2023 and 2022</w:t>
      </w:r>
      <w:r>
        <w:rPr>
          <w:rFonts w:ascii="Times New Roman;sans-serif" w:hAnsi="Times New Roman;sans-serif"/>
          <w:b w:val="false"/>
          <w:color w:val="000000"/>
          <w:sz w:val="20"/>
          <w:highlight w:val="white"/>
        </w:rPr>
        <w:t xml:space="preserve">, the Company issued 38,000 and 23,000 shares of common stock under equity award plans, respectively. During the </w:t>
      </w:r>
      <w:r>
        <w:rPr>
          <w:rFonts w:ascii="Times New Roman;sans-serif" w:hAnsi="Times New Roman;sans-serif"/>
          <w:b w:val="false"/>
          <w:color w:val="000000"/>
          <w:sz w:val="20"/>
        </w:rPr>
        <w:t>nine months ended March 31, 2023 and 2022</w:t>
      </w:r>
      <w:r>
        <w:rPr>
          <w:rFonts w:ascii="Times New Roman;sans-serif" w:hAnsi="Times New Roman;sans-serif"/>
          <w:b w:val="false"/>
          <w:color w:val="000000"/>
          <w:sz w:val="20"/>
          <w:highlight w:val="white"/>
        </w:rPr>
        <w:t xml:space="preserve">, the Company issued 0.2 million and 0.1 million shares of common stock under equity award plans, respectively. During the </w:t>
      </w:r>
      <w:r>
        <w:rPr>
          <w:rFonts w:ascii="Times New Roman;sans-serif" w:hAnsi="Times New Roman;sans-serif"/>
          <w:b w:val="false"/>
          <w:color w:val="000000"/>
          <w:sz w:val="20"/>
        </w:rPr>
        <w:t>three months ended March 31, 2023 and 2022</w:t>
      </w:r>
      <w:r>
        <w:rPr>
          <w:rFonts w:ascii="Times New Roman;sans-serif" w:hAnsi="Times New Roman;sans-serif"/>
          <w:b w:val="false"/>
          <w:color w:val="000000"/>
          <w:sz w:val="20"/>
          <w:highlight w:val="white"/>
        </w:rPr>
        <w:t xml:space="preserve">, the Company issued no shares of common stock upon the exercise of stock options. During the </w:t>
      </w:r>
      <w:r>
        <w:rPr>
          <w:rFonts w:ascii="Times New Roman;sans-serif" w:hAnsi="Times New Roman;sans-serif"/>
          <w:b w:val="false"/>
          <w:color w:val="000000"/>
          <w:sz w:val="20"/>
        </w:rPr>
        <w:t>nine months ended March 31, 2023 and 2022</w:t>
      </w:r>
      <w:r>
        <w:rPr>
          <w:rFonts w:ascii="Times New Roman;sans-serif" w:hAnsi="Times New Roman;sans-serif"/>
          <w:b w:val="false"/>
          <w:color w:val="000000"/>
          <w:sz w:val="20"/>
          <w:highlight w:val="white"/>
        </w:rPr>
        <w:t xml:space="preserve">, the Company issued zero and 30,000 shares of common stock, respectively, upon the exercise of stock options. During the </w:t>
      </w:r>
      <w:r>
        <w:rPr>
          <w:rFonts w:ascii="Times New Roman;sans-serif" w:hAnsi="Times New Roman;sans-serif"/>
          <w:b w:val="false"/>
          <w:color w:val="000000"/>
          <w:sz w:val="20"/>
        </w:rPr>
        <w:t xml:space="preserve">three months ended March 31, 2023 and 2022, </w:t>
      </w:r>
      <w:r>
        <w:rPr>
          <w:rFonts w:ascii="Times New Roman;sans-serif" w:hAnsi="Times New Roman;sans-serif"/>
          <w:b w:val="false"/>
          <w:color w:val="000000"/>
          <w:sz w:val="20"/>
          <w:highlight w:val="white"/>
        </w:rPr>
        <w:t xml:space="preserve">14,000 and 5,000 shares of restricted stock were canceled or surrendered as payment of tax withholding upon vesting, respectively. During the </w:t>
      </w:r>
      <w:r>
        <w:rPr>
          <w:rFonts w:ascii="Times New Roman;sans-serif" w:hAnsi="Times New Roman;sans-serif"/>
          <w:b w:val="false"/>
          <w:color w:val="000000"/>
          <w:sz w:val="20"/>
        </w:rPr>
        <w:t xml:space="preserve">nine months ended March 31, 2023 and 2022, </w:t>
      </w:r>
      <w:r>
        <w:rPr>
          <w:rFonts w:ascii="Times New Roman;sans-serif" w:hAnsi="Times New Roman;sans-serif"/>
          <w:b w:val="false"/>
          <w:color w:val="000000"/>
          <w:sz w:val="20"/>
          <w:highlight w:val="white"/>
        </w:rPr>
        <w:t xml:space="preserve">36,000 and 29,000 shares of restricted stock were canceled or surrendered as payment of tax withholding upon vesting, respectively. </w:t>
      </w:r>
    </w:p>
    <w:p>
      <w:pPr>
        <w:pStyle w:val="TextBody"/>
        <w:spacing w:lineRule="auto" w:line="288" w:before="160" w:after="160"/>
        <w:ind w:left="0" w:right="0" w:firstLine="450"/>
        <w:rPr/>
      </w:pPr>
      <w:r>
        <w:rPr>
          <w:rFonts w:ascii="Times New Roman;sans-serif" w:hAnsi="Times New Roman;sans-serif"/>
          <w:b w:val="false"/>
          <w:color w:val="000000"/>
          <w:sz w:val="20"/>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the share repurchase program to increase the authorized share repurchase amount from $5 million to $15 million. On August 27, 2020, the Board of Directors approved an amendment to the share repurchase program to increase the authorized share repurchase amount from $15 million to $35 million and to extend the duration of the program through November 30, 20</w:t>
      </w:r>
      <w:r>
        <w:rPr>
          <w:rFonts w:ascii="Times New Roman;sans-serif" w:hAnsi="Times New Roman;sans-serif"/>
          <w:b w:val="false"/>
          <w:color w:val="000000"/>
          <w:sz w:val="20"/>
          <w:highlight w:val="white"/>
        </w:rPr>
        <w:t xml:space="preserve">23 and, on February 17, 2022, the Board of Directors approved an </w:t>
      </w:r>
      <w:r>
        <w:rPr>
          <w:rFonts w:ascii="Times New Roman;sans-serif" w:hAnsi="Times New Roman;sans-serif"/>
          <w:b w:val="false"/>
          <w:color w:val="000000"/>
          <w:sz w:val="20"/>
        </w:rPr>
        <w:t xml:space="preserve">amendment to the share repurchase program to increase the authorized share repurchase amount from $35 million to $60 million. </w:t>
      </w: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 xml:space="preserve">three and nine months ended March 31, 2023, </w:t>
      </w:r>
      <w:r>
        <w:rPr>
          <w:rFonts w:ascii="Times New Roman;sans-serif" w:hAnsi="Times New Roman;sans-serif"/>
          <w:b w:val="false"/>
          <w:color w:val="000000"/>
          <w:sz w:val="20"/>
          <w:highlight w:val="white"/>
        </w:rPr>
        <w:t xml:space="preserve">the Company purchased no shares of common stock under this repurchase program. During the </w:t>
      </w:r>
      <w:r>
        <w:rPr>
          <w:rFonts w:ascii="Times New Roman;sans-serif" w:hAnsi="Times New Roman;sans-serif"/>
          <w:b w:val="false"/>
          <w:color w:val="000000"/>
          <w:sz w:val="20"/>
        </w:rPr>
        <w:t xml:space="preserve">three and nine months ended </w:t>
      </w:r>
      <w:r>
        <w:rPr>
          <w:rFonts w:ascii="Times New Roman;sans-serif" w:hAnsi="Times New Roman;sans-serif"/>
          <w:b w:val="false"/>
          <w:color w:val="000000"/>
          <w:sz w:val="20"/>
          <w:highlight w:val="white"/>
        </w:rPr>
        <w:t>March 31, 2022</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the Company purchased 0.3 million and 1.2 million shares of common stock at an aggregate price of $1.7 million and $8.4 million under this repurchase program, respectively. At March 31, 2023, there is $27.7 million remaining under this repurchase program.</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The Company’s Certificate of Incorporation authorizes the issuance of preferred stock. However</w:t>
      </w:r>
      <w:r>
        <w:rPr>
          <w:rFonts w:ascii="Times New Roman;sans-serif" w:hAnsi="Times New Roman;sans-serif"/>
          <w:b w:val="false"/>
          <w:color w:val="000000"/>
          <w:sz w:val="20"/>
        </w:rPr>
        <w:t>, as of March 31, 2023, none have been issued nor have any rights or preferences been assigned to the preferred stock by the Company’s board of directors.</w:t>
      </w:r>
    </w:p>
    <w:p>
      <w:pPr>
        <w:pStyle w:val="TextBody"/>
        <w:spacing w:lineRule="auto" w:line="288" w:before="160" w:after="16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 xml:space="preserve">In August 2022, November 2022, and February 2023, the board of directors declared a quarterly cash dividend of $0.03 per share of common stock to be paid on September 15, 2022, December 15, 2022, and March 15, 2023, to stockholders of record on September 2, 2022, December 1, 2022, and March 1, 2023, respectively. </w:t>
      </w:r>
      <w:r>
        <w:rPr>
          <w:rFonts w:ascii="Times New Roman;sans-serif" w:hAnsi="Times New Roman;sans-serif"/>
          <w:b w:val="false"/>
          <w:color w:val="000000"/>
          <w:sz w:val="20"/>
        </w:rPr>
        <w:t>Cash dividends for the three and nine months ended March 31, 2023 totaled $0.4 million and $1.1 million, or $0.03 and $0.09 per share, respectively</w:t>
      </w:r>
      <w:r>
        <w:rPr>
          <w:rFonts w:ascii="Times New Roman;sans-serif" w:hAnsi="Times New Roman;sans-serif"/>
          <w:b w:val="false"/>
          <w:color w:val="000000"/>
          <w:sz w:val="20"/>
          <w:highlight w:val="white"/>
        </w:rPr>
        <w:t xml:space="preserve">.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60" w:after="16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declaration of dividends is subject to the discretion of the Company's board of directors and will depend upon various factors, including our earnings, financial condition, restrictions imposed by any indebtedness that may be outstanding, cash requirements, future prospects and other factors deemed relevant by the Company's board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Note 7 — Stock-Based Compensation</w:t>
      </w:r>
    </w:p>
    <w:p>
      <w:pPr>
        <w:pStyle w:val="TextBody"/>
        <w:spacing w:lineRule="auto" w:line="288" w:before="160" w:after="160"/>
        <w:ind w:left="0" w:right="0" w:firstLine="45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Incentive Plans</w:t>
      </w:r>
    </w:p>
    <w:p>
      <w:pPr>
        <w:pStyle w:val="TextBody"/>
        <w:spacing w:lineRule="auto" w:line="288" w:before="160" w:after="160"/>
        <w:ind w:left="0" w:right="0" w:firstLine="450"/>
        <w:rPr>
          <w:rFonts w:ascii="Times New Roman;sans-serif" w:hAnsi="Times New Roman;sans-serif"/>
          <w:b/>
          <w:color w:val="000000"/>
          <w:sz w:val="20"/>
        </w:rPr>
      </w:pPr>
      <w:r>
        <w:rPr>
          <w:rFonts w:ascii="Times New Roman;sans-serif" w:hAnsi="Times New Roman;sans-serif"/>
          <w:b/>
          <w:color w:val="000000"/>
          <w:sz w:val="20"/>
        </w:rPr>
        <w:t>Equity-Settled Plans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Effective November 21, 2016, no new awards can be granted under the 2007 Plan. As of March 31, 2023, there were no stock option awards outstanding under the 2007 Plan.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As of March 31, 2023, there were no stock option awards outstanding under the 2010 Plan. </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The Company adopted, and the stockholders approved, the 2017 Long-Term Incentive Plan (the “2017 Plan”), effective February 16, 2017, to provide incentives to eligible employees, directors and consultants.    The initial share pool approved was 650,000 shares. On February 2, 2018, November 15, 2018, November 12, 2020 and November 10, 2022, the stockholders approved amendments to the 2017 Plan to increase by 425,000 shares, 715,000 shares, 650,000 shares and 1,052,000 shares, respectively, the number of shares of the Company's common stock that are available for issuance under the 2017 Plan. As of March 31, 2023, a maximum of 4.0 million shares of the Company's common stock can be issued under the 2017 Plan in connection with the grant of awards which is calculated as the sum of (i) 3,492,000 shares and (ii) up to 475,000 shares previously reserved for issuance under the 2010 Plan, including shares returned upon cancellation, termination or forfeiture of awards that were previously granted under that plan. O</w:t>
      </w:r>
      <w:r>
        <w:rPr>
          <w:rFonts w:ascii="Times New Roman;sans-serif" w:hAnsi="Times New Roman;sans-serif"/>
          <w:b w:val="false"/>
          <w:color w:val="000000"/>
          <w:sz w:val="20"/>
        </w:rPr>
        <w:t>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is generally ten years. As of March 31, 2023, under the 2017 Plan, there were stock option awards outstanding, net of awards expired, for an aggregate of 0.1 million shares of the Company's common stock.</w:t>
      </w:r>
    </w:p>
    <w:p>
      <w:pPr>
        <w:pStyle w:val="TextBody"/>
        <w:spacing w:lineRule="auto" w:line="288" w:before="160" w:after="160"/>
        <w:ind w:left="0" w:right="0" w:firstLine="450"/>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spacing w:lineRule="auto" w:line="288" w:before="160" w:after="160"/>
        <w:ind w:left="0" w:right="0" w:firstLine="450"/>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The Company's 2019 Employee Stock Purchase Plan ("ESPP") was adopted by the board of directors in September 2018 and the Company's stockholders approved it in November 2018. The ESPP is intended to qualify under Section 423 of the Internal Revenue Code.</w:t>
      </w:r>
    </w:p>
    <w:p>
      <w:pPr>
        <w:pStyle w:val="TextBody"/>
        <w:spacing w:lineRule="auto" w:line="288" w:before="160" w:after="160"/>
        <w:ind w:left="0" w:right="0" w:firstLine="450"/>
        <w:rPr/>
      </w:pPr>
      <w:r>
        <w:rPr>
          <w:rFonts w:ascii="Times New Roman;sans-serif" w:hAnsi="Times New Roman;sans-serif"/>
          <w:b w:val="false"/>
          <w:i/>
          <w:color w:val="000000"/>
          <w:sz w:val="20"/>
        </w:rPr>
        <w:t>Share Reserve.</w:t>
      </w:r>
      <w:r>
        <w:rPr>
          <w:color w:val="000000"/>
        </w:rPr>
        <w:t xml:space="preserve"> </w:t>
      </w:r>
      <w:r>
        <w:rPr>
          <w:rFonts w:ascii="Times New Roman;sans-serif" w:hAnsi="Times New Roman;sans-serif"/>
          <w:b w:val="false"/>
          <w:color w:val="000000"/>
          <w:sz w:val="20"/>
        </w:rPr>
        <w:t>The Company has reserved 0.4 million shares of its common stock for issuance under the ESPP. As of March 31, 2023, 0.1 million shares were available for issuance. The number of shares reserved under the ESPP will automatically be adjusted in the event of a stock split, stock dividend or a reverse stock split (including an adjustment to the per-purchase period share limit).</w:t>
      </w:r>
    </w:p>
    <w:p>
      <w:pPr>
        <w:pStyle w:val="TextBody"/>
        <w:spacing w:lineRule="auto" w:line="288" w:before="160" w:after="160"/>
        <w:ind w:left="0" w:right="0" w:firstLine="450"/>
        <w:rPr/>
      </w:pPr>
      <w:r>
        <w:rPr>
          <w:rFonts w:ascii="Times New Roman;sans-serif" w:hAnsi="Times New Roman;sans-serif"/>
          <w:b w:val="false"/>
          <w:i/>
          <w:color w:val="000000"/>
          <w:sz w:val="20"/>
        </w:rPr>
        <w:t>Purchase Price.</w:t>
      </w:r>
      <w:r>
        <w:rPr>
          <w:color w:val="000000"/>
        </w:rPr>
        <w:t xml:space="preserve"> </w:t>
      </w:r>
      <w:r>
        <w:rPr>
          <w:rFonts w:ascii="Times New Roman;sans-serif" w:hAnsi="Times New Roman;sans-serif"/>
          <w:b w:val="false"/>
          <w:color w:val="000000"/>
          <w:sz w:val="20"/>
        </w:rPr>
        <w:t>Employees may purchase each share of common stock under the ESPP at a price equal to 85% of the lower of the fair market values of 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pStyle w:val="TextBody"/>
        <w:spacing w:lineRule="auto" w:line="288" w:before="160" w:after="160"/>
        <w:ind w:left="0" w:right="0" w:firstLine="450"/>
        <w:rPr/>
      </w:pPr>
      <w:r>
        <w:rPr>
          <w:rFonts w:ascii="Times New Roman;sans-serif" w:hAnsi="Times New Roman;sans-serif"/>
          <w:b w:val="false"/>
          <w:i/>
          <w:color w:val="000000"/>
          <w:sz w:val="20"/>
        </w:rPr>
        <w:t>Offering Periods.</w:t>
      </w:r>
      <w:r>
        <w:rPr>
          <w:color w:val="000000"/>
        </w:rPr>
        <w:t xml:space="preserve"> </w:t>
      </w:r>
      <w:r>
        <w:rPr>
          <w:rFonts w:ascii="Times New Roman;sans-serif" w:hAnsi="Times New Roman;sans-serif"/>
          <w:b w:val="false"/>
          <w:color w:val="000000"/>
          <w:sz w:val="20"/>
        </w:rPr>
        <w:t>Unless otherwise determined by the compensation committee, the ESPP will be operated through a series of successive six-month offering periods, which will begin each year on March 1 and September 1.</w:t>
      </w:r>
    </w:p>
    <w:p>
      <w:pPr>
        <w:pStyle w:val="TextBody"/>
        <w:spacing w:lineRule="auto" w:line="288" w:before="160" w:after="160"/>
        <w:ind w:left="0" w:right="0" w:firstLine="450"/>
        <w:rPr/>
      </w:pPr>
      <w:r>
        <w:rPr>
          <w:rFonts w:ascii="Times New Roman;sans-serif" w:hAnsi="Times New Roman;sans-serif"/>
          <w:b w:val="false"/>
          <w:color w:val="000000"/>
          <w:sz w:val="20"/>
        </w:rPr>
        <w:t>Duri</w:t>
      </w:r>
      <w:r>
        <w:rPr>
          <w:rFonts w:ascii="Times New Roman;sans-serif" w:hAnsi="Times New Roman;sans-serif"/>
          <w:b w:val="false"/>
          <w:color w:val="000000"/>
          <w:sz w:val="20"/>
          <w:highlight w:val="white"/>
        </w:rPr>
        <w:t xml:space="preserve">ng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w:t>
      </w:r>
      <w:r>
        <w:rPr>
          <w:color w:val="000000"/>
          <w:highlight w:val="white"/>
        </w:rPr>
        <w:t xml:space="preserve"> </w:t>
      </w:r>
      <w:r>
        <w:rPr>
          <w:rFonts w:ascii="Times New Roman;sans-serif" w:hAnsi="Times New Roman;sans-serif"/>
          <w:b w:val="false"/>
          <w:color w:val="000000"/>
          <w:sz w:val="20"/>
          <w:highlight w:val="white"/>
        </w:rPr>
        <w:t xml:space="preserve">approximately 40,000 and 41,000 shares of common stock were issued under the ESPP, respectively. </w:t>
      </w:r>
      <w:r>
        <w:rPr>
          <w:rFonts w:ascii="Times New Roman;sans-serif" w:hAnsi="Times New Roman;sans-serif"/>
          <w:b w:val="false"/>
          <w:color w:val="000000"/>
          <w:sz w:val="20"/>
        </w:rPr>
        <w:t>Duri</w:t>
      </w:r>
      <w:r>
        <w:rPr>
          <w:rFonts w:ascii="Times New Roman;sans-serif" w:hAnsi="Times New Roman;sans-serif"/>
          <w:b w:val="false"/>
          <w:color w:val="000000"/>
          <w:sz w:val="20"/>
          <w:highlight w:val="white"/>
        </w:rPr>
        <w:t xml:space="preserve">ng the </w:t>
      </w:r>
      <w:r>
        <w:rPr>
          <w:rFonts w:ascii="Times New Roman;sans-serif" w:hAnsi="Times New Roman;sans-serif"/>
          <w:b w:val="false"/>
          <w:color w:val="000000"/>
          <w:sz w:val="20"/>
        </w:rPr>
        <w:t>nine months ended March 31, 2023</w:t>
      </w:r>
      <w:r>
        <w:rPr>
          <w:color w:val="000000"/>
          <w:highlight w:val="white"/>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w:t>
      </w:r>
      <w:r>
        <w:rPr>
          <w:color w:val="000000"/>
          <w:highlight w:val="white"/>
        </w:rPr>
        <w:t xml:space="preserve"> </w:t>
      </w:r>
      <w:r>
        <w:rPr>
          <w:rFonts w:ascii="Times New Roman;sans-serif" w:hAnsi="Times New Roman;sans-serif"/>
          <w:b w:val="false"/>
          <w:color w:val="000000"/>
          <w:sz w:val="20"/>
          <w:highlight w:val="white"/>
        </w:rPr>
        <w:t xml:space="preserve">approximately 76,000 and 68,000 shares of common stock were issued under the ESPP, respectively.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160" w:after="160"/>
        <w:ind w:left="0" w:right="0" w:firstLine="450"/>
        <w:rPr>
          <w:rFonts w:ascii="Times New Roman;sans-serif" w:hAnsi="Times New Roman;sans-serif"/>
          <w:b w:val="false"/>
          <w:color w:val="000000"/>
          <w:sz w:val="20"/>
          <w:highlight w:val="white"/>
          <w:u w:val="single"/>
        </w:rPr>
      </w:pPr>
      <w:r>
        <w:rPr>
          <w:rFonts w:ascii="Times New Roman;sans-serif" w:hAnsi="Times New Roman;sans-serif"/>
          <w:b w:val="false"/>
          <w:color w:val="000000"/>
          <w:sz w:val="20"/>
          <w:highlight w:val="white"/>
          <w:u w:val="single"/>
        </w:rPr>
        <w:t>Stock-Based Compensation</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highlight w:val="white"/>
        </w:rPr>
        <w:t>, compensation of $0.8 million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r>
        <w:rPr>
          <w:rFonts w:ascii="Times New Roman;sans-serif" w:hAnsi="Times New Roman;sans-serif"/>
          <w:b w:val="false"/>
          <w:color w:val="000000"/>
          <w:sz w:val="20"/>
          <w:highlight w:val="white"/>
        </w:rPr>
        <w:t xml:space="preserve">For the </w:t>
      </w:r>
      <w:r>
        <w:rPr>
          <w:rFonts w:ascii="Times New Roman;sans-serif" w:hAnsi="Times New Roman;sans-serif"/>
          <w:b w:val="false"/>
          <w:color w:val="000000"/>
          <w:sz w:val="20"/>
        </w:rPr>
        <w:t>three months ended March 31, 2022</w:t>
      </w:r>
      <w:r>
        <w:rPr>
          <w:rFonts w:ascii="Times New Roman;sans-serif" w:hAnsi="Times New Roman;sans-serif"/>
          <w:b w:val="false"/>
          <w:color w:val="000000"/>
          <w:sz w:val="20"/>
          <w:highlight w:val="white"/>
        </w:rPr>
        <w:t>, a decrease to additional paid-in capital of $38,000</w:t>
      </w:r>
      <w:r>
        <w:rPr>
          <w:rFonts w:ascii="Times New Roman;sans-serif" w:hAnsi="Times New Roman;sans-serif"/>
          <w:b w:val="false"/>
          <w:color w:val="000000"/>
          <w:sz w:val="20"/>
        </w:rPr>
        <w:t xml:space="preserve">, all of which was employee related, was recognized due to changes in estimates in performance stock unit performance measures and reductions in headcount. </w:t>
      </w:r>
      <w:r>
        <w:rPr>
          <w:rFonts w:ascii="Times New Roman;sans-serif" w:hAnsi="Times New Roman;sans-serif"/>
          <w:b w:val="false"/>
          <w:color w:val="000000"/>
          <w:sz w:val="20"/>
          <w:highlight w:val="white"/>
        </w:rPr>
        <w:t>For the nine months ended March 31, 2023 and 2022, compensation of $2.2 million and $1.4 million, respectively,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Note 8 — Commitments and Contingencies</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2023, and based on the assessment, there are no probable loss contingencies requiring accrual or disclosures within its financial statements.</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Legal Accruals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pStyle w:val="TextBody"/>
        <w:spacing w:lineRule="auto" w:line="288" w:before="160" w:after="160"/>
        <w:ind w:left="0" w:right="0" w:firstLine="450"/>
        <w:rPr/>
      </w:pPr>
      <w:r>
        <w:rPr>
          <w:rFonts w:ascii="Times New Roman;sans-serif" w:hAnsi="Times New Roman;sans-serif"/>
          <w:b/>
          <w:color w:val="000000"/>
          <w:sz w:val="20"/>
        </w:rPr>
        <w:t>Class Action Lawsuit (</w:t>
      </w:r>
      <w:r>
        <w:rPr>
          <w:rFonts w:ascii="Times New Roman;sans-serif" w:hAnsi="Times New Roman;sans-serif"/>
          <w:b/>
          <w:i/>
          <w:color w:val="000000"/>
          <w:sz w:val="20"/>
        </w:rPr>
        <w:t>Smith v. LifeVantage Corp</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On January 24, 2018, a purported class action was filed in the United States District Court for the 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On June 15, 2021, the plaintiffs filed their motion for class certification, and on July 13, 2021, the defendants, including LifeVantage Corporation, filed their opposition brief that opposed class certification. On July 27, 2021, the Plaintiffs filed their reply to LifeVantage’s opposition brief. The court held a hearing for the motion for class certification on March 28, 2022. On April 19, 2022, the court issued an order denying the Plaintiff’s motion for class certification. On December 15, 2022, the case was dismissed with prejudice, which concluded litigation.</w:t>
      </w:r>
    </w:p>
    <w:p>
      <w:pPr>
        <w:pStyle w:val="TextBody"/>
        <w:spacing w:lineRule="auto" w:line="288" w:before="160" w:after="160"/>
        <w:ind w:left="0" w:right="0" w:firstLine="450"/>
        <w:rPr/>
      </w:pPr>
      <w:r>
        <w:rPr>
          <w:rFonts w:ascii="Times New Roman;sans-serif" w:hAnsi="Times New Roman;sans-serif"/>
          <w:b/>
          <w:color w:val="000000"/>
          <w:sz w:val="20"/>
        </w:rPr>
        <w:t>Other Matters.</w:t>
      </w:r>
      <w:r>
        <w:rPr>
          <w:color w:val="000000"/>
        </w:rPr>
        <w:t xml:space="preserve"> </w:t>
      </w:r>
      <w:r>
        <w:rPr>
          <w:rFonts w:ascii="Times New Roman;sans-serif" w:hAnsi="Times New Roman;sans-serif"/>
          <w:b w:val="false"/>
          <w:color w:val="000000"/>
          <w:sz w:val="20"/>
        </w:rPr>
        <w:t xml:space="preserve">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60" w:after="160"/>
        <w:ind w:left="0" w:right="0" w:firstLine="450"/>
        <w:rPr/>
      </w:pPr>
      <w:r>
        <w:rPr>
          <w:rFonts w:ascii="Times New Roman;sans-serif" w:hAnsi="Times New Roman;sans-serif"/>
          <w:b w:val="false"/>
          <w:color w:val="000000"/>
          <w:sz w:val="20"/>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w:t>
      </w:r>
      <w:r>
        <w:rPr>
          <w:rFonts w:ascii="Times New Roman;sans-serif" w:hAnsi="Times New Roman;sans-serif"/>
          <w:b w:val="false"/>
          <w:color w:val="000000"/>
          <w:sz w:val="20"/>
          <w:highlight w:val="white"/>
        </w:rPr>
        <w:t xml:space="preserve">d independent consultants as </w:t>
      </w:r>
      <w:r>
        <w:rPr>
          <w:rFonts w:ascii="Times New Roman;sans-serif" w:hAnsi="Times New Roman;sans-serif"/>
          <w:b w:val="false"/>
          <w:color w:val="000000"/>
          <w:sz w:val="20"/>
        </w:rPr>
        <w:t>well as a financially rewarding commission-based direct sales opportunity to our independent consultants.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consultants in two geographic regions that we have classified as the Americas region and the Asia/Pacific &amp; Europe region.</w:t>
      </w:r>
    </w:p>
    <w:p>
      <w:pPr>
        <w:pStyle w:val="TextBody"/>
        <w:spacing w:lineRule="auto" w:line="288" w:before="160" w:after="160"/>
        <w:ind w:left="0" w:right="0" w:firstLine="461"/>
        <w:rPr>
          <w:rFonts w:ascii="Times New Roman;sans-serif" w:hAnsi="Times New Roman;sans-serif"/>
          <w:b w:val="false"/>
          <w:color w:val="000000"/>
          <w:sz w:val="20"/>
        </w:rPr>
      </w:pPr>
      <w:r>
        <w:rPr>
          <w:rFonts w:ascii="Times New Roman;sans-serif" w:hAnsi="Times New Roman;sans-serif"/>
          <w:b w:val="false"/>
          <w:color w:val="000000"/>
          <w:sz w:val="20"/>
        </w:rPr>
        <w:t>The success and growth of our business is primarily based on the effectiveness of our independent consultants to attract and retain customers in order to sell our products and our ability to attract and retain independent consultants. When we are successful in attracting and retaining independent consultants and customers, it is largely because of:</w:t>
      </w:r>
    </w:p>
    <w:p>
      <w:pPr>
        <w:pStyle w:val="TextBody"/>
        <w:spacing w:lineRule="auto" w:line="288" w:before="160" w:after="160"/>
        <w:ind w:left="0" w:right="0" w:hanging="270"/>
        <w:rPr/>
      </w:pPr>
      <w:r>
        <w:rPr>
          <w:color w:val="000000"/>
          <w:highlight w:val="white"/>
        </w:rPr>
        <w:t>•</w:t>
      </w:r>
      <w:r>
        <w:rPr>
          <w:rFonts w:ascii="Times New Roman;sans-serif" w:hAnsi="Times New Roman;sans-serif"/>
          <w:b w:val="false"/>
          <w:color w:val="000000"/>
          <w:sz w:val="20"/>
        </w:rPr>
        <w:t>Our products, including our flagship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family of scientifically-validated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w:t>
      </w:r>
      <w:r>
        <w:rPr>
          <w:rFonts w:ascii="Times New Roman;sans-serif" w:hAnsi="Times New Roman;sans-serif"/>
          <w:b w:val="false"/>
          <w:color w:val="000000"/>
          <w:sz w:val="20"/>
        </w:rPr>
        <w:t xml:space="preserve">, </w:t>
      </w:r>
      <w:r>
        <w:rPr>
          <w:rFonts w:ascii="Times New Roman;sans-serif" w:hAnsi="Times New Roman;sans-serif"/>
          <w:b w:val="false"/>
          <w:color w:val="000000"/>
          <w:sz w:val="20"/>
        </w:rPr>
        <w:t>Rise AM, Reset PM, and D3+ dietary supplements, our line of Nrf2 enhanced TrueScience® skin, hair, bath &amp; body, and targeted relief products,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and PhysIQ, our smart weight management system;</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Our sales compensation plan and other sales initiatives and incentives; and</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Our delivery of superior customer service.</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the Philippines. The Company sold its products in China through a China approved cross-border e-commerce business model until March 15, 2023, at which time the Company closed its e-commerce business in China. Entering a new market requires a considerable amount of time, resources and continued support. If we are unable to properly support an existing or new market, our revenue growth may be negatively impacted.</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Impact of COVID-19 on Our Business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a result of the recent COVID-19 pandemic, we have made modifications and are continuing to evaluate additional potential modifications that may be needed, to protect our supply chain and preserve adequate liquidity to ensure that our business can continue to operate during uncertain times. Near the end of fiscal year 2020, as the COVID-19 pandemic began, we transitioned all of our corporate employees to a work from home model and during July 2021 we began to implement a hybrid schedule with opportunities for employees to return back to the office. That hybrid schedule continues to be in effect today. To date, our employees are performing and adapting well with the evolving environment. With respect to liquidity, we are evaluating and taking actions to ensure that we continue to responsibly manage expenses across our organization.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will continue to actively monitor how COVID-19 or any similar situation might affect business operations. We may take any necessary actions that alter our business operations as may be required by federal, state or local authorities or that we determine are in the best interests of our employees, independent consultants, customers, and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pPr>
      <w:r>
        <w:rPr>
          <w:rFonts w:ascii="Times New Roman;sans-serif" w:hAnsi="Times New Roman;sans-serif"/>
          <w:b/>
          <w:color w:val="000000"/>
          <w:sz w:val="20"/>
        </w:rPr>
        <w:t>Our</w:t>
      </w:r>
      <w:r>
        <w:rPr>
          <w:color w:val="000000"/>
          <w:highlight w:val="white"/>
        </w:rPr>
        <w:t xml:space="preserve"> </w:t>
      </w:r>
      <w:r>
        <w:rPr>
          <w:rFonts w:ascii="Times New Roman;sans-serif" w:hAnsi="Times New Roman;sans-serif"/>
          <w:b/>
          <w:color w:val="000000"/>
          <w:sz w:val="20"/>
          <w:highlight w:val="white"/>
        </w:rPr>
        <w:t>Products</w:t>
      </w:r>
    </w:p>
    <w:p>
      <w:pPr>
        <w:pStyle w:val="TextBody"/>
        <w:spacing w:lineRule="auto" w:line="288" w:before="160" w:after="160"/>
        <w:ind w:left="0" w:right="0" w:firstLine="450"/>
        <w:rPr/>
      </w:pPr>
      <w:r>
        <w:rPr>
          <w:rFonts w:ascii="Times New Roman;sans-serif" w:hAnsi="Times New Roman;sans-serif"/>
          <w:b w:val="false"/>
          <w:color w:val="000000"/>
          <w:sz w:val="20"/>
        </w:rPr>
        <w:t>Our products include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scientifically-validated dietary supplements, LifeVantage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Omega+ , ProBio, Daily Wellness, Rise AM, Reset PM, and D3+ dietary supplements, TrueScience</w:t>
      </w:r>
      <w:r>
        <w:rPr>
          <w:rFonts w:ascii="Times New Roman;sans-serif" w:hAnsi="Times New Roman;sans-serif"/>
          <w:b w:val="false"/>
          <w:color w:val="000000"/>
          <w:sz w:val="13"/>
        </w:rPr>
        <w:t>®</w:t>
      </w:r>
      <w:r>
        <w:rPr>
          <w:rFonts w:ascii="Times New Roman;sans-serif" w:hAnsi="Times New Roman;sans-serif"/>
          <w:b w:val="false"/>
          <w:color w:val="000000"/>
          <w:sz w:val="20"/>
        </w:rPr>
        <w:t>, our line of skin, bath &amp; body, target relief, and hair care products,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and PhysIQ, our smart weight management system.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line includes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and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highlight w:val="white"/>
        </w:rPr>
        <w:t>NAD Synergizer</w:t>
      </w:r>
      <w:r>
        <w:rPr>
          <w:rFonts w:ascii="Times New Roman;sans-serif" w:hAnsi="Times New Roman;sans-serif"/>
          <w:b w:val="false"/>
          <w:color w:val="000000"/>
          <w:sz w:val="13"/>
        </w:rPr>
        <w:t>®</w:t>
      </w:r>
      <w:r>
        <w:rPr>
          <w:rFonts w:ascii="Times New Roman;sans-serif" w:hAnsi="Times New Roman;sans-serif"/>
          <w:b w:val="false"/>
          <w:color w:val="000000"/>
          <w:sz w:val="20"/>
          <w:highlight w:val="white"/>
        </w:rPr>
        <w:t>. The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NRF1 Synergizer</w:t>
      </w:r>
      <w:r>
        <w:rPr>
          <w:rFonts w:ascii="Times New Roman;sans-serif" w:hAnsi="Times New Roman;sans-serif"/>
          <w:b w:val="false"/>
          <w:color w:val="000000"/>
          <w:sz w:val="13"/>
        </w:rPr>
        <w:t>®</w:t>
      </w:r>
      <w:r>
        <w:rPr>
          <w:color w:val="000000"/>
          <w:highlight w:val="white"/>
        </w:rPr>
        <w:t xml:space="preserve"> </w:t>
      </w:r>
      <w:r>
        <w:rPr>
          <w:rFonts w:ascii="Times New Roman;sans-serif" w:hAnsi="Times New Roman;sans-serif"/>
          <w:b w:val="false"/>
          <w:color w:val="000000"/>
          <w:sz w:val="20"/>
          <w:highlight w:val="white"/>
        </w:rPr>
        <w:t>is formulated to increase cellular energy and performance by boosting mitochondria production to improve cellular repair and slow cellular aging. The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Nrf2 Synergizer</w:t>
      </w:r>
      <w:r>
        <w:rPr>
          <w:rFonts w:ascii="Times New Roman;sans-serif" w:hAnsi="Times New Roman;sans-serif"/>
          <w:b w:val="false"/>
          <w:color w:val="000000"/>
          <w:sz w:val="13"/>
        </w:rPr>
        <w:t>®</w:t>
      </w:r>
      <w:r>
        <w:rPr>
          <w:color w:val="000000"/>
          <w:highlight w:val="white"/>
        </w:rPr>
        <w:t xml:space="preserve"> </w:t>
      </w:r>
      <w:r>
        <w:rPr>
          <w:rFonts w:ascii="Times New Roman;sans-serif" w:hAnsi="Times New Roman;sans-serif"/>
          <w:b w:val="false"/>
          <w:color w:val="000000"/>
          <w:sz w:val="20"/>
          <w:highlight w:val="white"/>
        </w:rPr>
        <w:t>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NAD Synergizer</w:t>
      </w:r>
      <w:r>
        <w:rPr>
          <w:rFonts w:ascii="Times New Roman;sans-serif" w:hAnsi="Times New Roman;sans-serif"/>
          <w:b w:val="false"/>
          <w:color w:val="000000"/>
          <w:sz w:val="13"/>
        </w:rPr>
        <w:t>®</w:t>
      </w:r>
      <w:r>
        <w:rPr>
          <w:color w:val="000000"/>
          <w:highlight w:val="white"/>
        </w:rPr>
        <w:t xml:space="preserve"> </w:t>
      </w:r>
      <w:r>
        <w:rPr>
          <w:rFonts w:ascii="Times New Roman;sans-serif" w:hAnsi="Times New Roman;sans-serif"/>
          <w:b w:val="false"/>
          <w:color w:val="000000"/>
          <w:sz w:val="20"/>
          <w:highlight w:val="white"/>
        </w:rPr>
        <w:t>was specifically formulated to target cell signaling pathways involved in the synthesis and recycling of a specific molecule c</w:t>
      </w:r>
      <w:r>
        <w:rPr>
          <w:rFonts w:ascii="Times New Roman;sans-serif" w:hAnsi="Times New Roman;sans-serif"/>
          <w:b w:val="false"/>
          <w:color w:val="000000"/>
          <w:sz w:val="20"/>
        </w:rPr>
        <w:t>alled NAD (nicotinamide adenine dinucleotide), and has been shown to double sirtuin activity, supporting increased health, focus, energy, mental clarity and mood. Use of the three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together has been shown to produce synergistic benefits greater than using the single products on their own.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is a dietary supplement that combines DHA and EPA Omega-3 fatty acids, Omega-7 fatty acids, and Vitamin D3 to support cognitive health, cardiovascular health, skin health, and the immune system.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ProBio is a dietary supplement designed to support optimal digestion and immune system function.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Daily Wellness is a dietary supplement designed to support and strengthen immune health. Our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anti-aging skin and hair care, and CBD Nrf2 enhanced, bath &amp; body, targeted relief products includes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Facial Cleanser,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Perfecting Lotion,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Eye Serum,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Anti-Aging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Beauty Serum,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Hand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Invigorating Shampoo,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Nourishing Conditioner,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Scalp Serum,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Body Lotion,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Body Wash,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Body Butter,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Deodorant,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Soothing Balm,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Body Rub, and TrueScience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Liquid Collagen. Petandim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supplement specially formulated to combat oxidative stress in dogs through Nrf2 activation.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our line of nootropic energy drink mixes formulated to promote alertness and support mental performance. PhysIQ is our smart weight management system, which includes PhysIQ Fat Burn, PhysIQ Prebiotic and PhysIQ Whey Protein, all formulated to aid in weight management. IC Bright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helps support eye and brain health, reduce eye fatigue and strain, supports cognitive functions, and may help support normal sleep patterns. </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synergy from nutrigenomic products to promote a healthier life. The Vitality Stack includes four of our nutrigenomics products —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NRF1 Synergizer</w:t>
      </w:r>
      <w:r>
        <w:rPr>
          <w:rFonts w:ascii="Times New Roman;sans-serif" w:hAnsi="Times New Roman;sans-serif"/>
          <w:b w:val="false"/>
          <w:color w:val="000000"/>
          <w:sz w:val="13"/>
          <w:highlight w:val="white"/>
        </w:rPr>
        <w:t>®</w:t>
      </w:r>
      <w:r>
        <w:rPr>
          <w:rFonts w:ascii="Times New Roman;sans-serif" w:hAnsi="Times New Roman;sans-serif"/>
          <w:b w:val="false"/>
          <w:color w:val="000000"/>
          <w:sz w:val="20"/>
          <w:highlight w:val="white"/>
        </w:rPr>
        <w:t>, Protandim</w:t>
      </w:r>
      <w:r>
        <w:rPr>
          <w:rFonts w:ascii="Times New Roman;sans-serif" w:hAnsi="Times New Roman;sans-serif"/>
          <w:b w:val="false"/>
          <w:color w:val="000000"/>
          <w:sz w:val="13"/>
          <w:highlight w:val="white"/>
        </w:rPr>
        <w:t xml:space="preserve">® </w:t>
      </w:r>
      <w:r>
        <w:rPr>
          <w:rFonts w:ascii="Times New Roman;sans-serif" w:hAnsi="Times New Roman;sans-serif"/>
          <w:b w:val="false"/>
          <w:color w:val="000000"/>
          <w:sz w:val="20"/>
          <w:highlight w:val="white"/>
        </w:rPr>
        <w:t>Nrf2 Synergizer</w:t>
      </w:r>
      <w:r>
        <w:rPr>
          <w:rFonts w:ascii="Times New Roman;sans-serif" w:hAnsi="Times New Roman;sans-serif"/>
          <w:b w:val="false"/>
          <w:color w:val="000000"/>
          <w:sz w:val="13"/>
          <w:highlight w:val="white"/>
        </w:rPr>
        <w:t>®</w:t>
      </w:r>
      <w:r>
        <w:rPr>
          <w:rFonts w:ascii="Times New Roman;sans-serif" w:hAnsi="Times New Roman;sans-serif"/>
          <w:b w:val="false"/>
          <w:color w:val="000000"/>
          <w:sz w:val="20"/>
          <w:highlight w:val="white"/>
        </w:rPr>
        <w:t>, LifeVantage</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rPr>
        <w:t>Omega+</w:t>
      </w:r>
      <w:r>
        <w:rPr>
          <w:color w:val="000000"/>
          <w:highlight w:val="white"/>
        </w:rPr>
        <w:t xml:space="preserve"> </w:t>
      </w:r>
      <w:r>
        <w:rPr>
          <w:rFonts w:ascii="Times New Roman;sans-serif" w:hAnsi="Times New Roman;sans-serif"/>
          <w:b w:val="false"/>
          <w:color w:val="000000"/>
          <w:sz w:val="20"/>
          <w:highlight w:val="white"/>
        </w:rPr>
        <w:t>and LifeVantage</w:t>
      </w:r>
      <w:r>
        <w:rPr>
          <w:rFonts w:ascii="Times New Roman;sans-serif" w:hAnsi="Times New Roman;sans-serif"/>
          <w:b w:val="false"/>
          <w:color w:val="000000"/>
          <w:sz w:val="13"/>
          <w:highlight w:val="white"/>
        </w:rPr>
        <w:t xml:space="preserve">® </w:t>
      </w:r>
      <w:r>
        <w:rPr>
          <w:rFonts w:ascii="Times New Roman;sans-serif" w:hAnsi="Times New Roman;sans-serif"/>
          <w:b w:val="false"/>
          <w:color w:val="000000"/>
          <w:sz w:val="20"/>
          <w:highlight w:val="white"/>
        </w:rPr>
        <w:t>ProBio. This product stack was designed to provide a foundation for wellness, supporting healthy organs, including the brain, heart, eyes, and other vitals. With the Ultimate Stack, we added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NAD Synergizer</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and PhysIQ Prebiotic to our Vitality Stack to support gut health and increase sirtuin activity, supporting increased health, focus, energy, mental clarity and mood. The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Tri-Synergizer</w:t>
      </w:r>
      <w:r>
        <w:rPr>
          <w:color w:val="000000"/>
          <w:highlight w:val="white"/>
        </w:rPr>
        <w:t xml:space="preserve">™ </w:t>
      </w:r>
      <w:r>
        <w:rPr>
          <w:rFonts w:ascii="Times New Roman;sans-serif" w:hAnsi="Times New Roman;sans-serif"/>
          <w:b w:val="false"/>
          <w:color w:val="000000"/>
          <w:sz w:val="20"/>
          <w:highlight w:val="white"/>
        </w:rPr>
        <w:t>consists of our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NRF1 Synergizer</w:t>
      </w:r>
      <w:r>
        <w:rPr>
          <w:rFonts w:ascii="Times New Roman;sans-serif" w:hAnsi="Times New Roman;sans-serif"/>
          <w:b w:val="false"/>
          <w:color w:val="000000"/>
          <w:sz w:val="13"/>
          <w:highlight w:val="white"/>
        </w:rPr>
        <w:t>®</w:t>
      </w:r>
      <w:r>
        <w:rPr>
          <w:rFonts w:ascii="Times New Roman;sans-serif" w:hAnsi="Times New Roman;sans-serif"/>
          <w:b w:val="false"/>
          <w:color w:val="000000"/>
          <w:sz w:val="20"/>
          <w:highlight w:val="white"/>
        </w:rPr>
        <w:t>,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Nrf2 Synergizer</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and Protandim</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NAD Synergizer</w:t>
      </w:r>
      <w:r>
        <w:rPr>
          <w:rFonts w:ascii="Times New Roman;sans-serif" w:hAnsi="Times New Roman;sans-serif"/>
          <w:b w:val="false"/>
          <w:color w:val="000000"/>
          <w:sz w:val="13"/>
          <w:highlight w:val="white"/>
        </w:rPr>
        <w:t>®</w:t>
      </w:r>
      <w:r>
        <w:rPr>
          <w:rFonts w:ascii="Times New Roman;sans-serif" w:hAnsi="Times New Roman;sans-serif"/>
          <w:b w:val="false"/>
          <w:color w:val="000000"/>
          <w:sz w:val="20"/>
          <w:highlight w:val="white"/>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We currently have additional products in development. Any delays or difficulties in intr</w:t>
      </w:r>
      <w:r>
        <w:rPr>
          <w:rFonts w:ascii="Times New Roman;sans-serif" w:hAnsi="Times New Roman;sans-serif"/>
          <w:b w:val="false"/>
          <w:color w:val="000000"/>
          <w:sz w:val="20"/>
        </w:rPr>
        <w:t xml:space="preserve">oducing compelling products or attractive initiatives or tools into our markets may have a negative impact on our revenue and our ability to attract new independent consultants and customers. </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Compensation Plan for our Independent Consultants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March 1, 2023, we launched a new compensation plan for our Independent Consultants in the United States, Japan, Australia, and New Zealand markets. We refer to this compensation plan as our Evolve Compensation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Accounts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Because we utilize a direct selling model for the distribution of a majority of our products, the success and growth of our business is primarily based on the effectiveness of our independent consultants to attract customers and sell our products and our ability to attract new and retain existing independent consultants. Changes in our product sales 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tbl>
      <w:tblPr>
        <w:tblW w:w="10205" w:type="dxa"/>
        <w:jc w:val="left"/>
        <w:tblInd w:w="0" w:type="dxa"/>
        <w:tblCellMar>
          <w:top w:w="28" w:type="dxa"/>
          <w:left w:w="28" w:type="dxa"/>
          <w:bottom w:w="28" w:type="dxa"/>
          <w:right w:w="28" w:type="dxa"/>
        </w:tblCellMar>
      </w:tblPr>
      <w:tblGrid>
        <w:gridCol w:w="835"/>
        <w:gridCol w:w="734"/>
        <w:gridCol w:w="738"/>
        <w:gridCol w:w="412"/>
        <w:gridCol w:w="414"/>
        <w:gridCol w:w="109"/>
        <w:gridCol w:w="109"/>
        <w:gridCol w:w="109"/>
        <w:gridCol w:w="109"/>
        <w:gridCol w:w="307"/>
        <w:gridCol w:w="309"/>
        <w:gridCol w:w="271"/>
        <w:gridCol w:w="109"/>
        <w:gridCol w:w="109"/>
        <w:gridCol w:w="109"/>
        <w:gridCol w:w="412"/>
        <w:gridCol w:w="414"/>
        <w:gridCol w:w="109"/>
        <w:gridCol w:w="109"/>
        <w:gridCol w:w="109"/>
        <w:gridCol w:w="109"/>
        <w:gridCol w:w="307"/>
        <w:gridCol w:w="309"/>
        <w:gridCol w:w="271"/>
        <w:gridCol w:w="109"/>
        <w:gridCol w:w="109"/>
        <w:gridCol w:w="109"/>
        <w:gridCol w:w="535"/>
        <w:gridCol w:w="451"/>
        <w:gridCol w:w="453"/>
        <w:gridCol w:w="109"/>
        <w:gridCol w:w="109"/>
        <w:gridCol w:w="109"/>
        <w:gridCol w:w="281"/>
        <w:gridCol w:w="278"/>
        <w:gridCol w:w="621"/>
      </w:tblGrid>
      <w:tr>
        <w:trPr/>
        <w:tc>
          <w:tcPr>
            <w:tcW w:w="83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r>
      <w:tr>
        <w:trPr/>
        <w:tc>
          <w:tcPr>
            <w:tcW w:w="2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from Prior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Independent Consultants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Active Independent Consultants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Active Customers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Accounts</w:t>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Active Accounts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5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60" w:after="16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and Nine Months ended March 31, 2023 and 2022</w:t>
      </w:r>
    </w:p>
    <w:p>
      <w:pPr>
        <w:pStyle w:val="TextBody"/>
        <w:spacing w:lineRule="auto" w:line="288" w:before="160" w:after="160"/>
        <w:ind w:left="0" w:right="0" w:firstLine="450"/>
        <w:rPr/>
      </w:pP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 xml:space="preserve">We generated net revenue of $53.7 million and $50.0 million during the three months ended March 31, 2023 and 2022, respectively. We generated net revenue of $159.2 million and $155.4 million during the nine months ended March 31, 2023 and 2022, respectively. </w:t>
      </w:r>
      <w:r>
        <w:rPr>
          <w:rFonts w:ascii="Times New Roman;sans-serif" w:hAnsi="Times New Roman;sans-serif"/>
          <w:b w:val="false"/>
          <w:color w:val="000000"/>
          <w:sz w:val="20"/>
          <w:highlight w:val="white"/>
        </w:rPr>
        <w:t>Foreign currency fluctuations negatively impacted our revenue $1.5 million or 3.0% and $6.7 million or 4.3% during the three and nine months ended March 31, 2023, respectively.</w:t>
      </w:r>
    </w:p>
    <w:p>
      <w:pPr>
        <w:pStyle w:val="TextBody"/>
        <w:spacing w:lineRule="auto" w:line="288" w:before="160" w:after="160"/>
        <w:ind w:left="0" w:right="0" w:firstLine="450"/>
        <w:rPr/>
      </w:pPr>
      <w:r>
        <w:rPr>
          <w:rFonts w:ascii="Times New Roman;sans-serif" w:hAnsi="Times New Roman;sans-serif"/>
          <w:b w:val="false"/>
          <w:color w:val="000000"/>
          <w:sz w:val="20"/>
          <w:u w:val="single"/>
        </w:rPr>
        <w:t>Americas</w:t>
      </w:r>
      <w:r>
        <w:rPr>
          <w:rFonts w:ascii="Times New Roman;sans-serif" w:hAnsi="Times New Roman;sans-serif"/>
          <w:b w:val="false"/>
          <w:color w:val="000000"/>
          <w:sz w:val="20"/>
        </w:rPr>
        <w:t>. The following table sets forth revenue for the three and nine months ended March 31, 2023 and 2022 for the Americas region (in thousands):</w:t>
      </w:r>
    </w:p>
    <w:tbl>
      <w:tblPr>
        <w:tblW w:w="9482" w:type="dxa"/>
        <w:jc w:val="left"/>
        <w:tblInd w:w="0" w:type="dxa"/>
        <w:tblCellMar>
          <w:top w:w="28" w:type="dxa"/>
          <w:left w:w="28" w:type="dxa"/>
          <w:bottom w:w="28" w:type="dxa"/>
          <w:right w:w="28" w:type="dxa"/>
        </w:tblCellMar>
      </w:tblPr>
      <w:tblGrid>
        <w:gridCol w:w="490"/>
        <w:gridCol w:w="429"/>
        <w:gridCol w:w="431"/>
        <w:gridCol w:w="211"/>
        <w:gridCol w:w="721"/>
        <w:gridCol w:w="109"/>
        <w:gridCol w:w="109"/>
        <w:gridCol w:w="109"/>
        <w:gridCol w:w="109"/>
        <w:gridCol w:w="211"/>
        <w:gridCol w:w="721"/>
        <w:gridCol w:w="109"/>
        <w:gridCol w:w="109"/>
        <w:gridCol w:w="109"/>
        <w:gridCol w:w="109"/>
        <w:gridCol w:w="255"/>
        <w:gridCol w:w="256"/>
        <w:gridCol w:w="483"/>
        <w:gridCol w:w="109"/>
        <w:gridCol w:w="109"/>
        <w:gridCol w:w="109"/>
        <w:gridCol w:w="211"/>
        <w:gridCol w:w="826"/>
        <w:gridCol w:w="109"/>
        <w:gridCol w:w="109"/>
        <w:gridCol w:w="109"/>
        <w:gridCol w:w="109"/>
        <w:gridCol w:w="211"/>
        <w:gridCol w:w="826"/>
        <w:gridCol w:w="109"/>
        <w:gridCol w:w="109"/>
        <w:gridCol w:w="109"/>
        <w:gridCol w:w="109"/>
        <w:gridCol w:w="291"/>
        <w:gridCol w:w="294"/>
        <w:gridCol w:w="544"/>
      </w:tblGrid>
      <w:tr>
        <w:trPr/>
        <w:tc>
          <w:tcPr>
            <w:tcW w:w="490"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160"/>
        <w:ind w:left="0" w:right="0" w:firstLine="450"/>
        <w:rPr/>
      </w:pPr>
      <w:r>
        <w:rPr>
          <w:rFonts w:ascii="Times New Roman;sans-serif" w:hAnsi="Times New Roman;sans-serif"/>
          <w:b w:val="false"/>
          <w:color w:val="000000"/>
          <w:sz w:val="20"/>
        </w:rPr>
        <w:t>Re</w:t>
      </w:r>
      <w:r>
        <w:rPr>
          <w:rFonts w:ascii="Times New Roman;sans-serif" w:hAnsi="Times New Roman;sans-serif"/>
          <w:b w:val="false"/>
          <w:color w:val="000000"/>
          <w:sz w:val="20"/>
          <w:highlight w:val="white"/>
        </w:rPr>
        <w:t xml:space="preserve">venue in the Americas region for the three and nine months ended March 31, 2023 increased $6.1 million or 18.2% and $11.0 million or 10.5%, respectively, from the prior year periods. </w:t>
      </w:r>
      <w:r>
        <w:rPr>
          <w:rFonts w:ascii="Times New Roman;sans-serif" w:hAnsi="Times New Roman;sans-serif"/>
          <w:b w:val="false"/>
          <w:color w:val="000000"/>
          <w:sz w:val="20"/>
        </w:rPr>
        <w:t xml:space="preserve">Total Active Accounts remained flat in the region compared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60" w:after="160"/>
        <w:rPr/>
      </w:pPr>
      <w:r>
        <w:rPr>
          <w:rFonts w:ascii="Times New Roman;sans-serif" w:hAnsi="Times New Roman;sans-serif"/>
          <w:b w:val="false"/>
          <w:color w:val="000000"/>
          <w:sz w:val="20"/>
        </w:rPr>
        <w:t xml:space="preserve">to the prior year </w:t>
      </w:r>
      <w:r>
        <w:rPr>
          <w:rFonts w:ascii="Times New Roman;sans-serif" w:hAnsi="Times New Roman;sans-serif"/>
          <w:b w:val="false"/>
          <w:color w:val="000000"/>
          <w:sz w:val="20"/>
          <w:highlight w:val="white"/>
        </w:rPr>
        <w:t>period. The average revenue per account increased due to changes in our product sales mix, driven primarily by our new TrueScience</w:t>
      </w:r>
      <w:r>
        <w:rPr>
          <w:rFonts w:ascii="Times New Roman;sans-serif" w:hAnsi="Times New Roman;sans-serif"/>
          <w:b w:val="false"/>
          <w:color w:val="000000"/>
          <w:sz w:val="13"/>
          <w:highlight w:val="white"/>
        </w:rPr>
        <w:t xml:space="preserve">® </w:t>
      </w:r>
      <w:r>
        <w:rPr>
          <w:rFonts w:ascii="Times New Roman;sans-serif" w:hAnsi="Times New Roman;sans-serif"/>
          <w:b w:val="false"/>
          <w:color w:val="000000"/>
          <w:sz w:val="20"/>
          <w:highlight w:val="white"/>
        </w:rPr>
        <w:t xml:space="preserve">Liquid Collagen product announced during our Activate 2022 event held in June 2022. </w:t>
      </w:r>
    </w:p>
    <w:p>
      <w:pPr>
        <w:pStyle w:val="TextBody"/>
        <w:spacing w:lineRule="auto" w:line="288" w:before="160" w:after="160"/>
        <w:ind w:left="0" w:right="0" w:firstLine="450"/>
        <w:rPr/>
      </w:pPr>
      <w:r>
        <w:rPr>
          <w:rFonts w:ascii="Times New Roman;sans-serif" w:hAnsi="Times New Roman;sans-serif"/>
          <w:b w:val="false"/>
          <w:color w:val="000000"/>
          <w:sz w:val="20"/>
          <w:u w:val="single"/>
        </w:rPr>
        <w:t>Asia/Pacific &amp; Europe</w:t>
      </w:r>
      <w:r>
        <w:rPr>
          <w:rFonts w:ascii="Times New Roman;sans-serif" w:hAnsi="Times New Roman;sans-serif"/>
          <w:b w:val="false"/>
          <w:color w:val="000000"/>
          <w:sz w:val="20"/>
        </w:rPr>
        <w:t>. The following table sets forth revenue for the three and nine months ended March 31, 2023 and 2022 for the Asia/Pacific &amp; Europe region and its principal markets (in thousands):</w:t>
      </w:r>
    </w:p>
    <w:tbl>
      <w:tblPr>
        <w:tblW w:w="10205" w:type="dxa"/>
        <w:jc w:val="left"/>
        <w:tblInd w:w="0" w:type="dxa"/>
        <w:tblCellMar>
          <w:top w:w="28" w:type="dxa"/>
          <w:left w:w="28" w:type="dxa"/>
          <w:bottom w:w="28" w:type="dxa"/>
          <w:right w:w="28" w:type="dxa"/>
        </w:tblCellMar>
      </w:tblPr>
      <w:tblGrid>
        <w:gridCol w:w="806"/>
        <w:gridCol w:w="701"/>
        <w:gridCol w:w="714"/>
        <w:gridCol w:w="211"/>
        <w:gridCol w:w="721"/>
        <w:gridCol w:w="109"/>
        <w:gridCol w:w="109"/>
        <w:gridCol w:w="109"/>
        <w:gridCol w:w="109"/>
        <w:gridCol w:w="211"/>
        <w:gridCol w:w="721"/>
        <w:gridCol w:w="109"/>
        <w:gridCol w:w="109"/>
        <w:gridCol w:w="109"/>
        <w:gridCol w:w="109"/>
        <w:gridCol w:w="287"/>
        <w:gridCol w:w="290"/>
        <w:gridCol w:w="483"/>
        <w:gridCol w:w="109"/>
        <w:gridCol w:w="109"/>
        <w:gridCol w:w="109"/>
        <w:gridCol w:w="211"/>
        <w:gridCol w:w="721"/>
        <w:gridCol w:w="109"/>
        <w:gridCol w:w="109"/>
        <w:gridCol w:w="109"/>
        <w:gridCol w:w="109"/>
        <w:gridCol w:w="211"/>
        <w:gridCol w:w="721"/>
        <w:gridCol w:w="109"/>
        <w:gridCol w:w="109"/>
        <w:gridCol w:w="109"/>
        <w:gridCol w:w="109"/>
        <w:gridCol w:w="289"/>
        <w:gridCol w:w="289"/>
        <w:gridCol w:w="547"/>
      </w:tblGrid>
      <w:tr>
        <w:trPr/>
        <w:tc>
          <w:tcPr>
            <w:tcW w:w="80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2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&amp; New Zealand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160"/>
        <w:ind w:left="0" w:right="0" w:firstLine="450"/>
        <w:rPr/>
      </w:pPr>
      <w:r>
        <w:rPr>
          <w:rFonts w:ascii="Times New Roman;sans-serif" w:hAnsi="Times New Roman;sans-serif"/>
          <w:b w:val="false"/>
          <w:color w:val="000000"/>
          <w:sz w:val="20"/>
          <w:highlight w:val="white"/>
        </w:rPr>
        <w:t>Revenue in the Asia/Pacific &amp; Europe region decreased $2.4 million or 14.2% and $7.2 million or 14.3% for the three and nine months ended March 31, 2023, respectively, as com</w:t>
      </w:r>
      <w:r>
        <w:rPr>
          <w:rFonts w:ascii="Times New Roman;sans-serif" w:hAnsi="Times New Roman;sans-serif"/>
          <w:b w:val="false"/>
          <w:color w:val="000000"/>
          <w:sz w:val="20"/>
        </w:rPr>
        <w:t>pared to the prior year periods. Active Accounts in the region decreased 16.3% compared to the prior year</w:t>
      </w:r>
      <w:r>
        <w:rPr>
          <w:color w:val="000000"/>
          <w:highlight w:val="white"/>
        </w:rPr>
        <w:t xml:space="preserve"> </w:t>
      </w:r>
      <w:r>
        <w:rPr>
          <w:rFonts w:ascii="Times New Roman;sans-serif" w:hAnsi="Times New Roman;sans-serif"/>
          <w:b w:val="false"/>
          <w:color w:val="000000"/>
          <w:sz w:val="20"/>
          <w:highlight w:val="white"/>
        </w:rPr>
        <w:t>period. Decreases in total Active Accounts along with negative impacts from foreign currency exchange rate fluctuations have contributed to the overall decrease in revenue within the Asia/Pacific &amp; Europe region. We continue to be encouraged by the results we are seeing from our launch in the Philippines due to continued consultant leadership development and advancement.</w:t>
      </w:r>
    </w:p>
    <w:p>
      <w:pPr>
        <w:pStyle w:val="TextBody"/>
        <w:spacing w:lineRule="auto" w:line="288" w:before="160" w:after="16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Overall, revenue in the Asia/Pacific &amp; Europe region was negatively impacted by foreign currency exchange rate fluctuations in the amount of approximately $1.5 million or 9.0% and $6.6 million or 13.2% during the three and nine months ended March 31, 2023, respectively, as compared to the prior year periods, mainly due to currency fluctuations in Japan. Revenue in Japan was negatively impacted by foreign exchange rate fluctuations in the amount of approximately $1.1 million or 12.9% and $5.0 million or 17.3%, during the three and nine months ended March 31, 2023, respectively, as compared to the prior year periods. On a constant currency basis, revenue in Japan increased 5.8% and decreased 1.1% for the three and nine months ended March 31, 2023, respectively, as compared to the prior year periods. </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Globally, our sales and marketing efforts continue to be directed toward strengthening our core business through our fiscal year initiatives and building our worldwide revenue. During fiscal year 2023, we launched our TrueScience</w:t>
      </w:r>
      <w:r>
        <w:rPr>
          <w:rFonts w:ascii="Times New Roman;sans-serif" w:hAnsi="Times New Roman;sans-serif"/>
          <w:b w:val="false"/>
          <w:color w:val="000000"/>
          <w:sz w:val="13"/>
          <w:highlight w:val="white"/>
        </w:rPr>
        <w:t xml:space="preserve">® </w:t>
      </w:r>
      <w:r>
        <w:rPr>
          <w:rFonts w:ascii="Times New Roman;sans-serif" w:hAnsi="Times New Roman;sans-serif"/>
          <w:b w:val="false"/>
          <w:color w:val="000000"/>
          <w:sz w:val="20"/>
          <w:highlight w:val="white"/>
        </w:rPr>
        <w:t>Liquid Collagen to our Japan, Australia, and New Zealand markets along with launching our new LifeVantage</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Rise AM, LifeVantage</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Reset PM and LifeVantage</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D3+ products. During fiscal year 2022, we launched our new LifeVantage</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IC Bright</w:t>
      </w:r>
      <w:r>
        <w:rPr>
          <w:rFonts w:ascii="Times New Roman;sans-serif" w:hAnsi="Times New Roman;sans-serif"/>
          <w:b w:val="false"/>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eye health product in October 2021 and TrueScience</w:t>
      </w:r>
      <w:r>
        <w:rPr>
          <w:rFonts w:ascii="Times New Roman;sans-serif" w:hAnsi="Times New Roman;sans-serif"/>
          <w:b w:val="false"/>
          <w:color w:val="000000"/>
          <w:sz w:val="13"/>
          <w:highlight w:val="white"/>
        </w:rPr>
        <w:t xml:space="preserve">® </w:t>
      </w:r>
      <w:r>
        <w:rPr>
          <w:rFonts w:ascii="Times New Roman;sans-serif" w:hAnsi="Times New Roman;sans-serif"/>
          <w:b w:val="false"/>
          <w:color w:val="000000"/>
          <w:sz w:val="20"/>
          <w:highlight w:val="white"/>
        </w:rPr>
        <w:t>Liquid Collagen in June 2022 to the US market. We have seen and continue to expect that these product launches will help drive revenue growth globally through increased average order size and increased ability to attract and retain new independent consultants and customers with a compelling product lineup.</w:t>
      </w:r>
    </w:p>
    <w:p>
      <w:pPr>
        <w:pStyle w:val="TextBody"/>
        <w:spacing w:lineRule="auto" w:line="288" w:before="160" w:after="160"/>
        <w:ind w:left="0" w:right="0" w:firstLine="450"/>
        <w:rPr/>
      </w:pPr>
      <w:r>
        <w:rPr>
          <w:rFonts w:ascii="Times New Roman;sans-serif" w:hAnsi="Times New Roman;sans-serif"/>
          <w:b w:val="false"/>
          <w:i/>
          <w:color w:val="000000"/>
          <w:sz w:val="20"/>
          <w:highlight w:val="white"/>
        </w:rPr>
        <w:t xml:space="preserve">Gross Margin. </w:t>
      </w:r>
      <w:r>
        <w:rPr>
          <w:rFonts w:ascii="Times New Roman;sans-serif" w:hAnsi="Times New Roman;sans-serif"/>
          <w:b w:val="false"/>
          <w:color w:val="000000"/>
          <w:sz w:val="20"/>
          <w:highlight w:val="white"/>
        </w:rPr>
        <w:t xml:space="preserve">Our gross profit percentage for the three months ended March 31, 2023 and 2022 was 80.2% and 80.7%, respectively. Our gross profit percentage for the </w:t>
      </w:r>
      <w:r>
        <w:rPr>
          <w:rFonts w:ascii="Times New Roman;sans-serif" w:hAnsi="Times New Roman;sans-serif"/>
          <w:b w:val="false"/>
          <w:color w:val="000000"/>
          <w:sz w:val="20"/>
        </w:rPr>
        <w:t>nine months ended March 31, 2023</w:t>
      </w:r>
      <w:r>
        <w:rPr>
          <w:color w:val="000000"/>
          <w:highlight w:val="white"/>
        </w:rPr>
        <w:t xml:space="preserve"> </w:t>
      </w:r>
      <w:r>
        <w:rPr>
          <w:rFonts w:ascii="Times New Roman;sans-serif" w:hAnsi="Times New Roman;sans-serif"/>
          <w:b w:val="false"/>
          <w:color w:val="000000"/>
          <w:sz w:val="20"/>
          <w:highlight w:val="white"/>
        </w:rPr>
        <w:t xml:space="preserve">and 2022 was 79.7% and 81.5%, respectively. The decrease in gross margins, as compared to the prior year periods, is primarily due to increased shipping to customer expenses during the current year period as well as shifts in geographic and product sales mix. </w:t>
      </w:r>
    </w:p>
    <w:p>
      <w:pPr>
        <w:pStyle w:val="TextBody"/>
        <w:spacing w:lineRule="auto" w:line="288" w:before="160" w:after="160"/>
        <w:ind w:left="0" w:right="0" w:firstLine="450"/>
        <w:rPr/>
      </w:pPr>
      <w:r>
        <w:rPr>
          <w:rFonts w:ascii="Times New Roman;sans-serif" w:hAnsi="Times New Roman;sans-serif"/>
          <w:b w:val="false"/>
          <w:i/>
          <w:color w:val="000000"/>
          <w:sz w:val="20"/>
          <w:highlight w:val="white"/>
        </w:rPr>
        <w:t>Commissions and Incentives.</w:t>
      </w:r>
      <w:r>
        <w:rPr>
          <w:color w:val="000000"/>
          <w:highlight w:val="white"/>
        </w:rPr>
        <w:t xml:space="preserve"> </w:t>
      </w:r>
      <w:r>
        <w:rPr>
          <w:rFonts w:ascii="Times New Roman;sans-serif" w:hAnsi="Times New Roman;sans-serif"/>
          <w:b w:val="false"/>
          <w:color w:val="000000"/>
          <w:sz w:val="20"/>
          <w:highlight w:val="white"/>
        </w:rPr>
        <w:t xml:space="preserve">Commissions and incentives expenses during the three months ended March 31, 2023 were $23.8 million or 44.3% of revenue as compared to $23.2 million or 46.4% of revenue for the three months ended March 31, 2022. Commissions and incentives expenses during the </w:t>
      </w:r>
      <w:r>
        <w:rPr>
          <w:rFonts w:ascii="Times New Roman;sans-serif" w:hAnsi="Times New Roman;sans-serif"/>
          <w:b w:val="false"/>
          <w:color w:val="000000"/>
          <w:sz w:val="20"/>
        </w:rPr>
        <w:t>nine months ended March 31, 2023</w:t>
      </w:r>
      <w:r>
        <w:rPr>
          <w:color w:val="000000"/>
          <w:highlight w:val="white"/>
        </w:rPr>
        <w:t xml:space="preserve"> </w:t>
      </w:r>
      <w:r>
        <w:rPr>
          <w:rFonts w:ascii="Times New Roman;sans-serif" w:hAnsi="Times New Roman;sans-serif"/>
          <w:b w:val="false"/>
          <w:color w:val="000000"/>
          <w:sz w:val="20"/>
          <w:highlight w:val="white"/>
        </w:rPr>
        <w:t xml:space="preserve">were $71.2 million or 44.7% of revenue as compared to $72.8 million or 46.8% of revenue for the </w:t>
      </w:r>
      <w:r>
        <w:rPr>
          <w:rFonts w:ascii="Times New Roman;sans-serif" w:hAnsi="Times New Roman;sans-serif"/>
          <w:b w:val="false"/>
          <w:color w:val="000000"/>
          <w:sz w:val="20"/>
        </w:rPr>
        <w:t>nine months ended March 31, 2022</w:t>
      </w:r>
      <w:r>
        <w:rPr>
          <w:rFonts w:ascii="Times New Roman;sans-serif" w:hAnsi="Times New Roman;sans-serif"/>
          <w:b w:val="false"/>
          <w:color w:val="000000"/>
          <w:sz w:val="20"/>
          <w:highlight w:val="white"/>
        </w:rPr>
        <w:t>. The decrease in commissions and incentives expenses as a percentage of revenue compared to the prior year periods is due mainly to the price increases on many of our products during the current period as well as due to the timing and magnitude of our various promotional and incentive programs. Commissions and incentives expenses, as a percentage of revenue, may fluctuate in future periods based on ability to hold incentive trips and events and the timing and magnitude of compensation, incentive and promotional programs.</w:t>
      </w:r>
    </w:p>
    <w:p>
      <w:pPr>
        <w:pStyle w:val="TextBody"/>
        <w:spacing w:lineRule="auto" w:line="288" w:before="160" w:after="160"/>
        <w:ind w:left="0" w:right="0" w:firstLine="450"/>
        <w:rPr/>
      </w:pP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Selling, general and administrative expenses during the three months ended March 31, 2023 were $17.7 million or 33.0% of revenue as compared to $15.3 million or 30.6% of revenue for the three months ended March 31, 2022</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Selling, general and administrative expenses during the nine months ended March 31, 2023 were $54.0 million</w:t>
      </w:r>
      <w:r>
        <w:rPr>
          <w:color w:val="000000"/>
          <w:highlight w:val="white"/>
        </w:rPr>
        <w:t xml:space="preserve"> </w:t>
      </w:r>
      <w:r>
        <w:rPr>
          <w:rFonts w:ascii="Times New Roman;sans-serif" w:hAnsi="Times New Roman;sans-serif"/>
          <w:b w:val="false"/>
          <w:color w:val="000000"/>
          <w:sz w:val="20"/>
          <w:highlight w:val="white"/>
        </w:rPr>
        <w:t xml:space="preserve">or 33.9% of revenue as compared to $47.8 million or 30.8% of revenue for the </w:t>
      </w:r>
      <w:r>
        <w:rPr>
          <w:rFonts w:ascii="Times New Roman;sans-serif" w:hAnsi="Times New Roman;sans-serif"/>
          <w:b w:val="false"/>
          <w:color w:val="000000"/>
          <w:sz w:val="20"/>
        </w:rPr>
        <w:t>nine months ended March 31, 2022</w:t>
      </w:r>
      <w:r>
        <w:rPr>
          <w:rFonts w:ascii="Times New Roman;sans-serif" w:hAnsi="Times New Roman;sans-serif"/>
          <w:b w:val="false"/>
          <w:color w:val="000000"/>
          <w:sz w:val="20"/>
          <w:highlight w:val="white"/>
        </w:rPr>
        <w:t xml:space="preserve">. The increase in selling, general and administrative expenses as a percentage of revenue during the three and nine months ended March 31, 2023 compared to the prior year periods is primarily due to increased event and travel expenses, employee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compensation, and outside professional services related to Company-wide initiatives which launched in March 2023. These increases have been offset by decreases in legal, accounting, and tax services. </w:t>
      </w:r>
    </w:p>
    <w:p>
      <w:pPr>
        <w:pStyle w:val="TextBody"/>
        <w:spacing w:lineRule="auto" w:line="288" w:before="160" w:after="160"/>
        <w:ind w:left="0" w:right="0" w:firstLine="450"/>
        <w:rPr/>
      </w:pPr>
      <w:r>
        <w:rPr>
          <w:rFonts w:ascii="Times New Roman;sans-serif" w:hAnsi="Times New Roman;sans-serif"/>
          <w:b w:val="false"/>
          <w:i/>
          <w:color w:val="000000"/>
          <w:sz w:val="20"/>
        </w:rPr>
        <w:t>Total Other Income (Expens</w:t>
      </w:r>
      <w:r>
        <w:rPr>
          <w:rFonts w:ascii="Times New Roman;sans-serif" w:hAnsi="Times New Roman;sans-serif"/>
          <w:b w:val="false"/>
          <w:i/>
          <w:color w:val="000000"/>
          <w:sz w:val="20"/>
          <w:highlight w:val="white"/>
        </w:rPr>
        <w:t>e).</w:t>
      </w:r>
      <w:r>
        <w:rPr>
          <w:color w:val="000000"/>
          <w:highlight w:val="white"/>
        </w:rPr>
        <w:t xml:space="preserve"> </w:t>
      </w: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 xml:space="preserve">we recognized total net other income of $0.1 million as compared to expense of $0.1 million for the </w:t>
      </w:r>
      <w:r>
        <w:rPr>
          <w:rFonts w:ascii="Times New Roman;sans-serif" w:hAnsi="Times New Roman;sans-serif"/>
          <w:b w:val="false"/>
          <w:color w:val="000000"/>
          <w:sz w:val="20"/>
        </w:rPr>
        <w:t>three months ended March 31, 2022</w:t>
      </w:r>
      <w:r>
        <w:rPr>
          <w:rFonts w:ascii="Times New Roman;sans-serif" w:hAnsi="Times New Roman;sans-serif"/>
          <w:b w:val="false"/>
          <w:color w:val="000000"/>
          <w:sz w:val="20"/>
          <w:highlight w:val="white"/>
        </w:rPr>
        <w:t xml:space="preserve">. During the </w:t>
      </w:r>
      <w:r>
        <w:rPr>
          <w:rFonts w:ascii="Times New Roman;sans-serif" w:hAnsi="Times New Roman;sans-serif"/>
          <w:b w:val="false"/>
          <w:color w:val="000000"/>
          <w:sz w:val="20"/>
        </w:rPr>
        <w:t>nine months ended March 31, 2023</w:t>
      </w:r>
      <w:r>
        <w:rPr>
          <w:color w:val="000000"/>
          <w:highlight w:val="white"/>
        </w:rPr>
        <w:t xml:space="preserve"> </w:t>
      </w:r>
      <w:r>
        <w:rPr>
          <w:rFonts w:ascii="Times New Roman;sans-serif" w:hAnsi="Times New Roman;sans-serif"/>
          <w:b w:val="false"/>
          <w:color w:val="000000"/>
          <w:sz w:val="20"/>
          <w:highlight w:val="white"/>
        </w:rPr>
        <w:t xml:space="preserve">we recognized total net other expense of $0.2 million as compared to $0.4 million for the </w:t>
      </w:r>
      <w:r>
        <w:rPr>
          <w:rFonts w:ascii="Times New Roman;sans-serif" w:hAnsi="Times New Roman;sans-serif"/>
          <w:b w:val="false"/>
          <w:color w:val="000000"/>
          <w:sz w:val="20"/>
        </w:rPr>
        <w:t>nine months ended March 31, 2022</w:t>
      </w:r>
      <w:r>
        <w:rPr>
          <w:rFonts w:ascii="Times New Roman;sans-serif" w:hAnsi="Times New Roman;sans-serif"/>
          <w:b w:val="false"/>
          <w:color w:val="000000"/>
          <w:sz w:val="20"/>
          <w:highlight w:val="white"/>
        </w:rPr>
        <w:t xml:space="preserve">. Total net other income (expense) for the three and nine months ended March 31, 2023 and 2022 consisted primarily of foreign currency gains and losses, offset by interest income. </w:t>
      </w:r>
    </w:p>
    <w:p>
      <w:pPr>
        <w:pStyle w:val="TextBody"/>
        <w:spacing w:lineRule="auto" w:line="288" w:before="160" w:after="160"/>
        <w:ind w:left="0" w:right="0" w:firstLine="450"/>
        <w:rPr/>
      </w:pPr>
      <w:r>
        <w:rPr>
          <w:rFonts w:ascii="Times New Roman;sans-serif" w:hAnsi="Times New Roman;sans-serif"/>
          <w:b w:val="false"/>
          <w:i/>
          <w:color w:val="000000"/>
          <w:sz w:val="20"/>
          <w:highlight w:val="white"/>
        </w:rPr>
        <w:t>Income Tax Expense</w:t>
      </w:r>
      <w:r>
        <w:rPr>
          <w:rFonts w:ascii="Times New Roman;sans-serif" w:hAnsi="Times New Roman;sans-serif"/>
          <w:b w:val="false"/>
          <w:color w:val="000000"/>
          <w:sz w:val="20"/>
          <w:highlight w:val="white"/>
        </w:rPr>
        <w:t>. We recognized income tax expense of $0.6 million and $0.9 million for the three and nine months ended March 31, 2023, respectively, as compared to income tax expense of $0.6 million and $1.1 million for the three and nine months ended March 31, 2022, respectively.</w:t>
      </w:r>
    </w:p>
    <w:p>
      <w:pPr>
        <w:pStyle w:val="TextBody"/>
        <w:spacing w:lineRule="auto" w:line="268" w:before="0" w:after="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change in the effective tax rate for the nine months ended March 31, 2023 compared to the prior year period was due to changes in taxable income and the impact of discrete items.</w:t>
      </w:r>
    </w:p>
    <w:p>
      <w:pPr>
        <w:pStyle w:val="TextBody"/>
        <w:spacing w:lineRule="auto" w:line="288" w:before="160" w:after="16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expect that our effective tax rate will fluctuate slightly during the remainder of fiscal 2023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60" w:after="16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Liquidity</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 xml:space="preserve">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t>
      </w:r>
      <w:r>
        <w:rPr>
          <w:rFonts w:ascii="Times New Roman;sans-serif" w:hAnsi="Times New Roman;sans-serif"/>
          <w:b w:val="false"/>
          <w:color w:val="000000"/>
          <w:sz w:val="20"/>
        </w:rPr>
        <w:t>We have generally relied on cash flow from operations to fund operating activities and we have, at times, incurred long-term debt in order to fund stock repurchases and strategic transactions.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available liquidity was $19.5 million, which consisted of available cash and cash equivalents. This represents a decrease of $0.7 million from the $20.2 million in cash and cash equivalents as of June 30, 2022.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March 31, 2023, our net cash provided by operating activities was $3.1 million as compared to $5.2 million during the nine months ended March 31, 2022.</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March 31, 2023, our net cash used in investing activities was $2.6 million, as a result of the purchase of fixed assets. During the nine months ended March 31, 2022, our net cash used in investing activities was $1.3 million, as a result of the purchase of fixed assets.</w:t>
      </w:r>
    </w:p>
    <w:p>
      <w:pPr>
        <w:pStyle w:val="TextBody"/>
        <w:spacing w:lineRule="auto" w:line="288" w:before="160" w:after="160"/>
        <w:ind w:left="0" w:right="0" w:firstLine="450"/>
        <w:rPr/>
      </w:pPr>
      <w:r>
        <w:rPr>
          <w:rFonts w:ascii="Times New Roman;sans-serif" w:hAnsi="Times New Roman;sans-serif"/>
          <w:b w:val="false"/>
          <w:color w:val="000000"/>
          <w:sz w:val="20"/>
        </w:rPr>
        <w:t>Cash used in financing activities during the nine months ended March 31, 2023 was $1.0 million as a result of our payment of a cash dividend and shares purchased as payment of tax withholding upon vesting of equity awards, partially offset by proceeds from stock issued under our employee stock purchase plan. Cash used in financing activities during the nine months ended March 31, 2022 was $8.1 million as a result of our repurchas</w:t>
      </w:r>
      <w:r>
        <w:rPr>
          <w:rFonts w:ascii="Times New Roman;sans-serif" w:hAnsi="Times New Roman;sans-serif"/>
          <w:b w:val="false"/>
          <w:color w:val="000000"/>
          <w:sz w:val="20"/>
          <w:highlight w:val="white"/>
        </w:rPr>
        <w:t xml:space="preserve">e of common stock, and shares purchased as payment of tax </w:t>
      </w:r>
      <w:r>
        <w:rPr>
          <w:rFonts w:ascii="Times New Roman;sans-serif" w:hAnsi="Times New Roman;sans-serif"/>
          <w:b w:val="false"/>
          <w:color w:val="000000"/>
          <w:sz w:val="20"/>
        </w:rPr>
        <w:t>withholding upon vesting of equity awards, partially offset by proceeds from stock issued under our employee stock purchase plan and stock option exercises.</w:t>
      </w:r>
    </w:p>
    <w:p>
      <w:pPr>
        <w:pStyle w:val="TextBody"/>
        <w:spacing w:lineRule="auto" w:line="288" w:before="160" w:after="160"/>
        <w:ind w:left="0" w:right="0" w:firstLine="450"/>
        <w:rPr/>
      </w:pPr>
      <w:r>
        <w:rPr>
          <w:rFonts w:ascii="Times New Roman;sans-serif" w:hAnsi="Times New Roman;sans-serif"/>
          <w:b w:val="false"/>
          <w:color w:val="000000"/>
          <w:sz w:val="20"/>
        </w:rPr>
        <w:t xml:space="preserve">At March 31, 2023 and June 30, 2022, the total amount of our foreign subsidiary cash </w:t>
      </w:r>
      <w:r>
        <w:rPr>
          <w:rFonts w:ascii="Times New Roman;sans-serif" w:hAnsi="Times New Roman;sans-serif"/>
          <w:b w:val="false"/>
          <w:color w:val="000000"/>
          <w:sz w:val="20"/>
          <w:highlight w:val="white"/>
        </w:rPr>
        <w:t xml:space="preserve">was $7.9 million </w:t>
      </w:r>
      <w:r>
        <w:rPr>
          <w:rFonts w:ascii="Times New Roman;sans-serif" w:hAnsi="Times New Roman;sans-serif"/>
          <w:b w:val="false"/>
          <w:color w:val="000000"/>
          <w:sz w:val="20"/>
        </w:rPr>
        <w:t>and $7.0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March 31, 2023, we had working capital (current assets minus current liabilities) of $22.9 million, compared to working capital of $21.2 million at June 30, 2022.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 amended, provides for a revolving loan facility in an aggregate principal amount up to $5.0 million. We would also consider realigning our strategic plans including a reduction in capital spending and expenses.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Capital Resources</w:t>
      </w:r>
    </w:p>
    <w:p>
      <w:pPr>
        <w:pStyle w:val="TextBody"/>
        <w:spacing w:lineRule="auto" w:line="288" w:before="160" w:after="160"/>
        <w:rPr>
          <w:rFonts w:ascii="Times New Roman;sans-serif" w:hAnsi="Times New Roman;sans-serif"/>
          <w:b w:val="false"/>
          <w:i/>
          <w:color w:val="000000"/>
          <w:sz w:val="20"/>
        </w:rPr>
      </w:pPr>
      <w:r>
        <w:rPr>
          <w:rFonts w:ascii="Times New Roman;sans-serif" w:hAnsi="Times New Roman;sans-serif"/>
          <w:b w:val="false"/>
          <w:i/>
          <w:color w:val="000000"/>
          <w:sz w:val="20"/>
        </w:rPr>
        <w:t>Shelf Registration Statement</w:t>
      </w:r>
    </w:p>
    <w:p>
      <w:pPr>
        <w:pStyle w:val="TextBody"/>
        <w:spacing w:lineRule="auto" w:line="288" w:before="160" w:after="160"/>
        <w:ind w:left="0" w:right="0" w:firstLine="450"/>
        <w:rPr/>
      </w:pPr>
      <w:r>
        <w:rPr>
          <w:rFonts w:ascii="Times New Roman;sans-serif" w:hAnsi="Times New Roman;sans-serif"/>
          <w:b w:val="false"/>
          <w:color w:val="000000"/>
          <w:sz w:val="20"/>
        </w:rPr>
        <w:t xml:space="preserve">On March 24, 2020, we filed a shelf registration statement on Form S-3 (the “Prior Shelf </w:t>
      </w:r>
      <w:r>
        <w:rPr>
          <w:rFonts w:ascii="Times New Roman;sans-serif" w:hAnsi="Times New Roman;sans-serif"/>
          <w:b w:val="false"/>
          <w:color w:val="000000"/>
          <w:sz w:val="24"/>
        </w:rPr>
        <w:t xml:space="preserve">Registration”) </w:t>
      </w:r>
      <w:r>
        <w:rPr>
          <w:rFonts w:ascii="Times New Roman;sans-serif" w:hAnsi="Times New Roman;sans-serif"/>
          <w:b w:val="false"/>
          <w:color w:val="000000"/>
          <w:sz w:val="20"/>
        </w:rPr>
        <w:t>with the SEC that was declared effective April 3, 2020, which permitted us to offer up to $75 million of common stock, preferred stock, debt securities and warrants in one or more offerings and in any combination, including in units from time to time. The Prior Shelf Registration expired on April 3, 2023.</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March 31, 2023, we filed a shelf registration statement on Form S-3 (the “2023 Shelf Registration”) with the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2016 Credit Facility</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May 4, 2018, we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February 1, 2019, we entered into a loan modification agreement, which further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amount as set forth in Amendment No. 2.</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entered into a loan modification agreement ("Amendment No. 4"), effective September 30, 2022, which amended the 2016 Credit Facility, as previously amended. Amendment No. 4 revised the calculation of the minimum fixed charge coverage ratio (as defined in Amendment No. 4) and allows us to declare and pay dividends, up to $500,000 per quarter, through September 30, 2023. There were no other changes to the covenants or revolving loan facility as set forth in Amendment No. 3.</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 xml:space="preserve">mergers or transfers of all or any substantial part of our assets. As of March 31, 2023, we were in compliance with all applicable non-financial and restrictive covenants under the 2016 Credit Facility, as amended.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2016 Credit Facility, as amended, also contains various financial covenants that require us to maintain certain consolidated working capital amounts, total liabilities to tangible net worth ratios and fixed charge coverage ratios. Specifically, we must:</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Maintain a minimum fixed charge coverage ratio (as defined in the 2016 Loan Agreement, as amended) of at least 1.10 to 1.00 at the end of each fiscal quarter, measured on a trailing twelve month basis;</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Maintain minimum consolidated working capital (as defined in the 2016 Loan Agreement, as amended) at the end of each fiscal quarter of at least $6.0 million; and</w:t>
      </w:r>
    </w:p>
    <w:p>
      <w:pPr>
        <w:pStyle w:val="TextBody"/>
        <w:spacing w:lineRule="auto" w:line="288" w:before="160" w:after="160"/>
        <w:ind w:left="0" w:right="0" w:hanging="270"/>
        <w:rPr/>
      </w:pPr>
      <w:r>
        <w:rPr>
          <w:color w:val="000000"/>
        </w:rPr>
        <w:t>•</w:t>
      </w:r>
      <w:r>
        <w:rPr>
          <w:rFonts w:ascii="Times New Roman;sans-serif" w:hAnsi="Times New Roman;sans-serif"/>
          <w:b w:val="false"/>
          <w:color w:val="000000"/>
          <w:sz w:val="20"/>
        </w:rPr>
        <w:t>Maintain a ratio of debt (total liabilities) to tangible net worth (as defined in the 2016 Loan Agreement, as amended) of not greater than 2.00 to 1.00 at the end of each quarter, measured on a trailing twelve month basis.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we were in compliance with all applicable financial covenants under the 2016 Credit Facility, as amended. Additionally, management anticipates that in the normal course of operations we will be in compliance with the financial covenants during the ensuing year.</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June 30, 2020, we repaid, in full, the remaining balance of the 2016 Term Loan in accordance with the terms of the 2016 Credit Facility, as amended. As of March 31, 2023, the balances on the 2016 Term Loan and the revolving loan facility were zero.</w:t>
      </w:r>
    </w:p>
    <w:p>
      <w:pPr>
        <w:pStyle w:val="TextBody"/>
        <w:spacing w:lineRule="auto" w:line="288" w:before="160" w:after="160"/>
        <w:rPr/>
      </w:pPr>
      <w:r>
        <w:rPr>
          <w:rFonts w:ascii="Times New Roman;sans-serif" w:hAnsi="Times New Roman;sans-serif"/>
          <w:b w:val="false"/>
          <w:color w:val="000000"/>
          <w:sz w:val="20"/>
          <w:highlight w:val="white"/>
          <w:u w:val="single"/>
        </w:rPr>
        <w:t>Commitments and Obligations</w:t>
      </w:r>
      <w:r>
        <w:rPr>
          <w:color w:val="000000"/>
          <w:highlight w:val="white"/>
        </w:rPr>
        <w:t xml:space="preserve">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payment obligations and commitments as of March 31, 2023 (in thousands):</w:t>
      </w:r>
    </w:p>
    <w:tbl>
      <w:tblPr>
        <w:tblW w:w="9149" w:type="dxa"/>
        <w:jc w:val="left"/>
        <w:tblInd w:w="0" w:type="dxa"/>
        <w:tblCellMar>
          <w:top w:w="28" w:type="dxa"/>
          <w:left w:w="28" w:type="dxa"/>
          <w:bottom w:w="28" w:type="dxa"/>
          <w:right w:w="28" w:type="dxa"/>
        </w:tblCellMar>
      </w:tblPr>
      <w:tblGrid>
        <w:gridCol w:w="933"/>
        <w:gridCol w:w="820"/>
        <w:gridCol w:w="82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Contractual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obligations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operating obligations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 Other operating obligations represent contractual obligations primarily related to marketing and sponsorship commitments and purchases of inventory.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we did not have any off-balance sheet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Allowances for Product Returns</w:t>
      </w:r>
    </w:p>
    <w:p>
      <w:pPr>
        <w:pStyle w:val="TextBody"/>
        <w:spacing w:lineRule="auto" w:line="288" w:before="160" w:after="160"/>
        <w:ind w:left="0" w:right="0" w:firstLine="450"/>
        <w:rPr/>
      </w:pPr>
      <w:r>
        <w:rPr>
          <w:rFonts w:ascii="Times New Roman;sans-serif" w:hAnsi="Times New Roman;sans-serif"/>
          <w:b w:val="false"/>
          <w:color w:val="000000"/>
          <w:sz w:val="20"/>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March 31, 2023, our shipments of products sold totaling approxi</w:t>
      </w:r>
      <w:r>
        <w:rPr>
          <w:rFonts w:ascii="Times New Roman;sans-serif" w:hAnsi="Times New Roman;sans-serif"/>
          <w:b w:val="false"/>
          <w:color w:val="000000"/>
          <w:sz w:val="20"/>
          <w:highlight w:val="white"/>
        </w:rPr>
        <w:t xml:space="preserve">mately $18.8 million </w:t>
      </w:r>
      <w:r>
        <w:rPr>
          <w:rFonts w:ascii="Times New Roman;sans-serif" w:hAnsi="Times New Roman;sans-serif"/>
          <w:b w:val="false"/>
          <w:color w:val="000000"/>
          <w:sz w:val="20"/>
        </w:rPr>
        <w:t xml:space="preserve">were subject to the return policy.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our product returns estimate on an ongoing basis and revise the allowances to reflect our experience. Our allowance for product returns was $0.1 million at March 31, 2023, compared with $0.1 million at June 30, 2022. To date, product expiration dates have not played any role in product returns, and we do not expect that they will in the future as it is unlikely that we will ship product with an expiration date earlier than the latest allowable product return date. </w:t>
      </w:r>
    </w:p>
    <w:p>
      <w:pPr>
        <w:pStyle w:val="TextBody"/>
        <w:spacing w:lineRule="auto" w:line="288" w:before="160" w:after="160"/>
        <w:rPr/>
      </w:pPr>
      <w:r>
        <w:rPr>
          <w:rFonts w:ascii="Times New Roman;sans-serif" w:hAnsi="Times New Roman;sans-serif"/>
          <w:b w:val="false"/>
          <w:color w:val="000000"/>
          <w:sz w:val="20"/>
          <w:u w:val="single"/>
        </w:rPr>
        <w:t>Inventory Valuation</w:t>
      </w:r>
      <w:r>
        <w:rPr>
          <w:color w:val="000000"/>
        </w:rPr>
        <w:t xml:space="preserve">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pStyle w:val="TextBody"/>
        <w:spacing w:lineRule="auto" w:line="288" w:before="160" w:after="160"/>
        <w:ind w:left="0" w:right="0" w:firstLine="450"/>
        <w:rPr/>
      </w:pP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three and nine months ended</w:t>
      </w:r>
      <w:r>
        <w:rPr>
          <w:color w:val="000000"/>
          <w:highlight w:val="white"/>
        </w:rPr>
        <w:t xml:space="preserve"> </w:t>
      </w:r>
      <w:r>
        <w:rPr>
          <w:rFonts w:ascii="Times New Roman;sans-serif" w:hAnsi="Times New Roman;sans-serif"/>
          <w:b w:val="false"/>
          <w:color w:val="000000"/>
          <w:sz w:val="20"/>
          <w:highlight w:val="white"/>
        </w:rPr>
        <w:t xml:space="preserve">March 31, 2023 we recognized expenses of approximately $0.3 million and $0.7 million, respectively, related to obsolete and slow-moving inventory. During the </w:t>
      </w:r>
      <w:r>
        <w:rPr>
          <w:rFonts w:ascii="Times New Roman;sans-serif" w:hAnsi="Times New Roman;sans-serif"/>
          <w:b w:val="false"/>
          <w:color w:val="000000"/>
          <w:sz w:val="20"/>
        </w:rPr>
        <w:t>three and nine months ended</w:t>
      </w:r>
      <w:r>
        <w:rPr>
          <w:color w:val="000000"/>
          <w:highlight w:val="white"/>
        </w:rPr>
        <w:t xml:space="preserve"> </w:t>
      </w:r>
      <w:r>
        <w:rPr>
          <w:rFonts w:ascii="Times New Roman;sans-serif" w:hAnsi="Times New Roman;sans-serif"/>
          <w:b w:val="false"/>
          <w:color w:val="000000"/>
          <w:sz w:val="20"/>
          <w:highlight w:val="white"/>
        </w:rPr>
        <w:t>March 31, 2022 we recognized expenses of approximately $0.5 million and $1.0 million, respectively, related to obsolete and slow-moving inventory.</w:t>
      </w:r>
    </w:p>
    <w:p>
      <w:pPr>
        <w:pStyle w:val="TextBody"/>
        <w:spacing w:lineRule="auto" w:line="288" w:before="160" w:after="160"/>
        <w:rPr/>
      </w:pPr>
      <w:r>
        <w:rPr>
          <w:rFonts w:ascii="Times New Roman;sans-serif" w:hAnsi="Times New Roman;sans-serif"/>
          <w:b w:val="false"/>
          <w:color w:val="000000"/>
          <w:sz w:val="20"/>
          <w:highlight w:val="white"/>
          <w:u w:val="single"/>
        </w:rPr>
        <w:t>Revenue Recognition</w:t>
      </w:r>
      <w:r>
        <w:rPr>
          <w:color w:val="000000"/>
          <w:highlight w:val="white"/>
        </w:rPr>
        <w:t xml:space="preserve">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goods or services are transferred to the customer, in an amount that reflects the consideration we expect to be entitled to in exchange for those goods or services. Sales, value-added, and other taxes that we collect concurrent with revenue-producing activities are excluded from revenue.</w:t>
      </w:r>
    </w:p>
    <w:p>
      <w:pPr>
        <w:pStyle w:val="TextBody"/>
        <w:spacing w:lineRule="auto" w:line="288" w:before="160" w:after="160"/>
        <w:rPr/>
      </w:pPr>
      <w:r>
        <w:rPr>
          <w:rFonts w:ascii="Times New Roman;sans-serif" w:hAnsi="Times New Roman;sans-serif"/>
          <w:b w:val="false"/>
          <w:color w:val="000000"/>
          <w:sz w:val="20"/>
          <w:u w:val="single"/>
        </w:rPr>
        <w:t>Stock-Based Compensation</w:t>
      </w:r>
      <w:r>
        <w:rPr>
          <w:color w:val="000000"/>
        </w:rPr>
        <w:t xml:space="preserve">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pStyle w:val="TextBody"/>
        <w:spacing w:lineRule="auto" w:line="288" w:before="160" w:after="160"/>
        <w:rPr/>
      </w:pPr>
      <w:r>
        <w:rPr>
          <w:rFonts w:ascii="Times New Roman;sans-serif" w:hAnsi="Times New Roman;sans-serif"/>
          <w:b w:val="false"/>
          <w:color w:val="000000"/>
          <w:sz w:val="20"/>
          <w:u w:val="single"/>
        </w:rPr>
        <w:t>Research and Development Costs</w:t>
      </w:r>
      <w:r>
        <w:rPr>
          <w:color w:val="000000"/>
        </w:rPr>
        <w:t xml:space="preserve">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expense all of our costs related to research and development activities as incurred.</w:t>
      </w:r>
    </w:p>
    <w:p>
      <w:pPr>
        <w:pStyle w:val="TextBody"/>
        <w:spacing w:lineRule="auto" w:line="288" w:before="160" w:after="16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Legal Accruals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were no substantial changes to our market risks during the quarter ended March 31, 2023 when compared to the disclosures in “Item 7A. Quantitative and Qualitative Disclosures About Market Risk” in our Annual Report on Form 10-K for the year ended June 30,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 xml:space="preserve">Disclosure Controls and Procedures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March 31, 2023.</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2023 that have materially affected, or are reasonably likely to materially affect, our internal control over financial reporting.</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Inherent Limitations of Internal Control Over Financial Reporting</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See Note 8 to our unaudited condensed consolidated financial statements contained within this quarterly report on Form 10-Q for a discussion of our legal proceedings.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discussed in “Part I. Item 1A — Risk Factors” in our annual report on Form 10-K for the fiscal year ended June 30, 2022, filed on August 23, 2022. The risks and uncertainties described in such risk factors and elsewhere in this report have the potential to materially affect our business, financial condition, results of operations, cash flows, projected results and future prospects. Other than as set forth below, we do not believe that there have been any material changes to the risk factors previously disclosed in our recent SEC filings, including our most recently filed Form 10-K, as referenced above.</w:t>
      </w: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We may be adversely affected by changes to our independent consultant compensation plans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modify our compensation plans from time to time to keep them competitive and attractive to existing and potential independent consultants, to address changing market dynamics, to provide incentives to our independent consultants that we believe will help grow our business, to conform to local regulations and to address other business-related considerations. It is difficult to predict how such changes will be viewed by our independent consultants and whether such changes will achieve their desired results. Such changes could result in unintended or unforeseen negative economic and non-economic consequences to our business, such as higher than anticipated costs or difficulty in attracting and retaining independent consultants, either of which could have a material adverse effect on our results of operations and financial condition.</w:t>
      </w:r>
    </w:p>
    <w:p>
      <w:pPr>
        <w:pStyle w:val="TextBody"/>
        <w:spacing w:before="160" w:after="16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2017, our Board of Directors approved a stock repurchase plan, as amended on February 1, 2019, August 27, 2020, and February 17, 2022. Under the plan, we are authorized to repurchase up to $60.0 million of our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60" w:after="160"/>
        <w:rPr/>
      </w:pPr>
      <w:r>
        <w:rPr>
          <w:rFonts w:ascii="Times New Roman;sans-serif" w:hAnsi="Times New Roman;sans-serif"/>
          <w:b w:val="false"/>
          <w:color w:val="000000"/>
          <w:sz w:val="20"/>
        </w:rPr>
        <w:t xml:space="preserve">outstanding shares through November 30, 2023.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March 31, 2023, we did not repurchase any shares of our common stock under this repurchase program. </w:t>
      </w:r>
      <w:r>
        <w:rPr>
          <w:rFonts w:ascii="Times New Roman;sans-serif" w:hAnsi="Times New Roman;sans-serif"/>
          <w:b w:val="false"/>
          <w:color w:val="000000"/>
          <w:sz w:val="20"/>
          <w:highlight w:val="white"/>
        </w:rPr>
        <w:t>At March 31, 2023, there is $27.7 million remaining under this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76" w:before="16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44"/>
        <w:gridCol w:w="213"/>
        <w:gridCol w:w="215"/>
        <w:gridCol w:w="109"/>
        <w:gridCol w:w="109"/>
        <w:gridCol w:w="109"/>
        <w:gridCol w:w="2670"/>
        <w:gridCol w:w="2391"/>
        <w:gridCol w:w="2334"/>
        <w:gridCol w:w="109"/>
        <w:gridCol w:w="109"/>
        <w:gridCol w:w="109"/>
        <w:gridCol w:w="433"/>
        <w:gridCol w:w="433"/>
        <w:gridCol w:w="618"/>
      </w:tblGrid>
      <w:tr>
        <w:trPr/>
        <w:tc>
          <w:tcPr>
            <w:tcW w:w="24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0"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 or Incorporate by Reference From</w:t>
            </w:r>
          </w:p>
        </w:tc>
      </w:tr>
      <w:tr>
        <w:trPr/>
        <w:tc>
          <w:tcPr>
            <w:tcW w:w="6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Certificate of Incorporation, as filed with the Delaware Secretary of State on March 9, 2018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March 13, 2018.</w:t>
            </w:r>
          </w:p>
        </w:tc>
      </w:tr>
      <w:tr>
        <w:trPr/>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August 9, 2019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August 15, 2019</w:t>
            </w:r>
          </w:p>
        </w:tc>
      </w:tr>
      <w:tr>
        <w:trPr/>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fvn_033123xex311.htm">
              <w:r>
                <w:rPr>
                  <w:rStyle w:val="InternetLink"/>
                  <w:rFonts w:ascii="Times New Roman;sans-serif" w:hAnsi="Times New Roman;sans-serif"/>
                  <w:b w:val="false"/>
                  <w:color w:val="0000FF"/>
                  <w:sz w:val="20"/>
                  <w:u w:val="single"/>
                </w:rPr>
                <w:t>Certification of principal executive officer pursuant to Rule 13a-14(a)/15d-14(a)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fvn_033123xex312.htm">
              <w:r>
                <w:rPr>
                  <w:rStyle w:val="InternetLink"/>
                  <w:rFonts w:ascii="Times New Roman;sans-serif" w:hAnsi="Times New Roman;sans-serif"/>
                  <w:b w:val="false"/>
                  <w:color w:val="0000FF"/>
                  <w:sz w:val="20"/>
                  <w:u w:val="single"/>
                </w:rPr>
                <w:t>Certification of principal financial officer pursuant to Rule 13a-14(a)/15d-14(a)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fvn_033123xex321.htm">
              <w:r>
                <w:rPr>
                  <w:rStyle w:val="InternetLink"/>
                  <w:rFonts w:ascii="Times New Roman;sans-serif" w:hAnsi="Times New Roman;sans-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fvn_033123xex322.htm">
              <w:r>
                <w:rPr>
                  <w:rStyle w:val="InternetLink"/>
                  <w:rFonts w:ascii="Times New Roman;sans-serif" w:hAnsi="Times New Roman;sans-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March 31, 2023 formatted in Inline XBRL (extensible Business Reporting Language): (i) Unaudited Condensed Consolidated Balance Sheets at March 31, 2023 and June 30, 2022; (ii) Unaudited Condensed Consolidated Statements of Operations and Other Comprehensive Income for the three and nine months ended March 31, 2023 and 2022; (iii) Unaudited Condensed Consolidated Statement of Stockholders’ Equity for the three and nine months ended March 31, 2023 and 2022; (iv) Unaudited Condensed Consolidated Statements of Cash Flows for the nine months ended March 31, 2023 and 2022; and (v) Notes to Unaudited Condensed Consolidated Financial Statements, tagged as blocks of text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3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60"/>
        <w:ind w:left="0" w:right="0" w:firstLine="495"/>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38" w:type="dxa"/>
        <w:jc w:val="left"/>
        <w:tblInd w:w="0" w:type="dxa"/>
        <w:tblCellMar>
          <w:top w:w="28" w:type="dxa"/>
          <w:left w:w="28" w:type="dxa"/>
          <w:bottom w:w="28" w:type="dxa"/>
          <w:right w:w="28" w:type="dxa"/>
        </w:tblCellMar>
      </w:tblPr>
      <w:tblGrid>
        <w:gridCol w:w="200"/>
        <w:gridCol w:w="177"/>
        <w:gridCol w:w="178"/>
        <w:gridCol w:w="379"/>
        <w:gridCol w:w="379"/>
        <w:gridCol w:w="381"/>
        <w:gridCol w:w="1506"/>
        <w:gridCol w:w="1506"/>
        <w:gridCol w:w="213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br/>
              <w:t>President and Chief Executive Officer</w:t>
              <w:br/>
              <w:t>(Principal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br/>
              <w:t>Chief Financial Officer</w:t>
              <w:br/>
              <w:t>(Principal Financial Officer and Principal Accounting Officer)</w:t>
            </w:r>
          </w:p>
        </w:tc>
      </w:tr>
    </w:tbl>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Steven R. Fife, certify that:</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bl>
      <w:tblPr>
        <w:tblW w:w="3225" w:type="dxa"/>
        <w:jc w:val="left"/>
        <w:tblInd w:w="0" w:type="dxa"/>
        <w:tblCellMar>
          <w:top w:w="28" w:type="dxa"/>
          <w:left w:w="28" w:type="dxa"/>
          <w:bottom w:w="28" w:type="dxa"/>
          <w:right w:w="28" w:type="dxa"/>
        </w:tblCellMar>
      </w:tblPr>
      <w:tblGrid>
        <w:gridCol w:w="1032"/>
        <w:gridCol w:w="904"/>
        <w:gridCol w:w="1289"/>
      </w:tblGrid>
      <w:tr>
        <w:trPr/>
        <w:tc>
          <w:tcPr>
            <w:tcW w:w="103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before="0" w:after="160"/>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Carl A. Aure, certify that:</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bl>
      <w:tblPr>
        <w:tblW w:w="2430" w:type="dxa"/>
        <w:jc w:val="left"/>
        <w:tblInd w:w="0" w:type="dxa"/>
        <w:tblCellMar>
          <w:top w:w="28" w:type="dxa"/>
          <w:left w:w="28" w:type="dxa"/>
          <w:bottom w:w="28" w:type="dxa"/>
          <w:right w:w="28" w:type="dxa"/>
        </w:tblCellMar>
      </w:tblPr>
      <w:tblGrid>
        <w:gridCol w:w="778"/>
        <w:gridCol w:w="681"/>
        <w:gridCol w:w="971"/>
      </w:tblGrid>
      <w:tr>
        <w:trPr/>
        <w:tc>
          <w:tcPr>
            <w:tcW w:w="77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160"/>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March 31, 2023, with the Securities and Exchange Commission on the date hereof (the “report”), I, Steven R. Fife, Principal Executive Officer of the Company, certify, pursuant to 18 U.S.C. Section 1350, as adopted pursuant to Section 906 of the Sarbanes-Oxley Act of 2002, that:</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bl>
      <w:tblPr>
        <w:tblW w:w="3225" w:type="dxa"/>
        <w:jc w:val="left"/>
        <w:tblInd w:w="0" w:type="dxa"/>
        <w:tblCellMar>
          <w:top w:w="28" w:type="dxa"/>
          <w:left w:w="28" w:type="dxa"/>
          <w:bottom w:w="28" w:type="dxa"/>
          <w:right w:w="28" w:type="dxa"/>
        </w:tblCellMar>
      </w:tblPr>
      <w:tblGrid>
        <w:gridCol w:w="1032"/>
        <w:gridCol w:w="904"/>
        <w:gridCol w:w="1289"/>
      </w:tblGrid>
      <w:tr>
        <w:trPr/>
        <w:tc>
          <w:tcPr>
            <w:tcW w:w="103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March 31, 2023, with the Securities and Exchange Commission on the date hereof (the “report”), I, Carl A. Aure, Principal Financial Officer of the Company, certify, pursuant to 18 U.S.C. Section 1350, as adopted pursuant to Section 906 of the Sarbanes-Oxley Act of 2002, that:</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0" w:after="1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bl>
      <w:tblPr>
        <w:tblW w:w="2430" w:type="dxa"/>
        <w:jc w:val="left"/>
        <w:tblInd w:w="0" w:type="dxa"/>
        <w:tblCellMar>
          <w:top w:w="28" w:type="dxa"/>
          <w:left w:w="28" w:type="dxa"/>
          <w:bottom w:w="28" w:type="dxa"/>
          <w:right w:w="28" w:type="dxa"/>
        </w:tblCellMar>
      </w:tblPr>
      <w:tblGrid>
        <w:gridCol w:w="778"/>
        <w:gridCol w:w="681"/>
        <w:gridCol w:w="971"/>
      </w:tblGrid>
      <w:tr>
        <w:trPr/>
        <w:tc>
          <w:tcPr>
            <w:tcW w:w="77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49146/000084914618000046/ex31-certificateofincorpor.htm" TargetMode="External"/><Relationship Id="rId3" Type="http://schemas.openxmlformats.org/officeDocument/2006/relationships/hyperlink" Target="http://www.sec.gov/Archives/edgar/data/849146/000084914619000066/lifevantage-amendedandres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19019</Words>
  <CharactersWithSpaces>123280</CharactersWithSpaces>
  <Paragraphs>1745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