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fvn-20260731.htm"/>
      <w:bookmarkStart w:id="1" w:name="kslfvn2026073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Lifevantage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1023"/>
        <w:gridCol w:w="933"/>
        <w:gridCol w:w="938"/>
        <w:gridCol w:w="1846"/>
        <w:gridCol w:w="1336"/>
      </w:tblGrid>
      <w:tr>
        <w:trPr/>
        <w:tc>
          <w:tcPr>
            <w:tcW w:w="10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001-35647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90-0224471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3300 N. Triumph Blvd, 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Lehi,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84043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432-9000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LFVN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July 31, 2026, the Board of Directors (the “Board”) of LifeVantage Corporation (the “Company”) approved the LifeVantage Corporation 2026 New Employee Long-Term Incentive Plan (the “2026 New Employee Plan”). The terms of the 2026 New Employee Plan are substantially similar to the terms of the Company’s 2017 Long-Term Incentive Plan with the exception that incentive stock options may not be issued under the 2026 New Employee Plan and awards under the 2026 New Employee Plan may only be issued to eligible recipients under the applicable Nasdaq rules. The 2026 New Employee Plan was adopted by the Board without stockholder approval pursuant to Rule 5635(c)(4) of the Nasdaq Listing Rules.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Board has initially reserved 1,500,000 shares of the Company’s common stock for issuance pursuant to awards granted under the 2026 New Employee Plan. In accordance with Rule 5635(c)(4) of the Nasdaq Listing Rules, awards under the 2026 New Employee Plan may only be made to an employee who has not previously been an employee or member of the board of directors of the Company or any subsidiary, or following a bona fide period of non-employment by the Company or a subsidiary, if he or she is granted such award in connection with his or her commencement of employment with the Company or a subsidiary and such grant is an inducement material to his or her entering into employment with the Company or such subsidiary.</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description of the 2026 New Employee Plan does not purport to be complete and is qualified in its entirety by the full and complete terms of the 2026 New Employee Plan, a copy of which is filed with this Current Report on Form 8-K as Exhibit 10.1 and is incorporated herein by reference.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 Exhibits</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160"/>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fvn-ex10_1.htm">
              <w:r>
                <w:rPr>
                  <w:rStyle w:val="InternetLink"/>
                  <w:rFonts w:ascii="Times New Roman" w:hAnsi="Times New Roman"/>
                  <w:color w:val="0000FF"/>
                  <w:sz w:val="20"/>
                  <w:u w:val="single"/>
                </w:rPr>
                <w:t>LifeVantage Corporation 2026 New Employee Long-Term Incentive Plan</w:t>
              </w:r>
            </w:hyperlink>
          </w:p>
        </w:tc>
      </w:tr>
      <w:tr>
        <w:trPr/>
        <w:tc>
          <w:tcPr>
            <w:tcW w:w="10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660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69" w:type="dxa"/>
        <w:jc w:val="left"/>
        <w:tblInd w:w="0" w:type="dxa"/>
        <w:tblLayout w:type="fixed"/>
        <w:tblCellMar>
          <w:top w:w="28" w:type="dxa"/>
          <w:left w:w="28" w:type="dxa"/>
          <w:bottom w:w="28" w:type="dxa"/>
          <w:right w:w="28" w:type="dxa"/>
        </w:tblCellMar>
      </w:tblPr>
      <w:tblGrid>
        <w:gridCol w:w="556"/>
        <w:gridCol w:w="135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Carl A. Aure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Carl A. Aure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lfvn-ex10_1.htm"/>
      <w:bookmarkStart w:id="3" w:name="kslfvnex10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jc w:val="center"/>
        <w:rPr>
          <w:rFonts w:ascii="Times New Roman" w:hAnsi="Times New Roman"/>
          <w:b/>
          <w:color w:val="000000"/>
          <w:sz w:val="20"/>
        </w:rPr>
      </w:pPr>
      <w:r>
        <w:rPr>
          <w:rFonts w:ascii="Times New Roman" w:hAnsi="Times New Roman"/>
          <w:b/>
          <w:color w:val="000000"/>
          <w:sz w:val="20"/>
        </w:rPr>
        <w:t>LIFEVANTAGE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2026 NEW EMPLOYEE LONG-TERM INCENTIVE PLAN</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(Adopted and Effective on July 31, 2026)</w:t>
      </w:r>
    </w:p>
    <w:p>
      <w:pPr>
        <w:pStyle w:val="TextBody"/>
        <w:bidi w:val="0"/>
        <w:spacing w:before="0" w:after="240"/>
        <w:jc w:val="left"/>
        <w:rPr/>
      </w:pPr>
      <w:r>
        <w:rPr/>
        <w:t> </w:t>
      </w:r>
    </w:p>
    <w:p>
      <w:pPr>
        <w:pStyle w:val="TextBody"/>
        <w:bidi w:val="0"/>
        <w:spacing w:before="0" w:after="0"/>
        <w:jc w:val="left"/>
        <w:rPr>
          <w:rFonts w:ascii="Times New Roman" w:hAnsi="Times New Roman"/>
          <w:b/>
          <w:caps/>
          <w:color w:val="000000"/>
          <w:sz w:val="20"/>
        </w:rPr>
      </w:pPr>
      <w:r>
        <w:rPr>
          <w:rFonts w:ascii="Times New Roman" w:hAnsi="Times New Roman"/>
          <w:b/>
          <w:caps/>
          <w:color w:val="000000"/>
          <w:sz w:val="20"/>
        </w:rPr>
        <w:t xml:space="preserve">SECTION 1. </w:t>
      </w:r>
    </w:p>
    <w:p>
      <w:pPr>
        <w:pStyle w:val="TextBody"/>
        <w:bidi w:val="0"/>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adopted the LifeVantage Corporation 2026 New Employee Long-Term Incentive Plan on the Adoption Date, to be effective as of such date. The purposes of the Plan are to (i) attract and retain the services of Employees eligible to participate in the Plan; (ii) motivate Selected Employees, by means of appropriate equity and performance based incentives, to achieve long-term performance goals; (iii) provide equity and performance based incentive compensation opportunities that are competitive with those of other similar companies; and (iv) further align Participants’ interests with those of the Company’s other stockholders and thereby promote the financial interests of the Company and its affiliates and enhancement of stockholder return. The Plan is designed to attract new employees and is intended to satisfy the requirements of Nasdaq Marketplace Rule 5635.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Plan seeks to achieve this purpose by providing for Awards in the form of Options (which shall be Nonstatutory Stock Options), Stock Appreciation Rights, Restricted Stock Grants, and/or Stock Units as well as any other form of equity award consistent with the terms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Capitalized terms shall have the meaning provided in Section 2 unless otherwise provided in this Plan or any related Award Agreement.</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2.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color w:val="000000"/>
        </w:rPr>
        <w:t>“</w:t>
      </w:r>
      <w:r>
        <w:rPr>
          <w:rFonts w:ascii="Times New Roman" w:hAnsi="Times New Roman"/>
          <w:color w:val="000000"/>
          <w:sz w:val="20"/>
          <w:u w:val="single"/>
        </w:rPr>
        <w:t>Adoption Date</w:t>
      </w:r>
      <w:r>
        <w:rPr>
          <w:color w:val="000000"/>
        </w:rPr>
        <w:t xml:space="preserve">” </w:t>
      </w:r>
      <w:r>
        <w:rPr>
          <w:rFonts w:ascii="Times New Roman" w:hAnsi="Times New Roman"/>
          <w:color w:val="000000"/>
          <w:sz w:val="20"/>
        </w:rPr>
        <w:t>means July 31,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color w:val="000000"/>
        </w:rPr>
        <w:t>“</w:t>
      </w:r>
      <w:r>
        <w:rPr>
          <w:rFonts w:ascii="Times New Roman" w:hAnsi="Times New Roman"/>
          <w:color w:val="000000"/>
          <w:sz w:val="20"/>
          <w:u w:val="single"/>
        </w:rPr>
        <w:t>Affiliate</w:t>
      </w:r>
      <w:r>
        <w:rPr>
          <w:color w:val="000000"/>
        </w:rPr>
        <w:t xml:space="preserve">” </w:t>
      </w:r>
      <w:r>
        <w:rPr>
          <w:rFonts w:ascii="Times New Roman" w:hAnsi="Times New Roman"/>
          <w:color w:val="000000"/>
          <w:sz w:val="20"/>
        </w:rPr>
        <w:t>means any entity other than a Subsidiary, if the Company and/or one or more Subsidiaries own not less than 50% of such entity. For purposes of determining an individual’s “Service,” this definition shall include any entity other than a Subsidiary, if the Company, a Parent and/or one or more Subsidiaries own not less than 50% of such entity.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color w:val="000000"/>
        </w:rPr>
        <w:t>“</w:t>
      </w:r>
      <w:r>
        <w:rPr>
          <w:rFonts w:ascii="Times New Roman" w:hAnsi="Times New Roman"/>
          <w:color w:val="000000"/>
          <w:sz w:val="20"/>
          <w:u w:val="single"/>
        </w:rPr>
        <w:t>Award</w:t>
      </w:r>
      <w:r>
        <w:rPr>
          <w:color w:val="000000"/>
        </w:rPr>
        <w:t xml:space="preserve">” </w:t>
      </w:r>
      <w:r>
        <w:rPr>
          <w:rFonts w:ascii="Times New Roman" w:hAnsi="Times New Roman"/>
          <w:color w:val="000000"/>
          <w:sz w:val="20"/>
        </w:rPr>
        <w:t>means any award, under this Plan, to a Selected Employee of an Option, SAR, Restricted Stock Grant, or Stock Unit.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color w:val="000000"/>
        </w:rPr>
        <w:t>“</w:t>
      </w:r>
      <w:r>
        <w:rPr>
          <w:rFonts w:ascii="Times New Roman" w:hAnsi="Times New Roman"/>
          <w:color w:val="000000"/>
          <w:sz w:val="20"/>
          <w:u w:val="single"/>
        </w:rPr>
        <w:t>Award Agreement</w:t>
      </w:r>
      <w:r>
        <w:rPr>
          <w:color w:val="000000"/>
        </w:rPr>
        <w:t xml:space="preserve">” </w:t>
      </w:r>
      <w:r>
        <w:rPr>
          <w:rFonts w:ascii="Times New Roman" w:hAnsi="Times New Roman"/>
          <w:color w:val="000000"/>
          <w:sz w:val="20"/>
        </w:rPr>
        <w:t>means a Stock Option Agreement, a SAR Agreement, a Restricted Stock Grant Agreement, a Stock Unit Agreement or such other agreement evidencing an Award granted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color w:val="000000"/>
        </w:rPr>
        <w:t>“</w:t>
      </w:r>
      <w:r>
        <w:rPr>
          <w:rFonts w:ascii="Times New Roman" w:hAnsi="Times New Roman"/>
          <w:color w:val="000000"/>
          <w:sz w:val="20"/>
          <w:u w:val="single"/>
        </w:rPr>
        <w:t>Board</w:t>
      </w:r>
      <w:r>
        <w:rPr>
          <w:color w:val="000000"/>
        </w:rPr>
        <w:t xml:space="preserve">” </w:t>
      </w:r>
      <w:r>
        <w:rPr>
          <w:rFonts w:ascii="Times New Roman" w:hAnsi="Times New Roman"/>
          <w:color w:val="000000"/>
          <w:sz w:val="20"/>
        </w:rPr>
        <w:t>means the Board of Directors of the Company, as constituted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color w:val="000000"/>
        </w:rPr>
        <w:t>“</w:t>
      </w:r>
      <w:r>
        <w:rPr>
          <w:rFonts w:ascii="Times New Roman" w:hAnsi="Times New Roman"/>
          <w:color w:val="000000"/>
          <w:sz w:val="20"/>
          <w:u w:val="single"/>
        </w:rPr>
        <w:t>Cashless Exercise</w:t>
      </w:r>
      <w:r>
        <w:rPr>
          <w:color w:val="000000"/>
        </w:rPr>
        <w:t xml:space="preserve">” </w:t>
      </w:r>
      <w:r>
        <w:rPr>
          <w:rFonts w:ascii="Times New Roman" w:hAnsi="Times New Roman"/>
          <w:color w:val="000000"/>
          <w:sz w:val="20"/>
        </w:rPr>
        <w:t>means, to the extent that a Stock Option Agreement so provides and as permitted by applicable law and in accordance with any procedures established by the Committee, an arrangement whereby payment of some or all of the aggregate Exercise Price may be made all or in part by delivery of an irrevocable direction to a securities broker to sell Shares and to deliver all or part of the sale proceeds to the Company. Cashless Exercise may also be utilized to satisfy an Option’s tax withholding obligations as provided in Section 14(b).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color w:val="000000"/>
        </w:rPr>
        <w:t>“</w:t>
      </w:r>
      <w:r>
        <w:rPr>
          <w:rFonts w:ascii="Times New Roman" w:hAnsi="Times New Roman"/>
          <w:color w:val="000000"/>
          <w:sz w:val="20"/>
          <w:u w:val="single"/>
        </w:rPr>
        <w:t>Cause</w:t>
      </w:r>
      <w:r>
        <w:rPr>
          <w:color w:val="000000"/>
        </w:rPr>
        <w:t xml:space="preserve">” </w:t>
      </w:r>
      <w:r>
        <w:rPr>
          <w:rFonts w:ascii="Times New Roman" w:hAnsi="Times New Roman"/>
          <w:color w:val="000000"/>
          <w:sz w:val="20"/>
        </w:rPr>
        <w:t xml:space="preserve">means, except as may otherwise be provided in a Participant’s employment agreement or applicable Award Agreement (and in such case the employment agreement or Award Agreement shall govern as to the definition of Cause), (i) dishonesty or fraud, (ii) serious willful misconduct, (iii) unauthorized use or disclosure of confidential information or trade secrets, (iv) conviction or confession of a felony, or (v) any other act or omission by a Participant that, in the opinion of the Company, could reasonably be expected to adversely affect the Company’s or a Subsidiary’s or an Affiliate’s business, financial condition, prospects and/or reputation. In each of the foregoing subclauses (i) through (v), whether or not a “Cause” event has occurred will be determined by the Company’s chief human resources officer or other person performing that function or, in the case of Participants who are Directors or Officers or Section 16 Persons, the Board, each of whose determination shall be final, conclusive and binding. A Participant’s Service shall be deemed to have terminated for Cause if, after the Participant’s Service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has terminated, facts and circumstances are discovered that would have justified a termination for Cause, including, without limitation, violation of material Company policies or breach of confidentiality or other restrictive covenants that may apply to the Participant.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color w:val="000000"/>
        </w:rPr>
        <w:t>“</w:t>
      </w:r>
      <w:r>
        <w:rPr>
          <w:rFonts w:ascii="Times New Roman" w:hAnsi="Times New Roman"/>
          <w:color w:val="000000"/>
          <w:sz w:val="20"/>
          <w:u w:val="single"/>
        </w:rPr>
        <w:t>Change in Control</w:t>
      </w:r>
      <w:r>
        <w:rPr>
          <w:color w:val="000000"/>
        </w:rPr>
        <w:t xml:space="preserve">” </w:t>
      </w:r>
      <w:r>
        <w:rPr>
          <w:rFonts w:ascii="Times New Roman" w:hAnsi="Times New Roman"/>
          <w:color w:val="000000"/>
          <w:sz w:val="20"/>
        </w:rPr>
        <w:t>means, except as may otherwise be provided in a Participant’s employment agreement or applicable Award Agreement (and in such case the employment agreement or Award Agreement shall govern as to the definition of Change in Control), the occurrence of any one or more of the following: (i) any merger, consolidation or business combination in which the stockholders of the Company immediately prior to the merger, consolidation or business combination do not own at least a majority of the outstanding equity interests of the surviving parent entity, (ii) the sale of all or substantially all of the Company's assets, (iii) the acquisition of beneficial ownership or control of (including, without limitation, power to vote) a majority of the outstanding Shares by any person or entity (including a “group” as defined by or under Section 13(d)(3) of the Exchange Act), (iv) the dissolution or liquidation of the Company, or (v) a contested election of directors, as a result of which or in connection with which the persons who were directors of the Company before such election or their nominees cease to constitute a majority of the Board.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color w:val="000000"/>
        </w:rPr>
        <w:t>“</w:t>
      </w:r>
      <w:r>
        <w:rPr>
          <w:rFonts w:ascii="Times New Roman" w:hAnsi="Times New Roman"/>
          <w:color w:val="000000"/>
          <w:sz w:val="20"/>
          <w:u w:val="single"/>
        </w:rPr>
        <w:t>Code</w:t>
      </w:r>
      <w:r>
        <w:rPr>
          <w:color w:val="000000"/>
        </w:rPr>
        <w:t xml:space="preserve">” </w:t>
      </w:r>
      <w:r>
        <w:rPr>
          <w:rFonts w:ascii="Times New Roman" w:hAnsi="Times New Roman"/>
          <w:color w:val="000000"/>
          <w:sz w:val="20"/>
        </w:rPr>
        <w:t>means the Internal Revenue Code of 1986, as amended, and the regulations and interpretations promulgated thereunder.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color w:val="000000"/>
        </w:rPr>
        <w:t>“</w:t>
      </w:r>
      <w:r>
        <w:rPr>
          <w:rFonts w:ascii="Times New Roman" w:hAnsi="Times New Roman"/>
          <w:color w:val="000000"/>
          <w:sz w:val="20"/>
          <w:u w:val="single"/>
        </w:rPr>
        <w:t>Committee</w:t>
      </w:r>
      <w:r>
        <w:rPr>
          <w:color w:val="000000"/>
        </w:rPr>
        <w:t xml:space="preserve">” </w:t>
      </w:r>
      <w:r>
        <w:rPr>
          <w:rFonts w:ascii="Times New Roman" w:hAnsi="Times New Roman"/>
          <w:color w:val="000000"/>
          <w:sz w:val="20"/>
        </w:rPr>
        <w:t>means a committee described in Section 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color w:val="000000"/>
        </w:rPr>
        <w:t>“</w:t>
      </w:r>
      <w:r>
        <w:rPr>
          <w:rFonts w:ascii="Times New Roman" w:hAnsi="Times New Roman"/>
          <w:color w:val="000000"/>
          <w:sz w:val="20"/>
          <w:u w:val="single"/>
        </w:rPr>
        <w:t>Common Stock</w:t>
      </w:r>
      <w:r>
        <w:rPr>
          <w:color w:val="000000"/>
        </w:rPr>
        <w:t xml:space="preserve">” </w:t>
      </w:r>
      <w:r>
        <w:rPr>
          <w:rFonts w:ascii="Times New Roman" w:hAnsi="Times New Roman"/>
          <w:color w:val="000000"/>
          <w:sz w:val="20"/>
        </w:rPr>
        <w:t>means the Company’s common stock, $0.0001 par value per Share, and any other securities into which such shares are changed, for which such shares are exchanged or which may be issued in respect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color w:val="000000"/>
        </w:rPr>
        <w:t>“</w:t>
      </w:r>
      <w:r>
        <w:rPr>
          <w:rFonts w:ascii="Times New Roman" w:hAnsi="Times New Roman"/>
          <w:color w:val="000000"/>
          <w:sz w:val="20"/>
          <w:u w:val="single"/>
        </w:rPr>
        <w:t>Company</w:t>
      </w:r>
      <w:r>
        <w:rPr>
          <w:color w:val="000000"/>
        </w:rPr>
        <w:t xml:space="preserve">” </w:t>
      </w:r>
      <w:r>
        <w:rPr>
          <w:rFonts w:ascii="Times New Roman" w:hAnsi="Times New Roman"/>
          <w:color w:val="000000"/>
          <w:sz w:val="20"/>
        </w:rPr>
        <w:t>means LifeVantage Corporation, a Delaware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color w:val="000000"/>
        </w:rPr>
        <w:t>“</w:t>
      </w:r>
      <w:r>
        <w:rPr>
          <w:rFonts w:ascii="Times New Roman" w:hAnsi="Times New Roman"/>
          <w:color w:val="000000"/>
          <w:sz w:val="20"/>
          <w:u w:val="single"/>
        </w:rPr>
        <w:t>Consultant</w:t>
      </w:r>
      <w:r>
        <w:rPr>
          <w:color w:val="000000"/>
        </w:rPr>
        <w:t xml:space="preserve">” </w:t>
      </w:r>
      <w:r>
        <w:rPr>
          <w:rFonts w:ascii="Times New Roman" w:hAnsi="Times New Roman"/>
          <w:color w:val="000000"/>
          <w:sz w:val="20"/>
        </w:rPr>
        <w:t>means a consultant or adviser who provides bona fide services to the Company, a Parent, a Subsidiary or an Affiliate, other than as an Employee, Director or Non-Employee Director and who qualifies as a consultant or adviser under Instruction A.1.(a)(1) of Form S-8 under the Securities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color w:val="000000"/>
        </w:rPr>
        <w:t>“</w:t>
      </w:r>
      <w:r>
        <w:rPr>
          <w:rFonts w:ascii="Times New Roman" w:hAnsi="Times New Roman"/>
          <w:color w:val="000000"/>
          <w:sz w:val="20"/>
          <w:u w:val="single"/>
        </w:rPr>
        <w:t>Director</w:t>
      </w:r>
      <w:r>
        <w:rPr>
          <w:color w:val="000000"/>
        </w:rPr>
        <w:t xml:space="preserve">” </w:t>
      </w:r>
      <w:r>
        <w:rPr>
          <w:rFonts w:ascii="Times New Roman" w:hAnsi="Times New Roman"/>
          <w:color w:val="000000"/>
          <w:sz w:val="20"/>
        </w:rPr>
        <w:t>means a member of the Board who is also an Employee.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color w:val="000000"/>
        </w:rPr>
        <w:t>“</w:t>
      </w:r>
      <w:r>
        <w:rPr>
          <w:rFonts w:ascii="Times New Roman" w:hAnsi="Times New Roman"/>
          <w:color w:val="000000"/>
          <w:sz w:val="20"/>
          <w:u w:val="single"/>
        </w:rPr>
        <w:t>Disability</w:t>
      </w:r>
      <w:r>
        <w:rPr>
          <w:color w:val="000000"/>
        </w:rPr>
        <w:t xml:space="preserve">” </w:t>
      </w:r>
      <w:r>
        <w:rPr>
          <w:rFonts w:ascii="Times New Roman" w:hAnsi="Times New Roman"/>
          <w:color w:val="000000"/>
          <w:sz w:val="20"/>
        </w:rPr>
        <w:t>means, except as may otherwise be provided in a Participant’s employment agreement or applicable Award Agreement (and in such case the employment agreement or Award Agreement shall govern as to the definition of Disability), that the Participant is classified as disabled under a long-term disability policy of the Company or, if no such policy applies,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w:t>
      </w:r>
    </w:p>
    <w:p>
      <w:pPr>
        <w:pStyle w:val="TextBody"/>
        <w:bidi w:val="0"/>
        <w:spacing w:before="0" w:after="240"/>
        <w:jc w:val="both"/>
        <w:rPr/>
      </w:pPr>
      <w:r>
        <w:rPr>
          <w:color w:val="000000"/>
        </w:rPr>
        <w:t>“</w:t>
      </w:r>
      <w:r>
        <w:rPr>
          <w:rFonts w:ascii="Times New Roman" w:hAnsi="Times New Roman"/>
          <w:color w:val="000000"/>
          <w:sz w:val="20"/>
          <w:u w:val="single"/>
        </w:rPr>
        <w:t>Employee</w:t>
      </w:r>
      <w:r>
        <w:rPr>
          <w:color w:val="000000"/>
        </w:rPr>
        <w:t xml:space="preserve">” </w:t>
      </w:r>
      <w:r>
        <w:rPr>
          <w:rFonts w:ascii="Times New Roman" w:hAnsi="Times New Roman"/>
          <w:color w:val="000000"/>
          <w:sz w:val="20"/>
        </w:rPr>
        <w:t>means any individual who is a newly hired common-law employee of the Company, or of a Parent, or of a Subsidiary or of an Affiliate, or who is rehired following a bona fide period of non-employment with the Company, a Parent, a Subsidiary or an Affiliate, including persons who become new employees of the Company, a Parent, a Subsidiary or an Affiliate in connection with a merger or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240"/>
        <w:jc w:val="both"/>
        <w:rPr/>
      </w:pPr>
      <w:r>
        <w:rPr>
          <w:color w:val="000000"/>
        </w:rPr>
        <w:t>“</w:t>
      </w:r>
      <w:r>
        <w:rPr>
          <w:rFonts w:ascii="Times New Roman" w:hAnsi="Times New Roman"/>
          <w:color w:val="000000"/>
          <w:sz w:val="20"/>
          <w:u w:val="single"/>
        </w:rPr>
        <w:t>Exchange Act</w:t>
      </w:r>
      <w:r>
        <w:rPr>
          <w:color w:val="000000"/>
        </w:rPr>
        <w:t xml:space="preserve">” </w:t>
      </w:r>
      <w:r>
        <w:rPr>
          <w:rFonts w:ascii="Times New Roman" w:hAnsi="Times New Roman"/>
          <w:color w:val="000000"/>
          <w:sz w:val="20"/>
        </w:rPr>
        <w:t>means the Securities Exchange Act of 1934, as amended.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w:t>
      </w:r>
    </w:p>
    <w:p>
      <w:pPr>
        <w:pStyle w:val="TextBody"/>
        <w:bidi w:val="0"/>
        <w:spacing w:before="0" w:after="240"/>
        <w:jc w:val="both"/>
        <w:rPr/>
      </w:pPr>
      <w:r>
        <w:rPr>
          <w:color w:val="000000"/>
        </w:rPr>
        <w:t>“</w:t>
      </w:r>
      <w:r>
        <w:rPr>
          <w:rFonts w:ascii="Times New Roman" w:hAnsi="Times New Roman"/>
          <w:color w:val="000000"/>
          <w:sz w:val="20"/>
          <w:u w:val="single"/>
        </w:rPr>
        <w:t>Exercise Price</w:t>
      </w:r>
      <w:r>
        <w:rPr>
          <w:color w:val="000000"/>
        </w:rPr>
        <w:t xml:space="preserve">” </w:t>
      </w:r>
      <w:r>
        <w:rPr>
          <w:rFonts w:ascii="Times New Roman" w:hAnsi="Times New Roman"/>
          <w:color w:val="000000"/>
          <w:sz w:val="20"/>
        </w:rPr>
        <w:t>means, in the case of an Option, the amount for which a Share may be purchased upon exercise of such Option, as specified in the applicable Stock Option Agreement. “</w:t>
      </w:r>
      <w:r>
        <w:rPr>
          <w:rFonts w:ascii="Times New Roman" w:hAnsi="Times New Roman"/>
          <w:color w:val="000000"/>
          <w:sz w:val="20"/>
          <w:u w:val="single"/>
        </w:rPr>
        <w:t>Exercise Price</w:t>
      </w:r>
      <w:r>
        <w:rPr>
          <w:rFonts w:ascii="Times New Roman" w:hAnsi="Times New Roman"/>
          <w:color w:val="000000"/>
          <w:sz w:val="20"/>
        </w:rPr>
        <w:t xml:space="preserve">,” in the case of a SAR, means an amount,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specified in the applicable SAR Agreement, which is subtracted from the Fair Market Value in determining the amount payable to a Participant upon exercise of such SAR.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w:t>
      </w:r>
    </w:p>
    <w:p>
      <w:pPr>
        <w:pStyle w:val="TextBody"/>
        <w:bidi w:val="0"/>
        <w:spacing w:before="0" w:after="240"/>
        <w:jc w:val="both"/>
        <w:rPr/>
      </w:pPr>
      <w:r>
        <w:rPr>
          <w:color w:val="000000"/>
        </w:rPr>
        <w:t>“</w:t>
      </w:r>
      <w:r>
        <w:rPr>
          <w:rFonts w:ascii="Times New Roman" w:hAnsi="Times New Roman"/>
          <w:color w:val="000000"/>
          <w:sz w:val="20"/>
          <w:u w:val="single"/>
        </w:rPr>
        <w:t>Fair Market Value</w:t>
      </w:r>
      <w:r>
        <w:rPr>
          <w:color w:val="000000"/>
        </w:rPr>
        <w:t xml:space="preserve">” </w:t>
      </w:r>
      <w:r>
        <w:rPr>
          <w:rFonts w:ascii="Times New Roman" w:hAnsi="Times New Roman"/>
          <w:color w:val="000000"/>
          <w:sz w:val="20"/>
        </w:rPr>
        <w:t>means the market price of a Share, determined by the Committee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Shares are traded on a stock exchange (such as the New York Stock Exchange, NYSE MKT, the NASDAQ Global Market or NASDAQ Capital Market) at the time of determination, then the Fair Market Value shall be equal to the regular session closing price for such stock as reported by such exchange (or the exchange or market with the greatest volume of trading in the Shares) on the date of determination, or if there are no sales on such date, on the last date preceding such date on which a closing price was reported;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Shares are traded on the OTC Bulletin Board at the time of determination, then the Fair Market Value shall be equal to the last-sale price reported by the OTC Bulletin Board for such date, or if there are no sales on such date, on the last date preceding such date on which a sale was reported;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neither of the foregoing provisions is applicable, then the Fair Market Value shall be determined by the Committee in good faith using a reasonable application of a reasonable valuation method as the Committee deems appropriate. Whenever possible, the determination of Fair Market Value by the Committee shall be based on the prices reported by the applicable exchange or the OTC Bulletin Board, as applicable, or a nationally recognized publisher of stock prices or quotations (including an electronic on-line publication). Such determination shall be conclusive and binding on all persons.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w:t>
      </w:r>
    </w:p>
    <w:p>
      <w:pPr>
        <w:pStyle w:val="TextBody"/>
        <w:bidi w:val="0"/>
        <w:spacing w:before="0" w:after="240"/>
        <w:jc w:val="both"/>
        <w:rPr/>
      </w:pPr>
      <w:r>
        <w:rPr>
          <w:color w:val="000000"/>
        </w:rPr>
        <w:t>“</w:t>
      </w:r>
      <w:r>
        <w:rPr>
          <w:rFonts w:ascii="Times New Roman" w:hAnsi="Times New Roman"/>
          <w:color w:val="000000"/>
          <w:sz w:val="20"/>
          <w:u w:val="single"/>
        </w:rPr>
        <w:t>Fiscal Year</w:t>
      </w:r>
      <w:r>
        <w:rPr>
          <w:color w:val="000000"/>
        </w:rPr>
        <w:t xml:space="preserve">” </w:t>
      </w:r>
      <w:r>
        <w:rPr>
          <w:rFonts w:ascii="Times New Roman" w:hAnsi="Times New Roman"/>
          <w:color w:val="000000"/>
          <w:sz w:val="20"/>
        </w:rPr>
        <w:t>means the Company’s fiscal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w:t>
      </w:r>
    </w:p>
    <w:p>
      <w:pPr>
        <w:pStyle w:val="TextBody"/>
        <w:bidi w:val="0"/>
        <w:spacing w:before="0" w:after="240"/>
        <w:jc w:val="both"/>
        <w:rPr/>
      </w:pPr>
      <w:r>
        <w:rPr>
          <w:color w:val="000000"/>
        </w:rPr>
        <w:t>“</w:t>
      </w:r>
      <w:r>
        <w:rPr>
          <w:rFonts w:ascii="Times New Roman" w:hAnsi="Times New Roman"/>
          <w:color w:val="000000"/>
          <w:sz w:val="20"/>
          <w:u w:val="single"/>
        </w:rPr>
        <w:t>Net Exercise</w:t>
      </w:r>
      <w:r>
        <w:rPr>
          <w:color w:val="000000"/>
        </w:rPr>
        <w:t xml:space="preserve">” </w:t>
      </w:r>
      <w:r>
        <w:rPr>
          <w:rFonts w:ascii="Times New Roman" w:hAnsi="Times New Roman"/>
          <w:color w:val="000000"/>
          <w:sz w:val="20"/>
        </w:rPr>
        <w:t>means, to the extent that a Stock Option Agreement so provides and as permitted by applicable law, an arrangement pursuant to which the number of Shares issued to the Optionee in connection with the Optionee’s exercise of the Option will be reduced by the Company’s retention of a portion of such Shares. Upon such a net exercise of an Option, the Optionee will receive a net number of Shares that is equal to (i) the number of Shares as to which the Option is being exercised minus (ii) the quotient (rounded down to the nearest whole number) of the aggregate Exercise Price of the Shares being exercised divided by the Fair Market Value of a Share on the Option exercise date. The number of Shares covered by clause (ii) will be retained by the Company and not delivered to the Optionee. No fractional Shares will be created as a result of a Net Exercise and the Optionee must contemporaneously pay for any portion of the aggregate Exercise Price that is not covered by the Shares retained by the Company under clause (ii). The number of Shares delivered to the Optionee may be further reduced if Net Exercise is utilized under Section 14(b) to satisfy applicable tax withholding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pPr>
      <w:r>
        <w:rPr>
          <w:color w:val="000000"/>
        </w:rPr>
        <w:t>“</w:t>
      </w:r>
      <w:r>
        <w:rPr>
          <w:rFonts w:ascii="Times New Roman" w:hAnsi="Times New Roman"/>
          <w:color w:val="000000"/>
          <w:sz w:val="20"/>
          <w:u w:val="single"/>
        </w:rPr>
        <w:t>Non-Employee Director</w:t>
      </w:r>
      <w:r>
        <w:rPr>
          <w:color w:val="000000"/>
        </w:rPr>
        <w:t xml:space="preserve">” </w:t>
      </w:r>
      <w:r>
        <w:rPr>
          <w:rFonts w:ascii="Times New Roman" w:hAnsi="Times New Roman"/>
          <w:color w:val="000000"/>
          <w:sz w:val="20"/>
        </w:rPr>
        <w:t>means a member of the Board who is not an Employee.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w:t>
      </w:r>
    </w:p>
    <w:p>
      <w:pPr>
        <w:pStyle w:val="TextBody"/>
        <w:bidi w:val="0"/>
        <w:spacing w:before="0" w:after="240"/>
        <w:jc w:val="both"/>
        <w:rPr/>
      </w:pPr>
      <w:r>
        <w:rPr>
          <w:color w:val="000000"/>
        </w:rPr>
        <w:t>“</w:t>
      </w:r>
      <w:r>
        <w:rPr>
          <w:rFonts w:ascii="Times New Roman" w:hAnsi="Times New Roman"/>
          <w:color w:val="000000"/>
          <w:sz w:val="20"/>
          <w:u w:val="single"/>
        </w:rPr>
        <w:t>Nonstatutory Stock Option</w:t>
      </w:r>
      <w:r>
        <w:rPr>
          <w:color w:val="000000"/>
        </w:rPr>
        <w:t xml:space="preserve">” </w:t>
      </w:r>
      <w:r>
        <w:rPr>
          <w:rFonts w:ascii="Times New Roman" w:hAnsi="Times New Roman"/>
          <w:color w:val="000000"/>
          <w:sz w:val="20"/>
        </w:rPr>
        <w:t>or “</w:t>
      </w:r>
      <w:r>
        <w:rPr>
          <w:rFonts w:ascii="Times New Roman" w:hAnsi="Times New Roman"/>
          <w:color w:val="000000"/>
          <w:sz w:val="20"/>
          <w:u w:val="single"/>
        </w:rPr>
        <w:t>NSO</w:t>
      </w:r>
      <w:r>
        <w:rPr>
          <w:color w:val="000000"/>
        </w:rPr>
        <w:t xml:space="preserve">” </w:t>
      </w:r>
      <w:r>
        <w:rPr>
          <w:rFonts w:ascii="Times New Roman" w:hAnsi="Times New Roman"/>
          <w:color w:val="000000"/>
          <w:sz w:val="20"/>
        </w:rPr>
        <w:t>means a stock option not described in Code Sections 422 or 423.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w:t>
      </w:r>
    </w:p>
    <w:p>
      <w:pPr>
        <w:pStyle w:val="TextBody"/>
        <w:bidi w:val="0"/>
        <w:spacing w:before="0" w:after="240"/>
        <w:jc w:val="both"/>
        <w:rPr/>
      </w:pPr>
      <w:r>
        <w:rPr>
          <w:color w:val="000000"/>
        </w:rPr>
        <w:t>“</w:t>
      </w:r>
      <w:r>
        <w:rPr>
          <w:rFonts w:ascii="Times New Roman" w:hAnsi="Times New Roman"/>
          <w:color w:val="000000"/>
          <w:sz w:val="20"/>
          <w:u w:val="single"/>
        </w:rPr>
        <w:t>Officer</w:t>
      </w:r>
      <w:r>
        <w:rPr>
          <w:color w:val="000000"/>
        </w:rPr>
        <w:t xml:space="preserve">” </w:t>
      </w:r>
      <w:r>
        <w:rPr>
          <w:rFonts w:ascii="Times New Roman" w:hAnsi="Times New Roman"/>
          <w:color w:val="000000"/>
          <w:sz w:val="20"/>
        </w:rPr>
        <w:t>means an individual who is an officer of the Company within the meaning of Rule 16a-1(f) of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w:t>
      </w:r>
    </w:p>
    <w:p>
      <w:pPr>
        <w:pStyle w:val="TextBody"/>
        <w:bidi w:val="0"/>
        <w:spacing w:before="0" w:after="240"/>
        <w:jc w:val="both"/>
        <w:rPr/>
      </w:pPr>
      <w:r>
        <w:rPr>
          <w:color w:val="000000"/>
        </w:rPr>
        <w:t>“</w:t>
      </w:r>
      <w:r>
        <w:rPr>
          <w:rFonts w:ascii="Times New Roman" w:hAnsi="Times New Roman"/>
          <w:color w:val="000000"/>
          <w:sz w:val="20"/>
          <w:u w:val="single"/>
        </w:rPr>
        <w:t>Option</w:t>
      </w:r>
      <w:r>
        <w:rPr>
          <w:color w:val="000000"/>
        </w:rPr>
        <w:t xml:space="preserve">” </w:t>
      </w:r>
      <w:r>
        <w:rPr>
          <w:rFonts w:ascii="Times New Roman" w:hAnsi="Times New Roman"/>
          <w:color w:val="000000"/>
          <w:sz w:val="20"/>
        </w:rPr>
        <w:t>means an NSO granted under the Plan entitling the Optionee to purchase a specified number of Shares, at such times and applying a specified Exercise Price, as provided in the applicable Stock Option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(z)</w:t>
      </w:r>
    </w:p>
    <w:p>
      <w:pPr>
        <w:pStyle w:val="TextBody"/>
        <w:bidi w:val="0"/>
        <w:spacing w:before="0" w:after="240"/>
        <w:jc w:val="both"/>
        <w:rPr/>
      </w:pPr>
      <w:r>
        <w:rPr>
          <w:color w:val="000000"/>
        </w:rPr>
        <w:t>“</w:t>
      </w:r>
      <w:r>
        <w:rPr>
          <w:rFonts w:ascii="Times New Roman" w:hAnsi="Times New Roman"/>
          <w:color w:val="000000"/>
          <w:sz w:val="20"/>
          <w:u w:val="single"/>
        </w:rPr>
        <w:t>Optionee</w:t>
      </w:r>
      <w:r>
        <w:rPr>
          <w:color w:val="000000"/>
        </w:rPr>
        <w:t xml:space="preserve">” </w:t>
      </w:r>
      <w:r>
        <w:rPr>
          <w:rFonts w:ascii="Times New Roman" w:hAnsi="Times New Roman"/>
          <w:color w:val="000000"/>
          <w:sz w:val="20"/>
        </w:rPr>
        <w:t>means an individual, estate or other entity that holds an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(aa)</w:t>
      </w:r>
    </w:p>
    <w:p>
      <w:pPr>
        <w:pStyle w:val="TextBody"/>
        <w:bidi w:val="0"/>
        <w:spacing w:before="0" w:after="240"/>
        <w:jc w:val="both"/>
        <w:rPr/>
      </w:pPr>
      <w:r>
        <w:rPr>
          <w:color w:val="000000"/>
        </w:rPr>
        <w:t>“</w:t>
      </w:r>
      <w:r>
        <w:rPr>
          <w:rFonts w:ascii="Times New Roman" w:hAnsi="Times New Roman"/>
          <w:color w:val="000000"/>
          <w:sz w:val="20"/>
          <w:u w:val="single"/>
        </w:rPr>
        <w:t>Parent</w:t>
      </w:r>
      <w:r>
        <w:rPr>
          <w:color w:val="000000"/>
        </w:rPr>
        <w:t xml:space="preserve">” </w:t>
      </w:r>
      <w:r>
        <w:rPr>
          <w:rFonts w:ascii="Times New Roman" w:hAnsi="Times New Roman"/>
          <w:color w:val="000000"/>
          <w:sz w:val="20"/>
        </w:rPr>
        <w:t>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Date shall be considered a Parent commencing as of such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(bb)</w:t>
      </w:r>
    </w:p>
    <w:p>
      <w:pPr>
        <w:pStyle w:val="TextBody"/>
        <w:bidi w:val="0"/>
        <w:spacing w:before="0" w:after="240"/>
        <w:jc w:val="both"/>
        <w:rPr/>
      </w:pPr>
      <w:r>
        <w:rPr>
          <w:color w:val="000000"/>
        </w:rPr>
        <w:t>“</w:t>
      </w:r>
      <w:r>
        <w:rPr>
          <w:rFonts w:ascii="Times New Roman" w:hAnsi="Times New Roman"/>
          <w:color w:val="000000"/>
          <w:sz w:val="20"/>
          <w:u w:val="single"/>
        </w:rPr>
        <w:t>Participant</w:t>
      </w:r>
      <w:r>
        <w:rPr>
          <w:color w:val="000000"/>
        </w:rPr>
        <w:t xml:space="preserve">” </w:t>
      </w:r>
      <w:r>
        <w:rPr>
          <w:rFonts w:ascii="Times New Roman" w:hAnsi="Times New Roman"/>
          <w:color w:val="000000"/>
          <w:sz w:val="20"/>
        </w:rPr>
        <w:t>means an individual or estate or other entity that holds an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(cc)</w:t>
      </w:r>
    </w:p>
    <w:p>
      <w:pPr>
        <w:pStyle w:val="TextBody"/>
        <w:bidi w:val="0"/>
        <w:spacing w:before="0" w:after="240"/>
        <w:jc w:val="both"/>
        <w:rPr/>
      </w:pPr>
      <w:r>
        <w:rPr>
          <w:color w:val="000000"/>
        </w:rPr>
        <w:t>“</w:t>
      </w:r>
      <w:r>
        <w:rPr>
          <w:rFonts w:ascii="Times New Roman" w:hAnsi="Times New Roman"/>
          <w:color w:val="000000"/>
          <w:sz w:val="20"/>
          <w:u w:val="single"/>
        </w:rPr>
        <w:t>Performance Goals</w:t>
      </w:r>
      <w:r>
        <w:rPr>
          <w:color w:val="000000"/>
        </w:rPr>
        <w:t xml:space="preserve">” </w:t>
      </w:r>
      <w:r>
        <w:rPr>
          <w:rFonts w:ascii="Times New Roman" w:hAnsi="Times New Roman"/>
          <w:color w:val="000000"/>
          <w:sz w:val="20"/>
        </w:rPr>
        <w:t xml:space="preserve">means one or more objective performance targets established for a Participant which may be described in terms of Company-wide objectives and/or objectives that are related to the performance of the individual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Participant or a Parent, Subsidiary, Affiliate, division, department or function within the Company or entity in which the Participant is employed, and such targets may be applied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Committee.</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(dd)</w:t>
      </w:r>
    </w:p>
    <w:p>
      <w:pPr>
        <w:pStyle w:val="TextBody"/>
        <w:bidi w:val="0"/>
        <w:spacing w:before="0" w:after="240"/>
        <w:jc w:val="both"/>
        <w:rPr/>
      </w:pPr>
      <w:r>
        <w:rPr>
          <w:color w:val="000000"/>
        </w:rPr>
        <w:t>“</w:t>
      </w:r>
      <w:r>
        <w:rPr>
          <w:rFonts w:ascii="Times New Roman" w:hAnsi="Times New Roman"/>
          <w:color w:val="000000"/>
          <w:sz w:val="20"/>
          <w:u w:val="single"/>
        </w:rPr>
        <w:t>Performance Period</w:t>
      </w:r>
      <w:r>
        <w:rPr>
          <w:color w:val="000000"/>
        </w:rPr>
        <w:t xml:space="preserve">” </w:t>
      </w:r>
      <w:r>
        <w:rPr>
          <w:rFonts w:ascii="Times New Roman" w:hAnsi="Times New Roman"/>
          <w:color w:val="000000"/>
          <w:sz w:val="20"/>
        </w:rPr>
        <w:t>means any period of time as determined by the Committee, in its sole discretion. The Committee may establish different Performance Periods for different Participants, and the Committee may establish concurrent or overlapping Performance Periods.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(ee)</w:t>
      </w:r>
    </w:p>
    <w:p>
      <w:pPr>
        <w:pStyle w:val="TextBody"/>
        <w:bidi w:val="0"/>
        <w:spacing w:before="0" w:after="240"/>
        <w:jc w:val="both"/>
        <w:rPr/>
      </w:pPr>
      <w:r>
        <w:rPr>
          <w:color w:val="000000"/>
        </w:rPr>
        <w:t>“</w:t>
      </w:r>
      <w:r>
        <w:rPr>
          <w:rFonts w:ascii="Times New Roman" w:hAnsi="Times New Roman"/>
          <w:color w:val="000000"/>
          <w:sz w:val="20"/>
          <w:u w:val="single"/>
        </w:rPr>
        <w:t>Plan</w:t>
      </w:r>
      <w:r>
        <w:rPr>
          <w:color w:val="000000"/>
        </w:rPr>
        <w:t xml:space="preserve">” </w:t>
      </w:r>
      <w:r>
        <w:rPr>
          <w:rFonts w:ascii="Times New Roman" w:hAnsi="Times New Roman"/>
          <w:color w:val="000000"/>
          <w:sz w:val="20"/>
        </w:rPr>
        <w:t>means this LifeVantage Corporation 2026 New Employee Long-Term Incentive Plan as it may be amended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(ff)</w:t>
      </w:r>
    </w:p>
    <w:p>
      <w:pPr>
        <w:pStyle w:val="TextBody"/>
        <w:bidi w:val="0"/>
        <w:spacing w:before="0" w:after="240"/>
        <w:jc w:val="both"/>
        <w:rPr/>
      </w:pPr>
      <w:r>
        <w:rPr>
          <w:color w:val="000000"/>
        </w:rPr>
        <w:t>“</w:t>
      </w:r>
      <w:r>
        <w:rPr>
          <w:rFonts w:ascii="Times New Roman" w:hAnsi="Times New Roman"/>
          <w:color w:val="000000"/>
          <w:sz w:val="20"/>
          <w:u w:val="single"/>
        </w:rPr>
        <w:t>Re-Price</w:t>
      </w:r>
      <w:r>
        <w:rPr>
          <w:color w:val="000000"/>
        </w:rPr>
        <w:t xml:space="preserve">” </w:t>
      </w:r>
      <w:r>
        <w:rPr>
          <w:rFonts w:ascii="Times New Roman" w:hAnsi="Times New Roman"/>
          <w:color w:val="000000"/>
          <w:sz w:val="20"/>
        </w:rPr>
        <w:t>means that the Company has lowered or reduced the Exercise Price of outstanding Options and/or outstanding SARs for any Participant(s) in a manner described by SEC Regulation S-K Item 402(d)(2)(viii) (or as described in any successor provision(s) or 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(gg)</w:t>
      </w:r>
    </w:p>
    <w:p>
      <w:pPr>
        <w:pStyle w:val="TextBody"/>
        <w:bidi w:val="0"/>
        <w:spacing w:before="0" w:after="240"/>
        <w:jc w:val="both"/>
        <w:rPr/>
      </w:pPr>
      <w:r>
        <w:rPr>
          <w:color w:val="000000"/>
        </w:rPr>
        <w:t>“</w:t>
      </w:r>
      <w:r>
        <w:rPr>
          <w:rFonts w:ascii="Times New Roman" w:hAnsi="Times New Roman"/>
          <w:color w:val="000000"/>
          <w:sz w:val="20"/>
          <w:u w:val="single"/>
        </w:rPr>
        <w:t>Restricted Stock Grant</w:t>
      </w:r>
      <w:r>
        <w:rPr>
          <w:color w:val="000000"/>
        </w:rPr>
        <w:t xml:space="preserve">” </w:t>
      </w:r>
      <w:r>
        <w:rPr>
          <w:rFonts w:ascii="Times New Roman" w:hAnsi="Times New Roman"/>
          <w:color w:val="000000"/>
          <w:sz w:val="20"/>
        </w:rPr>
        <w:t>means Shares awarded under the Plan as provided in Section 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(hh)</w:t>
      </w:r>
    </w:p>
    <w:p>
      <w:pPr>
        <w:pStyle w:val="TextBody"/>
        <w:bidi w:val="0"/>
        <w:spacing w:before="0" w:after="240"/>
        <w:jc w:val="both"/>
        <w:rPr/>
      </w:pPr>
      <w:r>
        <w:rPr>
          <w:color w:val="000000"/>
        </w:rPr>
        <w:t>“</w:t>
      </w:r>
      <w:r>
        <w:rPr>
          <w:rFonts w:ascii="Times New Roman" w:hAnsi="Times New Roman"/>
          <w:color w:val="000000"/>
          <w:sz w:val="20"/>
          <w:u w:val="single"/>
        </w:rPr>
        <w:t>Restricted Stock Grant Agreement</w:t>
      </w:r>
      <w:r>
        <w:rPr>
          <w:color w:val="000000"/>
        </w:rPr>
        <w:t xml:space="preserve">” </w:t>
      </w:r>
      <w:r>
        <w:rPr>
          <w:rFonts w:ascii="Times New Roman" w:hAnsi="Times New Roman"/>
          <w:color w:val="000000"/>
          <w:sz w:val="20"/>
        </w:rPr>
        <w:t>means the agreement described in Section 9 evidencing each Award of a Restricted Stock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color w:val="000000"/>
        </w:rPr>
        <w:t>“</w:t>
      </w:r>
      <w:r>
        <w:rPr>
          <w:rFonts w:ascii="Times New Roman" w:hAnsi="Times New Roman"/>
          <w:color w:val="000000"/>
          <w:sz w:val="20"/>
          <w:u w:val="single"/>
        </w:rPr>
        <w:t>SAR Agreement</w:t>
      </w:r>
      <w:r>
        <w:rPr>
          <w:color w:val="000000"/>
        </w:rPr>
        <w:t xml:space="preserve">” </w:t>
      </w:r>
      <w:r>
        <w:rPr>
          <w:rFonts w:ascii="Times New Roman" w:hAnsi="Times New Roman"/>
          <w:color w:val="000000"/>
          <w:sz w:val="20"/>
        </w:rPr>
        <w:t>means the agreement described in Section 8 evidencing each Award of a Stock Appreciation Right.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(jj)</w:t>
      </w:r>
    </w:p>
    <w:p>
      <w:pPr>
        <w:pStyle w:val="TextBody"/>
        <w:bidi w:val="0"/>
        <w:spacing w:before="0" w:after="240"/>
        <w:jc w:val="both"/>
        <w:rPr/>
      </w:pPr>
      <w:r>
        <w:rPr>
          <w:color w:val="000000"/>
        </w:rPr>
        <w:t>“</w:t>
      </w:r>
      <w:r>
        <w:rPr>
          <w:rFonts w:ascii="Times New Roman" w:hAnsi="Times New Roman"/>
          <w:color w:val="000000"/>
          <w:sz w:val="20"/>
          <w:u w:val="single"/>
        </w:rPr>
        <w:t>SEC</w:t>
      </w:r>
      <w:r>
        <w:rPr>
          <w:color w:val="000000"/>
        </w:rPr>
        <w:t xml:space="preserve">” </w:t>
      </w:r>
      <w:r>
        <w:rPr>
          <w:rFonts w:ascii="Times New Roman" w:hAnsi="Times New Roman"/>
          <w:color w:val="000000"/>
          <w:sz w:val="20"/>
        </w:rPr>
        <w:t>means the Securities and Exchange Commission.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(kk)</w:t>
      </w:r>
    </w:p>
    <w:p>
      <w:pPr>
        <w:pStyle w:val="TextBody"/>
        <w:bidi w:val="0"/>
        <w:spacing w:before="0" w:after="240"/>
        <w:jc w:val="both"/>
        <w:rPr/>
      </w:pPr>
      <w:r>
        <w:rPr>
          <w:color w:val="000000"/>
        </w:rPr>
        <w:t>“</w:t>
      </w:r>
      <w:r>
        <w:rPr>
          <w:rFonts w:ascii="Times New Roman" w:hAnsi="Times New Roman"/>
          <w:color w:val="000000"/>
          <w:sz w:val="20"/>
          <w:u w:val="single"/>
        </w:rPr>
        <w:t>Section 16 Persons</w:t>
      </w:r>
      <w:r>
        <w:rPr>
          <w:color w:val="000000"/>
        </w:rPr>
        <w:t xml:space="preserve">” </w:t>
      </w:r>
      <w:r>
        <w:rPr>
          <w:rFonts w:ascii="Times New Roman" w:hAnsi="Times New Roman"/>
          <w:color w:val="000000"/>
          <w:sz w:val="20"/>
        </w:rPr>
        <w:t>means those officers, directors or other persons who are subject to Section 16 of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(ll)</w:t>
      </w:r>
    </w:p>
    <w:p>
      <w:pPr>
        <w:pStyle w:val="TextBody"/>
        <w:bidi w:val="0"/>
        <w:spacing w:before="0" w:after="240"/>
        <w:jc w:val="both"/>
        <w:rPr/>
      </w:pPr>
      <w:r>
        <w:rPr>
          <w:color w:val="000000"/>
        </w:rPr>
        <w:t>“</w:t>
      </w:r>
      <w:r>
        <w:rPr>
          <w:rFonts w:ascii="Times New Roman" w:hAnsi="Times New Roman"/>
          <w:color w:val="000000"/>
          <w:sz w:val="20"/>
          <w:u w:val="single"/>
        </w:rPr>
        <w:t>Securities Act</w:t>
      </w:r>
      <w:r>
        <w:rPr>
          <w:color w:val="000000"/>
        </w:rPr>
        <w:t xml:space="preserve">” </w:t>
      </w:r>
      <w:r>
        <w:rPr>
          <w:rFonts w:ascii="Times New Roman" w:hAnsi="Times New Roman"/>
          <w:color w:val="000000"/>
          <w:sz w:val="20"/>
        </w:rPr>
        <w:t>means the Securities Act of 1933, as amended.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(mm)</w:t>
      </w:r>
    </w:p>
    <w:p>
      <w:pPr>
        <w:pStyle w:val="TextBody"/>
        <w:bidi w:val="0"/>
        <w:spacing w:before="0" w:after="240"/>
        <w:jc w:val="both"/>
        <w:rPr/>
      </w:pPr>
      <w:r>
        <w:rPr>
          <w:color w:val="000000"/>
        </w:rPr>
        <w:t>“</w:t>
      </w:r>
      <w:r>
        <w:rPr>
          <w:rFonts w:ascii="Times New Roman" w:hAnsi="Times New Roman"/>
          <w:color w:val="000000"/>
          <w:sz w:val="20"/>
          <w:u w:val="single"/>
        </w:rPr>
        <w:t>Selected Employee</w:t>
      </w:r>
      <w:r>
        <w:rPr>
          <w:color w:val="000000"/>
        </w:rPr>
        <w:t xml:space="preserve">” </w:t>
      </w:r>
      <w:r>
        <w:rPr>
          <w:rFonts w:ascii="Times New Roman" w:hAnsi="Times New Roman"/>
          <w:color w:val="000000"/>
          <w:sz w:val="20"/>
        </w:rPr>
        <w:t>means an Employee who has been selected by the Committee to receive an Award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(nn)</w:t>
      </w:r>
    </w:p>
    <w:p>
      <w:pPr>
        <w:pStyle w:val="TextBody"/>
        <w:bidi w:val="0"/>
        <w:spacing w:before="0" w:after="240"/>
        <w:jc w:val="both"/>
        <w:rPr/>
      </w:pPr>
      <w:r>
        <w:rPr>
          <w:color w:val="000000"/>
        </w:rPr>
        <w:t>“</w:t>
      </w:r>
      <w:r>
        <w:rPr>
          <w:rFonts w:ascii="Times New Roman" w:hAnsi="Times New Roman"/>
          <w:color w:val="000000"/>
          <w:sz w:val="20"/>
          <w:u w:val="single"/>
        </w:rPr>
        <w:t>Separation From Service</w:t>
      </w:r>
      <w:r>
        <w:rPr>
          <w:color w:val="000000"/>
        </w:rPr>
        <w:t xml:space="preserve">” </w:t>
      </w:r>
      <w:r>
        <w:rPr>
          <w:rFonts w:ascii="Times New Roman" w:hAnsi="Times New Roman"/>
          <w:color w:val="000000"/>
          <w:sz w:val="20"/>
        </w:rPr>
        <w:t>means a Participant’s separation from service with the Company within the meaning provided to such term under Code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(oo)</w:t>
      </w:r>
    </w:p>
    <w:p>
      <w:pPr>
        <w:pStyle w:val="TextBody"/>
        <w:bidi w:val="0"/>
        <w:spacing w:before="0" w:after="240"/>
        <w:jc w:val="both"/>
        <w:rPr/>
      </w:pPr>
      <w:r>
        <w:rPr>
          <w:color w:val="000000"/>
        </w:rPr>
        <w:t>“</w:t>
      </w:r>
      <w:r>
        <w:rPr>
          <w:rFonts w:ascii="Times New Roman" w:hAnsi="Times New Roman"/>
          <w:color w:val="000000"/>
          <w:sz w:val="20"/>
          <w:u w:val="single"/>
        </w:rPr>
        <w:t>Service</w:t>
      </w:r>
      <w:r>
        <w:rPr>
          <w:color w:val="000000"/>
        </w:rPr>
        <w:t xml:space="preserve">” </w:t>
      </w:r>
      <w:r>
        <w:rPr>
          <w:rFonts w:ascii="Times New Roman" w:hAnsi="Times New Roman"/>
          <w:color w:val="000000"/>
          <w:sz w:val="20"/>
        </w:rPr>
        <w:t>means service as an Employee, Director, Non-Employee Director or Consultant. Service will be deemed terminated as soon as the entity to which Service is being provided is no longer either (i) the Company, (ii) a Parent, (iii) a Subsidiary or (iv) an Affiliate. A Participant’s Service does not terminate if such Participant is a common-law employee with respect to the Company, a Parent, a Subsidiary or an Affiliate and goes on a bona fide leave of absence that was approved by the Company in writing and the terms of the leave provide for continued service crediting, or when continued service crediting is required by applicable law. Service terminates in any event when the approved leave ends, unless such Employee immediately returns to active work. The Committee determines which leaves count toward Service, and when Service commences and terminates for all purposes under the Plan. For avoidance of doubt, a Participant’s Service shall not be deemed terminated if the Committee determines that (i) a transition of employment to service with a partnership, joint venture or corporation not meeting the requirements of a Subsidiary in which the Company or a Subsidiary is a party is not considered a termination of Service, (ii) the Participant transfers between service as an Employee and service as a Consultant or other personal service provider (or vice versa), or (iii) the Participant transfers between service as an Employee and that of a Non-Employee Director (or vice versa). The Committee may determine whether any company transaction, such as a sale or spin-off of a division or subsidiary that employs a Participant, shall be deemed to result in termination of Service for purposes of any affected Awards, and the Committee’s decision shall be final and binding.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(pp)</w:t>
      </w:r>
    </w:p>
    <w:p>
      <w:pPr>
        <w:pStyle w:val="TextBody"/>
        <w:bidi w:val="0"/>
        <w:spacing w:before="0" w:after="240"/>
        <w:jc w:val="both"/>
        <w:rPr/>
      </w:pPr>
      <w:r>
        <w:rPr>
          <w:color w:val="000000"/>
        </w:rPr>
        <w:t>“</w:t>
      </w:r>
      <w:r>
        <w:rPr>
          <w:rFonts w:ascii="Times New Roman" w:hAnsi="Times New Roman"/>
          <w:color w:val="000000"/>
          <w:sz w:val="20"/>
          <w:u w:val="single"/>
        </w:rPr>
        <w:t>Share</w:t>
      </w:r>
      <w:r>
        <w:rPr>
          <w:color w:val="000000"/>
        </w:rPr>
        <w:t xml:space="preserve">” </w:t>
      </w:r>
      <w:r>
        <w:rPr>
          <w:rFonts w:ascii="Times New Roman" w:hAnsi="Times New Roman"/>
          <w:color w:val="000000"/>
          <w:sz w:val="20"/>
        </w:rPr>
        <w:t>means one share of Common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(qq)</w:t>
      </w:r>
    </w:p>
    <w:p>
      <w:pPr>
        <w:pStyle w:val="TextBody"/>
        <w:bidi w:val="0"/>
        <w:spacing w:before="0" w:after="240"/>
        <w:jc w:val="both"/>
        <w:rPr/>
      </w:pPr>
      <w:r>
        <w:rPr>
          <w:color w:val="000000"/>
        </w:rPr>
        <w:t>“</w:t>
      </w:r>
      <w:r>
        <w:rPr>
          <w:rFonts w:ascii="Times New Roman" w:hAnsi="Times New Roman"/>
          <w:color w:val="000000"/>
          <w:sz w:val="20"/>
          <w:u w:val="single"/>
        </w:rPr>
        <w:t>Specified Employee</w:t>
      </w:r>
      <w:r>
        <w:rPr>
          <w:color w:val="000000"/>
        </w:rPr>
        <w:t xml:space="preserve">” </w:t>
      </w:r>
      <w:r>
        <w:rPr>
          <w:rFonts w:ascii="Times New Roman" w:hAnsi="Times New Roman"/>
          <w:color w:val="000000"/>
          <w:sz w:val="20"/>
        </w:rPr>
        <w:t>means a Participant who is considered a “specified employee” within the meaning provided to such term under Code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(rr)</w:t>
      </w:r>
    </w:p>
    <w:p>
      <w:pPr>
        <w:pStyle w:val="TextBody"/>
        <w:bidi w:val="0"/>
        <w:spacing w:before="0" w:after="240"/>
        <w:jc w:val="both"/>
        <w:rPr/>
      </w:pPr>
      <w:r>
        <w:rPr>
          <w:color w:val="000000"/>
        </w:rPr>
        <w:t>“</w:t>
      </w:r>
      <w:r>
        <w:rPr>
          <w:rFonts w:ascii="Times New Roman" w:hAnsi="Times New Roman"/>
          <w:color w:val="000000"/>
          <w:sz w:val="20"/>
          <w:u w:val="single"/>
        </w:rPr>
        <w:t>Stock Appreciation Right</w:t>
      </w:r>
      <w:r>
        <w:rPr>
          <w:color w:val="000000"/>
        </w:rPr>
        <w:t xml:space="preserve">” </w:t>
      </w:r>
      <w:r>
        <w:rPr>
          <w:rFonts w:ascii="Times New Roman" w:hAnsi="Times New Roman"/>
          <w:color w:val="000000"/>
          <w:sz w:val="20"/>
        </w:rPr>
        <w:t>or “</w:t>
      </w:r>
      <w:r>
        <w:rPr>
          <w:rFonts w:ascii="Times New Roman" w:hAnsi="Times New Roman"/>
          <w:color w:val="000000"/>
          <w:sz w:val="20"/>
          <w:u w:val="single"/>
        </w:rPr>
        <w:t>SAR</w:t>
      </w:r>
      <w:r>
        <w:rPr>
          <w:color w:val="000000"/>
        </w:rPr>
        <w:t xml:space="preserve">” </w:t>
      </w:r>
      <w:r>
        <w:rPr>
          <w:rFonts w:ascii="Times New Roman" w:hAnsi="Times New Roman"/>
          <w:color w:val="000000"/>
          <w:sz w:val="20"/>
        </w:rPr>
        <w:t>means a stock appreciation right awarded under the Plan which provides the holder with a right to potentially receive, in cash and/or Shares, value with respect to a specific number of Shares, as provided in Section 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(ss)</w:t>
      </w:r>
    </w:p>
    <w:p>
      <w:pPr>
        <w:pStyle w:val="TextBody"/>
        <w:bidi w:val="0"/>
        <w:spacing w:before="0" w:after="240"/>
        <w:jc w:val="both"/>
        <w:rPr/>
      </w:pPr>
      <w:r>
        <w:rPr>
          <w:color w:val="000000"/>
        </w:rPr>
        <w:t>“</w:t>
      </w:r>
      <w:r>
        <w:rPr>
          <w:rFonts w:ascii="Times New Roman" w:hAnsi="Times New Roman"/>
          <w:color w:val="000000"/>
          <w:sz w:val="20"/>
          <w:u w:val="single"/>
        </w:rPr>
        <w:t>Stock Option Agreement</w:t>
      </w:r>
      <w:r>
        <w:rPr>
          <w:color w:val="000000"/>
        </w:rPr>
        <w:t xml:space="preserve">” </w:t>
      </w:r>
      <w:r>
        <w:rPr>
          <w:rFonts w:ascii="Times New Roman" w:hAnsi="Times New Roman"/>
          <w:color w:val="000000"/>
          <w:sz w:val="20"/>
        </w:rPr>
        <w:t>means the agreement described in Section 6 evidencing each Award of an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(tt)</w:t>
      </w:r>
    </w:p>
    <w:p>
      <w:pPr>
        <w:pStyle w:val="TextBody"/>
        <w:bidi w:val="0"/>
        <w:spacing w:before="0" w:after="240"/>
        <w:jc w:val="both"/>
        <w:rPr/>
      </w:pPr>
      <w:r>
        <w:rPr>
          <w:color w:val="000000"/>
        </w:rPr>
        <w:t>“</w:t>
      </w:r>
      <w:r>
        <w:rPr>
          <w:rFonts w:ascii="Times New Roman" w:hAnsi="Times New Roman"/>
          <w:color w:val="000000"/>
          <w:sz w:val="20"/>
          <w:u w:val="single"/>
        </w:rPr>
        <w:t>Stock Unit</w:t>
      </w:r>
      <w:r>
        <w:rPr>
          <w:color w:val="000000"/>
        </w:rPr>
        <w:t xml:space="preserve">” </w:t>
      </w:r>
      <w:r>
        <w:rPr>
          <w:rFonts w:ascii="Times New Roman" w:hAnsi="Times New Roman"/>
          <w:color w:val="000000"/>
          <w:sz w:val="20"/>
        </w:rPr>
        <w:t>means a bookkeeping entry representing the equivalent of one Share, as awarded under the Plan and as provided in Section 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(uu)</w:t>
      </w:r>
    </w:p>
    <w:p>
      <w:pPr>
        <w:pStyle w:val="TextBody"/>
        <w:bidi w:val="0"/>
        <w:spacing w:before="0" w:after="240"/>
        <w:jc w:val="both"/>
        <w:rPr/>
      </w:pPr>
      <w:r>
        <w:rPr>
          <w:color w:val="000000"/>
        </w:rPr>
        <w:t>“</w:t>
      </w:r>
      <w:r>
        <w:rPr>
          <w:rFonts w:ascii="Times New Roman" w:hAnsi="Times New Roman"/>
          <w:color w:val="000000"/>
          <w:sz w:val="20"/>
          <w:u w:val="single"/>
        </w:rPr>
        <w:t>Stock Unit Agreement</w:t>
      </w:r>
      <w:r>
        <w:rPr>
          <w:color w:val="000000"/>
        </w:rPr>
        <w:t xml:space="preserve">” </w:t>
      </w:r>
      <w:r>
        <w:rPr>
          <w:rFonts w:ascii="Times New Roman" w:hAnsi="Times New Roman"/>
          <w:color w:val="000000"/>
          <w:sz w:val="20"/>
        </w:rPr>
        <w:t>means the agreement described in Section 10 evidencing each Award of Stock Units.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(vv)</w:t>
      </w:r>
    </w:p>
    <w:p>
      <w:pPr>
        <w:pStyle w:val="TextBody"/>
        <w:bidi w:val="0"/>
        <w:spacing w:before="0" w:after="240"/>
        <w:jc w:val="both"/>
        <w:rPr/>
      </w:pPr>
      <w:r>
        <w:rPr>
          <w:color w:val="000000"/>
        </w:rPr>
        <w:t>“</w:t>
      </w:r>
      <w:r>
        <w:rPr>
          <w:rFonts w:ascii="Times New Roman" w:hAnsi="Times New Roman"/>
          <w:color w:val="000000"/>
          <w:sz w:val="20"/>
          <w:u w:val="single"/>
        </w:rPr>
        <w:t>Subsidiary</w:t>
      </w:r>
      <w:r>
        <w:rPr>
          <w:color w:val="000000"/>
        </w:rPr>
        <w:t xml:space="preserve">” </w:t>
      </w:r>
      <w:r>
        <w:rPr>
          <w:rFonts w:ascii="Times New Roman" w:hAnsi="Times New Roman"/>
          <w:color w:val="000000"/>
          <w:sz w:val="20"/>
        </w:rPr>
        <w:t>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Date shall be considered a Subsidiary commencing as of such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(ww)</w:t>
      </w:r>
    </w:p>
    <w:p>
      <w:pPr>
        <w:pStyle w:val="TextBody"/>
        <w:bidi w:val="0"/>
        <w:spacing w:before="0" w:after="240"/>
        <w:jc w:val="both"/>
        <w:rPr/>
      </w:pPr>
      <w:r>
        <w:rPr>
          <w:color w:val="000000"/>
        </w:rPr>
        <w:t>“</w:t>
      </w:r>
      <w:r>
        <w:rPr>
          <w:rFonts w:ascii="Times New Roman" w:hAnsi="Times New Roman"/>
          <w:color w:val="000000"/>
          <w:sz w:val="20"/>
          <w:u w:val="single"/>
        </w:rPr>
        <w:t>Termination Date</w:t>
      </w:r>
      <w:r>
        <w:rPr>
          <w:color w:val="000000"/>
        </w:rPr>
        <w:t xml:space="preserve">” </w:t>
      </w:r>
      <w:r>
        <w:rPr>
          <w:rFonts w:ascii="Times New Roman" w:hAnsi="Times New Roman"/>
          <w:color w:val="000000"/>
          <w:sz w:val="20"/>
        </w:rPr>
        <w:t>means the date on which a Participant’s Service terminates as determined by the Committee.</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3.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ADMINISTRATION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Committee Composition</w:t>
      </w:r>
      <w:r>
        <w:rPr>
          <w:rFonts w:ascii="Times New Roman" w:hAnsi="Times New Roman"/>
          <w:color w:val="000000"/>
          <w:sz w:val="20"/>
        </w:rPr>
        <w:t xml:space="preserve">. A Committee consisting of exclusively two or more directors of the Company appointed by the Board shall administer the Plan. Unless the Board provides otherwise, the Board’s compensation committee (or a comparable committee of the Board) shall be the Committee.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each member of the Committee shall meet the following requirements: (i) any listing standards prescribed by the principal securities market on which the Company’s equity securities are traded; (ii) such requirements as the Securities and Exchange Commission may establish for administrators acting under plans intended to qualify for exemption under Exchange Act Rule 16b-3 (or its successor); and (iii) any other requirements imposed by applicable law, regulations or rules.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required, the Committee shall have membership composition which enables Awards to Section 16 Persons to qualify as exempt from liability under Section 16(b) of the Exchange Act. The Committee shall comply with rules and regulations applicable to it, including under the rules of any exchange on which the Shares are traded.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Authority of the Committee</w:t>
      </w:r>
      <w:r>
        <w:rPr>
          <w:rFonts w:ascii="Times New Roman" w:hAnsi="Times New Roman"/>
          <w:color w:val="000000"/>
          <w:sz w:val="20"/>
        </w:rPr>
        <w:t>. The Committee shall have full authority and discretion to take any actions it deems necessary or advisable for the administration of the Plan. Such actions shall include without limitation: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determining Selected Employees who are to receive Awards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determining the type, number, vesting requirements, Performance Goals (if any) and their degree of satisfaction, and other features and conditions of such Awards and amending such Awards;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correcting any defect, supplying any omission, or reconciling or clarifying any inconsistency in the Plan or any Award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accelerating the vesting, or extending the post-termination exercise term, or waiving restrictions, of Awards at any time and under such terms and conditions as it deems appropriate;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interpreting the Plan and any Award Agreements;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making all other decisions relating to the operation of the Plan;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adopting such plans or subplans as may be deemed necessary or appropriate to provide for the participation by non-U.S. employees of the Company and its Subsidiaries and Affiliates, which plans and/or subplans shall be attached hereto as appendices.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may adopt such rules or guidelines, as it deems appropriate to implement the Plan. The Committee’s determinations under the Plan shall be final, conclusive and binding on all persons. The Committee’s decisions and determinations need not be uniform and may be made selectively among Participants in the Committee’s sole discretion. The Committee’s decisions and determinations will be afforded the maximum deference provided by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Indemnification</w:t>
      </w:r>
      <w:r>
        <w:rPr>
          <w:rFonts w:ascii="Times New Roman" w:hAnsi="Times New Roman"/>
          <w:color w:val="000000"/>
          <w:sz w:val="20"/>
        </w:rPr>
        <w:t>. To the maximum extent permitted by applicable law, each member of the Committee, or of the Board, or any persons (including without limitation Employees and Officers) who are delegated by the Board or Committee to perform oversight or administrative functions in connection with the Plan, shall be indemnified and held harmless by the Company against and from (i) any loss, cost, liability, or expense that may be imposed upon or reasonably incurred by such member in connection with or resulting from any claim, action, suit, or proceeding to which such member may be a party or in which such member may be involved by reason of any action taken or failure to act under the Plan or any Award Agreement, and (ii) from any and all amounts paid by such member in settlement thereof, with the Company’s approval, or paid by such member in satisfaction of any judgment in any such claim, action, suit, or proceeding against such member, provided such member shall give the Company an opportunity, at its own expense, to handle and defend the same before such member undertakes to handle and defend it on such member’s own behalf. The foregoing right of indemnification shall not be exclusive of any other rights of indemnification to which such persons may be entitled under the Company’s Articles of Incorporation or Bylaws, by contract, as a matter of law, or otherwise, or under any power that the Company may have to indemnify them or hold them harmless.</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4.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General Eligibility</w:t>
      </w:r>
      <w:r>
        <w:rPr>
          <w:rFonts w:ascii="Times New Roman" w:hAnsi="Times New Roman"/>
          <w:color w:val="000000"/>
          <w:sz w:val="20"/>
        </w:rPr>
        <w:t>. Only Employees shall be eligible for designation as Selected Employees by the Committee.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Restrictions on Shares</w:t>
      </w:r>
      <w:r>
        <w:rPr>
          <w:rFonts w:ascii="Times New Roman" w:hAnsi="Times New Roman"/>
          <w:color w:val="000000"/>
          <w:sz w:val="20"/>
        </w:rPr>
        <w:t>. Any Shares issued pursuant to an Award shall be subject to such Company policies, rights of repurchase, rights of first refusal and other transfer restrictions as the Committee may determine. Such restrictions shall apply in addition to any restrictions that may apply to holders of Shares generally and shall also comply to the extent necessary with applicable law. In no event shall the Company be required to issue fractional Shares under this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Beneficiaries</w:t>
      </w:r>
      <w:r>
        <w:rPr>
          <w:rFonts w:ascii="Times New Roman" w:hAnsi="Times New Roman"/>
          <w:color w:val="000000"/>
          <w:sz w:val="20"/>
        </w:rPr>
        <w:t>. A Participant may designate one or more beneficiaries with respect to an Award 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Performance Goals</w:t>
      </w:r>
      <w:r>
        <w:rPr>
          <w:rFonts w:ascii="Times New Roman" w:hAnsi="Times New Roman"/>
          <w:color w:val="000000"/>
          <w:sz w:val="20"/>
        </w:rPr>
        <w:t xml:space="preserve">. The Committee may, in its discretion, include Performance Goals or other performance objectives in any Award.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satisfaction of any completion of any Performance Goal, to the extent specified at the time of grant of an Award, the number of Shares, Options, SARs, Stock Units or other benefits granted, issued, retainable and/or vested under an Award on account of satisfaction of such Performance Goals may be reduced by the Committee on the basis of such further considerations as the Committee in its sole discretion shall determine.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No Rights as a Stockholder</w:t>
      </w:r>
      <w:r>
        <w:rPr>
          <w:rFonts w:ascii="Times New Roman" w:hAnsi="Times New Roman"/>
          <w:color w:val="000000"/>
          <w:sz w:val="20"/>
        </w:rPr>
        <w:t>. A Participant, or a transferee of a Participant, shall have no rights as a stockholder (including without limitation voting rights or dividend or distribution rights) with respect to any Common Stock covered by an Award until such person becomes entitled to receive such Common Stock, has satisfied any applicable withholding or tax obligations relating to the Award and the Common Stock has been issued to the Participant. No adjustment shall be made for cash or stock dividends or other rights for which the record date is prior to the date when such Common Stock is issued, except as expressly provided in Section 11. For the avoidance of doubt, no Award shall allow for the payment of dividends with respect to any portion of the Award that does not vest or as to which applicable vesting or performance conditions are not satisfied.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Termination of Service</w:t>
      </w:r>
      <w:r>
        <w:rPr>
          <w:rFonts w:ascii="Times New Roman" w:hAnsi="Times New Roman"/>
          <w:color w:val="000000"/>
          <w:sz w:val="20"/>
        </w:rPr>
        <w:t xml:space="preserve">. Unless the applicable Award Agreement or employment agreement provides otherwise (and in such case, the Award or employment agreement shall govern as to the consequences of a termination of Service for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Awards), the following rules shall govern the vesting, exercisability and term of outstanding Awards held by a Participant in the event of termination of such Participant’s Service (in all cases subject to the term of the Option or SAR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Service of a Participant is terminated for Cause, then all of the Participant’s Options, SARs, unvested portions of Stock Units and unvested portions of Restricted Stock Grants shall terminate and be forfeited immediately without consideration as of the Termination Date (except for repayment of any amounts the Participant had previously paid to the Company to acquire Shares underlying the forfeited Awards);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Service of Participant is terminated for any reason other than for Cause and other due to the Participant’s death or Disability, then the vested portion of the Participant’s then-outstanding Options/SARs may be exercised by such Participant or his or her personal representative within three months after the Termination Date and all unvested portions of the Participant’s outstanding Awards shall be forfeited without consideration as of the Termination Date (except for repayment of any amounts the Participant had previously paid to the Company to acquire Shares underlying the forfeited Awards);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Service of a Participant is terminated due to the Participant’s death or Disability, the vested portion of the Participant’s then outstanding Options/SARs may be exercised within twelve months after the Termination Date and all unvested portions of any outstanding Awards shall be forfeited without consideration as of the Termination Date (except for repayment of any amounts the Participant had previously paid to the Company to acquire Shares underlying the forfeited Awards).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Code Section 409A</w:t>
      </w:r>
      <w:r>
        <w:rPr>
          <w:rFonts w:ascii="Times New Roman" w:hAnsi="Times New Roman"/>
          <w:color w:val="000000"/>
          <w:sz w:val="20"/>
        </w:rPr>
        <w:t>. Notwithstanding anything in the Plan to the contrary, the Plan and Awards granted hereunder are intended to comply with the requirements of Code Section 409A and shall be interpreted in a manner consistent with such intention. In the event that any provision of the Plan or an Award Agreement is determined by the Committee to not comply with the applicable requirements of Code Section 409A and the Treasury Regulations and other guidance issued thereunder, the Committee shall have the authority to take such actions and to make such changes to the Plan or an Award Agreement as the Committee deems necessary to comply with such requirements, provided that no such action shall adversely affect any outstanding Award without the consent of the affected Participant. Each payment to a Participant made pursuant to this Plan shall be considered a separate payment and not one of a series of payments for purposes of Code Section 409A. Notwithstanding the foregoing or anything elsewhere in the Plan or an Award Agreement to the contrary, if upon a Participant’s Separation From Service such Participant is then a Specified Employee, then solely to the extent necessary to comply with Code Section 409A and avoid the imposition of taxes under Code Section 409A, the Company shall defer payment of “nonqualified deferred compensation” subject to Code Section 409A payable as a result of and within six (6) months following such Separation From Service under this Plan until the earlier of (i) the first business day of the seventh month following the Participant’s Separation From Service, or (ii) ten (10) days after the Company receives written confirmation of the Participant’s death. Any such delayed payments shall be made without interest. In no event whatsoever shall the Company be liable for any additional tax, interest or penalties that may be imposed on a Participant by Code Section 409A or for any damages for failing to comply with Code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Suspension or Termination of Awards</w:t>
      </w:r>
      <w:r>
        <w:rPr>
          <w:rFonts w:ascii="Times New Roman" w:hAnsi="Times New Roman"/>
          <w:color w:val="000000"/>
          <w:sz w:val="20"/>
        </w:rPr>
        <w:t>. If at any time (including after a notice of exercise has been delivered) the Committee (or the Board), reasonably believes that a Participant has committed an act of Cause (which includes a failure to act), the Committee (or Board) may suspend the Participant’s right to exercise any Option or SAR (or vesting of Restricted Stock Grants or Stock Units) pending a determination of whether there was in fact an act of Cause. If the Committee (or the Board) determines a Participant has committed an act of Cause, neither the Participant nor his or her estate shall be entitled to exercise any outstanding Option or SAR whatsoever and all of Participant’s outstanding Awards shall then terminate without consideration. Any determination by the Committee (or the Board) with respect to the foregoing shall be final, conclusive and binding on all interested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Electronic Communications</w:t>
      </w:r>
      <w:r>
        <w:rPr>
          <w:rFonts w:ascii="Times New Roman" w:hAnsi="Times New Roman"/>
          <w:color w:val="000000"/>
          <w:sz w:val="20"/>
        </w:rPr>
        <w:t>. Subject to compliance with applicable law and/or regulations, an Award Agreement or other documentation or notices relating to the Plan and/or Awards may be communicated to Participants by electronic media.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color w:val="000000"/>
          <w:sz w:val="20"/>
          <w:u w:val="single"/>
        </w:rPr>
        <w:t>Unfunded Plan</w:t>
      </w:r>
      <w:r>
        <w:rPr>
          <w:rFonts w:ascii="Times New Roman" w:hAnsi="Times New Roman"/>
          <w:color w:val="000000"/>
          <w:sz w:val="20"/>
        </w:rPr>
        <w:t xml:space="preserve">. Insofar as it provides for Awards, the Plan shall be unfunded. Although bookkeeping accounts may be established with respect to Participants who are granted Awards under this Plan, any such accounts will be used merely as a bookkeeping convenience. The Company shall not be required to segregate any assets which may at any time be represented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Awards, nor shall this Plan be construed as providing for such segregation, nor shall the Company or the Committee be deemed to be a trustee of stock or cash to be awarded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color w:val="000000"/>
          <w:sz w:val="20"/>
          <w:u w:val="single"/>
        </w:rPr>
        <w:t>Liability of Company</w:t>
      </w:r>
      <w:r>
        <w:rPr>
          <w:rFonts w:ascii="Times New Roman" w:hAnsi="Times New Roman"/>
          <w:color w:val="000000"/>
          <w:sz w:val="20"/>
        </w:rPr>
        <w:t>. The Company (or members of the Board or Committee) shall not be liable to a Participant or other persons as to: (a) the non-issuance or sale of Shares as to which the Company has been unable to obtain from any regulatory body having jurisdiction the authority deemed by the Company’s counsel to be necessary to the lawful issuance and sale of any Shares hereunder; and (b) any unexpected or adverse tax consequence or any tax consequence expected, but not realized, by any Participant or other person due to the grant, receipt, exercise or settlement of any Award granted 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w:t>
      </w:r>
    </w:p>
    <w:p>
      <w:pPr>
        <w:pStyle w:val="TextBody"/>
        <w:bidi w:val="0"/>
        <w:spacing w:before="0" w:after="240"/>
        <w:jc w:val="both"/>
        <w:rPr/>
      </w:pPr>
      <w:r>
        <w:rPr>
          <w:rFonts w:ascii="Times New Roman" w:hAnsi="Times New Roman"/>
          <w:color w:val="000000"/>
          <w:sz w:val="20"/>
          <w:u w:val="single"/>
        </w:rPr>
        <w:t>Reformation</w:t>
      </w:r>
      <w:r>
        <w:rPr>
          <w:rFonts w:ascii="Times New Roman" w:hAnsi="Times New Roman"/>
          <w:color w:val="000000"/>
          <w:sz w:val="20"/>
        </w:rPr>
        <w:t>. In the event any provision of this Plan shall be held illegal or invalid for any reason, such provisions will be reformed by the Committee if possible and to the extent needed in order to be held legal and valid. If it is not possible to reform the illegal or invalid provisions then the illegality or invalidity shall not affect the remaining parts of this Plan, and this Plan shall be construed and enforced as if the illegal or invalid provision had not been included.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u w:val="single"/>
        </w:rPr>
        <w:t>Re-Pricing of Options or SARs</w:t>
      </w:r>
      <w:r>
        <w:rPr>
          <w:rFonts w:ascii="Times New Roman" w:hAnsi="Times New Roman"/>
          <w:color w:val="000000"/>
          <w:sz w:val="20"/>
        </w:rPr>
        <w:t>. Notwithstanding anything to the contrary, without the approval of the Company’s stockholders and except as provided in Section 11(a), outstanding Options or SARs may not be re-priced, replaced or regranted (i) through cancellation, whether in exchange for cash or another type of Award, (ii) by lowering the Exercise Price of a previously granted Option or SAR or (iii) by replacing a previously granted Option or SAR with a new Option or SAR with a lower Exercise Price.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w:t>
      </w:r>
    </w:p>
    <w:p>
      <w:pPr>
        <w:pStyle w:val="TextBody"/>
        <w:bidi w:val="0"/>
        <w:spacing w:before="0" w:after="240"/>
        <w:jc w:val="both"/>
        <w:rPr/>
      </w:pPr>
      <w:r>
        <w:rPr>
          <w:rFonts w:ascii="Times New Roman" w:hAnsi="Times New Roman"/>
          <w:color w:val="000000"/>
          <w:sz w:val="20"/>
          <w:u w:val="single"/>
        </w:rPr>
        <w:t>Successor Provision</w:t>
      </w:r>
      <w:r>
        <w:rPr>
          <w:rFonts w:ascii="Times New Roman" w:hAnsi="Times New Roman"/>
          <w:color w:val="000000"/>
          <w:sz w:val="20"/>
        </w:rPr>
        <w:t>. Any reference to a statute, rule or regulation, or to a section of a statute, rule or regulation, is a reference to that statute, rule, regulation, or section as amended from time to time, both before and after the Adoption Date and including any successor provisions.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pPr>
      <w:r>
        <w:rPr>
          <w:rFonts w:ascii="Times New Roman" w:hAnsi="Times New Roman"/>
          <w:color w:val="000000"/>
          <w:sz w:val="20"/>
          <w:u w:val="single"/>
        </w:rPr>
        <w:t>Governing Law</w:t>
      </w:r>
      <w:r>
        <w:rPr>
          <w:rFonts w:ascii="Times New Roman" w:hAnsi="Times New Roman"/>
          <w:color w:val="000000"/>
          <w:sz w:val="20"/>
        </w:rPr>
        <w:t>. This Plan and all Awards shall be construed in accordance with and governed by the laws of the State of Utah but without regard to its conflict of law provisions. The Committee may provide that any dispute as to any Award shall be presented and determined in such forum as the Committee may specify, including through binding arbitration. Unless otherwise provided in the Award Agreement, recipients of an Award under the Plan are deemed to submit to the exclusive jurisdiction and venue of the federal or state courts of Utah to resolve any and all issues that may arise out of or relate to the Plan or any related Award Agreement.</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5.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SHARES SUBJECT TO PLAN AND SHARE LIMITS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Basic Limitations</w:t>
      </w:r>
      <w:r>
        <w:rPr>
          <w:rFonts w:ascii="Times New Roman" w:hAnsi="Times New Roman"/>
          <w:color w:val="000000"/>
          <w:sz w:val="20"/>
        </w:rPr>
        <w:t>. The Common Stock issuable under the Plan shall be authorized but unissued Shares or treasury Shares. Subject to adjustment as provided in Section 11, the maximum aggregate number of Shares that may be issued under the Plan shall not exceed the sum of (i) 1,500,000 Shares and (ii) the additional Shares described in Section 5(b).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Share Re-Use</w:t>
      </w:r>
      <w:r>
        <w:rPr>
          <w:rFonts w:ascii="Times New Roman" w:hAnsi="Times New Roman"/>
          <w:color w:val="000000"/>
          <w:sz w:val="20"/>
        </w:rPr>
        <w:t>. If Awards are forfeited or are terminated for any reason other than being exercised, then the Shares underlying such Awards shall again become available for Awards under the Plan. If SARs are exercised or Stock Units are settled in Shares, then only the number of Shares (if any) actually issued in settlement of such SARs or Stock Units shall reduce the number of Shares available under the Share limits stated in Section 5(a) and the balance shall again become available for Awards under the Plan. If a Participant pays the Exercise Price by Net Exercise or by surrendering previously owned Shares (or by stock attestation) and/or, as permitted by the Committee, pays any withholding tax obligation with respect to an Award by electing to have Shares withheld or surrendering previously owned Shares (or by stock attestation), the surrendered Shares and the Shares withheld to pay taxes shall be available for issuance under the Plan and shall not count toward the Share limits set forth in Section 5(a). Any Shares that are delivered and any Awards that are granted by, or become obligations of, the Company, as a result of the assumption by the Company of, or in substitution for, outstanding awards previously granted by another entity (as provided in Sections 6(e), 8(f), 9(e) or 10(e)) shall not be counted against the Share limit specified in Section 5(a). Notwithstanding the foregoing, the following Shares shall not become or again be available for grants of Awards under the Plan: (a) Shares delivered (either by actual delivery or stock attestation) to the Company by a Participant or withheld by the Company to satisfy the applicable exercise price of an Option and/or satisfy any applicable tax withholding obligation with respect to an Option or Stock Appreciation Right (including Shares retained by the Company from the Option or Stock Appreciation Right being exercised and/or creating the tax obligation), (b) Shares subject to a Stock Appreciation Right that are not issued in connection with the settlement or exercise, as applicable, of the Stock Appreciation Right, and (c) Shares purchased on the open market with the cash proceeds from the exercise of Options.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Dividend Equivalents</w:t>
      </w:r>
      <w:r>
        <w:rPr>
          <w:rFonts w:ascii="Times New Roman" w:hAnsi="Times New Roman"/>
          <w:color w:val="000000"/>
          <w:sz w:val="20"/>
        </w:rPr>
        <w:t>. Any dividend equivalents distributed under the Plan shall not be applied against the number of Shares available for Awards.</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6.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TERMS AND CONDITIONS OF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Stock Option Agreement</w:t>
      </w:r>
      <w:r>
        <w:rPr>
          <w:rFonts w:ascii="Times New Roman" w:hAnsi="Times New Roman"/>
          <w:color w:val="000000"/>
          <w:sz w:val="20"/>
        </w:rPr>
        <w:t xml:space="preserve">. Each Award of an Option under the Plan shall be evidenced by a Stock Option Agreement between the Optionee and the Company. Such Option shall be subject to all applicable terms and conditions of the Plan and may be subject to any other terms and conditions that are not inconsistent with the Plan (including without limitation any Performance Goals). The provisions of the various Stock Option Agreements entered into under the Plan need not be identical.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Number of Shares</w:t>
      </w:r>
      <w:r>
        <w:rPr>
          <w:rFonts w:ascii="Times New Roman" w:hAnsi="Times New Roman"/>
          <w:color w:val="000000"/>
          <w:sz w:val="20"/>
        </w:rPr>
        <w:t>. Each Stock Option Agreement shall specify the number of Shares that are subject to the Option and is subject to adjustment of such number in accordance with Section 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Exercise Price</w:t>
      </w:r>
      <w:r>
        <w:rPr>
          <w:rFonts w:ascii="Times New Roman" w:hAnsi="Times New Roman"/>
          <w:color w:val="000000"/>
          <w:sz w:val="20"/>
        </w:rPr>
        <w:t>. An Option’s Exercise Price shall be established by the Committee and set forth in a Stock Option Agreement. Except with respect to outstanding stock options being assumed or Options being granted in exchange for cancellation of outstanding options granted by another issuer as provided under Section 6(e), the Exercise Price of an Option shall not be less than 100% of the Fair Market Value on the date of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Exercisability and Term</w:t>
      </w:r>
      <w:r>
        <w:rPr>
          <w:rFonts w:ascii="Times New Roman" w:hAnsi="Times New Roman"/>
          <w:color w:val="000000"/>
          <w:sz w:val="20"/>
        </w:rPr>
        <w:t>. Each Stock Option Agreement shall specify the date when all or any installment of the Option is to become vested and/or exercisable. The Stock Option Agreement shall also specify the term of the Option; provided that the term of an Option shall in no event exceed ten years from the date of Award (and may be for a shorter period of time than ten years). No Option can be exercised after the expiration date specified in the applicable Stock Option Agreement. A Stock Option Agreement may provide for accelerated vesting in the event of the Participant’s death, or Disability or other events. Notwithstanding any other provision of the Plan, no Option can be exercised after the expiration date provided in the applicable Stock Option Agreement. In no event shall the Company be required to issue fractional Shares upon the exercise of an Option and the Committee may specify a minimum number of Shares that must be purchased in any one Option exercise.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Modifications or Assumption of Options</w:t>
      </w:r>
      <w:r>
        <w:rPr>
          <w:rFonts w:ascii="Times New Roman" w:hAnsi="Times New Roman"/>
          <w:color w:val="000000"/>
          <w:sz w:val="20"/>
        </w:rPr>
        <w:t>. Within the limitations of the Plan, the Committee may modify, extend or assume outstanding Options or may accept the cancellation of outstanding stock options (whether granted by the Company or by another issuer) in return for the grant of new Options for the same or a different number of Shares and at the same or a different Exercise Price. For avoidance of doubt, in accordance with Section 4(m), the Committee may not Re-Price outstanding Options without approval from the Company's stockholders, except as provided in Section 11(a). No modification of an Option shall, without the consent of the Optionee, impair the Optionee’s rights or increase the Optionee’s obligations under such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Assignment or Transfer of Options</w:t>
      </w:r>
      <w:r>
        <w:rPr>
          <w:rFonts w:ascii="Times New Roman" w:hAnsi="Times New Roman"/>
          <w:color w:val="000000"/>
          <w:sz w:val="20"/>
        </w:rPr>
        <w:t>. Except as otherwise provided in the applicable Stock Option Agreement and then only to the extent permitted by applicable law, no Option shall be transferable by the Optionee other than by will or by the laws of descent and distribution. Except as otherwise provided in the applicable Stock Option Agreement, an Option may be exercised during the lifetime of the Optionee only by Optionee or by the guardian or legal representative of the Optionee. No Option or interest therein may be assigned, pledged or hypothecated by the Optionee during the Optionee’s lifetime, whether by operation of law or otherwise, or be made subject to execution, attachment or similar process.</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7.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PAYMENT FOR OPTION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General Rule</w:t>
      </w:r>
      <w:r>
        <w:rPr>
          <w:rFonts w:ascii="Times New Roman" w:hAnsi="Times New Roman"/>
          <w:color w:val="000000"/>
          <w:sz w:val="20"/>
        </w:rPr>
        <w:t>. The entire Exercise Price of Shares issued upon exercise of Options shall be payable in cash at the time when such Shares are purchased by the Optionee, except as follows and if so provided for in an applicable Stock Option Agreement, the Committee may, in its discretion at any time, accept payment in any form(s) described in this Section 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Surrender of Stock</w:t>
      </w:r>
      <w:r>
        <w:rPr>
          <w:rFonts w:ascii="Times New Roman" w:hAnsi="Times New Roman"/>
          <w:color w:val="000000"/>
          <w:sz w:val="20"/>
        </w:rPr>
        <w:t>. To the extent that the Committee makes this Section 7(b) applicable to an Option in a Stock Option Agreement, payment for all or a part of the Exercise Price may be made with Shares which have already been owned by the Optionee for such duration as shall be specified by the Committee. Such Shares shall be valued at their Fair Market Value on the date when the new Shares are purchased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Cashless Exercise</w:t>
      </w:r>
      <w:r>
        <w:rPr>
          <w:rFonts w:ascii="Times New Roman" w:hAnsi="Times New Roman"/>
          <w:color w:val="000000"/>
          <w:sz w:val="20"/>
        </w:rPr>
        <w:t>. To the extent that the Committee makes this Section 7(c) applicable to an Option in a Stock Option Agreement, payment for all or a part of the Exercise Price may be made through Cashless Exercise.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Net Exercise</w:t>
      </w:r>
      <w:r>
        <w:rPr>
          <w:rFonts w:ascii="Times New Roman" w:hAnsi="Times New Roman"/>
          <w:color w:val="000000"/>
          <w:sz w:val="20"/>
        </w:rPr>
        <w:t>. To the extent that the Committee makes this Section 7(d) applicable to an Option in a Stock Option Agreement, payment for all or a part of the Exercise Price may be made through Net Exercise.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Other Forms of Payment</w:t>
      </w:r>
      <w:r>
        <w:rPr>
          <w:rFonts w:ascii="Times New Roman" w:hAnsi="Times New Roman"/>
          <w:color w:val="000000"/>
          <w:sz w:val="20"/>
        </w:rPr>
        <w:t>. To the extent that the Committee makes this Section 7(e) applicable to an Option in a Stock Option Agreement, payment may be made in any other form that is consistent with applicable laws, regulations and rules and approved by the Committee.</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8.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TERMS AND CONDITIONS OF STOCK APPRECIATION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SAR Agreement</w:t>
      </w:r>
      <w:r>
        <w:rPr>
          <w:rFonts w:ascii="Times New Roman" w:hAnsi="Times New Roman"/>
          <w:color w:val="000000"/>
          <w:sz w:val="20"/>
        </w:rPr>
        <w:t>. Each Award of a SAR under the Plan shall be evidenced by a SAR Agreement between the Participant and the Company. Such SAR shall be subject to all applicable terms of the Plan and may be subject to any other terms that are not inconsistent with the Plan (including without limitation any Performance Goals). A SAR Agreement may provide for a maximum limit on the amount of any payout notwithstanding the Fair Market Value on the date of exercise of the SAR. The provisions of the various SAR Agreements entered into under the Plan need not be identical.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Number of Shares</w:t>
      </w:r>
      <w:r>
        <w:rPr>
          <w:rFonts w:ascii="Times New Roman" w:hAnsi="Times New Roman"/>
          <w:color w:val="000000"/>
          <w:sz w:val="20"/>
        </w:rPr>
        <w:t>. Each SAR Agreement shall specify the number of Shares to which the SAR pertains and is subject to adjustment of such number in accordance with Section 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Exercise Price</w:t>
      </w:r>
      <w:r>
        <w:rPr>
          <w:rFonts w:ascii="Times New Roman" w:hAnsi="Times New Roman"/>
          <w:color w:val="000000"/>
          <w:sz w:val="20"/>
        </w:rPr>
        <w:t>. Each SAR Agreement shall specify the Exercise Price. Except with respect to outstanding stock appreciation rights being assumed or SARs being granted in exchange for cancellation of outstanding stock appreciation rights granted by another issuer as provided under Section 8(f), the Exercise Price of a SAR shall not be less than 100% of the Fair Market Value on the date of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Exercisability and Term</w:t>
      </w:r>
      <w:r>
        <w:rPr>
          <w:rFonts w:ascii="Times New Roman" w:hAnsi="Times New Roman"/>
          <w:color w:val="000000"/>
          <w:sz w:val="20"/>
        </w:rPr>
        <w:t xml:space="preserve">. Each SAR Agreement shall specify the date when all or any installment of the SAR is to become exercisable. The SAR Agreement shall also specify the term of the SAR which shall not exceed ten years from the date of Award. No SAR can be exercised after the expiration date specified in the applicable SAR Agreement. A SAR Agreement may provide for accelerated exercisability in the event of the Participant’s death, or Disability or other events and may provide for expiration prior to the end of its term in the event of the termination of the Participant’s Service.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Exercise of SARs</w:t>
      </w:r>
      <w:r>
        <w:rPr>
          <w:rFonts w:ascii="Times New Roman" w:hAnsi="Times New Roman"/>
          <w:color w:val="000000"/>
          <w:sz w:val="20"/>
        </w:rPr>
        <w:t>. If, on the date when a SAR expires, the Exercise Price under such SAR is less than the Fair Market Value on such date but any portion of such SAR has not been exercised or surrendered, then such SAR may automatically be deemed to be exercised as of such date with respect to such portion to the extent so provided in the applicable SAR agreement. Upon exercise of a SAR, the Participant (or any person having the right to exercise the SAR after the Participant’s death) shall receive from the Company (i) Shares, (ii) cash or (iii) any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 of the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Modification or Assumption of SARs</w:t>
      </w:r>
      <w:r>
        <w:rPr>
          <w:rFonts w:ascii="Times New Roman" w:hAnsi="Times New Roman"/>
          <w:color w:val="000000"/>
          <w:sz w:val="20"/>
        </w:rPr>
        <w:t>. Within the limitations of the Plan, the Committee may modify, extend or assume outstanding SARs or may accept the cancellation of outstanding SARs (including stock appreciation rights granted by another issuer) in return for the grant of new SARs for the same or a different number of Shares and at the same or a different Exercise Price. For avoidance of doubt, in accordance with Section 4(m), the Committee may not Re-Price outstanding SARs without approval from the Company's stockholders, except as provided in Section 11(a). No modification of a SAR shall, without the consent of the Participant, impair the Participant’s rights or increase the Participant’s obligations under such SAR.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Assignment or Transfer of SARs</w:t>
      </w:r>
      <w:r>
        <w:rPr>
          <w:rFonts w:ascii="Times New Roman" w:hAnsi="Times New Roman"/>
          <w:color w:val="000000"/>
          <w:sz w:val="20"/>
        </w:rPr>
        <w:t>. Except as otherwise provided in the applicable SAR Agreement and then only to the extent permitted by applicable law, no SAR shall be transferable by the Participant other than by will or by the laws of descent and distribution. Except as otherwise provided in the applicable SAR Agreement, a SAR may be exercised during the lifetime of the Participant only by the Participant or by the guardian or legal representative of the Participant. No SAR or interest therein may be assigned, pledged or hypothecated by the Participant during his or her lifetime, whether by operation of law or otherwise, or be made subject to execution, attachment or similar process.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9.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TERMS AND CONDITIONS FOR RESTRICTED STOCK GRANTS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Restricted Stock Grant Agreement</w:t>
      </w:r>
      <w:r>
        <w:rPr>
          <w:rFonts w:ascii="Times New Roman" w:hAnsi="Times New Roman"/>
          <w:color w:val="000000"/>
          <w:sz w:val="20"/>
        </w:rPr>
        <w:t>. Each Restricted Stock Grant awarded under the Plan shall be evidenced by a Restricted Stock Grant Agreement between the Participant and the Company. Each Restricted Stock Grant shall be subject to all applicable terms and conditions of the Plan and may be subject to any other terms and conditions that are not inconsistent with the Plan (including without limitation any Performance Goals). The provisions of the Restricted Stock Grant Agreements entered into under the Plan need not be identical.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Number of Shares and Payment</w:t>
      </w:r>
      <w:r>
        <w:rPr>
          <w:rFonts w:ascii="Times New Roman" w:hAnsi="Times New Roman"/>
          <w:color w:val="000000"/>
          <w:sz w:val="20"/>
        </w:rPr>
        <w:t>. Each Restricted Stock Grant Agreement shall specify the number of Shares to which the Restricted Stock Grant pertains and is subject to adjustment of such number in accordance with Section 11. Restricted Stock Grants may be issued with or without cash consideration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Vesting Conditions</w:t>
      </w:r>
      <w:r>
        <w:rPr>
          <w:rFonts w:ascii="Times New Roman" w:hAnsi="Times New Roman"/>
          <w:color w:val="000000"/>
          <w:sz w:val="20"/>
        </w:rPr>
        <w:t>. Each Restricted Stock Grant may or may not be subject to vesting. Vesting shall occur, in full or in installments, upon satisfaction of the conditions specified in the Restricted Stock Grant Agreement. A Restricted Stock Grant Agreement may provide for accelerated vesting in the event of the Participant’s death, or Disability or other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Voting and Dividend Rights</w:t>
      </w:r>
      <w:r>
        <w:rPr>
          <w:rFonts w:ascii="Times New Roman" w:hAnsi="Times New Roman"/>
          <w:color w:val="000000"/>
          <w:sz w:val="20"/>
        </w:rPr>
        <w:t>. The holder of a Restricted Stock Grant (irrespective of whether the Shares subject to the Restricted Stock Grant are vested or unvested) awarded under the Plan shall have the same voting, dividend and other rights as the Company's other stockholders; provided however that any dividends attributed to Shares that are unvested (whether such dividends are in the form of cash or Shares) shall be subject to the same vesting conditions and restrictions as the Restricted Stock Grant with respect to which the dividends relate; and provided further that this sentence is subject to the final sentence of Section 4(e). Such additional Shares issued as dividends that are subject to the Restricted Stock Grant shall not reduce the number of Shares available for issuance under Section 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Modification or Assumption of Restricted Stock Grants</w:t>
      </w:r>
      <w:r>
        <w:rPr>
          <w:rFonts w:ascii="Times New Roman" w:hAnsi="Times New Roman"/>
          <w:color w:val="000000"/>
          <w:sz w:val="20"/>
        </w:rPr>
        <w:t>. Within the limitations of the Plan, the Committee may modify or assume outstanding Restricted Stock Grants or may accept the cancellation of outstanding Restricted Stock Grants (including stock granted by another issuer) in return for the grant of new Restricted Stock Grants for the same or a different number of Shares. No modification of a Restricted Stock Grant shall, without the consent of the Participant, impair his or her rights or increase his or her obligations under such Restricted Stock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Assignment or Transfer of Restricted Stock Grants</w:t>
      </w:r>
      <w:r>
        <w:rPr>
          <w:rFonts w:ascii="Times New Roman" w:hAnsi="Times New Roman"/>
          <w:color w:val="000000"/>
          <w:sz w:val="20"/>
        </w:rPr>
        <w:t>. Except as provided in Section 14, or in a Restricted Stock Grant Agreement, or as required by applicable law, a Restricted Stock Grant awarded under the Plan shall not be anticipated, assigned, attached, garnished, optioned, transferred or made subject to any creditor's process, whether voluntarily, involuntarily or by operation of law. Any act in violation of this Section 9(f) shall be void. However, this Section 9(f) shall not preclude a Participant from designating a beneficiary pursuant to Section 4(c) nor shall it preclude a transfer of Restricted Stock Grant Awards by will or pursuant to Section 4(c).</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10.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TERMS AND CONDITIONS OF STOCK UNITS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Stock Unit Agreement</w:t>
      </w:r>
      <w:r>
        <w:rPr>
          <w:rFonts w:ascii="Times New Roman" w:hAnsi="Times New Roman"/>
          <w:color w:val="000000"/>
          <w:sz w:val="20"/>
        </w:rPr>
        <w:t>. Each Award of Stock Units under the Plan shall be evidenced by a Stock Unit Agreement between the Participant and the Company. Such Stock Units shall be subject to all applicable terms of the Plan and may be subject to any other terms that are not inconsistent with the Plan (including without limitation any Performance Goals). The provisions of the various Stock Unit Agreements entered into under the Plan need not be identical.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Number of Shares and Payment</w:t>
      </w:r>
      <w:r>
        <w:rPr>
          <w:rFonts w:ascii="Times New Roman" w:hAnsi="Times New Roman"/>
          <w:color w:val="000000"/>
          <w:sz w:val="20"/>
        </w:rPr>
        <w:t>. Each Stock Unit Agreement shall specify the number of Shares to which the Stock Unit Grant pertains and is subject to adjustment of such number in accordance with Section 11. To the extent that an Award is granted in the form of Stock Units, no cash consideration shall be required of the Award recipients.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Vesting Conditions</w:t>
      </w:r>
      <w:r>
        <w:rPr>
          <w:rFonts w:ascii="Times New Roman" w:hAnsi="Times New Roman"/>
          <w:color w:val="000000"/>
          <w:sz w:val="20"/>
        </w:rPr>
        <w:t>. Each Award of Stock Units may or may not be subject to vesting. Vesting shall occur, in full or in installments, upon satisfaction of the conditions specified in the Stock Unit Agreement. A Stock Unit Agreement may provide for accelerated vesting in the event of the Participant’s death, or Disability or other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Voting and Dividend Rights</w:t>
      </w:r>
      <w:r>
        <w:rPr>
          <w:rFonts w:ascii="Times New Roman" w:hAnsi="Times New Roman"/>
          <w:color w:val="000000"/>
          <w:sz w:val="20"/>
        </w:rPr>
        <w:t xml:space="preserve">. The holders of Stock Units shall have no voting rights. Prior to settlement or forfeiture, any Stock Unit awarded under the Plan may, at the Committee’s discretion, carry with it a right to dividend equivalents. Such right entitles the holder to be credited with an amount equal to all cash or Common Stock dividends paid on one Share while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Stock Unit is outstanding. Dividend equivalents may be converted into additional Stock Units. Settlement of dividend equivalents may be made in the form of cash, in the form of Shares, or in a combination of both. Prior to vesting of the Stock Units, any dividend equivalents accrued on such unvested Stock Units shall be subject to the same vesting conditions and restrictions as the Stock Units to which they attach, provided that this sentence is subject to the final sentence of Section 4(e).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pPr>
      <w:r>
        <w:rPr>
          <w:rFonts w:ascii="Times New Roman" w:hAnsi="Times New Roman"/>
          <w:color w:val="000000"/>
          <w:sz w:val="20"/>
          <w:u w:val="single"/>
        </w:rPr>
        <w:t>Modification or Assumption of Stock Units</w:t>
      </w:r>
      <w:r>
        <w:rPr>
          <w:rFonts w:ascii="Times New Roman" w:hAnsi="Times New Roman"/>
          <w:color w:val="000000"/>
          <w:sz w:val="20"/>
        </w:rPr>
        <w:t>. Within the limitations of the Plan, the Committee may modify or assume outstanding Stock Units or may accept the cancellation of outstanding Stock Units (including stock units granted by another issuer) in return for the grant of new Stock Units for the same or a different number of Shares. No modification of a Stock Unit shall, without the consent of the Participant, impair his or her rights or increase his or her obligations under such Stock Unit.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color w:val="000000"/>
          <w:sz w:val="20"/>
          <w:u w:val="single"/>
        </w:rPr>
        <w:t>Assignment or Transfer of Stock Units</w:t>
      </w:r>
      <w:r>
        <w:rPr>
          <w:rFonts w:ascii="Times New Roman" w:hAnsi="Times New Roman"/>
          <w:color w:val="000000"/>
          <w:sz w:val="20"/>
        </w:rPr>
        <w:t>. Except as provided in Section 14, or in a Stock Unit Agreement, or as required by applicable law, Stock Units shall not be anticipated, assigned, attached, garnished, optioned, transferred or made subject to any creditor’s process, whether voluntarily, involuntarily or by operation of law. Any act in violation of this Section 10(f) shall be void. However, this Section 10(f) shall not preclude a Participant from designating a beneficiary pursuant to Section 4(c) nor shall it preclude a transfer of Stock Units pursuant to Section 4(c).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color w:val="000000"/>
          <w:sz w:val="20"/>
          <w:u w:val="single"/>
        </w:rPr>
        <w:t>Form and Time of Settlement of Stock Units</w:t>
      </w:r>
      <w:r>
        <w:rPr>
          <w:rFonts w:ascii="Times New Roman" w:hAnsi="Times New Roman"/>
          <w:color w:val="000000"/>
          <w:sz w:val="20"/>
        </w:rPr>
        <w:t>. Settlement of vested Stock Units may be made in the form of (a) cash, (b) Shares or (c) any combination of both, as determined by the Committee. The actual number of Stock Units eligible for settlement may be larger or smaller than the number included in the original Award. Methods of converting Stock Units into cash may include (without limitation) a method based on the average Fair Market Value of Shares over a series of trading days. Except as otherwise provided in a Stock Unit Agreement or a timely completed deferral election, vested Stock Units shall be settled within thirty days after vesting. The distribution may occur or commence when all vesting conditions applicable to the Stock Units have been satisfied or have lapsed, or it may be deferred, in accordance with applicable law, to a later specified date. The amount of a deferred distribution may be increased by an interest factor or by dividend equivalents. Until an Award of Stock Units is settled, the number of such Stock Units shall be subject to adjustment pursuant to Section 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color w:val="000000"/>
          <w:sz w:val="20"/>
          <w:u w:val="single"/>
        </w:rPr>
        <w:t>Creditors' Rights</w:t>
      </w:r>
      <w:r>
        <w:rPr>
          <w:rFonts w:ascii="Times New Roman" w:hAnsi="Times New Roman"/>
          <w:color w:val="000000"/>
          <w:sz w:val="20"/>
        </w:rPr>
        <w:t>. A holder of Stock Units shall have no rights other than those of a general creditor of the Company. Stock Units represent an unfunded and unsecured obligation of the Company, subject to the terms and conditions of the applicable Stock Unit Agreement.</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11.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Adjustments</w:t>
      </w:r>
      <w:r>
        <w:rPr>
          <w:rFonts w:ascii="Times New Roman" w:hAnsi="Times New Roman"/>
          <w:color w:val="000000"/>
          <w:sz w:val="20"/>
        </w:rPr>
        <w:t>. In the event of a subdivision of the outstanding Shares, a declaration of a dividend payable in Shares, a declaration of a dividend payable in a form other than Shares in an amount that has a material effect on the price of Shares, a combination or consolidation of the outstanding Shares (by reclassification or otherwise) into a lesser number of Shares, a stock split, a reverse stock split, a reclassification or other distribution of the Shares without the receipt of consideration by the Company, of or on the Common Stock, a recapitalization, a combination, a spin-off or a similar occurrence, the Committee shall make equitable and proportionate adjustments 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and kind of securities available for Awards under Section 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and kind of securities covered by each outstanding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Exercise Price under each outstanding SAR and Option, and the repurchase price, if any, applicable to the unvested portion of Restricted Stock Grants;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and kind of outstanding securities issued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Participant Rights</w:t>
      </w:r>
      <w:r>
        <w:rPr>
          <w:rFonts w:ascii="Times New Roman" w:hAnsi="Times New Roman"/>
          <w:color w:val="000000"/>
          <w:sz w:val="20"/>
        </w:rPr>
        <w:t>. Except as provided in this Section 11,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 If by reason of an adjustment pursuant to this Section 11, a Participant’s Award covers additional or different shares of stock or securities, then such additional or different shares and the Award in respect thereof shall be subject to all of the terms, conditions and restrictions which were applicable to the Award and the Shares subject to the Award prior to such adjustment.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Fractional Shares</w:t>
      </w:r>
      <w:r>
        <w:rPr>
          <w:rFonts w:ascii="Times New Roman" w:hAnsi="Times New Roman"/>
          <w:color w:val="000000"/>
          <w:sz w:val="20"/>
        </w:rPr>
        <w:t>. Any adjustment of Shares pursuant to this Section 11 shall be rounded down to the nearest whole number of Shares. Under no circumstances shall the Company be required to authorize or issue fractional shares. To the extent permitted by applicable law, no consideration shall be provided as a result of any fractional shares not being issued or authorized.</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12.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EFFECT OF A CHANGE IN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Merger or Reorganization</w:t>
      </w:r>
      <w:r>
        <w:rPr>
          <w:rFonts w:ascii="Times New Roman" w:hAnsi="Times New Roman"/>
          <w:color w:val="000000"/>
          <w:sz w:val="20"/>
        </w:rPr>
        <w:t>. In the event that the Company is a party to a merger or other reorganization, outstanding Awards shall be subject to the agreement of merger or reorganization. Such agreement may provide, without limitation, that subject to the consummation of the merger or other reorganization, for the assumption (or substitution) of outstanding Awards by the surviving corporation or its parent, for their continuation by the Company (if the Company is a surviving corporation), for their cancellation with or without consideration, in all cases without the consent of the Participant.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Acceleration</w:t>
      </w:r>
      <w:r>
        <w:rPr>
          <w:rFonts w:ascii="Times New Roman" w:hAnsi="Times New Roman"/>
          <w:color w:val="000000"/>
          <w:sz w:val="20"/>
        </w:rPr>
        <w:t xml:space="preserve">. Except as otherwise provided in the applicable Award Agreement (and in such case the applicable Award Agreement shall govern), in the event that a Change in Control occurs and there is no assumption, substitution or continuation of Awards pursuant to Section 12(a), (1) with respect to outstanding Awards subject to service-based vesting conditions, 100% of the unvested portion of such Awards shall accelerate and vest immediately upon the Change in Control, and (2) with respect to outstanding Awards subject to performance-based vesting conditions, such Awards shall accelerate and vest upon the Change in Control with respect to the portion of the Award determined based on the greater of (A) target level applicable to the Award or (B) the actual level of achievement measured as of either the end of the applicable Performance Period (if the Performance Period ends prior to the Change in Control but actual performance has not yet been determined) or the effective date of the Change in Control (if the Change in Control occurs prior to the end of the Performance Period), as applicable. For avoidance of doubt, “substitution” includes, without limitation, an Award being replaced by a cash award that provides an equivalent intrinsic value (wherein for Awards intrinsic value equals the difference between the market value of a Share and any per Share exercise price). </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13.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LIMITATIONS ON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Retention Rights</w:t>
      </w:r>
      <w:r>
        <w:rPr>
          <w:rFonts w:ascii="Times New Roman" w:hAnsi="Times New Roman"/>
          <w:color w:val="000000"/>
          <w:sz w:val="20"/>
        </w:rPr>
        <w:t>. Neither the Plan nor any Award granted under the Plan shall be deemed to give any individual a right to remain in Service or to receive any other Awards under the Plan. The Company and its Parents and Subsidiaries and Affiliates reserve the right to terminate the Service of any person at any time, and for any reason, subject to applicable laws, the Company’s Articles of Incorporation and Bylaws and a written employment agreement (if 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Regulatory Requirements</w:t>
      </w:r>
      <w:r>
        <w:rPr>
          <w:rFonts w:ascii="Times New Roman" w:hAnsi="Times New Roman"/>
          <w:color w:val="000000"/>
          <w:sz w:val="20"/>
        </w:rPr>
        <w:t>. Any other provision of the Plan notwithstanding, the obligation of the Company to issue Shares or other securities under the Plan shall be subject to all applicable laws, rules and regulations and such approval by any regulatory body as may be required. The Company reserves the right to restrict, in whole or in part, the delivery of Shares or other securities pursuant to any Award prior to the satisfaction of all legal requirements relating to the issuance of such Shares or other securities, to their registration, qualification or listing or to an exemption from registration, qualification or listing.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pPr>
      <w:r>
        <w:rPr>
          <w:rFonts w:ascii="Times New Roman" w:hAnsi="Times New Roman"/>
          <w:color w:val="000000"/>
          <w:sz w:val="20"/>
          <w:u w:val="single"/>
        </w:rPr>
        <w:t>Dissolution</w:t>
      </w:r>
      <w:r>
        <w:rPr>
          <w:rFonts w:ascii="Times New Roman" w:hAnsi="Times New Roman"/>
          <w:color w:val="000000"/>
          <w:sz w:val="20"/>
        </w:rPr>
        <w:t>. To the extent not previously exercised or settled, Options, SARs, unvested Stock Units and unvested Restricted Stock Grants shall terminate immediately prior to the dissolution or liquidation of the Company and shall be forfeited to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color w:val="000000"/>
          <w:sz w:val="20"/>
          <w:u w:val="single"/>
        </w:rPr>
        <w:t>Clawback Policy</w:t>
      </w:r>
      <w:r>
        <w:rPr>
          <w:rFonts w:ascii="Times New Roman" w:hAnsi="Times New Roman"/>
          <w:color w:val="000000"/>
          <w:sz w:val="20"/>
        </w:rPr>
        <w:t>. The Company may (i) cause the cancellation of any Award, (ii) require reimbursement of any Award by a Participant and (iii) effect any other right of recoupment of equity or other compensation provided under this Plan or otherwise in accordance with Company policies and/or applicable law (each, a “</w:t>
      </w:r>
      <w:r>
        <w:rPr>
          <w:rFonts w:ascii="Times New Roman" w:hAnsi="Times New Roman"/>
          <w:color w:val="000000"/>
          <w:sz w:val="20"/>
          <w:u w:val="single"/>
        </w:rPr>
        <w:t>Clawback Policy</w:t>
      </w:r>
      <w:r>
        <w:rPr>
          <w:color w:val="000000"/>
        </w:rPr>
        <w:t>”</w:t>
      </w:r>
      <w:r>
        <w:rPr>
          <w:rFonts w:ascii="Times New Roman" w:hAnsi="Times New Roman"/>
          <w:color w:val="000000"/>
          <w:sz w:val="20"/>
        </w:rPr>
        <w:t>). In addition, a Participant may be required to repay to the Company certain previously paid compensation, whether provided under this Plan or an Award Agreement or otherwise, in accordance with the Clawback Policy.</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14.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General</w:t>
      </w:r>
      <w:r>
        <w:rPr>
          <w:rFonts w:ascii="Times New Roman" w:hAnsi="Times New Roman"/>
          <w:color w:val="000000"/>
          <w:sz w:val="20"/>
        </w:rPr>
        <w:t>. A Participant shall make arrangements satisfactory to the Company for the satisfaction of any withholding tax obligations that arise in connection with his or her Award. The Company shall not be required to issue any Shares or make any cash payment under the Plan until such obligations are satisfied.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Share Withholding</w:t>
      </w:r>
      <w:r>
        <w:rPr>
          <w:rFonts w:ascii="Times New Roman" w:hAnsi="Times New Roman"/>
          <w:color w:val="000000"/>
          <w:sz w:val="20"/>
        </w:rPr>
        <w:t>. The Committee in its discretion may permit or require a Participant to satisfy all or part of his or her withholding or income tax obligations by having the Company withhold all or a portion of any Shares that otherwise would be issued to such Participant or by surrendering all or a portion of any Shares that such Participant previously acquired (or by stock attestation). Such Shares shall be valued based on the value of the actual trade or, if there is none, the Fair Market Value as of the previous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payment of taxes by assigning Shares to the Company may be subject to restrictions, including, but not limited to, any restrictions required by rules of the SEC. The Committee may also, in its discretion, permit or require a Participant to satisfy withholding or income tax obligations (up to the maximum amount permitted by applicable law) related to an Award through a sale of Shares underlying the Award or, in the case of Options, through Net Exercise or Cashless Exercise.</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15.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DURATION AND AMENDMENTS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color w:val="000000"/>
          <w:sz w:val="20"/>
          <w:u w:val="single"/>
        </w:rPr>
        <w:t>Term of the Plan</w:t>
      </w:r>
      <w:r>
        <w:rPr>
          <w:rFonts w:ascii="Times New Roman" w:hAnsi="Times New Roman"/>
          <w:color w:val="000000"/>
          <w:sz w:val="20"/>
        </w:rPr>
        <w:t>. The Plan is effective on the Adoption Date. The Plan shall terminate no later than ten (10) years after the Adoption Date; provided, however, the Plan may be terminated by the Board on any earlier date pursuant to Section 15(b). This Plan will not in any way affect outstanding awards that were issued under other Company equity compensation plans.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color w:val="000000"/>
          <w:sz w:val="20"/>
          <w:u w:val="single"/>
        </w:rPr>
        <w:t>Right to Amend or Terminate the Plan</w:t>
      </w:r>
      <w:r>
        <w:rPr>
          <w:rFonts w:ascii="Times New Roman" w:hAnsi="Times New Roman"/>
          <w:color w:val="000000"/>
          <w:sz w:val="20"/>
        </w:rPr>
        <w:t>. The Board may amend or terminate the Plan at any time and for any reason. No Awards shall be granted under the Plan after the Plan’s termination. An amendment of the Plan shall be subject to the approval of the Company’s stockholders only to the extent required by applicable laws, regulations or rules. In addition, no such amendment or termination shall be made which would impair the rights of any Participant, without such Participant’s written consent, under any then-outstanding Award, provided that no such Participant consent shall be required with respect to any amendment or alteration if the Committee determines in its sole discretion that such amendment or alteration either (i) is required or advisable in order for the Company,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 In the event of any conflict in terms between the Plan and any Award Agreement, the terms of the Plan shall prevail and govern.</w:t>
      </w:r>
    </w:p>
    <w:p>
      <w:pPr>
        <w:pStyle w:val="TextBody"/>
        <w:bidi w:val="0"/>
        <w:spacing w:before="0" w:after="240"/>
        <w:jc w:val="left"/>
        <w:rPr>
          <w:rFonts w:ascii="Times New Roman" w:hAnsi="Times New Roman"/>
          <w:b/>
          <w:caps/>
          <w:color w:val="000000"/>
          <w:sz w:val="20"/>
        </w:rPr>
      </w:pPr>
      <w:r>
        <w:rPr>
          <w:rFonts w:ascii="Times New Roman" w:hAnsi="Times New Roman"/>
          <w:b/>
          <w:caps/>
          <w:color w:val="000000"/>
          <w:sz w:val="20"/>
        </w:rPr>
        <w:t xml:space="preserve">SECTION 16.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EXECUTION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record the adoption of this Plan by the Board, the Company has caused its duly authorized Officer to execute this Plan on behalf of the Company.</w:t>
      </w:r>
    </w:p>
    <w:tbl>
      <w:tblPr>
        <w:tblW w:w="3965" w:type="dxa"/>
        <w:jc w:val="left"/>
        <w:tblInd w:w="0" w:type="dxa"/>
        <w:tblLayout w:type="fixed"/>
        <w:tblCellMar>
          <w:top w:w="28" w:type="dxa"/>
          <w:left w:w="28" w:type="dxa"/>
          <w:bottom w:w="28" w:type="dxa"/>
          <w:right w:w="28" w:type="dxa"/>
        </w:tblCellMar>
      </w:tblPr>
      <w:tblGrid>
        <w:gridCol w:w="161"/>
        <w:gridCol w:w="146"/>
        <w:gridCol w:w="146"/>
        <w:gridCol w:w="1009"/>
        <w:gridCol w:w="1009"/>
        <w:gridCol w:w="1011"/>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3"/>
            <w:tcBorders/>
            <w:tcMar>
              <w:top w:w="0" w:type="dxa"/>
              <w:left w:w="0" w:type="dxa"/>
              <w:bottom w:w="0" w:type="dxa"/>
              <w:right w:w="0" w:type="dxa"/>
            </w:tcMar>
            <w:vAlign w:val="center"/>
          </w:tcPr>
          <w:p>
            <w:pPr>
              <w:pStyle w:val="TableContents"/>
              <w:bidi w:val="0"/>
              <w:spacing w:before="53" w:after="240"/>
              <w:jc w:val="left"/>
              <w:rPr>
                <w:rFonts w:ascii="Times New Roman" w:hAnsi="Times New Roman"/>
                <w:b/>
                <w:color w:val="000000"/>
                <w:sz w:val="20"/>
              </w:rPr>
            </w:pPr>
            <w:r>
              <w:rPr>
                <w:rFonts w:ascii="Times New Roman" w:hAnsi="Times New Roman"/>
                <w:b/>
                <w:color w:val="000000"/>
                <w:sz w:val="20"/>
              </w:rPr>
              <w:t>LIFEVANTAGE CORPORATION</w:t>
            </w:r>
          </w:p>
          <w:p>
            <w:pPr>
              <w:pStyle w:val="TableContents"/>
              <w:bidi w:val="0"/>
              <w:spacing w:before="0" w:after="30"/>
              <w:jc w:val="left"/>
              <w:rPr/>
            </w:pPr>
            <w:r>
              <w:rPr/>
              <w:t> </w:t>
            </w:r>
          </w:p>
          <w:p>
            <w:pPr>
              <w:pStyle w:val="TableContents"/>
              <w:bidi w:val="0"/>
              <w:spacing w:before="23" w:after="30"/>
              <w:jc w:val="left"/>
              <w:rPr/>
            </w:pPr>
            <w:r>
              <w:rPr/>
              <w:t> </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3"/>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Carl Aure</w:t>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029" w:type="dxa"/>
            <w:gridSpan w:val="3"/>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 xml:space="preserve">By: Carl Aure </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512" w:type="dxa"/>
            <w:gridSpan w:val="6"/>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10851</Words>
  <Characters>55905</Characters>
  <CharactersWithSpaces>66511</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