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 (d)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45"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LIFEVANTAGE 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sectPr>
      </w:pPr>
    </w:p>
    <w:p>
      <w:pPr>
        <w:spacing w:after="0" w:line="153"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90-0224471</w:t>
      </w:r>
    </w:p>
    <w:p>
      <w:pPr>
        <w:spacing w:after="0" w:line="81" w:lineRule="exact"/>
        <w:rPr>
          <w:sz w:val="24"/>
          <w:szCs w:val="24"/>
          <w:color w:val="auto"/>
        </w:rPr>
      </w:pPr>
    </w:p>
    <w:p>
      <w:pPr>
        <w:sectPr>
          <w:pgSz w:w="11900" w:h="16838" w:orient="portrait"/>
          <w:cols w:equalWidth="0" w:num="2">
            <w:col w:w="7540" w:space="720"/>
            <w:col w:w="316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400" w:space="720"/>
            <w:col w:w="3300"/>
          </w:cols>
          <w:pgMar w:left="240" w:top="7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9785 S. Monroe Street, Ste 300, Sandy, UT 84070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(801) 432-9000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type w:val="continuous"/>
        </w:sectPr>
      </w:pPr>
    </w:p>
    <w:p>
      <w:pPr>
        <w:spacing w:after="0" w:line="16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4"/>
          <w:szCs w:val="24"/>
          <w:color w:val="auto"/>
        </w:rPr>
      </w:pPr>
    </w:p>
    <w:p>
      <w:pPr>
        <w:sectPr>
          <w:pgSz w:w="11900" w:h="16838" w:orient="portrait"/>
          <w:cols w:equalWidth="0" w:num="4">
            <w:col w:w="1820" w:space="720"/>
            <w:col w:w="5220" w:space="720"/>
            <w:col w:w="1900" w:space="720"/>
            <w:col w:w="320"/>
          </w:cols>
          <w:pgMar w:left="240" w:top="733"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838" w:orient="portrait"/>
          <w:cols w:equalWidth="0" w:num="4">
            <w:col w:w="1820" w:space="720"/>
            <w:col w:w="5220" w:space="720"/>
            <w:col w:w="1980" w:space="640"/>
            <w:col w:w="320"/>
          </w:cols>
          <w:pgMar w:left="240" w:top="7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5">
            <w:col w:w="8180" w:space="180"/>
            <w:col w:w="260" w:space="100"/>
            <w:col w:w="160" w:space="180"/>
            <w:col w:w="220" w:space="80"/>
            <w:col w:w="206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outstanding of the issuer’s common stock, par value $0.001 per share, as of November 30, 2016 was 14,057,722.</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Matters relating to our audit committee's independent review into sales of our products in certain international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 over financial reporting;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financial reporting and internal control systems and processes;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properly motivate and manage our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global economic conditions;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maintain appropriate level of internal control over financial reporting;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environmental liabilities stemming from past operations and property ownership;</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retain independent distributors or to attract new independent distributors on an ongoing basis;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Improper actions by our independent distributors that violate laws or regulations;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regulations on direct selling activities in our various markets may prohibit or severely restrict our business model;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new management team could harm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raise future capital or complete acquisitions as a result of delayed periodic reports with the SEC;</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w:t>
      </w:r>
    </w:p>
    <w:p>
      <w:pPr>
        <w:spacing w:after="0" w:line="14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voting shares if holders of our existing warrants and options exercise their securities for shares of common stock and future vesting of Performance Stock Units;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paid dividends on our capital stock, and we do not currently anticipate paying dividends in the foreseeable future.</w:t>
      </w:r>
    </w:p>
    <w:p>
      <w:pPr>
        <w:spacing w:after="0" w:line="1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0"/>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2016</w:t>
            </w:r>
          </w:p>
        </w:tc>
        <w:tc>
          <w:tcPr>
            <w:tcW w:w="320" w:type="dxa"/>
            <w:vAlign w:val="bottom"/>
          </w:tcPr>
          <w:p>
            <w:pPr>
              <w:spacing w:after="0"/>
              <w:rPr>
                <w:sz w:val="22"/>
                <w:szCs w:val="22"/>
                <w:color w:val="auto"/>
              </w:rPr>
            </w:pPr>
          </w:p>
        </w:tc>
        <w:tc>
          <w:tcPr>
            <w:tcW w:w="150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23,917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25,116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deferred income tax asset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expenses and deposits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3,863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42,409</w:t>
            </w: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deferred income tax asset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7,730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28,550</w:t>
            </w: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38,128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6</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Preferred stock — par value $0.001 per share, 50,000 shares authorized, no shares issued or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 par value $0.001 per share, 250,000 shares authorized and 14,059 and 14,028</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issued and outstanding as of September 30, 2016 and June 30, 2016, respectively</w:t>
            </w: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120,150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(108,076)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420"/>
          </w:cols>
          <w:pgMar w:left="240" w:top="580"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151" w:gutter="0" w:footer="0" w:header="0"/>
          <w:type w:val="continuous"/>
        </w:sectPr>
      </w:pPr>
    </w:p>
    <w:bookmarkStart w:id="5" w:name="page6"/>
    <w:bookmarkEnd w:id="5"/>
    <w:p>
      <w:pPr>
        <w:jc w:val="center"/>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17,780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35,706</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13,820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320" w:type="dxa"/>
            <w:vAlign w:val="bottom"/>
            <w:gridSpan w:val="3"/>
            <w:vMerge w:val="restart"/>
          </w:tcPr>
          <w:p>
            <w:pPr>
              <w:jc w:val="right"/>
              <w:ind w:right="41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June 30, 2016</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14,028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120,150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12,131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options and warrants</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Issuance of shares related to restricted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stock</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Balances, September 30, 2016</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14,059</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120,830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(106,896)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14,082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263"/>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79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income tax</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Decrease / (increase) in receivables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inventory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Decrease / (increase) in prepaid expenses and deposits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long-term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Decrease in accounts payable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 (decrease) in accrued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Increase / (decrease) in other long-term liabilities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2,841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equipment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on term loan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Exercise of options and warrants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13,905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10,225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13,686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paid for interest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7900" w:type="dxa"/>
            <w:vAlign w:val="bottom"/>
          </w:tcPr>
          <w:p>
            <w:pPr>
              <w:ind w:left="1140"/>
              <w:spacing w:after="0"/>
              <w:rPr>
                <w:sz w:val="20"/>
                <w:szCs w:val="20"/>
                <w:color w:val="auto"/>
              </w:rPr>
            </w:pPr>
            <w:r>
              <w:rPr>
                <w:rFonts w:ascii="Arial" w:cs="Arial" w:eastAsia="Arial" w:hAnsi="Arial"/>
                <w:sz w:val="18"/>
                <w:szCs w:val="18"/>
                <w:color w:val="auto"/>
              </w:rPr>
              <w:t>Cash paid for income taxes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2016 included in our Annual Report on Form 10-K filed with the Securities and Exchange Commission (“SEC”) on December 12, 2016.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LifeVantage Corporation is a company dedicated to helping people achieve their health, wellness and financial independence goals. We provide quality, scientifically-validated products and a financially rewarding direct sales business opportunity to customers and independent distributors who seek a healthy lifestyle and financial freedom. We sell our products to preferred customers, retail customers and independent distributors located in the United States, Japan, Hong Kong, Australia, Canada, Philippines, Mexico, Thailand, the United Kingdom and the Netherlands.</w:t>
      </w:r>
    </w:p>
    <w:p>
      <w:pPr>
        <w:spacing w:after="0" w:line="90" w:lineRule="exact"/>
        <w:rPr>
          <w:sz w:val="20"/>
          <w:szCs w:val="20"/>
          <w:color w:val="auto"/>
        </w:rPr>
      </w:pPr>
    </w:p>
    <w:p>
      <w:pPr>
        <w:ind w:right="20" w:firstLine="405"/>
        <w:spacing w:after="0" w:line="197" w:lineRule="auto"/>
        <w:rPr>
          <w:sz w:val="20"/>
          <w:szCs w:val="20"/>
          <w:color w:val="auto"/>
        </w:rPr>
      </w:pPr>
      <w:r>
        <w:rPr>
          <w:rFonts w:ascii="Arial" w:cs="Arial" w:eastAsia="Arial" w:hAnsi="Arial"/>
          <w:sz w:val="18"/>
          <w:szCs w:val="18"/>
          <w:color w:val="auto"/>
        </w:rPr>
        <w:t>We engage in the identification, research, development and distribution of advanced nutraceutical dietary supplements and skin care products, including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our scientifically-validated dietary supplements,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our line of anti-aging skin care products, Canine Health</w:t>
      </w:r>
      <w:r>
        <w:rPr>
          <w:rFonts w:ascii="Arial" w:cs="Arial" w:eastAsia="Arial" w:hAnsi="Arial"/>
          <w:sz w:val="25"/>
          <w:szCs w:val="25"/>
          <w:color w:val="auto"/>
          <w:vertAlign w:val="superscript"/>
        </w:rPr>
        <w:t>®</w:t>
      </w:r>
      <w:r>
        <w:rPr>
          <w:rFonts w:ascii="Arial" w:cs="Arial" w:eastAsia="Arial" w:hAnsi="Arial"/>
          <w:sz w:val="18"/>
          <w:szCs w:val="18"/>
          <w:color w:val="auto"/>
        </w:rPr>
        <w:t>, our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our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our smart weight management system.</w:t>
      </w:r>
    </w:p>
    <w:p>
      <w:pPr>
        <w:spacing w:after="0" w:line="122"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consisting of normal recurring adjustments, that are considered necessary for a fair presentation of its financial position as of September 30, 2016, and the results of operations for the three months ended September 30, 2016 and 2015 and the cash flows for the three months ended September 30, 2016 and 2015.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9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2016 pursuant to the rules and regulations of the SEC. For further information, refer to the financial statements and notes thereto as of and for the year ended June 30, 2016, and included in the Annual Report on Form 10-K on file with the SEC.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accounts and transactions are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We prepare our consolidated financial statements and related disclosures in conformity with generally accepted accounting principles ("GAAP") in the United States of America. In preparing these statements, we are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we review our estimates, including those related to inventory valuation and obsolescence, sales returns, income taxes and tax valuation reserves, share-based compensation, and loss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Statements</w:t>
      </w:r>
    </w:p>
    <w:p>
      <w:pPr>
        <w:spacing w:after="0" w:line="148"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A significant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and currency translation gains and losses on intercompany balances denominated in a foreign currency are included in other expense, net in the condensed consolidated statements of operations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9" w:name="page10"/>
    <w:bookmarkEnd w:id="9"/>
    <w:p>
      <w:pPr>
        <w:ind w:right="740"/>
        <w:spacing w:after="0" w:line="277" w:lineRule="auto"/>
        <w:rPr>
          <w:sz w:val="20"/>
          <w:szCs w:val="20"/>
          <w:color w:val="auto"/>
        </w:rPr>
      </w:pPr>
      <w:r>
        <w:rPr>
          <w:rFonts w:ascii="Arial" w:cs="Arial" w:eastAsia="Arial" w:hAnsi="Arial"/>
          <w:sz w:val="18"/>
          <w:szCs w:val="18"/>
          <w:color w:val="auto"/>
        </w:rPr>
        <w:t>and comprehensive income. For the three months ended September 30, 2016 and 2015, net foreign currency losses of $0.1 million and $0.2 million, respectively, are recorded in other expense, net.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4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settled in September 2016 and were not designated for hedge accounting. For the three months ended September 30, 2016 and 2015, realized losses of $0.1 million and $9,000, respectively, related to forward contracts, are recorded in other expense, net. The Company did not hold any derivative instruments at September 30,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September 30, 2016, the Company had $6.2 million in cash accounts that were held primarily at one financial institution and $4.0 million in accounts at other financial institutions. As of September 30, 2016 and June 30, 2016, and during the periods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Company’s accounts receivable as of September 30, 2016 and June 30, 2016 consist primarily of credit card receivables. Based on the Company’s verification process for customer credit cards and historical information available, management has determined that an allowance for doubtful accounts on credit card sales as of September 30, 2016 is not necessary. No bad debt expense has been recorded for the periods ended September 30, 2016 and September 30, 2015.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2016 and June 30, 2016, inventory consisted of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540" w:type="dxa"/>
            <w:vAlign w:val="bottom"/>
          </w:tcPr>
          <w:p>
            <w:pPr>
              <w:jc w:val="right"/>
              <w:ind w:right="65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14,852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Pr>
          <w:p>
            <w:pPr>
              <w:spacing w:after="0"/>
              <w:rPr>
                <w:sz w:val="21"/>
                <w:szCs w:val="21"/>
                <w:color w:val="auto"/>
              </w:rPr>
            </w:pP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10,264</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inventory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23,917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25,116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120" w:firstLine="405"/>
        <w:spacing w:after="0" w:line="342" w:lineRule="auto"/>
        <w:rPr>
          <w:sz w:val="20"/>
          <w:szCs w:val="20"/>
          <w:color w:val="auto"/>
        </w:rPr>
      </w:pPr>
      <w:r>
        <w:rPr>
          <w:rFonts w:ascii="Arial" w:cs="Arial" w:eastAsia="Arial" w:hAnsi="Arial"/>
          <w:sz w:val="16"/>
          <w:szCs w:val="16"/>
          <w:color w:val="auto"/>
        </w:rPr>
        <w:t>Inventories are carried and depicted above at the lower of cost or net realizable value, using the first-in, first-out method, which includes a reduction in inventory values of $0.9 million and $0.4 million at September 30, 2016 and June 30, 2016, respectively, related to obsolete and slow-moving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 September 30, 2016 and June 30, 2016, the Company’s reserve balance for returns and allowances was approximately $0.3 million and $0.3 million, respectively.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September 30, 2016 and 2015 were approximately $0.3 million and $0.2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 based performance conditions are satisfied.</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utilizes a simplified method for estimating the expected life of the options. The Company uses this method because it believes that it provides a better estimate than the Company’s historical data as post vesting exercises have been limited. The risk-free interest rate assumption is based on observed interest rates appropriate for the expected terms of the stock options.</w:t>
      </w:r>
    </w:p>
    <w:p>
      <w:pPr>
        <w:spacing w:after="0" w:line="112"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4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October 2015, following approval of the Company's shareholders, the Company's board of directors approved the filing of an amendment to the Company's amended and restated articles of incorporation to effectuate a reverse split of the issued and outstanding shares of the Company's common stock on a one-for-seven basis. The reverse stock split was effective on October 19, 2015. The par value and authorized number of shares of common stock were not adjusted as a result of the reverse split. All fractional shares resulting from the reverse stock split were rounded up. All issued and outstanding common stock and per share amounts contained within the Company's consolidated financial statements and footnotes have been retroactively adjusted to reflect this reverse stock split for all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from a change in tax rates is recognized in income in the period that includes the effective date of the change.</w:t>
      </w:r>
    </w:p>
    <w:p>
      <w:pPr>
        <w:spacing w:after="0" w:line="9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For the three months ended September 30, 2016 and 2015 the Company recognized income tax expense of $0.5 million and $0.6 million, respectively, which is reflective of the Company’s current estimated federal, state and foreign effective tax rate. Realization of deferred tax assets is dependent upon future earnings in specific tax jurisdictions, the timing and amount of which are uncertain. The Company continues to evaluate the realizability of the deferred tax asset based upon achieved and estimated future results. The difference between the three months ended September 30, 2016 effective rate of 29.7% and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1000"/>
        <w:spacing w:after="0" w:line="407" w:lineRule="auto"/>
        <w:rPr>
          <w:sz w:val="20"/>
          <w:szCs w:val="20"/>
          <w:color w:val="auto"/>
        </w:rPr>
      </w:pPr>
      <w:r>
        <w:rPr>
          <w:rFonts w:ascii="Arial" w:cs="Arial" w:eastAsia="Arial" w:hAnsi="Arial"/>
          <w:sz w:val="18"/>
          <w:szCs w:val="18"/>
          <w:color w:val="auto"/>
        </w:rPr>
        <w:t xml:space="preserve">Federal statutory rate of 35.0% is due primarily to the effect of certain permanent differences, discrete items and return to provision adjustments. </w:t>
      </w:r>
      <w:r>
        <w:rPr>
          <w:rFonts w:ascii="Arial" w:cs="Arial" w:eastAsia="Arial" w:hAnsi="Arial"/>
          <w:sz w:val="18"/>
          <w:szCs w:val="18"/>
          <w:b w:val="1"/>
          <w:bCs w:val="1"/>
          <w:color w:val="auto"/>
        </w:rPr>
        <w:t>Income Per Share</w:t>
      </w:r>
    </w:p>
    <w:p>
      <w:pPr>
        <w:ind w:right="20" w:firstLine="432"/>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For the three months ended September 30, 2016 the effects of approximately 46,000 common shares issuable upon exercise of options and non-vested shares of restricted stock granted pursuant to the Company’s 2007 and 2010 Long-Term Incentive Plans are not included in computations because their effect was anti-dilutive. For the three months ended September 30, 2015 the effects of approximately 0.5 million common shares issuable upon exercise of options granted pursuant to the Company’s 2007 and 2010 Long-Term Incentive Plans were not included in computations because their effect was anti-dilutive.</w:t>
      </w:r>
    </w:p>
    <w:p>
      <w:pPr>
        <w:spacing w:after="0" w:line="7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Three Months Ended September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basic</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area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Three Months Ended September 30,</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spacing w:after="0"/>
              <w:rPr>
                <w:sz w:val="22"/>
                <w:szCs w:val="22"/>
                <w:color w:val="auto"/>
              </w:rPr>
            </w:pPr>
          </w:p>
        </w:tc>
        <w:tc>
          <w:tcPr>
            <w:tcW w:w="4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52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34,726</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14,759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52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45,352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6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ind w:left="42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Three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33,496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Japan</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10,607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8,593</w:t>
            </w: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of September 30, 2016, long-lived assets were $6.7 million in the United States and $1.3 million in Japan. As of June 30, 2016, long-lived assets were $4.2 million in the United States and $1.3 million in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Codification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supersedes the revenue recognition requirements in ASC 605,</w:t>
      </w:r>
      <w:r>
        <w:rPr>
          <w:rFonts w:ascii="Arial" w:cs="Arial" w:eastAsia="Arial" w:hAnsi="Arial"/>
          <w:sz w:val="18"/>
          <w:szCs w:val="18"/>
          <w:i w:val="1"/>
          <w:iCs w:val="1"/>
          <w:color w:val="auto"/>
        </w:rPr>
        <w:t xml:space="preserve"> Revenue Recognition</w:t>
      </w:r>
      <w:r>
        <w:rPr>
          <w:rFonts w:ascii="Arial" w:cs="Arial" w:eastAsia="Arial" w:hAnsi="Arial"/>
          <w:sz w:val="18"/>
          <w:szCs w:val="18"/>
          <w:color w:val="auto"/>
        </w:rPr>
        <w:t>. The core principle of the new standard is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revenue to depict the transfer of goods or services to customers in amounts that reflect the consideration it expects to receive in exchange for those goods or services. ASC 606 will be effective for the Company in the first quarter of fiscal 2019. The Company has performed a detailed analysis and does not anticipate that ASC 606 will have a significant impact on revenue recognition or its consolidated financial statements due to the types of revenue transactions that the Company enters into.</w:t>
      </w:r>
    </w:p>
    <w:p>
      <w:pPr>
        <w:spacing w:after="0" w:line="112"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 xml:space="preserve">Subsequent to the release of the updated revenue recognition standard discussed above, FASB issued Accounting Standards Update (ASU) 2016-08, </w:t>
      </w:r>
      <w:r>
        <w:rPr>
          <w:rFonts w:ascii="Arial" w:cs="Arial" w:eastAsia="Arial" w:hAnsi="Arial"/>
          <w:sz w:val="16"/>
          <w:szCs w:val="16"/>
          <w:i w:val="1"/>
          <w:iCs w:val="1"/>
          <w:color w:val="auto"/>
        </w:rPr>
        <w:t>Revenue from Contracts with Customers (Topic 606): Principal versus Agent Considerations (Reporting Revenue Gross versus Net)</w:t>
      </w:r>
      <w:r>
        <w:rPr>
          <w:rFonts w:ascii="Arial" w:cs="Arial" w:eastAsia="Arial" w:hAnsi="Arial"/>
          <w:sz w:val="16"/>
          <w:szCs w:val="16"/>
          <w:color w:val="auto"/>
        </w:rPr>
        <w:t>, ASU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ASU 2016-11,</w:t>
      </w:r>
      <w:r>
        <w:rPr>
          <w:rFonts w:ascii="Arial" w:cs="Arial" w:eastAsia="Arial" w:hAnsi="Arial"/>
          <w:sz w:val="16"/>
          <w:szCs w:val="16"/>
          <w:i w:val="1"/>
          <w:iCs w:val="1"/>
          <w:color w:val="auto"/>
        </w:rPr>
        <w:t xml:space="preserve"> Revenue Recognition (Topic 605) and Derivatives and Hedging (Topic 815) </w:t>
      </w:r>
      <w:r>
        <w:rPr>
          <w:rFonts w:ascii="Arial" w:cs="Arial" w:eastAsia="Arial" w:hAnsi="Arial"/>
          <w:sz w:val="16"/>
          <w:szCs w:val="16"/>
          <w:color w:val="auto"/>
        </w:rPr>
        <w:t>and ASU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These updates are intended to improve the operability and understandability of the implementation guidance for the updated revenue standard as</w:t>
      </w:r>
      <w:r>
        <w:rPr>
          <w:rFonts w:ascii="Arial" w:cs="Arial" w:eastAsia="Arial" w:hAnsi="Arial"/>
          <w:sz w:val="16"/>
          <w:szCs w:val="16"/>
          <w:i w:val="1"/>
          <w:iCs w:val="1"/>
          <w:color w:val="auto"/>
        </w:rPr>
        <w:t xml:space="preserve"> </w:t>
      </w:r>
      <w:r>
        <w:rPr>
          <w:rFonts w:ascii="Arial" w:cs="Arial" w:eastAsia="Arial" w:hAnsi="Arial"/>
          <w:sz w:val="16"/>
          <w:szCs w:val="16"/>
          <w:color w:val="auto"/>
        </w:rPr>
        <w:t>it relates to the subjects noted. The amendments in these updates have the same effective date as ASC 606 as noted above, and the Company does not anticipate that these updates will have a significant impact on its revenue recognition policy or its consolidated financial statements.</w:t>
      </w:r>
    </w:p>
    <w:p>
      <w:pPr>
        <w:spacing w:after="0" w:line="8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In November 2015,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Current GAAP requires an entity to separate deferred income tax liabilities and assets into current and noncurrent amounts in a classified statement of financial position. To simplify the presentation of deferred income taxes, the amendments in this update require that all deferred tax assets or liabilities be classified as noncurrent in the classified statement of financial position. The Company early adopted this update prospectively during the quarter ended September 30, 2016, which resulted in the reclassification of the deferred taxes from current to noncurrent on the balance sheet. Prior period balances were not retrospectively adjusted.</w:t>
      </w:r>
    </w:p>
    <w:p>
      <w:pPr>
        <w:spacing w:after="0" w:line="7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841)</w:t>
      </w:r>
      <w:r>
        <w:rPr>
          <w:rFonts w:ascii="Arial" w:cs="Arial" w:eastAsia="Arial" w:hAnsi="Arial"/>
          <w:sz w:val="18"/>
          <w:szCs w:val="18"/>
          <w:color w:val="auto"/>
        </w:rPr>
        <w:t>. For lessees, the amendments in this update require that for all leases not considered to be short term, a company recognize both a lease liability and right-of-use asset on its balance sheet, representing the obligation to make payments and the right to use or control the use of a specified asset for the lease term. The amendments in this update are effective for annual periods beginning after December 15, 2018 and interim periods within those annual periods. The Company is currently evaluating the impact that this amendment will have on its consolidated financial statements.</w:t>
      </w:r>
    </w:p>
    <w:p>
      <w:pPr>
        <w:spacing w:after="0" w:line="10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 xml:space="preserve">In March 2016,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amendments in this update involve several aspects of the accounting for share-based compensation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forfeitures, statutory withholding requirements and cash flow classification for applicable transactions, in an effort to reduce costs and complexity associated with these transactions while maintaining the usefulness of financial information. Prior to this update, all excess tax benefits were recognized in additional paid in capital ("APIC") and accumulated in an APIC pool and any tax deficiencies realized were offset against the APIC pool to the extent available, with any excess amounts recognized in the income statement. Under this new amendment, any excess tax benefits or deficiencies resulting from the exercise, vesting or settlement of share-based payment transactions will be recognized in the income statement as tax benefits or expenses prospectively from the date of adoption. Estimating forfeitures as part of the recognition of compensation costs is no longer required, rather, an entity can make the election to account for forfeitures when they occur. The Company early adopted this update during the quarter ended September 30, 2016 and began recording the excess tax benefits to the income statement. The Company elected to continue estimating forfeitures as part of its share-based compensation accounting policy.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Long-Term Debt</w:t>
      </w:r>
    </w:p>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October 18, 2013, the Company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The Company did not borrow any amounts under the October 2013 Delayed Draw Term Loan.</w:t>
      </w:r>
    </w:p>
    <w:p>
      <w:pPr>
        <w:spacing w:after="0" w:line="10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May 1, 2015, the Company entered into an Amendment No. 1 to Financing Agreement ("Amendment No. 1"). Amendment No. 1 revised the March 31, 2015 and June 30, 2015 consolidated EBITDA covenants from $20.6 million and $21.3 million, respectively, to $17.0 million for each quarter end. Amendment No. 1 also revised the minimum unrestricted cash and cash equivalents that the Company was required to hold from $10.0 million to $8.0 million for the reporting periods ended March 31, 2015 and June 30, 2015. In addition, Amendment No. 1 required that the Company make certain accelerated principal payments on the October 2013 Term Loan totaling $4.5 million during the fourth quarter of fiscal year 2016.</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27, 2015, the Company entered into an Amendment No. 2 to Financing Agreement ("Amendment No. 2" and collectively, with the October</w:t>
      </w:r>
    </w:p>
    <w:p>
      <w:pPr>
        <w:spacing w:after="0" w:line="4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2013 Term Loan, as previously amended by Amendment No. 1, the "October 2013 Credit Facility"). Amendment No. 2 revised the covenants related to minimum consolidated EBITDA (as defined in the amended Financing Agreement) for the four consecutive fiscal quarters ending September 30, 2015, December 31, 2015, March 31, 2016 and June 30, 2016 from $22.2 million, $23.1 million, $24.4 million and $25.6 million, respectively, to $14.5 million, $15.0 million, $17.0 million and $17.5 million, respectively. In addition, Amendment No. 2 required that the Company make additional monthly accelerated principal payments on the October 2013 Term Loan in the amount of $0.5 million commencing on October 15, 2015 and continuing until the Term Loan was paid in full. Amendment No. 2 also required that the Company make additional accelerated payments at the end of each fiscal quarter in the amount of all unrestricted cash on hand as of the close of business on the last day of the quarter in excess of $12.5 million.</w:t>
      </w:r>
    </w:p>
    <w:p>
      <w:pPr>
        <w:spacing w:after="0" w:line="10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principal amount of the October 2013 Term Loan was payable in consecutive quarterly installments beginning with the calendar quarter ended March 31, 2014 and matured on the earlier of October 18, 2018 or such date as the outstanding loans became payable in accordance with the terms of the Financing Agreement (the “Final Maturity Date”). The October 2013 Term loan bore interest at a rate equal to 7.5% per annum plus the greater of (i) 1.25% or (ii) LIBOR, or at the Company’s option, a reference rate (as defined in the Financing Agreement) plus 6.5% per annum, with such interest payable monthly. For the three months ended September 30, 2016, the average interest rate was 8.75%. On March 30, 2016, the Company repaid the full amount outstanding under the October 2013 Term Loan and terminated the October 2013 Credit Facility.</w:t>
      </w:r>
    </w:p>
    <w:p>
      <w:pPr>
        <w:spacing w:after="0" w:line="9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March 30, 2016, the Company entered into a Loan Agreement (the “March 2016 Loan Agreement”) to refinance its outstanding debt under the October 2013 Term Loan. In connection with the March 2016 Loan Agreement and on the same date, the Company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7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the Company borrows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Company’s obligations under the March 2016 Credit Facility are secured by a security interest in substantially all of the Company’s assets. Loans outstanding under the March 2016 Credit Facility may be prepaid in whole or in part at any time 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March 2016 Credit Facility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March 2016 Credit Facility also contains various financial covenants that require the Company to maintain a certain consolidated minimum</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ind w:right="100"/>
        <w:spacing w:after="0" w:line="271" w:lineRule="auto"/>
        <w:rPr>
          <w:sz w:val="20"/>
          <w:szCs w:val="20"/>
          <w:color w:val="auto"/>
        </w:rPr>
      </w:pPr>
      <w:r>
        <w:rPr>
          <w:rFonts w:ascii="Arial" w:cs="Arial" w:eastAsia="Arial" w:hAnsi="Arial"/>
          <w:sz w:val="17"/>
          <w:szCs w:val="17"/>
          <w:color w:val="auto"/>
        </w:rPr>
        <w:t>tangible net worth, minimum working capital amounts, and certain debt to EBITDA and fixed charge coverage ratios. Additionally, the March 2016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As of September 30, 2016, the Company was in compliance with all applicable covenants under the March 2016 Credit Facility; provided, however, that on October 24, 2016, the Company was granted a waiver and extension to the covenants requiring the Company to provide the lender with audited financial statements for the Company's 2016 fiscal year on or before October 28, 2016. Under the limited waiver and extension, the lender has agreed to waive compliance with this requirement if the Company delivers such audited financial statements prior to December 31, 2016. See Note 8 to our unaudited condensed consolidated financial statements for a discussion of the limited waiver and extension.</w:t>
      </w:r>
    </w:p>
    <w:p>
      <w:pPr>
        <w:spacing w:after="0" w:line="9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three months ended September 30, 2016, the Company recorded interest expense of $8,000 related to the normal amortization of transaction costs associated with the March 2016 Credit Facility. At September 30, 2016, the Company had unamortized transaction costs totaling $0.1 million included in the consolidated balance sheet related to the March 2016 Credit Facility. This balance will be amortized to interest expense using the effective interest method over the term of the loan.</w:t>
      </w:r>
    </w:p>
    <w:p>
      <w:pPr>
        <w:spacing w:after="0" w:line="10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book value for the March 2016 Credit Facility approximates the fair value. Aggregate future principal payments required in accordance with the terms of the March 2016 Credit Facility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June 30,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 nine months ending June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43"/>
        </w:trPr>
        <w:tc>
          <w:tcPr>
            <w:tcW w:w="1040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10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w:t>
            </w:r>
          </w:p>
        </w:tc>
      </w:tr>
      <w:tr>
        <w:trPr>
          <w:trHeight w:val="237"/>
        </w:trPr>
        <w:tc>
          <w:tcPr>
            <w:tcW w:w="10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9,000</w:t>
            </w:r>
          </w:p>
        </w:tc>
      </w:tr>
      <w:tr>
        <w:trPr>
          <w:trHeight w:val="27"/>
        </w:trPr>
        <w:tc>
          <w:tcPr>
            <w:tcW w:w="10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10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Stockholders’ Equity</w:t>
      </w:r>
    </w:p>
    <w:p>
      <w:pPr>
        <w:spacing w:after="0" w:line="1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three months ended September 30, 2016, the Company issued 9,000 shares of restricted stock and 28,000 shares of common stock upon the exercise of warrants and options. During the three months ended September 30, 2016, 6,000 shares of restricted stock were canceled or surrendered as payment of tax withholding upon vesting.</w:t>
      </w:r>
    </w:p>
    <w:p>
      <w:pPr>
        <w:spacing w:after="0" w:line="10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Company’s Articles of Incorporation authorize the issuance of preferred shares. However, as of September 30, 2016, none have been issued and no rights or preferences have been assigned to the preferred shares by the Company’s Board of Directors.</w:t>
      </w:r>
    </w:p>
    <w:p>
      <w:pPr>
        <w:spacing w:after="0" w:line="85" w:lineRule="exact"/>
        <w:rPr>
          <w:sz w:val="20"/>
          <w:szCs w:val="20"/>
          <w:color w:val="auto"/>
        </w:rPr>
      </w:pPr>
    </w:p>
    <w:p>
      <w:pPr>
        <w:jc w:val="center"/>
        <w:ind w:right="8560"/>
        <w:spacing w:after="0"/>
        <w:rPr>
          <w:sz w:val="20"/>
          <w:szCs w:val="20"/>
          <w:color w:val="auto"/>
        </w:rPr>
      </w:pPr>
      <w:r>
        <w:rPr>
          <w:rFonts w:ascii="Arial" w:cs="Arial" w:eastAsia="Arial" w:hAnsi="Arial"/>
          <w:sz w:val="16"/>
          <w:szCs w:val="16"/>
          <w:b w:val="1"/>
          <w:bCs w:val="1"/>
          <w:color w:val="auto"/>
        </w:rPr>
        <w:t>Note 5 — Stock-based Compensation</w:t>
      </w:r>
    </w:p>
    <w:p>
      <w:pPr>
        <w:spacing w:after="0" w:line="171" w:lineRule="exact"/>
        <w:rPr>
          <w:sz w:val="20"/>
          <w:szCs w:val="20"/>
          <w:color w:val="auto"/>
        </w:rPr>
      </w:pPr>
    </w:p>
    <w:p>
      <w:pPr>
        <w:jc w:val="center"/>
        <w:ind w:right="8580"/>
        <w:spacing w:after="0"/>
        <w:rPr>
          <w:sz w:val="20"/>
          <w:szCs w:val="20"/>
          <w:color w:val="auto"/>
        </w:rPr>
      </w:pPr>
      <w:r>
        <w:rPr>
          <w:rFonts w:ascii="Arial" w:cs="Arial" w:eastAsia="Arial" w:hAnsi="Arial"/>
          <w:sz w:val="18"/>
          <w:szCs w:val="18"/>
          <w:u w:val="single" w:color="auto"/>
          <w:color w:val="auto"/>
        </w:rPr>
        <w:t>Long-Term Incentive Plans</w:t>
      </w:r>
    </w:p>
    <w:p>
      <w:pPr>
        <w:spacing w:after="0" w:line="14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Company adopted and the shareholders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As of September 30, 2016, there were awards outstanding, net of awards expired, for the purchase in aggregate of 0.2 million shares of the Company's common stock.</w:t>
      </w:r>
    </w:p>
    <w:p>
      <w:pPr>
        <w:spacing w:after="0" w:line="8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adopted and the shareholders approved the 2010 Long-Term Incentive Plan (the “2010 Plan”), effective September 27, 2010, as amended on August 21, 2014, to provide incentives to eligible employees, directors and consultants. A maximum of 1.5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$4.41 and $24.71 per share, and vest over one to four year vesting periods. Awards expire in accordance with the terms of each award and the shares subject to the award are added back to the 2010 Plan upon expiration of the award. The contractual term of stock options granted is generally ten years. As of September 30, 2016, there were awards outstanding, net of awards expired, for an aggregate of 0.1 million shares of the Company’s common stock.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20" w:firstLine="432"/>
        <w:spacing w:after="0" w:line="287" w:lineRule="auto"/>
        <w:rPr>
          <w:sz w:val="20"/>
          <w:szCs w:val="20"/>
          <w:color w:val="auto"/>
        </w:rPr>
      </w:pPr>
      <w:r>
        <w:rPr>
          <w:rFonts w:ascii="Arial" w:cs="Arial" w:eastAsia="Arial" w:hAnsi="Arial"/>
          <w:sz w:val="16"/>
          <w:szCs w:val="16"/>
          <w:color w:val="auto"/>
        </w:rPr>
        <w:t>The Company adopted a Performance Incentive Plan effective July 1, 2014 (the "Fiscal 2015 Performance Plan"). The Fiscal 2015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2015 Performance Plan seeks to achieve this purpose by providing for awards in the form of performance share units (the “Units”). No shares will be issued under the Fiscal 2015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2015 (the "Fiscal 2016 Performance Plan") and July 1, 2016 (the "Fiscal 2017 Performance Plan"). The Fiscal 2016 and 2017 Performance Plans include the same performance-based and service-based vesting requirements and payment terms.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In accordance with accounting guidance for stock-based compensation, payments in equity instruments for goods or services are accounted for under the fair value method. For the three months ended September 30, 2016, stock-based compensation of $0.7 million was reflected as an increase to additional paid-in capital and an increase of $0.1 million was included in other accrued expenses, all of which was employee related. For the three months ended September 30, 2015, stock-based compensation of $0.2 million was reflected as an increase to additional paid-in capital, all of which was employee related.</w:t>
      </w:r>
    </w:p>
    <w:p>
      <w:pPr>
        <w:spacing w:after="0" w:line="7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January 4, 2016, the Company awarded Performance Stock Units under the 2010 Long-Term Incentive Plan to its executive officers (the "Recipients") and, in March 2016, the Company and each Recipient entered into an amended and restated stock unit agreement (the "Restated Stock Unit Agreement") amending the terms of the January 2016 awards. Under the Restated Stock Unit Agreements, vesting for the Performance Stock Units occurs at the end of a three year performance period (the "Performance Period") and is subject to achievement of both service-based and market-based performance vesting requirements. Subject generally to the Recipient's continued service with the Company (the service based requirement), each Performance Stock Unit represents a contingent right for the Recipient to receive, within thirty days after the end of the performance period, a distribution of shares of common stock of the Company equal to 0% to 200% of the target number of Performance Stock Units subject to the award. The actual number of shares distributed will be based on the Company's total stockholder return ("TSR") performance during the Performance Period, subject to acceleration upon a change in control of the Company. The vesting for 50% of the Performance Stock Units is based upon the Company's absolute TSR for the performance period compared to a matrix of fixed numeric values and the vesting for the other 50% of the Performance Stock Units is based upon the relative comparison of the Company's TSR to the Vanguard Russell 2000 exchange traded fund TSR. The fair value of the Performance Stock Units will be recognized on a straight-line basis over the requisite service period of the awards, regardless of when, if ever, the market-based performance conditions are satisfied.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 xml:space="preserve">The Company accounts for contingent liabilities in accordance with Accounting Standards Codification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2016, and based on the assessment there are no probable loss contingencies requiring accrual or disclosures within these financial statements and footnotes.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right="40"/>
        <w:spacing w:after="0" w:line="268" w:lineRule="auto"/>
        <w:rPr>
          <w:sz w:val="20"/>
          <w:szCs w:val="20"/>
          <w:color w:val="auto"/>
        </w:rPr>
      </w:pPr>
      <w:r>
        <w:rPr>
          <w:rFonts w:ascii="Arial" w:cs="Arial" w:eastAsia="Arial" w:hAnsi="Arial"/>
          <w:sz w:val="17"/>
          <w:szCs w:val="17"/>
          <w:color w:val="auto"/>
        </w:rPr>
        <w:t>matters arising out of the normal conduct of our business. Management assesses contingencies to determine the degree of probability and range of possible loss for potential accrual in our consolidated financial statements. An estimated loss contingency is accrued in our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our consolidated financial statements; and the unique facts and circumstances of the particular matter that may give rise to additional factors.</w:t>
      </w:r>
    </w:p>
    <w:p>
      <w:pPr>
        <w:spacing w:after="0" w:line="10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 xml:space="preserve">Former Distributor Lawsuit: </w:t>
      </w:r>
      <w:r>
        <w:rPr>
          <w:rFonts w:ascii="Arial" w:cs="Arial" w:eastAsia="Arial" w:hAnsi="Arial"/>
          <w:sz w:val="16"/>
          <w:szCs w:val="16"/>
          <w:color w:val="auto"/>
        </w:rPr>
        <w:t>On November 20, 2013, the Company filed a complaint in the United States District Court, District of Utah, Central</w:t>
      </w:r>
      <w:r>
        <w:rPr>
          <w:rFonts w:ascii="Arial" w:cs="Arial" w:eastAsia="Arial" w:hAnsi="Arial"/>
          <w:sz w:val="16"/>
          <w:szCs w:val="16"/>
          <w:b w:val="1"/>
          <w:bCs w:val="1"/>
          <w:color w:val="auto"/>
        </w:rPr>
        <w:t xml:space="preserve"> </w:t>
      </w:r>
      <w:r>
        <w:rPr>
          <w:rFonts w:ascii="Arial" w:cs="Arial" w:eastAsia="Arial" w:hAnsi="Arial"/>
          <w:sz w:val="16"/>
          <w:szCs w:val="16"/>
          <w:color w:val="auto"/>
        </w:rPr>
        <w:t>Division naming Jason Domingo and Ovation Marketing Group, Inc. as defendants. Ovation Marketing Group, Inc. is a former distributor of our company. In the complaint, the Company alleges that the defendants breached a contract and misappropriated the Company's trade secrets. On January 21, 2014, the defendants filed an answer and counterclaim in response to the complaint. The defendants' answer and counterclaims allege defamation and tortious interference with economic relations, which the defendants claim resulted in damages of not less than $20 million. On December 14, 2015, the Company filed a motion for summary judgment seeking judgment in its favor on the Company's breach of contract claim and dismissal of all defendants’ counterclaims. Also on December 14, 2015, defendants filed a motion for summary judgment seeking dismissal of the Company's claim for misappropriation of trade secrets and to dismiss the Company's judicial proceedings privilege defense against the defamation claim. The Court heard oral argument on the motions for summary judgment on May 17, 2016. The court granted summary judgment in favor of the Company on all claims except the defamation claim, which remains unresolved. The Company has not established a loss contingency accrual for this remaining counterclaim as to which the Company believes liability is not probable and estimable, and the Company plans to vigorously defend against this lawsuit. Nonetheless, an unfavorable resolution of this matter could have a material adverse effect on the Company's business, results of operations or financial condition.</w:t>
      </w:r>
    </w:p>
    <w:p>
      <w:pPr>
        <w:spacing w:after="0" w:line="8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color w:val="auto"/>
        </w:rPr>
        <w:t xml:space="preserve">Class Action Lawsuit: </w:t>
      </w:r>
      <w:r>
        <w:rPr>
          <w:rFonts w:ascii="Arial" w:cs="Arial" w:eastAsia="Arial" w:hAnsi="Arial"/>
          <w:sz w:val="17"/>
          <w:szCs w:val="17"/>
          <w:color w:val="auto"/>
        </w:rPr>
        <w:t>On September 15, 2016, a purported securities class action was filed in the United States District Court for the District of Utah,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entitled </w:t>
      </w:r>
      <w:r>
        <w:rPr>
          <w:rFonts w:ascii="Arial" w:cs="Arial" w:eastAsia="Arial" w:hAnsi="Arial"/>
          <w:sz w:val="17"/>
          <w:szCs w:val="17"/>
          <w:i w:val="1"/>
          <w:iCs w:val="1"/>
          <w:color w:val="auto"/>
        </w:rPr>
        <w:t>Zhang v. LifeVantage Corp.</w:t>
      </w:r>
      <w:r>
        <w:rPr>
          <w:rFonts w:ascii="Arial" w:cs="Arial" w:eastAsia="Arial" w:hAnsi="Arial"/>
          <w:sz w:val="17"/>
          <w:szCs w:val="17"/>
          <w:color w:val="auto"/>
        </w:rPr>
        <w:t xml:space="preserve">, Case No. 2:16-cv-00965-BCW (D. Utah filed Sept. 15, 2016). In this action (now recaptioned as </w:t>
      </w:r>
      <w:r>
        <w:rPr>
          <w:rFonts w:ascii="Arial" w:cs="Arial" w:eastAsia="Arial" w:hAnsi="Arial"/>
          <w:sz w:val="17"/>
          <w:szCs w:val="17"/>
          <w:i w:val="1"/>
          <w:iCs w:val="1"/>
          <w:color w:val="auto"/>
        </w:rPr>
        <w:t>In re LifeVantage Corp.</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Litigation</w:t>
      </w:r>
      <w:r>
        <w:rPr>
          <w:rFonts w:ascii="Arial" w:cs="Arial" w:eastAsia="Arial" w:hAnsi="Arial"/>
          <w:sz w:val="17"/>
          <w:szCs w:val="17"/>
          <w:color w:val="auto"/>
        </w:rPr>
        <w:t>), plaintiff alleges that the Company, its Chief Executive Officer and Chief Financial Officer violated Sections 10(b) and/or 20(a)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Act of 1934, 15 U.S.C. §§ 78j(b), 78t(a), and Rule 10b-5, 17 C.F.R. § 240.10b-5, promulgated thereunder, by making false or misleading statements or omissions in public filings with the Securities and Exchange Commission regarding the Company's internal controls and financial results for the first, second and third quarters of fiscal year 2016. The initial complaint sought unspecified damages against the defendants on behalf of a class of purchasers of the Company’s stock between November 4, 2015 and September 13, 2016. By stipulation filed October 7, 2016, the parties agreed that defendants need not respond to the initial complaint in the action until after a lead plaintiff is appointed pursuant to the Private Securities Litigation Reform Act of 1995, at which time the parties will meet and confer regarding the timing of the filing of an amended complaint and responses thereto. On November 14, 2016, three motions for appointment as lead plaintiff were filed. A ruling on those motions is expected by mid-December 2016.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9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b w:val="1"/>
          <w:bCs w:val="1"/>
          <w:color w:val="auto"/>
        </w:rPr>
        <w:t xml:space="preserve">Derivative Action Lawsuit: </w:t>
      </w:r>
      <w:r>
        <w:rPr>
          <w:rFonts w:ascii="Arial" w:cs="Arial" w:eastAsia="Arial" w:hAnsi="Arial"/>
          <w:sz w:val="17"/>
          <w:szCs w:val="17"/>
          <w:color w:val="auto"/>
        </w:rPr>
        <w:t>On October 11, 2016, two purported shareholder derivative actions were filed in the Third District Court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Utah, Salt Lake County, entitled </w:t>
      </w:r>
      <w:r>
        <w:rPr>
          <w:rFonts w:ascii="Arial" w:cs="Arial" w:eastAsia="Arial" w:hAnsi="Arial"/>
          <w:sz w:val="17"/>
          <w:szCs w:val="17"/>
          <w:i w:val="1"/>
          <w:iCs w:val="1"/>
          <w:color w:val="auto"/>
        </w:rPr>
        <w:t>Johnson v. Jensen</w:t>
      </w:r>
      <w:r>
        <w:rPr>
          <w:rFonts w:ascii="Arial" w:cs="Arial" w:eastAsia="Arial" w:hAnsi="Arial"/>
          <w:sz w:val="17"/>
          <w:szCs w:val="17"/>
          <w:color w:val="auto"/>
        </w:rPr>
        <w:t xml:space="preserve">, Case No. 160906320 MI (Utah Dist. filed Oct. 11, 2016), and </w:t>
      </w:r>
      <w:r>
        <w:rPr>
          <w:rFonts w:ascii="Arial" w:cs="Arial" w:eastAsia="Arial" w:hAnsi="Arial"/>
          <w:sz w:val="17"/>
          <w:szCs w:val="17"/>
          <w:i w:val="1"/>
          <w:iCs w:val="1"/>
          <w:color w:val="auto"/>
        </w:rPr>
        <w:t>Rupp v. Jensen</w:t>
      </w:r>
      <w:r>
        <w:rPr>
          <w:rFonts w:ascii="Arial" w:cs="Arial" w:eastAsia="Arial" w:hAnsi="Arial"/>
          <w:sz w:val="17"/>
          <w:szCs w:val="17"/>
          <w:color w:val="auto"/>
        </w:rPr>
        <w:t xml:space="preserve">, Case No. 160906321 MI (Utah Dist. filed Oct. 11, 2016). In these actions (which are substantively identical), plaintiffs, purportedly on behalf of the Company, allege that the Company's Chief Executive Officer, Chief Financial Officer and members of the Board of Directors breached their fiduciary duties owed to the Company by, among other things, causing or permitting the Company to issue false and misleading statements or omissions in public filings with the Securities and Exchange Commission, as alleged in the class action lawsuit noted above. On October 19, 2016, the Court entered an order consolidating the two actions under the </w:t>
      </w:r>
      <w:r>
        <w:rPr>
          <w:rFonts w:ascii="Arial" w:cs="Arial" w:eastAsia="Arial" w:hAnsi="Arial"/>
          <w:sz w:val="17"/>
          <w:szCs w:val="17"/>
          <w:i w:val="1"/>
          <w:iCs w:val="1"/>
          <w:color w:val="auto"/>
        </w:rPr>
        <w:t>Johnson</w:t>
      </w:r>
      <w:r>
        <w:rPr>
          <w:rFonts w:ascii="Arial" w:cs="Arial" w:eastAsia="Arial" w:hAnsi="Arial"/>
          <w:sz w:val="17"/>
          <w:szCs w:val="17"/>
          <w:color w:val="auto"/>
        </w:rPr>
        <w:t xml:space="preserve"> case number, with the new caption </w:t>
      </w:r>
      <w:r>
        <w:rPr>
          <w:rFonts w:ascii="Arial" w:cs="Arial" w:eastAsia="Arial" w:hAnsi="Arial"/>
          <w:sz w:val="17"/>
          <w:szCs w:val="17"/>
          <w:i w:val="1"/>
          <w:iCs w:val="1"/>
          <w:color w:val="auto"/>
        </w:rPr>
        <w:t>In re LifeVantage Corp. Derivative Litigation</w:t>
      </w:r>
      <w:r>
        <w:rPr>
          <w:rFonts w:ascii="Arial" w:cs="Arial" w:eastAsia="Arial" w:hAnsi="Arial"/>
          <w:sz w:val="17"/>
          <w:szCs w:val="17"/>
          <w:color w:val="auto"/>
        </w:rPr>
        <w:t>, providing that defendants and nominal defendant need not respond to the initial complaints and directing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right="40"/>
        <w:spacing w:after="0" w:line="290" w:lineRule="auto"/>
        <w:rPr>
          <w:sz w:val="20"/>
          <w:szCs w:val="20"/>
          <w:color w:val="auto"/>
        </w:rPr>
      </w:pPr>
      <w:r>
        <w:rPr>
          <w:rFonts w:ascii="Arial" w:cs="Arial" w:eastAsia="Arial" w:hAnsi="Arial"/>
          <w:sz w:val="16"/>
          <w:szCs w:val="16"/>
          <w:color w:val="auto"/>
        </w:rPr>
        <w:t>the parties to meet and confer within thirty days on a schedule for further proceedings in this action. On November 21, 2016, the Court approved a stipulation between the parties providing that (a) defendants and nominal defendant need not respond to the initial complaints and (b) within thirty days from the earlier of (i) the Company’s filing of its Form 10-K for fiscal year 2016 and (ii) plaintiffs’ filing of a consolidated amended complaint, the parties will meet and confer on a schedule regarding further proceedings in this action. The Company notes that although the plaintiffs in this action are seeking unspecified damages against the individual defendants on behalf of the Company, the Company owes certain indemnification obligations to these individual defendants under Delaware law and existing indemnification agreements.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81" w:lineRule="exact"/>
        <w:rPr>
          <w:sz w:val="20"/>
          <w:szCs w:val="20"/>
          <w:color w:val="auto"/>
        </w:rPr>
      </w:pPr>
    </w:p>
    <w:p>
      <w:pPr>
        <w:ind w:right="20" w:firstLine="405"/>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14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During the current fiscal year, there are two transactions or series of similar transactions to which the Company was or is to be a party in which the amount involved will exceed $120,000 and in which any director, executive officer, holder of more than 5% of the Company's common stock or any member of the immediate family of any of the foregoing persons had or will have a direct or indirect material interest.</w:t>
      </w:r>
    </w:p>
    <w:p>
      <w:pPr>
        <w:spacing w:after="0" w:line="10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the three months ended September 30, 2016, Dinng, a brand and digital brand studio, provided branding and marketing services to the Company pursuant to an Agreement for Services dated August 18, 2015 between the Company and Dinng, in the amount of $0.1 million. The Company's Chief Marketing Officer, Ryan Goodwin, is the founder of Dinng and currently serves as Dinng’s President and Creative Director. Mr. Goodwin and his wife are both salaried employees at Dinng.</w:t>
      </w:r>
    </w:p>
    <w:p>
      <w:pPr>
        <w:spacing w:after="0" w:line="10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5% stockholder of the Company. During fiscal year 2017, the Company will pay $2.7 million to Real Salt Lake, pursuant to the terms of this partnership, and other various amounts for the endorsement of Real Monarchs SLC and product marketing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14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October 24, 2016, the Company received a limited waiver and extension letter from Z.B., N.A., doing business as Zions First National Bank (“Zions”), the lender under the March 2016 Credit Facility. The letter states that the Company would violate the covenants set forth in the March 2016 Credit Facility if the Company does not provide Zions with audited financial statements for the Company’s 2016 fiscal year on or before October 28, 2016. Under the limited waiver and extension, Zions has agreed to waive compliance with this requirement if the Company delivers such audited financial statements prior to December 31, 2016. If the Company does not deliver such audited financial statements prior to December 31, 2016, it will be in default under the March 2016 Credit Facility and Zions may proceed to exercise its default rights and remedies thereunder.</w:t>
      </w:r>
    </w:p>
    <w:p>
      <w:pPr>
        <w:spacing w:after="0" w:line="93" w:lineRule="exact"/>
        <w:rPr>
          <w:sz w:val="20"/>
          <w:szCs w:val="20"/>
          <w:color w:val="auto"/>
        </w:rPr>
      </w:pPr>
    </w:p>
    <w:p>
      <w:pPr>
        <w:ind w:right="3980"/>
        <w:spacing w:after="0" w:line="40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We are a company focused on nutrigenomics, the study of how nutrition and naturally occurring compounds affect human genes. We are dedicated to helping people achieve their health, wellness and financial independence goals. We provide quality, scientifically validated products and a financially rewarding direct sales business opportunity to preferred customers, retail customers, and independent distributors who seek a healthy lifestyle and financial freedom.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pacing w:after="0" w:line="11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18" w:name="page19"/>
    <w:bookmarkEnd w:id="18"/>
    <w:p>
      <w:pPr>
        <w:ind w:left="740" w:hanging="327"/>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scientifically-validated products, including our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LifeVantage TrueScience</w:t>
      </w:r>
      <w:r>
        <w:rPr>
          <w:rFonts w:ascii="Arial" w:cs="Arial" w:eastAsia="Arial" w:hAnsi="Arial"/>
          <w:sz w:val="22"/>
          <w:szCs w:val="22"/>
          <w:color w:val="auto"/>
          <w:vertAlign w:val="superscript"/>
        </w:rPr>
        <w:t>®</w:t>
      </w:r>
      <w:r>
        <w:rPr>
          <w:rFonts w:ascii="Arial" w:cs="Arial" w:eastAsia="Arial" w:hAnsi="Arial"/>
          <w:sz w:val="16"/>
          <w:szCs w:val="16"/>
          <w:color w:val="auto"/>
        </w:rPr>
        <w:t>, Canine Health</w:t>
      </w:r>
      <w:r>
        <w:rPr>
          <w:rFonts w:ascii="Arial" w:cs="Arial" w:eastAsia="Arial" w:hAnsi="Arial"/>
          <w:sz w:val="22"/>
          <w:szCs w:val="22"/>
          <w:color w:val="auto"/>
          <w:vertAlign w:val="superscript"/>
        </w:rPr>
        <w:t>®</w:t>
      </w:r>
      <w:r>
        <w:rPr>
          <w:rFonts w:ascii="Arial" w:cs="Arial" w:eastAsia="Arial" w:hAnsi="Arial"/>
          <w:sz w:val="16"/>
          <w:szCs w:val="16"/>
          <w:color w:val="auto"/>
        </w:rPr>
        <w:t>,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PhysIQ™;</w:t>
      </w:r>
    </w:p>
    <w:p>
      <w:pPr>
        <w:spacing w:after="0" w:line="125" w:lineRule="exact"/>
        <w:rPr>
          <w:rFonts w:ascii="Arial" w:cs="Arial" w:eastAsia="Arial" w:hAnsi="Arial"/>
          <w:sz w:val="16"/>
          <w:szCs w:val="16"/>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84"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5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have begun selling our products and attracting new independent distributors, retail customers and preferred customers in several new markets since the beginning of our direct selling activities in 2009, including Japan, Australia, Canada, Mexico, Hong Kong, Thailand, the United Kingdom, the Netherlands and, on a limited basis, the Philippines. Entering new markets requires a considerable amount of time, resources and continued support. If we are unable to properly support an existing or new market, our revenue growth will be negatively impacted.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firstLine="405"/>
        <w:spacing w:after="0" w:line="228"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LifeVantage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skin care regimen, Axio</w:t>
      </w:r>
      <w:r>
        <w:rPr>
          <w:rFonts w:ascii="Arial" w:cs="Arial" w:eastAsia="Arial" w:hAnsi="Arial"/>
          <w:sz w:val="22"/>
          <w:szCs w:val="22"/>
          <w:color w:val="auto"/>
          <w:vertAlign w:val="superscript"/>
        </w:rPr>
        <w:t>®</w:t>
      </w:r>
      <w:r>
        <w:rPr>
          <w:rFonts w:ascii="Arial" w:cs="Arial" w:eastAsia="Arial" w:hAnsi="Arial"/>
          <w:sz w:val="16"/>
          <w:szCs w:val="16"/>
          <w:color w:val="auto"/>
        </w:rPr>
        <w:t>, the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Canine Health</w:t>
      </w:r>
      <w:r>
        <w:rPr>
          <w:rFonts w:ascii="Arial" w:cs="Arial" w:eastAsia="Arial" w:hAnsi="Arial"/>
          <w:sz w:val="22"/>
          <w:szCs w:val="22"/>
          <w:color w:val="auto"/>
          <w:vertAlign w:val="superscript"/>
        </w:rPr>
        <w:t>®</w:t>
      </w:r>
      <w:r>
        <w:rPr>
          <w:rFonts w:ascii="Arial" w:cs="Arial" w:eastAsia="Arial" w:hAnsi="Arial"/>
          <w:sz w:val="16"/>
          <w:szCs w:val="16"/>
          <w:color w:val="auto"/>
        </w:rPr>
        <w: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LifeVantage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skin care regimen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Ultra Gentle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Corrector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Micro-Lift Serum and our enhanced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Axio</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our line of energy drink mixes formulated to promote alertness and support mental performance. Canine Health</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a supplement specially formulated to combat oxidative stress in dogs through Nrf2 activation.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Cleanse and the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w:t>
      </w:r>
    </w:p>
    <w:p>
      <w:pPr>
        <w:spacing w:after="0" w:line="24"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currently have additional products in development. Any delays or difficulties in introducing compelling products or attractive initiatives or sales tools into our markets may have a negative impact on our revenue and our ability to attract new independent distributors, retail customers and preferred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our products, the success and growth of our business is primarily based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preferred customers purchasing our products. The number of active independent distributors and preferred customers is, therefore, used by management as a key non-financial measure.</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584" w:right="299" w:bottom="1440" w:gutter="0" w:footer="0" w:header="0"/>
        </w:sectPr>
      </w:pPr>
    </w:p>
    <w:bookmarkStart w:id="19" w:name="page20"/>
    <w:bookmarkEnd w:id="19"/>
    <w:p>
      <w:pPr>
        <w:ind w:right="80" w:firstLine="405"/>
        <w:spacing w:after="0" w:line="286" w:lineRule="auto"/>
        <w:rPr>
          <w:sz w:val="20"/>
          <w:szCs w:val="20"/>
          <w:color w:val="auto"/>
        </w:rPr>
      </w:pPr>
      <w:r>
        <w:rPr>
          <w:rFonts w:ascii="Arial" w:cs="Arial" w:eastAsia="Arial" w:hAnsi="Arial"/>
          <w:sz w:val="17"/>
          <w:szCs w:val="17"/>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w w:val="96"/>
              </w:rPr>
              <w:t>Active Preferred Customers By Region</w:t>
            </w: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rPr>
                <w:sz w:val="12"/>
                <w:szCs w:val="12"/>
                <w:color w:val="auto"/>
              </w:rPr>
            </w:pPr>
          </w:p>
        </w:tc>
        <w:tc>
          <w:tcPr>
            <w:tcW w:w="1520" w:type="dxa"/>
            <w:vAlign w:val="bottom"/>
            <w:gridSpan w:val="6"/>
            <w:vMerge w:val="restart"/>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3"/>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40" w:type="dxa"/>
            <w:vAlign w:val="bottom"/>
          </w:tcPr>
          <w:p>
            <w:pPr>
              <w:spacing w:after="0"/>
              <w:rPr>
                <w:sz w:val="12"/>
                <w:szCs w:val="12"/>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520" w:type="dxa"/>
            <w:vAlign w:val="bottom"/>
            <w:gridSpan w:val="6"/>
            <w:vMerge w:val="continue"/>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91,000</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93,000</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23,000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21,000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114,000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114,000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center"/>
              <w:ind w:left="757"/>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14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3"/>
          </w:tcPr>
          <w:p>
            <w:pPr>
              <w:jc w:val="center"/>
              <w:ind w:right="180"/>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40" w:type="dxa"/>
            <w:vAlign w:val="bottom"/>
          </w:tcPr>
          <w:p>
            <w:pPr>
              <w:spacing w:after="0"/>
              <w:rPr>
                <w:sz w:val="12"/>
                <w:szCs w:val="12"/>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5"/>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48,000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68,000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to the Three months Ended September 30, 2015</w:t>
      </w:r>
    </w:p>
    <w:p>
      <w:pPr>
        <w:spacing w:after="0" w:line="14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generated net revenue of $54.9 million and $45.4 million during the three months ended September 30, 2016 and 2015,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 fluctuations positively impacted our revenue $2.1 million or 4.6% during the three months ended September 30, 2016. During the three months ended September 30, 2016 and 2015, we estimate that approximately $3 million and $2 million in net revenue, respectively, related to sales of our products to independent distributors who may have carried or shipped such products into countries in which our products are not registered or that otherwise impose stringent restrictions on our direct selling model. Looking forward, we have taken steps to help ensure that our products are not distributed or sold into countries without complying with applicable customs, tax and other regulatory requirements and to appropriately verify the residency of individuals who want to become our independent distributors. Consistent with these regulatory requirements, in the future our independent distributors may be able to purchase a limited quantity of such products for personal consumption in one or more of these countries. Nevertheless, we expect that our revenue in future periods from sales of our products that are carried or shipped into these countries will be significantly lower than fiscal 2016.</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Americas</w:t>
      </w:r>
      <w:r>
        <w:rPr>
          <w:rFonts w:ascii="Arial" w:cs="Arial" w:eastAsia="Arial" w:hAnsi="Arial"/>
          <w:sz w:val="17"/>
          <w:szCs w:val="17"/>
          <w:color w:val="auto"/>
        </w:rPr>
        <w:t>. The following table sets forth revenue for the three months ended September 30, 2016 and 2015 for the Americas region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c>
          <w:tcPr>
            <w:tcW w:w="1220" w:type="dxa"/>
            <w:vAlign w:val="bottom"/>
          </w:tcPr>
          <w:p>
            <w:pPr>
              <w:spacing w:after="0"/>
              <w:rPr>
                <w:sz w:val="14"/>
                <w:szCs w:val="14"/>
                <w:color w:val="auto"/>
              </w:rPr>
            </w:pPr>
          </w:p>
        </w:tc>
      </w:tr>
      <w:tr>
        <w:trPr>
          <w:trHeight w:val="192"/>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220" w:type="dxa"/>
            <w:vAlign w:val="bottom"/>
          </w:tcPr>
          <w:p>
            <w:pPr>
              <w:spacing w:after="0"/>
              <w:rPr>
                <w:sz w:val="16"/>
                <w:szCs w:val="16"/>
                <w:color w:val="auto"/>
              </w:rPr>
            </w:pPr>
          </w:p>
        </w:tc>
      </w:tr>
      <w:tr>
        <w:trPr>
          <w:trHeight w:val="264"/>
        </w:trPr>
        <w:tc>
          <w:tcPr>
            <w:tcW w:w="79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40,135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34,726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405"/>
        <w:spacing w:after="0" w:line="232" w:lineRule="auto"/>
        <w:rPr>
          <w:sz w:val="20"/>
          <w:szCs w:val="20"/>
          <w:color w:val="auto"/>
        </w:rPr>
      </w:pPr>
      <w:r>
        <w:rPr>
          <w:rFonts w:ascii="Arial" w:cs="Arial" w:eastAsia="Arial" w:hAnsi="Arial"/>
          <w:sz w:val="18"/>
          <w:szCs w:val="18"/>
          <w:color w:val="auto"/>
        </w:rPr>
        <w:t>Revenue in the Americas region for the three months ended September 30, 2016 increased $5.4 million or 15.6% from the prior year same period. The increase in revenue is due to higher volume of product sales in the United States and Canada, increased sales associated with new products including the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NRF1 synergizer and the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smart weight management system, and an increase in active distributors in the Americas region as compared to the prior year same period.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180" w:firstLine="405"/>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three months ended September 30, 2016 and 2015 for the Asia/Pacific &amp; Europe region and its principal markets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c>
          <w:tcPr>
            <w:tcW w:w="1220" w:type="dxa"/>
            <w:vAlign w:val="bottom"/>
          </w:tcPr>
          <w:p>
            <w:pPr>
              <w:spacing w:after="0"/>
              <w:rPr>
                <w:sz w:val="14"/>
                <w:szCs w:val="14"/>
                <w:color w:val="auto"/>
              </w:rPr>
            </w:pPr>
          </w:p>
        </w:tc>
      </w:tr>
      <w:tr>
        <w:trPr>
          <w:trHeight w:val="192"/>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220" w:type="dxa"/>
            <w:vAlign w:val="bottom"/>
          </w:tcPr>
          <w:p>
            <w:pPr>
              <w:spacing w:after="0"/>
              <w:rPr>
                <w:sz w:val="16"/>
                <w:szCs w:val="16"/>
                <w:color w:val="auto"/>
              </w:rPr>
            </w:pPr>
          </w:p>
        </w:tc>
      </w:tr>
      <w:tr>
        <w:trPr>
          <w:trHeight w:val="264"/>
        </w:trPr>
        <w:tc>
          <w:tcPr>
            <w:tcW w:w="79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57"/>
        </w:trPr>
        <w:tc>
          <w:tcPr>
            <w:tcW w:w="7940" w:type="dxa"/>
            <w:vAlign w:val="bottom"/>
          </w:tcPr>
          <w:p>
            <w:pPr>
              <w:ind w:left="500"/>
              <w:spacing w:after="0"/>
              <w:rPr>
                <w:sz w:val="20"/>
                <w:szCs w:val="20"/>
                <w:color w:val="auto"/>
              </w:rPr>
            </w:pPr>
            <w:r>
              <w:rPr>
                <w:rFonts w:ascii="Arial" w:cs="Arial" w:eastAsia="Arial" w:hAnsi="Arial"/>
                <w:sz w:val="18"/>
                <w:szCs w:val="18"/>
                <w:color w:val="auto"/>
              </w:rPr>
              <w:t>Asia/Pacific &amp; Europe 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14,759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Revenue in the Asia/Pacific &amp; Europe region was positively impacted $2.1 million or 19.9% during the three months ended September 30, 2016 by foreign currency exchange rate fluctuations.</w:t>
      </w:r>
    </w:p>
    <w:p>
      <w:pPr>
        <w:spacing w:after="0" w:line="89"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During the three months ended September 30, 2016, the Japanese yen continued to strengthen against the U.S. dollar as it had during the prior 2 calendar quarters, positively impacting our revenue for the quarter in this market by $1.7 million or 20.1%. In addition to the positive impact of foreign currency fluctuations for the three months ended September 30, 2016, product sales volume and the number of active preferred customers increased in the region compared to the prior year period.</w:t>
      </w:r>
    </w:p>
    <w:p>
      <w:pPr>
        <w:spacing w:after="0" w:line="106" w:lineRule="exact"/>
        <w:rPr>
          <w:sz w:val="20"/>
          <w:szCs w:val="20"/>
          <w:color w:val="auto"/>
        </w:rPr>
      </w:pPr>
    </w:p>
    <w:p>
      <w:pPr>
        <w:ind w:right="20" w:firstLine="405"/>
        <w:spacing w:after="0" w:line="259" w:lineRule="auto"/>
        <w:rPr>
          <w:sz w:val="20"/>
          <w:szCs w:val="20"/>
          <w:color w:val="auto"/>
        </w:rPr>
      </w:pPr>
      <w:r>
        <w:rPr>
          <w:rFonts w:ascii="Arial" w:cs="Arial" w:eastAsia="Arial" w:hAnsi="Arial"/>
          <w:sz w:val="16"/>
          <w:szCs w:val="16"/>
          <w:color w:val="auto"/>
        </w:rPr>
        <w:t>All of our sales and marketing efforts continue to be directed toward building our worldwide sales. We expect increased revenue in the Americas region as we focus on our growth initiatives, specifically the development and expansion of new distributor tools, training and technology and the continued scientific research and introduction of new products. During the prior fiscal year we held cyber launches for both our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both of which expanded our product offerings and have contributed to the increased sales. We expect revenue in the Asia/Pacific and Europe region to increase moderately as we focus on strengthening our sales and marketing efforts, including the global expansion of our product lines, the creation of country-specific marketing tools and materials and expanding our geographic reach and ensuring that our products are not distributed or sold into countries without complying with applicable customs, duties and other regulatory requirements.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percentage for the three months ended September 30, 2016 and 2015 was 83.9% and 84.6%, respectively.</w:t>
      </w:r>
    </w:p>
    <w:p>
      <w:pPr>
        <w:spacing w:after="0" w:line="15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a percentage of total revenue, cost of sales for the three months ended September 30, 2016 increased to 16.1% from 15.4% for the three months ended September 30, 2015. The increase in cost of sales for the three months ended September 30, 2016, as compared to the prior year same period, is due primarily to changes in product sales mix due in part to the launch of several new products and increased costs associated with the shipment, storage, handling and quality testing of inventory.</w:t>
      </w:r>
    </w:p>
    <w:p>
      <w:pPr>
        <w:spacing w:after="0" w:line="10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during the three months ended September 30, 2016 increased to $44.1 million or 80.3% of revenues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operating expenses of $35.7 million or 78.7% of revenues during the three months ended September 30, 2015. Operating expenses consist of commission and incentives expenses and selling, general and administrative expenses.</w:t>
      </w:r>
    </w:p>
    <w:p>
      <w:pPr>
        <w:spacing w:after="0" w:line="100"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i w:val="1"/>
          <w:iCs w:val="1"/>
          <w:color w:val="auto"/>
        </w:rPr>
        <w:t xml:space="preserve">Commissions and Incentives. </w:t>
      </w:r>
      <w:r>
        <w:rPr>
          <w:rFonts w:ascii="Arial" w:cs="Arial" w:eastAsia="Arial" w:hAnsi="Arial"/>
          <w:sz w:val="16"/>
          <w:szCs w:val="16"/>
          <w:color w:val="auto"/>
        </w:rPr>
        <w:t>Commissions and incentives expenses during the three months ended September 30, 2016 were $26.3 million or 47.9%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as compared to commissions and incentives expenses of $22.0 million or 48.6% of revenues for the three months ended September 30, 2015.</w:t>
      </w:r>
    </w:p>
    <w:p>
      <w:pPr>
        <w:spacing w:after="0" w:line="4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increase in commissions and incentives expenses for the three months ended September 30, 2016 was due primarily to increased sales as compared to the prior year period and increased incentives expenses incurred. As a percentage of revenue, commissions and incentives decreased as compared to the prior year same period due to small changes to the compensation and incentives programs.</w:t>
      </w:r>
    </w:p>
    <w:p>
      <w:pPr>
        <w:spacing w:after="0" w:line="100"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We expect our commissions and incentives expenses to remain relatively stable as a percentage of net sales during the remainder of fiscal 2017, with some fluctuations caused by changes to the compensation and incentives plan and the timing of promotional initiatives held during the year.</w:t>
      </w:r>
    </w:p>
    <w:p>
      <w:pPr>
        <w:spacing w:after="0" w:line="4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during the three months ended September 30, 2016 were $17.8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32.4% of revenues as compared to selling, general and administrative expenses of $13.7 million or 30.1% of revenues for the three months ended September 30, 2015.</w:t>
      </w:r>
    </w:p>
    <w:p>
      <w:pPr>
        <w:spacing w:after="0" w:line="1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increase in selling, general and administrative expenses during the three months ended September 30, 2016 compared to the prior year same period was primarily due to increased legal and accounting expenses associated with the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ind w:right="100"/>
        <w:spacing w:after="0" w:line="264" w:lineRule="auto"/>
        <w:rPr>
          <w:sz w:val="20"/>
          <w:szCs w:val="20"/>
          <w:color w:val="auto"/>
        </w:rPr>
      </w:pPr>
      <w:r>
        <w:rPr>
          <w:rFonts w:ascii="Arial" w:cs="Arial" w:eastAsia="Arial" w:hAnsi="Arial"/>
          <w:sz w:val="18"/>
          <w:szCs w:val="18"/>
          <w:color w:val="auto"/>
        </w:rPr>
        <w:t>ongoing independent review conducted by the Audit Committee. Additionally, event expenses increased related to our July 2016 Elite Academy and salaries, employee benefits and stock compensation expenses increased due to increased head count compared to the prior year period. These increases were partially offset by decreases in executive severance expenses incurred during the prior year period.</w:t>
      </w:r>
    </w:p>
    <w:p>
      <w:pPr>
        <w:spacing w:after="0" w:line="100"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expect our selling, general and administrative expenses as a percentage of revenue to decrease slightly during the remainder of fiscal year 2017 as our Audit Committee completes its independent review and we continue to refine our strategic initiatives and coordinate our spending with sales trends and geographic expansion.</w:t>
      </w:r>
    </w:p>
    <w:p>
      <w:pPr>
        <w:spacing w:after="0" w:line="10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i w:val="1"/>
          <w:iCs w:val="1"/>
          <w:color w:val="auto"/>
        </w:rPr>
        <w:t xml:space="preserve">Total Other Expense. </w:t>
      </w:r>
      <w:r>
        <w:rPr>
          <w:rFonts w:ascii="Arial" w:cs="Arial" w:eastAsia="Arial" w:hAnsi="Arial"/>
          <w:sz w:val="18"/>
          <w:szCs w:val="18"/>
          <w:color w:val="auto"/>
        </w:rPr>
        <w:t>During the three months ended September 30, 2016, we recognized net other expenses of $0.3 million as compared to net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$1.0 million for the three months ended September 30, 2015. Total other expense for the three months ended September 30, 2016 consisted primarily of interest expense and net foreign currency losses.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months ended September 30, 2016 and 2015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Three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2013 Term Loan</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559</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Term Loan</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 Term Loan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2013 Term Loan</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Term Loan</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749</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We recognized income tax expense of $0.5 million for the three months ended September 30, 2016 as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$0.6 million for the three months ended September 30, 2015.</w:t>
      </w:r>
    </w:p>
    <w:p>
      <w:pPr>
        <w:spacing w:after="0" w:line="8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effective tax rate was 29.7% of pre-tax income during the three months ended September 30, 2016, compared to 37.5% for the same prior year period. The decrease in the effective tax rate for the three months ended September 30, 2016 compared to the prior year period is due to changes in certain permanent and discrete items, return to provision adjustments and benefits related to foreign tax rate differences due to our permanent reinvestment assertion.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September 30, 2016, our available liquidity was $10.2 million, including available cash and cash equivalents. This represents an increase of $2.3 million from the $7.9 million in cash and cash equivalents as of June 30, 2016.</w:t>
      </w:r>
    </w:p>
    <w:p>
      <w:pPr>
        <w:spacing w:after="0" w:line="8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three months ended September 30, 2016, our net cash provided by operating activities was $2.9 million as compared to net cash provided by operating activities of $2.8 million during the three months ended September 30, 2015.</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September 30, 2016, our net cash used in investing activities was $0.1 million, as a result of the purchase of fixed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2015, our net cash used in investing activities was $3,000, as a result of the purchase of fixed assets.</w:t>
      </w:r>
    </w:p>
    <w:p>
      <w:pPr>
        <w:spacing w:after="0" w:line="14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Cash used in financing activities during the three months ended September 30, 2016 was $0.5 million compared to cash used in financing activities of $3.1 million during the three months ended September 30, 2015. Cash used in financing activities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right="60"/>
        <w:spacing w:after="0" w:line="342" w:lineRule="auto"/>
        <w:rPr>
          <w:sz w:val="20"/>
          <w:szCs w:val="20"/>
          <w:color w:val="auto"/>
        </w:rPr>
      </w:pPr>
      <w:r>
        <w:rPr>
          <w:rFonts w:ascii="Arial" w:cs="Arial" w:eastAsia="Arial" w:hAnsi="Arial"/>
          <w:sz w:val="16"/>
          <w:szCs w:val="16"/>
          <w:color w:val="auto"/>
        </w:rPr>
        <w:t>during the three months ended September 30, 2016 included $0.5 million in principal payments on the March 2016 Term Loan. Cash used in financing activities during the three months ended September 30, 2015 was comprised primarily of $3.1 million in principal payments on the October 2013 Term Loan.</w:t>
      </w:r>
    </w:p>
    <w:p>
      <w:pPr>
        <w:spacing w:after="0" w:line="4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At September 30, 2016 and June 30, 2016, the total amount of our foreign subsidiary cash was $6.3 million and $5.1 million, respectively. For earnings considered to be indefinitely reinvested, we have not accrued taxes. If we were to remit the cash and cash equivalents from our foreign subsidiaries to our U.S. consolidated group for the purpose of repatriation of undistributed earnings, we would need to accrue and pay taxes. As of September 30, 2016, our U.S. consolidated group had approximately $0.9 million of permanently reinvested unremitted earnings from our subsidiaries, and if these earnings were remitted, the impact of any tax consequences on our overall liquidity position would not be material. We do not have any plans to repatriate these unremitted earnings to our parent; therefore, we do not have any liquidity concerns relating to these unremitted earnings and related cash and cash equivalents.</w:t>
      </w:r>
    </w:p>
    <w:p>
      <w:pPr>
        <w:spacing w:after="0" w:line="8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At September 30, 2016, we had working capital (current assets minus current liabilities) of $12.9 million, compared to working capital of $13.9 million at June 30, 2016.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we would consider realigning our strategic plans including a reduction in capital spending and expenses.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October 18, 2013, we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or until the October 2013 Delayed Draw Term Loan was reduced to zero, if earlier. We did not borrow any amounts under the October 2013 Delayed Draw Term Loan.</w:t>
      </w:r>
    </w:p>
    <w:p>
      <w:pPr>
        <w:spacing w:after="0" w:line="10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May 1, 2015, we entered into an Amendment No. 1 to Financing Agreement ("Amendment No. 1"). Amendment No. 1 revised the covenants relating to minimum consolidated EBITDA (as defined in the Financing Agreement) for the four consecutive fiscal quarters ending March 31, 2015 and June 30, 2015 from $20.6 million and $21.3 million, respectively, to $17.0 million for each quarter end. Amendment No. 1 also revised the minimum unrestricted cash and cash equivalents that we were required to hold from $10.0 million to $8.0 million for the reporting periods ended March 31, 2015 and June 30, 2015. In addition, Amendment No. 1 required that we make certain accelerated principal payments on the October 2013 Term Loan totaling $4.5 million during our fourth quarter of fiscal year 2016.</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27, 2015, we entered into an Amendment No. 2 to Financing Agreement ("Amendment No. 2" and collectively with the October 2013 Term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as previously amended by Amendment No. 1, the "October 2013 Credit Facility"). Amendment No. 2 revised the covenants related to minimum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EBITDA (as defined in the amended Financing Agreement) for the four consecutive fiscal quarters ending September 30, 2015,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March 31, 2016 and June 30, 2016 from $22.2 million, $23.1 million, $24.4 million and $25.6 million, respectively, to $14.5 million, $15.0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 million and $17.5 million, respectively. In addition, Amendment No. 2 required that we make additional monthly accelerated principal payments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2013 Term Loan in the amount of $0.5 million commencing on October 15, 2015 and continuing until the October 2013 Term Loan was paid in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No. 2 also required that we make additional accelerated payments at the end of each fiscal quarter in the amount of all unrestricted cash on hand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the close of business on the last day of the quarter in excess of $12.5 million. On March 30, 2016, we repaid the full amount outstanding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October 2013 Term Loan and terminated the October 2013 Credit Facility.</w:t>
      </w:r>
    </w:p>
    <w:p>
      <w:pPr>
        <w:spacing w:after="0" w:line="13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March 30, 2016, we entered into a Loan Agreement (the “March 2016 Loan Agreement”) to refinance our outstanding debt under the October 2013 Term Loan. In connection with the March 2016 Loan Agreement and on the same date, we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7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3" w:name="page24"/>
    <w:bookmarkEnd w:id="23"/>
    <w:p>
      <w:pPr>
        <w:ind w:right="280"/>
        <w:spacing w:after="0" w:line="308" w:lineRule="auto"/>
        <w:rPr>
          <w:sz w:val="20"/>
          <w:szCs w:val="20"/>
          <w:color w:val="auto"/>
        </w:rPr>
      </w:pPr>
      <w:r>
        <w:rPr>
          <w:rFonts w:ascii="Arial" w:cs="Arial" w:eastAsia="Arial" w:hAnsi="Arial"/>
          <w:sz w:val="17"/>
          <w:szCs w:val="17"/>
          <w:color w:val="auto"/>
        </w:rPr>
        <w:t>“Maturity Date”). The March 2016 Term Loan bears interest at a fixed rate of 4.93%. If we borrow under the March 2016 Revolving Loan, interest will be payable quarterly in arrears on the last day of each fiscal quarter at a variable rate equal to the 30 day LIBOR Rate plus 3.50%.</w:t>
      </w:r>
    </w:p>
    <w:p>
      <w:pPr>
        <w:spacing w:after="0" w:line="6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March 2016 Credit Facility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w:t>
      </w:r>
    </w:p>
    <w:p>
      <w:pPr>
        <w:spacing w:after="0" w:line="106"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March 2016 Credit Facility also contains various financial covenants that require us to maintain certain consolidated minimum tangible net worth, minimum consolidated working capital amounts, and certain consolidated debt to EBITDA and fixed charge coverage ratios. Specifically, we must:</w:t>
      </w:r>
    </w:p>
    <w:p>
      <w:pPr>
        <w:spacing w:after="0" w:line="43" w:lineRule="exact"/>
        <w:rPr>
          <w:sz w:val="20"/>
          <w:szCs w:val="20"/>
          <w:color w:val="auto"/>
        </w:rPr>
      </w:pPr>
    </w:p>
    <w:p>
      <w:pPr>
        <w:ind w:left="660" w:right="3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March 2016 Loan Agreement) of at least 1.50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30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March 2016 Loan Agreement) at the end of each fiscal quarter of at least $5.0 million;</w:t>
      </w:r>
    </w:p>
    <w:p>
      <w:pPr>
        <w:spacing w:after="0" w:line="89" w:lineRule="exact"/>
        <w:rPr>
          <w:rFonts w:ascii="Arial" w:cs="Arial" w:eastAsia="Arial" w:hAnsi="Arial"/>
          <w:sz w:val="18"/>
          <w:szCs w:val="18"/>
          <w:color w:val="auto"/>
        </w:rPr>
      </w:pPr>
    </w:p>
    <w:p>
      <w:pPr>
        <w:ind w:left="660" w:right="5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ratio of funded debt to EBITDA (as defined in the March 2016 Loan Agreement) of not greater than 2.00 to 1.00 at the end of each quarter, measured on a trailing twelve month basis; and</w:t>
      </w:r>
    </w:p>
    <w:p>
      <w:pPr>
        <w:spacing w:after="0" w:line="89" w:lineRule="exact"/>
        <w:rPr>
          <w:rFonts w:ascii="Arial" w:cs="Arial" w:eastAsia="Arial" w:hAnsi="Arial"/>
          <w:sz w:val="18"/>
          <w:szCs w:val="18"/>
          <w:color w:val="auto"/>
        </w:rPr>
      </w:pPr>
    </w:p>
    <w:p>
      <w:pPr>
        <w:ind w:left="660" w:right="2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tangible net worth (as defined in the March 2016 Loan Agreement) of at least $4.0 million by the end of our 2016 fiscal year and maintain that minimum tangible net worth thereafter, measured annually at fiscal year-end.</w:t>
      </w:r>
    </w:p>
    <w:p>
      <w:pPr>
        <w:spacing w:after="0" w:line="8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September 30, 2016, we were in compliance with all applicable financial covenants under the March 2016 Credit Facility; provided, however that on October 24, 2016, we were granted a waiver and extension to the covenants requiring us to provide the lender with audited financial statements for the Company’s 2016 fiscal year on or before October 28, 2016. Under the limited waiver and extension, the lender has agreed to waive compliance with this requirement if we deliver such audited financial statements prior to December 31, 2016. See Note 3 to our Condensed Consolidated Financial Statements contained within this Quarterly Report on Form 10-Q for a discussion of the limited waiver and extension. Other than the delivery of the audited financial statement described above, management anticipates that in the normal course of operations we will be in compliance with the financial covenants during the ensuing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2016, we did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September 30, 2016, our shipment of products sold totaling $16.3 million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were subject to the return policy. In addition, we allow terminating distributors to return up to 30% of unopened, unexpired product they purchased within the prior 12 months.</w:t>
      </w:r>
    </w:p>
    <w:p>
      <w:pPr>
        <w:spacing w:after="0" w:line="8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We monitor our return estimate on an ongoing basis and may revise the allowances to reflect our experience. Our allowance for product returns was $0.3 million at September 30, 2016, compared with $0.3 million at June 30, 2016.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 We have recorded $0.6 million of obsolescence costs for the three months ended September 30, 2016.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payment obligations and commitments as of September 30, 2016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3"/>
                <w:szCs w:val="13"/>
                <w:color w:val="auto"/>
              </w:rPr>
            </w:pPr>
          </w:p>
        </w:tc>
        <w:tc>
          <w:tcPr>
            <w:tcW w:w="10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During the three months ended September 30, 2016, approximately 29.6%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September 30, 2016, we did not have any derivative instruments. A 10% strengthening of the U.S. dollar compared to all of the foreign currencies in which we transact business would have resulted in a 2.7% decrease of our three months ended September 30, 2016 revenue, in the amount of $1.5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Based on that evaluation, our management identified certain design deficiencies in our internal control over financial reporting related to the lack of sufficient controls surrounding our international business policies, practices, monitoring and training as described below. Based on the evaluation of our disclosure controls and procedures as of September 30, 2016, our Chief Executive Officer and Chief Financial Officer concluded that, as a result of a material weakness in our internal control over financial reporting, our disclosure controls and procedures were not effective as of September 30,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Independent Review</w:t>
      </w:r>
    </w:p>
    <w:p>
      <w:pPr>
        <w:spacing w:after="0" w:line="14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November 10, 2016, we announced the delayed filing of this Quarterly Report on Form 10-Q to continue to allow the Audit Committee of our Board of Directors to conduct an independent review related to the distribution of our products into countries outside the U.S. in which those products are not registered or that otherwise impose stringent restrictions on our direct selling model, and the associated revenue and tax and other accruals associated with such sales. This independent review was initiated following internal reviews by Company personnel, which were further informed by the content of employee complaints. The Audit Committee retained independent counsel to assist it in conducting the review. Based on its independent review, the Audit Committee determined that (i) we had sold our products to independent distributors who carried or shipped such products primarily into four countries outside the U.S. in which those products are not registered or that otherwise impose stringent restrictions on our direct selling model; (ii) we allowed individuals who were resident in countries that impose stringent restrictions on our direct selling model to enroll as independent distributors; and (iii) we did not have in place sufficient controls governing our international business policies, practices, monitoring and training to provide reasonable assurance that such distribution of our products complied with applicable customs, duties and other regulatory requirements. The inadequate controls and processes related to the lack of documented country-specific policies and procedures governing</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ind w:right="140"/>
        <w:spacing w:after="0" w:line="257" w:lineRule="auto"/>
        <w:rPr>
          <w:sz w:val="20"/>
          <w:szCs w:val="20"/>
          <w:color w:val="auto"/>
        </w:rPr>
      </w:pPr>
      <w:r>
        <w:rPr>
          <w:rFonts w:ascii="Arial" w:cs="Arial" w:eastAsia="Arial" w:hAnsi="Arial"/>
          <w:sz w:val="18"/>
          <w:szCs w:val="18"/>
          <w:color w:val="auto"/>
        </w:rPr>
        <w:t>the (i) distributor enrollment policies and procedures; (ii) approved distributor payment and collection methods; (iii) methods for shipping and order fulfillment; (iv) approval requirements for transactions with distributors outside of our approved compensation plans; and (v) lack of change controls related to changes to existing country-specific policies and procedures. In addition, we had inadequate controls in place related to the training, monitoring and oversight of our personnel who were involved with our international business operations. Accordingly, we identified a material weakness in our internal controls over financial reporting.</w:t>
      </w:r>
    </w:p>
    <w:p>
      <w:pPr>
        <w:spacing w:after="0" w:line="10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Notwithstanding this material weakness, our management and Audit Committee concluded that the revenue related to the sales that were the subject of the Audit Committee’s independent review was properly recognized and that no tax or other accruals relating to such sales were necessary. In making this determination, we obtained international tax and legal advice from external accounting and law firms that have relevant country-specific expertise regarding our potential obligations and liabilities associated with the import and distribution of our products into the countries described above. Based on this advice, we have not established a loss contingency accrual for potential import or other liabilities in these countries, as we believe the likelihood of any such liabilities being assessed against the Company is remote, in part, based on the evaluation of country-specific import laws and regulations and on our actions to stop or restrict the processes used by independent distributors to carry or ship our products into countries where such products are not registered. Accordingly, our management and Audit Committee concluded that (i) the consolidated financial statements included in this Quarterly Report on Form 10-Q fairly present in all material respects the Company’s financial position, results of operations and cash flows for the periods presented in conformity with accounting principles generally accepted in the United States of America and (ii) no restatement of prior period financial statements is required.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to Address Material Weakness</w:t>
      </w:r>
    </w:p>
    <w:p>
      <w:pPr>
        <w:spacing w:after="0" w:line="14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 remediate the material weakness in our internal controls over financial reporting described above, we are developing and implementing new control policies and procedures regarding the international business policies, practices, monitoring and training for each country outside the U.S. in which we do business. As an initial step, we implemented changes to our systems and distributor enrollment requirements intended to stop or restrict the processes used by independent distributors to purchase and carry or ship our products into countries in which those products are not registered or that otherwise impose stringent restrictions on our direct selling model. Looking forward, we are in the process of developing appropriate country-specific policies and procedures to help ensure that our products are not distributed or sold into countries without complying with applicable customs, tax and other regulatory requirements. Additional steps we have taken and are taking to remediate the material weakness in our internal controls over financial reporting include creating market-specific policy manuals documenting the following:</w:t>
      </w:r>
    </w:p>
    <w:p>
      <w:pPr>
        <w:spacing w:after="0" w:line="98" w:lineRule="exact"/>
        <w:rPr>
          <w:sz w:val="20"/>
          <w:szCs w:val="20"/>
          <w:color w:val="auto"/>
        </w:rPr>
      </w:pPr>
    </w:p>
    <w:p>
      <w:pPr>
        <w:ind w:left="980" w:right="140" w:hanging="64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distributor enrollment requirements by country, including the requirement of sufficient and appropriate oversight and senior management approvals for any changes to such country-specific policies;</w:t>
      </w:r>
    </w:p>
    <w:p>
      <w:pPr>
        <w:spacing w:after="0" w:line="89" w:lineRule="exact"/>
        <w:rPr>
          <w:rFonts w:ascii="Arial" w:cs="Arial" w:eastAsia="Arial" w:hAnsi="Arial"/>
          <w:sz w:val="18"/>
          <w:szCs w:val="18"/>
          <w:color w:val="auto"/>
        </w:rPr>
      </w:pPr>
    </w:p>
    <w:p>
      <w:pPr>
        <w:ind w:left="980" w:right="620" w:hanging="64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approved distributor payment and collection policies by country, including the requirement of sufficient and appropriate oversight and senior management approvals for any changes to such country-specific policies;</w:t>
      </w:r>
    </w:p>
    <w:p>
      <w:pPr>
        <w:spacing w:after="0" w:line="89" w:lineRule="exact"/>
        <w:rPr>
          <w:rFonts w:ascii="Arial" w:cs="Arial" w:eastAsia="Arial" w:hAnsi="Arial"/>
          <w:sz w:val="18"/>
          <w:szCs w:val="18"/>
          <w:color w:val="auto"/>
        </w:rPr>
      </w:pPr>
    </w:p>
    <w:p>
      <w:pPr>
        <w:ind w:left="980" w:right="220" w:hanging="64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approved shipping, order fulfillment and customs import policies by country, including the requirement of sufficient and appropriate oversight and senior management approvals for any changes to such country-specific policies;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requirements for transactions between us and independent distributors outside of our approved compensation plans.</w:t>
      </w:r>
    </w:p>
    <w:p>
      <w:pPr>
        <w:spacing w:after="0" w:line="14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addition, as we implement country-specific policies, we are requiring that we obtain international tax and legal advice from external accounting and law firms that have relevant country-specific expertise to help ensure that potential international tax and legal issues are appropriately identified and addressed. We have also started the process of evaluating and re-allocating personnel resources to ensure that each market has adequate resources to support our remediation efforts and our new processes and controls. We also will establish and conduct company-wide training programs on our new policies and controls.</w:t>
      </w:r>
    </w:p>
    <w:p>
      <w:pPr>
        <w:spacing w:after="0" w:line="10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These actions are subject to ongoing review by our management, including our Chief Executive Officer and Chief Financial Officer, as well as oversight by our Audit Committee. Although we plan to complete this remediation process as quickly as possible, the material weakness in our internal control over financial reporting will not be considered remediated until the applicable remedial processes and controls operate for a sufficient period of time and management has concluded, through testing, that these controls are operating effectively. As a result, we cannot, at this time, estimate when such remediation will be completed. In addition, the remediation steps we have taken, are taking and expect to take may not effectively remediate the material weakness, in which case our internal control over financial reporting would continue to be ineffective.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Except as described above, there were no changes in our internal controls over financial reporting during the quarter ended September 30, 2016 that have materially affected or are reasonably likely to materially affect our internal controls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contained within this Quarterly Report on Form 10-Q for a discussion of the Company's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2016, filed on December 12, 2016. The risks and uncertainties described in such risk factors and elsewhere in this report have the potential to materially affect our business, financial condition, results of operations, cash flows, projected results and future prospects. As of the date of this report, we do not believe that there have been any material changes to the risk factors previously disclosed in our recent SEC filings, including the risk factors discussed in “Part I. Item 1A — Risk Factors” in our Annual Report on Form 10-K for the fiscal year ended June 30, 2016, filed on December 12, 2016.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26,883 shares of our common stock issued during the three months ended September 30, 2016 due to the exercise of warrants.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purchase any shares of our common stock during the quarter ended September 30, 2016.</w:t>
      </w:r>
    </w:p>
    <w:p>
      <w:pPr>
        <w:spacing w:after="0" w:line="144" w:lineRule="exact"/>
        <w:rPr>
          <w:sz w:val="20"/>
          <w:szCs w:val="20"/>
          <w:color w:val="auto"/>
        </w:rPr>
      </w:pPr>
    </w:p>
    <w:p>
      <w:pPr>
        <w:ind w:left="60" w:right="100" w:firstLine="405"/>
        <w:spacing w:after="0" w:line="277" w:lineRule="auto"/>
        <w:rPr>
          <w:sz w:val="20"/>
          <w:szCs w:val="20"/>
          <w:color w:val="auto"/>
        </w:rPr>
      </w:pPr>
      <w:r>
        <w:rPr>
          <w:rFonts w:ascii="Arial" w:cs="Arial" w:eastAsia="Arial" w:hAnsi="Arial"/>
          <w:sz w:val="18"/>
          <w:szCs w:val="18"/>
          <w:color w:val="auto"/>
        </w:rPr>
        <w:t>During the quarter ended September 30, 2016, we withheld 5,226 shares to satisfy tax withholding obligations in connection with the partial vesting of restricted stock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immediately following the signature page of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center"/>
        <w:ind w:right="-15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2016</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12, 2016</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Mark Jaggi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Jaggi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584" w:right="379" w:bottom="1440" w:gutter="0" w:footer="0" w:header="0"/>
        </w:sectPr>
      </w:pPr>
    </w:p>
    <w:bookmarkStart w:id="29" w:name="page30"/>
    <w:bookmarkEnd w:id="29"/>
    <w:p>
      <w:pPr>
        <w:jc w:val="center"/>
        <w:ind w:right="-4"/>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tbl>
      <w:tblPr>
        <w:tblLayout w:type="fixed"/>
        <w:tblInd w:w="5" w:type="dxa"/>
        <w:tblCellMar>
          <w:top w:w="0" w:type="dxa"/>
          <w:left w:w="0" w:type="dxa"/>
          <w:bottom w:w="0" w:type="dxa"/>
          <w:right w:w="0" w:type="dxa"/>
        </w:tblCellMar>
      </w:tblP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Pr>
          <w:p>
            <w:pPr>
              <w:spacing w:after="0"/>
              <w:rPr>
                <w:sz w:val="16"/>
                <w:szCs w:val="16"/>
                <w:color w:val="auto"/>
              </w:rPr>
            </w:pPr>
          </w:p>
        </w:tc>
        <w:tc>
          <w:tcPr>
            <w:tcW w:w="54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tcPr>
          <w:p>
            <w:pPr>
              <w:spacing w:after="0"/>
              <w:rPr>
                <w:sz w:val="16"/>
                <w:szCs w:val="16"/>
                <w:color w:val="auto"/>
              </w:rPr>
            </w:pPr>
          </w:p>
        </w:tc>
        <w:tc>
          <w:tcPr>
            <w:tcW w:w="47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404"/>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Certification of principal executive officer pursuant to Rule 13a-</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14(a)/15d-14(a)</w:t>
            </w:r>
          </w:p>
        </w:tc>
        <w:tc>
          <w:tcPr>
            <w:tcW w:w="4780" w:type="dxa"/>
            <w:vAlign w:val="bottom"/>
          </w:tcPr>
          <w:p>
            <w:pPr>
              <w:spacing w:after="0"/>
              <w:rPr>
                <w:sz w:val="20"/>
                <w:szCs w:val="20"/>
                <w:color w:val="auto"/>
              </w:rPr>
            </w:pPr>
          </w:p>
        </w:tc>
      </w:tr>
      <w:tr>
        <w:trPr>
          <w:trHeight w:val="431"/>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financial officer pursuant to Rule 13a-14(a)/15d-</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14(a)</w:t>
            </w:r>
          </w:p>
        </w:tc>
        <w:tc>
          <w:tcPr>
            <w:tcW w:w="4780" w:type="dxa"/>
            <w:vAlign w:val="bottom"/>
          </w:tcPr>
          <w:p>
            <w:pPr>
              <w:spacing w:after="0"/>
              <w:rPr>
                <w:sz w:val="20"/>
                <w:szCs w:val="20"/>
                <w:color w:val="auto"/>
              </w:rPr>
            </w:pPr>
          </w:p>
        </w:tc>
      </w:tr>
      <w:tr>
        <w:trPr>
          <w:trHeight w:val="431"/>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principal executive officer pursuant to 18 U.S.C. 1350, as</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4780" w:type="dxa"/>
            <w:vAlign w:val="bottom"/>
          </w:tcPr>
          <w:p>
            <w:pPr>
              <w:spacing w:after="0"/>
              <w:rPr>
                <w:sz w:val="20"/>
                <w:szCs w:val="20"/>
                <w:color w:val="auto"/>
              </w:rPr>
            </w:pPr>
          </w:p>
        </w:tc>
      </w:tr>
      <w:tr>
        <w:trPr>
          <w:trHeight w:val="431"/>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7"/>
              </w:rPr>
              <w:t>Certification of principal financial officer pursuant to 18 U.S.C. 1350, as</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4780" w:type="dxa"/>
            <w:vAlign w:val="bottom"/>
          </w:tcPr>
          <w:p>
            <w:pPr>
              <w:spacing w:after="0"/>
              <w:rPr>
                <w:sz w:val="20"/>
                <w:szCs w:val="20"/>
                <w:color w:val="auto"/>
              </w:rPr>
            </w:pPr>
          </w:p>
        </w:tc>
      </w:tr>
      <w:tr>
        <w:trPr>
          <w:trHeight w:val="446"/>
        </w:trPr>
        <w:tc>
          <w:tcPr>
            <w:tcW w:w="920" w:type="dxa"/>
            <w:vAlign w:val="bottom"/>
          </w:tcPr>
          <w:p>
            <w:pPr>
              <w:jc w:val="right"/>
              <w:ind w:right="25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95"/>
              </w:rPr>
              <w:t>The following financial information from the Company’s Quarterly Report</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bl>
    <w:p>
      <w:pPr>
        <w:ind w:left="1065"/>
        <w:spacing w:after="0"/>
        <w:rPr>
          <w:sz w:val="20"/>
          <w:szCs w:val="20"/>
          <w:color w:val="auto"/>
        </w:rPr>
      </w:pPr>
      <w:r>
        <w:rPr>
          <w:rFonts w:ascii="Arial" w:cs="Arial" w:eastAsia="Arial" w:hAnsi="Arial"/>
          <w:sz w:val="18"/>
          <w:szCs w:val="18"/>
          <w:color w:val="auto"/>
        </w:rPr>
        <w:t>on Form 10-Q for the quarter ended September 30, 2016 formatted in</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XBRL (extensible Business Reporting Language): (i) Unaudited</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Condensed Consolidated Balance Sheets at September 30, 2016 and</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June 30, 2016; (ii) Unaudited Condensed Consolidated Statements of</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Operations and Other Comprehensive Income for the three months ended</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September 30, 2016 and 2015; (iii) Unaudited Condensed Consolidated</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Statement of Stockholders’ Equity for the three months ended September</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30, 2016; (iv) Unaudited Condensed Consolidated Statements of Cash</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Flows for the three months ended September 30, 2016 and 2015; and (v)</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Notes to Unaudited Condensed Consolidated Financial Statements, tagged</w:t>
      </w:r>
    </w:p>
    <w:p>
      <w:pPr>
        <w:spacing w:after="0" w:line="9" w:lineRule="exact"/>
        <w:rPr>
          <w:sz w:val="20"/>
          <w:szCs w:val="20"/>
          <w:color w:val="auto"/>
        </w:rPr>
      </w:pPr>
    </w:p>
    <w:p>
      <w:pPr>
        <w:ind w:left="1065"/>
        <w:spacing w:after="0"/>
        <w:rPr>
          <w:sz w:val="20"/>
          <w:szCs w:val="20"/>
          <w:color w:val="auto"/>
        </w:rPr>
      </w:pPr>
      <w:r>
        <w:rPr>
          <w:rFonts w:ascii="Arial" w:cs="Arial" w:eastAsia="Arial" w:hAnsi="Arial"/>
          <w:sz w:val="18"/>
          <w:szCs w:val="18"/>
          <w:color w:val="auto"/>
        </w:rPr>
        <w:t>as blocks of text</w:t>
      </w:r>
    </w:p>
    <w:p>
      <w:pPr>
        <w:spacing w:after="0" w:line="319" w:lineRule="exact"/>
        <w:rPr>
          <w:sz w:val="20"/>
          <w:szCs w:val="20"/>
          <w:color w:val="auto"/>
        </w:rPr>
      </w:pPr>
    </w:p>
    <w:p>
      <w:pPr>
        <w:ind w:left="1145" w:right="200" w:hanging="1145"/>
        <w:spacing w:after="0" w:line="264" w:lineRule="auto"/>
        <w:tabs>
          <w:tab w:leader="none" w:pos="114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5"/>
          </w:cols>
          <w:pgMar w:left="275" w:top="58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2016</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Mark Jaggi, certify that:</w:t>
      </w:r>
    </w:p>
    <w:p>
      <w:pPr>
        <w:spacing w:after="0" w:line="144"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2016</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Mark Jaggi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Mark Jaggi</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2016,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2016</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2016, with the Securities and Exchange Commission on the date hereof (the “report”), I, Mark Jaggi, Principal Financial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2016</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Mark Jaggi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Mark Jaggi</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2019-12-29T08:38:34Z</dcterms:created>
  <dcterms:modified xsi:type="dcterms:W3CDTF">2019-12-29T08:38:34Z</dcterms:modified>
</cp:coreProperties>
</file>