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12"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10-Q</w:t>
      </w:r>
    </w:p>
    <w:p>
      <w:pPr>
        <w:spacing w:after="0" w:line="45"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31" w:lineRule="exact"/>
        <w:rPr>
          <w:sz w:val="24"/>
          <w:szCs w:val="24"/>
          <w:color w:val="auto"/>
        </w:rPr>
      </w:pPr>
    </w:p>
    <w:p>
      <w:pPr>
        <w:ind w:left="680" w:hanging="643"/>
        <w:spacing w:after="0"/>
        <w:tabs>
          <w:tab w:leader="none" w:pos="6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UNDER SECTION 13 OR 15 (d)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40" w:lineRule="exact"/>
        <w:rPr>
          <w:sz w:val="24"/>
          <w:szCs w:val="24"/>
          <w:color w:val="auto"/>
        </w:rPr>
      </w:pPr>
    </w:p>
    <w:p>
      <w:pPr>
        <w:ind w:left="680" w:hanging="643"/>
        <w:spacing w:after="0"/>
        <w:tabs>
          <w:tab w:leader="none" w:pos="6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22" w:lineRule="exact"/>
        <w:rPr>
          <w:sz w:val="24"/>
          <w:szCs w:val="24"/>
          <w:color w:val="auto"/>
        </w:rPr>
      </w:pPr>
    </w:p>
    <w:p>
      <w:pPr>
        <w:ind w:left="2920"/>
        <w:spacing w:after="0"/>
        <w:tabs>
          <w:tab w:leader="none" w:pos="71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3952875</wp:posOffset>
            </wp:positionH>
            <wp:positionV relativeFrom="paragraph">
              <wp:posOffset>-10160</wp:posOffset>
            </wp:positionV>
            <wp:extent cx="1334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001-35647</w:t>
      </w:r>
    </w:p>
    <w:p>
      <w:pPr>
        <w:spacing w:after="0" w:line="19"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LIFEVANTAGE CORPORATION</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3"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3280" w:type="dxa"/>
            <w:vAlign w:val="bottom"/>
          </w:tcPr>
          <w:p>
            <w:pPr>
              <w:jc w:val="right"/>
              <w:ind w:right="81"/>
              <w:spacing w:after="0"/>
              <w:rPr>
                <w:sz w:val="20"/>
                <w:szCs w:val="20"/>
                <w:color w:val="auto"/>
              </w:rPr>
            </w:pPr>
            <w:r>
              <w:rPr>
                <w:rFonts w:ascii="Arial" w:cs="Arial" w:eastAsia="Arial" w:hAnsi="Arial"/>
                <w:sz w:val="18"/>
                <w:szCs w:val="18"/>
                <w:b w:val="1"/>
                <w:bCs w:val="1"/>
                <w:color w:val="auto"/>
              </w:rPr>
              <w:t>Delaware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ind w:left="600"/>
              <w:spacing w:after="0"/>
              <w:rPr>
                <w:sz w:val="20"/>
                <w:szCs w:val="20"/>
                <w:color w:val="auto"/>
              </w:rPr>
            </w:pPr>
            <w:r>
              <w:rPr>
                <w:rFonts w:ascii="Arial" w:cs="Arial" w:eastAsia="Arial" w:hAnsi="Arial"/>
                <w:sz w:val="18"/>
                <w:szCs w:val="18"/>
                <w:b w:val="1"/>
                <w:bCs w:val="1"/>
                <w:color w:val="auto"/>
              </w:rPr>
              <w:t>90-0224471</w:t>
            </w:r>
          </w:p>
        </w:tc>
      </w:tr>
      <w:tr>
        <w:trPr>
          <w:trHeight w:val="180"/>
        </w:trPr>
        <w:tc>
          <w:tcPr>
            <w:tcW w:w="7520" w:type="dxa"/>
            <w:vAlign w:val="bottom"/>
            <w:gridSpan w:val="5"/>
          </w:tcPr>
          <w:p>
            <w:pPr>
              <w:ind w:left="1080"/>
              <w:spacing w:after="0"/>
              <w:rPr>
                <w:sz w:val="20"/>
                <w:szCs w:val="20"/>
                <w:color w:val="auto"/>
              </w:rPr>
            </w:pPr>
            <w:r>
              <w:rPr>
                <w:rFonts w:ascii="Arial" w:cs="Arial" w:eastAsia="Arial" w:hAnsi="Arial"/>
                <w:sz w:val="14"/>
                <w:szCs w:val="14"/>
                <w:color w:val="auto"/>
              </w:rPr>
              <w:t>(State or other jurisdiction of incorporation or organization)</w:t>
            </w:r>
          </w:p>
        </w:tc>
        <w:tc>
          <w:tcPr>
            <w:tcW w:w="3680" w:type="dxa"/>
            <w:vAlign w:val="bottom"/>
          </w:tcPr>
          <w:p>
            <w:pPr>
              <w:ind w:left="40"/>
              <w:spacing w:after="0"/>
              <w:rPr>
                <w:sz w:val="20"/>
                <w:szCs w:val="20"/>
                <w:color w:val="auto"/>
              </w:rPr>
            </w:pPr>
            <w:r>
              <w:rPr>
                <w:rFonts w:ascii="Arial" w:cs="Arial" w:eastAsia="Arial" w:hAnsi="Arial"/>
                <w:sz w:val="14"/>
                <w:szCs w:val="14"/>
                <w:color w:val="auto"/>
              </w:rPr>
              <w:t>(IRS Employer Identification No.)</w:t>
            </w:r>
          </w:p>
        </w:tc>
      </w:tr>
      <w:tr>
        <w:trPr>
          <w:trHeight w:val="455"/>
        </w:trPr>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3300 Triumph Blvd, Suite 700, Lehi, UT 84043</w:t>
            </w:r>
          </w:p>
        </w:tc>
        <w:tc>
          <w:tcPr>
            <w:tcW w:w="3680" w:type="dxa"/>
            <w:vAlign w:val="bottom"/>
          </w:tcPr>
          <w:p>
            <w:pPr>
              <w:spacing w:after="0"/>
              <w:rPr>
                <w:sz w:val="24"/>
                <w:szCs w:val="24"/>
                <w:color w:val="auto"/>
              </w:rPr>
            </w:pPr>
          </w:p>
        </w:tc>
      </w:tr>
      <w:tr>
        <w:trPr>
          <w:trHeight w:val="180"/>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(Address of principal executive offices, including zip code)</w:t>
            </w:r>
          </w:p>
        </w:tc>
        <w:tc>
          <w:tcPr>
            <w:tcW w:w="3680" w:type="dxa"/>
            <w:vAlign w:val="bottom"/>
          </w:tcPr>
          <w:p>
            <w:pPr>
              <w:spacing w:after="0"/>
              <w:rPr>
                <w:sz w:val="15"/>
                <w:szCs w:val="15"/>
                <w:color w:val="auto"/>
              </w:rPr>
            </w:pPr>
          </w:p>
        </w:tc>
      </w:tr>
      <w:tr>
        <w:trPr>
          <w:trHeight w:val="362"/>
        </w:trPr>
        <w:tc>
          <w:tcPr>
            <w:tcW w:w="3280" w:type="dxa"/>
            <w:vAlign w:val="bottom"/>
          </w:tcPr>
          <w:p>
            <w:pPr>
              <w:spacing w:after="0"/>
              <w:rPr>
                <w:sz w:val="24"/>
                <w:szCs w:val="24"/>
                <w:color w:val="auto"/>
              </w:rPr>
            </w:pPr>
          </w:p>
        </w:tc>
        <w:tc>
          <w:tcPr>
            <w:tcW w:w="4140" w:type="dxa"/>
            <w:vAlign w:val="bottom"/>
            <w:gridSpan w:val="3"/>
          </w:tcPr>
          <w:p>
            <w:pPr>
              <w:jc w:val="center"/>
              <w:ind w:left="432"/>
              <w:spacing w:after="0"/>
              <w:rPr>
                <w:sz w:val="20"/>
                <w:szCs w:val="20"/>
                <w:color w:val="auto"/>
              </w:rPr>
            </w:pPr>
            <w:r>
              <w:rPr>
                <w:rFonts w:ascii="Arial" w:cs="Arial" w:eastAsia="Arial" w:hAnsi="Arial"/>
                <w:sz w:val="18"/>
                <w:szCs w:val="18"/>
                <w:b w:val="1"/>
                <w:bCs w:val="1"/>
                <w:color w:val="auto"/>
                <w:w w:val="89"/>
              </w:rPr>
              <w:t>(801) 432-9000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0"/>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0"/>
              </w:rPr>
              <w:t>(Registrant’s telephone number)</w:t>
            </w:r>
          </w:p>
        </w:tc>
        <w:tc>
          <w:tcPr>
            <w:tcW w:w="3680" w:type="dxa"/>
            <w:vAlign w:val="bottom"/>
          </w:tcPr>
          <w:p>
            <w:pPr>
              <w:spacing w:after="0"/>
              <w:rPr>
                <w:sz w:val="15"/>
                <w:szCs w:val="15"/>
                <w:color w:val="auto"/>
              </w:rPr>
            </w:pPr>
          </w:p>
        </w:tc>
      </w:tr>
      <w:tr>
        <w:trPr>
          <w:trHeight w:val="459"/>
        </w:trPr>
        <w:tc>
          <w:tcPr>
            <w:tcW w:w="3280" w:type="dxa"/>
            <w:vAlign w:val="bottom"/>
          </w:tcPr>
          <w:p>
            <w:pPr>
              <w:spacing w:after="0"/>
              <w:rPr>
                <w:sz w:val="24"/>
                <w:szCs w:val="24"/>
                <w:color w:val="auto"/>
              </w:rPr>
            </w:pPr>
          </w:p>
        </w:tc>
        <w:tc>
          <w:tcPr>
            <w:tcW w:w="7920" w:type="dxa"/>
            <w:vAlign w:val="bottom"/>
            <w:gridSpan w:val="5"/>
          </w:tcPr>
          <w:p>
            <w:pPr>
              <w:jc w:val="center"/>
              <w:ind w:right="3201"/>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252"/>
        </w:trPr>
        <w:tc>
          <w:tcPr>
            <w:tcW w:w="3280" w:type="dxa"/>
            <w:vAlign w:val="bottom"/>
          </w:tcPr>
          <w:p>
            <w:pPr>
              <w:jc w:val="right"/>
              <w:ind w:right="81"/>
              <w:spacing w:after="0"/>
              <w:rPr>
                <w:sz w:val="20"/>
                <w:szCs w:val="20"/>
                <w:color w:val="auto"/>
              </w:rPr>
            </w:pPr>
            <w:r>
              <w:rPr>
                <w:rFonts w:ascii="Arial" w:cs="Arial" w:eastAsia="Arial" w:hAnsi="Arial"/>
                <w:sz w:val="18"/>
                <w:szCs w:val="18"/>
                <w:b w:val="1"/>
                <w:bCs w:val="1"/>
                <w:color w:val="auto"/>
              </w:rPr>
              <w:t>Common Stock, par value $0.0001</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LFVN</w:t>
            </w:r>
          </w:p>
        </w:tc>
        <w:tc>
          <w:tcPr>
            <w:tcW w:w="3680" w:type="dxa"/>
            <w:vAlign w:val="bottom"/>
          </w:tcPr>
          <w:p>
            <w:pPr>
              <w:ind w:left="660"/>
              <w:spacing w:after="0"/>
              <w:rPr>
                <w:sz w:val="20"/>
                <w:szCs w:val="20"/>
                <w:color w:val="auto"/>
              </w:rPr>
            </w:pPr>
            <w:r>
              <w:rPr>
                <w:rFonts w:ascii="Arial" w:cs="Arial" w:eastAsia="Arial" w:hAnsi="Arial"/>
                <w:sz w:val="18"/>
                <w:szCs w:val="18"/>
                <w:b w:val="1"/>
                <w:bCs w:val="1"/>
                <w:color w:val="auto"/>
              </w:rPr>
              <w:t>The Nasdaq Stock Market LLC</w:t>
            </w:r>
          </w:p>
        </w:tc>
      </w:tr>
      <w:tr>
        <w:trPr>
          <w:trHeight w:val="173"/>
        </w:trPr>
        <w:tc>
          <w:tcPr>
            <w:tcW w:w="3280" w:type="dxa"/>
            <w:vAlign w:val="bottom"/>
            <w:tcBorders>
              <w:top w:val="single" w:sz="8" w:color="auto"/>
            </w:tcBorders>
          </w:tcPr>
          <w:p>
            <w:pPr>
              <w:jc w:val="right"/>
              <w:ind w:right="861"/>
              <w:spacing w:after="0"/>
              <w:rPr>
                <w:sz w:val="20"/>
                <w:szCs w:val="20"/>
                <w:color w:val="auto"/>
              </w:rPr>
            </w:pPr>
            <w:r>
              <w:rPr>
                <w:rFonts w:ascii="Arial" w:cs="Arial" w:eastAsia="Arial" w:hAnsi="Arial"/>
                <w:sz w:val="14"/>
                <w:szCs w:val="14"/>
                <w:color w:val="auto"/>
              </w:rPr>
              <w:t>Title of each class</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100" w:type="dxa"/>
            <w:vAlign w:val="bottom"/>
          </w:tcPr>
          <w:p>
            <w:pPr>
              <w:spacing w:after="0"/>
              <w:rPr>
                <w:sz w:val="15"/>
                <w:szCs w:val="15"/>
                <w:color w:val="auto"/>
              </w:rPr>
            </w:pPr>
          </w:p>
        </w:tc>
        <w:tc>
          <w:tcPr>
            <w:tcW w:w="368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rPr>
              <w:t>Name of each exchange on which registered</w:t>
            </w:r>
          </w:p>
        </w:tc>
      </w:tr>
    </w:tbl>
    <w:p>
      <w:pPr>
        <w:spacing w:after="0" w:line="9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47" w:lineRule="exact"/>
        <w:rPr>
          <w:sz w:val="24"/>
          <w:szCs w:val="24"/>
          <w:color w:val="auto"/>
        </w:rPr>
      </w:pPr>
    </w:p>
    <w:p>
      <w:pPr>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7" w:lineRule="exact"/>
        <w:rPr>
          <w:sz w:val="24"/>
          <w:szCs w:val="24"/>
          <w:color w:val="auto"/>
        </w:rPr>
      </w:pPr>
    </w:p>
    <w:p>
      <w:pPr>
        <w:ind w:right="40"/>
        <w:spacing w:after="0" w:line="21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ind w:right="200"/>
        <w:spacing w:after="0" w:line="25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35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rPr>
              <w:t>Accelerated filer</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6"/>
        </w:trPr>
        <w:tc>
          <w:tcPr>
            <w:tcW w:w="3540" w:type="dxa"/>
            <w:vAlign w:val="bottom"/>
          </w:tcPr>
          <w:p>
            <w:pPr>
              <w:spacing w:after="0"/>
              <w:rPr>
                <w:sz w:val="20"/>
                <w:szCs w:val="20"/>
                <w:color w:val="auto"/>
              </w:rPr>
            </w:pPr>
            <w:r>
              <w:rPr>
                <w:rFonts w:ascii="Arial" w:cs="Arial" w:eastAsia="Arial" w:hAnsi="Arial"/>
                <w:sz w:val="17"/>
                <w:szCs w:val="17"/>
                <w:color w:val="auto"/>
              </w:rPr>
              <w:t>Non-accelerated filer</w:t>
            </w:r>
          </w:p>
        </w:tc>
        <w:tc>
          <w:tcPr>
            <w:tcW w:w="1920" w:type="dxa"/>
            <w:vAlign w:val="bottom"/>
          </w:tcPr>
          <w:p>
            <w:pPr>
              <w:ind w:left="1620"/>
              <w:spacing w:after="0" w:line="171" w:lineRule="exact"/>
              <w:rPr>
                <w:sz w:val="20"/>
                <w:szCs w:val="20"/>
                <w:color w:val="auto"/>
              </w:rPr>
            </w:pPr>
            <w:r>
              <w:rPr>
                <w:rFonts w:ascii="MS PGothic" w:cs="MS PGothic" w:eastAsia="MS PGothic" w:hAnsi="MS PGothic"/>
                <w:sz w:val="17"/>
                <w:szCs w:val="17"/>
                <w:color w:val="auto"/>
              </w:rPr>
              <w:t>☐</w:t>
            </w:r>
          </w:p>
        </w:tc>
        <w:tc>
          <w:tcPr>
            <w:tcW w:w="3660" w:type="dxa"/>
            <w:vAlign w:val="bottom"/>
          </w:tcPr>
          <w:p>
            <w:pPr>
              <w:ind w:left="140"/>
              <w:spacing w:after="0"/>
              <w:rPr>
                <w:sz w:val="20"/>
                <w:szCs w:val="20"/>
                <w:color w:val="auto"/>
              </w:rPr>
            </w:pPr>
            <w:r>
              <w:rPr>
                <w:rFonts w:ascii="Arial" w:cs="Arial" w:eastAsia="Arial" w:hAnsi="Arial"/>
                <w:sz w:val="17"/>
                <w:szCs w:val="17"/>
                <w:color w:val="auto"/>
              </w:rPr>
              <w:t>Smaller reporting company</w:t>
            </w:r>
          </w:p>
        </w:tc>
        <w:tc>
          <w:tcPr>
            <w:tcW w:w="182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8"/>
        </w:trPr>
        <w:tc>
          <w:tcPr>
            <w:tcW w:w="354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2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42" w:lineRule="exact"/>
        <w:rPr>
          <w:sz w:val="24"/>
          <w:szCs w:val="24"/>
          <w:color w:val="auto"/>
        </w:rPr>
      </w:pPr>
    </w:p>
    <w:p>
      <w:pPr>
        <w:ind w:right="220"/>
        <w:spacing w:after="0" w:line="21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0" w:lineRule="exact"/>
        <w:rPr>
          <w:sz w:val="24"/>
          <w:szCs w:val="24"/>
          <w:color w:val="auto"/>
        </w:rPr>
      </w:pPr>
    </w:p>
    <w:p>
      <w:pPr>
        <w:ind w:right="2260"/>
        <w:spacing w:after="0" w:line="30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outstanding of the issuer’s common stock, par value $0.0001 per share, as of February 1, 2023 was 12,717,325.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535305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3" w:lineRule="exact"/>
        <w:rPr>
          <w:sz w:val="20"/>
          <w:szCs w:val="20"/>
          <w:color w:val="auto"/>
        </w:rPr>
      </w:pPr>
    </w:p>
    <w:p>
      <w:pPr>
        <w:ind w:right="60" w:firstLine="397"/>
        <w:spacing w:after="0" w:line="303" w:lineRule="auto"/>
        <w:rPr>
          <w:sz w:val="20"/>
          <w:szCs w:val="20"/>
          <w:color w:val="auto"/>
        </w:rPr>
      </w:pPr>
      <w:r>
        <w:rPr>
          <w:rFonts w:ascii="Arial" w:cs="Arial" w:eastAsia="Arial" w:hAnsi="Arial"/>
          <w:sz w:val="15"/>
          <w:szCs w:val="15"/>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9"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37" w:lineRule="exact"/>
        <w:rPr>
          <w:sz w:val="20"/>
          <w:szCs w:val="20"/>
          <w:color w:val="auto"/>
        </w:rPr>
      </w:pPr>
    </w:p>
    <w:p>
      <w:pPr>
        <w:ind w:left="640" w:right="40" w:hanging="238"/>
        <w:spacing w:after="0" w:line="263"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properly manage, motivate and retain our independent distributors or to attract new customers and independent distributors on an ongoing basis;</w:t>
      </w:r>
    </w:p>
    <w:p>
      <w:pPr>
        <w:spacing w:after="0" w:line="114" w:lineRule="exact"/>
        <w:rPr>
          <w:rFonts w:ascii="Arial" w:cs="Arial" w:eastAsia="Arial" w:hAnsi="Arial"/>
          <w:sz w:val="18"/>
          <w:szCs w:val="18"/>
          <w:color w:val="auto"/>
        </w:rPr>
      </w:pPr>
    </w:p>
    <w:p>
      <w:pPr>
        <w:ind w:left="640" w:right="100" w:hanging="238"/>
        <w:spacing w:after="0" w:line="263"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or the widespread outbreak of any other illness or communicable disease or any other public health crisis, could adversely affect our business, results of operations and financial condition;</w:t>
      </w:r>
    </w:p>
    <w:p>
      <w:pPr>
        <w:spacing w:after="0" w:line="114"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9" w:lineRule="exact"/>
        <w:rPr>
          <w:rFonts w:ascii="Arial" w:cs="Arial" w:eastAsia="Arial" w:hAnsi="Arial"/>
          <w:sz w:val="18"/>
          <w:szCs w:val="18"/>
          <w:color w:val="auto"/>
        </w:rPr>
      </w:pPr>
    </w:p>
    <w:p>
      <w:pPr>
        <w:ind w:left="640" w:hanging="238"/>
        <w:spacing w:after="0" w:line="263"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 including making improper and/or illegal claims about our products or earnings opportunity;</w:t>
      </w:r>
    </w:p>
    <w:p>
      <w:pPr>
        <w:spacing w:after="0" w:line="114"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customer or independent distributor or market acceptance;</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stock price may be adversely affected if our internal controls over financial reporting is not effective;</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execute our product launch process due to increased pressure on our supply chain, information systems and management;</w:t>
      </w:r>
    </w:p>
    <w:p>
      <w:pPr>
        <w:spacing w:after="0" w:line="161" w:lineRule="exact"/>
        <w:rPr>
          <w:rFonts w:ascii="Arial" w:cs="Arial" w:eastAsia="Arial" w:hAnsi="Arial"/>
          <w:sz w:val="17"/>
          <w:szCs w:val="17"/>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Inability to comply with financial covenants imposed by our credit facility and the impact of debt service obligations and restrictive debt covenants;</w:t>
      </w:r>
    </w:p>
    <w:p>
      <w:pPr>
        <w:spacing w:after="0" w:line="184" w:lineRule="exact"/>
        <w:rPr>
          <w:rFonts w:ascii="Arial" w:cs="Arial" w:eastAsia="Arial" w:hAnsi="Arial"/>
          <w:sz w:val="15"/>
          <w:szCs w:val="15"/>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be unable to retain our existing distributor force or customer base or attract additional customers and/or independent distributors;</w:t>
      </w:r>
    </w:p>
    <w:p>
      <w:pPr>
        <w:spacing w:after="0" w:line="161" w:lineRule="exact"/>
        <w:rPr>
          <w:rFonts w:ascii="Arial" w:cs="Arial" w:eastAsia="Arial" w:hAnsi="Arial"/>
          <w:sz w:val="17"/>
          <w:szCs w:val="17"/>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Improper actions by our independent distributors that violate laws or regulations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2" w:name="page3"/>
    <w:bookmarkEnd w:id="2"/>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related to Global Not For Resale programs;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direct selling program could be found to not be in compliance with current or newly adopted laws or regulations in various markets;</w:t>
      </w:r>
    </w:p>
    <w:p>
      <w:pPr>
        <w:spacing w:after="0" w:line="148" w:lineRule="exact"/>
        <w:rPr>
          <w:rFonts w:ascii="Arial" w:cs="Arial" w:eastAsia="Arial" w:hAnsi="Arial"/>
          <w:sz w:val="17"/>
          <w:szCs w:val="17"/>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49" w:lineRule="exact"/>
        <w:rPr>
          <w:rFonts w:ascii="Arial" w:cs="Arial" w:eastAsia="Arial" w:hAnsi="Arial"/>
          <w:sz w:val="18"/>
          <w:szCs w:val="18"/>
          <w:color w:val="auto"/>
        </w:rPr>
      </w:pPr>
    </w:p>
    <w:p>
      <w:pPr>
        <w:ind w:left="640" w:right="580" w:hanging="238"/>
        <w:spacing w:after="0" w:line="26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Cannabidiol (“CBD”) products are subject to varying and changing federal, state or local laws which could adversely affect our results of operations and financial condition;</w:t>
      </w:r>
    </w:p>
    <w:p>
      <w:pPr>
        <w:spacing w:after="0" w:line="101"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w:t>
      </w:r>
    </w:p>
    <w:p>
      <w:pPr>
        <w:spacing w:after="0" w:line="149" w:lineRule="exact"/>
        <w:rPr>
          <w:rFonts w:ascii="Arial" w:cs="Arial" w:eastAsia="Arial" w:hAnsi="Arial"/>
          <w:sz w:val="18"/>
          <w:szCs w:val="18"/>
          <w:color w:val="auto"/>
        </w:rPr>
      </w:pPr>
    </w:p>
    <w:p>
      <w:pPr>
        <w:ind w:left="640" w:right="160" w:hanging="238"/>
        <w:spacing w:after="0" w:line="263"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101"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48" w:lineRule="exact"/>
        <w:rPr>
          <w:rFonts w:ascii="Arial" w:cs="Arial" w:eastAsia="Arial" w:hAnsi="Arial"/>
          <w:sz w:val="17"/>
          <w:szCs w:val="17"/>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and personal care markets;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discretionary spending habits factor into our economic success;</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 and</w:t>
      </w:r>
    </w:p>
    <w:p>
      <w:pPr>
        <w:spacing w:after="0" w:line="136" w:lineRule="exact"/>
        <w:rPr>
          <w:rFonts w:ascii="Arial" w:cs="Arial" w:eastAsia="Arial" w:hAnsi="Arial"/>
          <w:sz w:val="18"/>
          <w:szCs w:val="18"/>
          <w:color w:val="auto"/>
        </w:rPr>
      </w:pPr>
    </w:p>
    <w:p>
      <w:pPr>
        <w:ind w:left="640" w:hanging="23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w:t>
      </w:r>
    </w:p>
    <w:p>
      <w:pPr>
        <w:spacing w:after="0" w:line="150"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396"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LIFEVANTAGE CORPORATION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0" w:type="dxa"/>
            <w:vAlign w:val="bottom"/>
            <w:gridSpan w:val="4"/>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2440" w:type="dxa"/>
            <w:vAlign w:val="bottom"/>
            <w:gridSpan w:val="7"/>
            <w:vMerge w:val="restart"/>
          </w:tcPr>
          <w:p>
            <w:pPr>
              <w:spacing w:after="0" w:line="189" w:lineRule="exact"/>
              <w:rPr>
                <w:sz w:val="20"/>
                <w:szCs w:val="20"/>
                <w:color w:val="auto"/>
              </w:rPr>
            </w:pPr>
            <w:r>
              <w:rPr>
                <w:rFonts w:ascii="Arial" w:cs="Arial" w:eastAsia="Arial" w:hAnsi="Arial"/>
                <w:sz w:val="18"/>
                <w:szCs w:val="18"/>
                <w:color w:val="0000FF"/>
              </w:rPr>
              <w:t>PART I. Financial Information</w:t>
            </w:r>
          </w:p>
        </w:tc>
        <w:tc>
          <w:tcPr>
            <w:tcW w:w="7760" w:type="dxa"/>
            <w:vAlign w:val="bottom"/>
            <w:gridSpan w:val="13"/>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440" w:type="dxa"/>
            <w:vAlign w:val="bottom"/>
            <w:gridSpan w:val="7"/>
            <w:vMerge w:val="continue"/>
          </w:tcPr>
          <w:p>
            <w:pPr>
              <w:spacing w:after="0"/>
              <w:rPr>
                <w:sz w:val="14"/>
                <w:szCs w:val="14"/>
                <w:color w:val="auto"/>
              </w:rPr>
            </w:pPr>
          </w:p>
        </w:tc>
        <w:tc>
          <w:tcPr>
            <w:tcW w:w="7760" w:type="dxa"/>
            <w:vAlign w:val="bottom"/>
            <w:gridSpan w:val="13"/>
            <w:vMerge w:val="continue"/>
          </w:tcPr>
          <w:p>
            <w:pPr>
              <w:spacing w:after="0"/>
              <w:rPr>
                <w:sz w:val="14"/>
                <w:szCs w:val="14"/>
                <w:color w:val="auto"/>
              </w:rPr>
            </w:pPr>
          </w:p>
        </w:tc>
        <w:tc>
          <w:tcPr>
            <w:tcW w:w="1000" w:type="dxa"/>
            <w:vAlign w:val="bottom"/>
            <w:gridSpan w:val="4"/>
          </w:tcPr>
          <w:p>
            <w:pPr>
              <w:jc w:val="right"/>
              <w:ind w:right="20"/>
              <w:spacing w:after="0" w:line="152" w:lineRule="exact"/>
              <w:rPr>
                <w:sz w:val="20"/>
                <w:szCs w:val="20"/>
                <w:color w:val="auto"/>
              </w:rPr>
            </w:pPr>
            <w:r>
              <w:rPr>
                <w:rFonts w:ascii="Arial" w:cs="Arial" w:eastAsia="Arial" w:hAnsi="Arial"/>
                <w:sz w:val="17"/>
                <w:szCs w:val="17"/>
                <w:color w:val="0000FF"/>
              </w:rPr>
              <w:t>5</w:t>
            </w:r>
          </w:p>
        </w:tc>
        <w:tc>
          <w:tcPr>
            <w:tcW w:w="0" w:type="dxa"/>
            <w:vAlign w:val="bottom"/>
          </w:tcPr>
          <w:p>
            <w:pPr>
              <w:spacing w:after="0"/>
              <w:rPr>
                <w:sz w:val="1"/>
                <w:szCs w:val="1"/>
                <w:color w:val="auto"/>
              </w:rPr>
            </w:pPr>
          </w:p>
        </w:tc>
      </w:tr>
      <w:tr>
        <w:trPr>
          <w:trHeight w:val="26"/>
        </w:trPr>
        <w:tc>
          <w:tcPr>
            <w:tcW w:w="7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7"/>
          </w:tcPr>
          <w:p>
            <w:pPr>
              <w:spacing w:after="0"/>
              <w:rPr>
                <w:sz w:val="20"/>
                <w:szCs w:val="20"/>
                <w:color w:val="auto"/>
              </w:rPr>
            </w:pPr>
            <w:r>
              <w:rPr>
                <w:rFonts w:ascii="Arial" w:cs="Arial" w:eastAsia="Arial" w:hAnsi="Arial"/>
                <w:sz w:val="18"/>
                <w:szCs w:val="18"/>
                <w:color w:val="0000FF"/>
                <w:w w:val="86"/>
              </w:rPr>
              <w:t>Financial Statements:</w:t>
            </w:r>
          </w:p>
        </w:tc>
        <w:tc>
          <w:tcPr>
            <w:tcW w:w="7520" w:type="dxa"/>
            <w:vAlign w:val="bottom"/>
            <w:gridSpan w:val="11"/>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8"/>
          </w:tcPr>
          <w:p>
            <w:pPr>
              <w:spacing w:after="0" w:line="205" w:lineRule="exact"/>
              <w:rPr>
                <w:sz w:val="20"/>
                <w:szCs w:val="20"/>
                <w:color w:val="auto"/>
              </w:rPr>
            </w:pPr>
            <w:r>
              <w:rPr>
                <w:rFonts w:ascii="Arial" w:cs="Arial" w:eastAsia="Arial" w:hAnsi="Arial"/>
                <w:sz w:val="18"/>
                <w:szCs w:val="18"/>
                <w:color w:val="0000FF"/>
              </w:rPr>
              <w:t>Condensed Consolidated Balance Sheets (unaudited)</w:t>
            </w:r>
          </w:p>
        </w:tc>
        <w:tc>
          <w:tcPr>
            <w:tcW w:w="100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8"/>
          </w:tcPr>
          <w:p>
            <w:pPr>
              <w:spacing w:after="0" w:line="205" w:lineRule="exact"/>
              <w:rPr>
                <w:sz w:val="20"/>
                <w:szCs w:val="20"/>
                <w:color w:val="auto"/>
              </w:rPr>
            </w:pPr>
            <w:r>
              <w:rPr>
                <w:rFonts w:ascii="Arial" w:cs="Arial" w:eastAsia="Arial" w:hAnsi="Arial"/>
                <w:sz w:val="18"/>
                <w:szCs w:val="18"/>
                <w:color w:val="0000FF"/>
              </w:rPr>
              <w:t>Condensed Consolidated Statements of Operations and Comprehensive Income (Loss) (unaudited)</w:t>
            </w:r>
          </w:p>
        </w:tc>
        <w:tc>
          <w:tcPr>
            <w:tcW w:w="100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40" w:type="dxa"/>
            <w:vAlign w:val="bottom"/>
            <w:gridSpan w:val="18"/>
          </w:tcPr>
          <w:p>
            <w:pPr>
              <w:spacing w:after="0" w:line="205" w:lineRule="exact"/>
              <w:rPr>
                <w:sz w:val="20"/>
                <w:szCs w:val="20"/>
                <w:color w:val="auto"/>
              </w:rPr>
            </w:pPr>
            <w:r>
              <w:rPr>
                <w:rFonts w:ascii="Arial" w:cs="Arial" w:eastAsia="Arial" w:hAnsi="Arial"/>
                <w:sz w:val="18"/>
                <w:szCs w:val="18"/>
                <w:color w:val="0000FF"/>
              </w:rPr>
              <w:t>Condensed Consolidated Statement of Stockholders’ Equity (unaudited)</w:t>
            </w:r>
          </w:p>
        </w:tc>
        <w:tc>
          <w:tcPr>
            <w:tcW w:w="100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5"/>
          </w:tcPr>
          <w:p>
            <w:pPr>
              <w:spacing w:after="0" w:line="205" w:lineRule="exact"/>
              <w:rPr>
                <w:sz w:val="20"/>
                <w:szCs w:val="20"/>
                <w:color w:val="auto"/>
              </w:rPr>
            </w:pPr>
            <w:r>
              <w:rPr>
                <w:rFonts w:ascii="Arial" w:cs="Arial" w:eastAsia="Arial" w:hAnsi="Arial"/>
                <w:sz w:val="18"/>
                <w:szCs w:val="18"/>
                <w:color w:val="0000FF"/>
                <w:w w:val="98"/>
              </w:rPr>
              <w:t>Condensed Consolidated Statements of Cash Flows (unaudited)</w:t>
            </w:r>
          </w:p>
        </w:tc>
        <w:tc>
          <w:tcPr>
            <w:tcW w:w="3960" w:type="dxa"/>
            <w:vAlign w:val="bottom"/>
            <w:gridSpan w:val="3"/>
          </w:tcPr>
          <w:p>
            <w:pPr>
              <w:spacing w:after="0"/>
              <w:rPr>
                <w:sz w:val="17"/>
                <w:szCs w:val="17"/>
                <w:color w:val="auto"/>
              </w:rPr>
            </w:pPr>
          </w:p>
        </w:tc>
        <w:tc>
          <w:tcPr>
            <w:tcW w:w="1000" w:type="dxa"/>
            <w:vAlign w:val="bottom"/>
            <w:gridSpan w:val="4"/>
          </w:tcPr>
          <w:p>
            <w:pPr>
              <w:jc w:val="right"/>
              <w:ind w:right="20"/>
              <w:spacing w:after="0" w:line="205" w:lineRule="exact"/>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00" w:type="dxa"/>
            <w:vAlign w:val="bottom"/>
            <w:tcBorders>
              <w:bottom w:val="single" w:sz="8" w:color="0000FF"/>
            </w:tcBorders>
            <w:gridSpan w:val="16"/>
          </w:tcPr>
          <w:p>
            <w:pPr>
              <w:spacing w:after="0" w:line="205" w:lineRule="exact"/>
              <w:rPr>
                <w:sz w:val="20"/>
                <w:szCs w:val="20"/>
                <w:color w:val="auto"/>
              </w:rPr>
            </w:pPr>
            <w:r>
              <w:rPr>
                <w:rFonts w:ascii="Arial" w:cs="Arial" w:eastAsia="Arial" w:hAnsi="Arial"/>
                <w:sz w:val="18"/>
                <w:szCs w:val="18"/>
                <w:color w:val="0000FF"/>
              </w:rPr>
              <w:t>Notes to Condensed Consolidated Financial Statements (unaudited)</w:t>
            </w:r>
          </w:p>
        </w:tc>
        <w:tc>
          <w:tcPr>
            <w:tcW w:w="27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79"/>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FF"/>
            </w:tcBorders>
            <w:gridSpan w:val="16"/>
          </w:tcPr>
          <w:p>
            <w:pPr>
              <w:spacing w:after="0" w:line="205" w:lineRule="exact"/>
              <w:rPr>
                <w:sz w:val="20"/>
                <w:szCs w:val="20"/>
                <w:color w:val="auto"/>
              </w:rPr>
            </w:pPr>
            <w:r>
              <w:rPr>
                <w:rFonts w:ascii="Arial" w:cs="Arial" w:eastAsia="Arial" w:hAnsi="Arial"/>
                <w:sz w:val="18"/>
                <w:szCs w:val="18"/>
                <w:color w:val="0000FF"/>
                <w:w w:val="88"/>
              </w:rPr>
              <w:t>Management's Discussion and Analysis of Financial Condition and Results of Operations</w:t>
            </w:r>
          </w:p>
        </w:tc>
        <w:tc>
          <w:tcPr>
            <w:tcW w:w="27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79"/>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4280" w:type="dxa"/>
            <w:vAlign w:val="bottom"/>
            <w:tcBorders>
              <w:bottom w:val="single" w:sz="8" w:color="0000FF"/>
            </w:tcBorders>
            <w:gridSpan w:val="12"/>
          </w:tcPr>
          <w:p>
            <w:pPr>
              <w:spacing w:after="0" w:line="205" w:lineRule="exact"/>
              <w:rPr>
                <w:sz w:val="20"/>
                <w:szCs w:val="20"/>
                <w:color w:val="auto"/>
              </w:rPr>
            </w:pPr>
            <w:r>
              <w:rPr>
                <w:rFonts w:ascii="Arial" w:cs="Arial" w:eastAsia="Arial" w:hAnsi="Arial"/>
                <w:sz w:val="18"/>
                <w:szCs w:val="18"/>
                <w:color w:val="0000FF"/>
                <w:w w:val="90"/>
              </w:rPr>
              <w:t>Quantitative and Qualitative Disclosures About Market Risk</w:t>
            </w:r>
          </w:p>
        </w:tc>
        <w:tc>
          <w:tcPr>
            <w:tcW w:w="476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79"/>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9040" w:type="dxa"/>
            <w:vAlign w:val="bottom"/>
            <w:gridSpan w:val="18"/>
          </w:tcPr>
          <w:p>
            <w:pPr>
              <w:spacing w:after="0" w:line="205" w:lineRule="exact"/>
              <w:rPr>
                <w:sz w:val="20"/>
                <w:szCs w:val="20"/>
                <w:color w:val="auto"/>
              </w:rPr>
            </w:pPr>
            <w:r>
              <w:rPr>
                <w:rFonts w:ascii="Arial" w:cs="Arial" w:eastAsia="Arial" w:hAnsi="Arial"/>
                <w:sz w:val="18"/>
                <w:szCs w:val="18"/>
                <w:color w:val="0000FF"/>
              </w:rPr>
              <w:t>Controls and Procedures</w:t>
            </w:r>
          </w:p>
        </w:tc>
        <w:tc>
          <w:tcPr>
            <w:tcW w:w="980" w:type="dxa"/>
            <w:vAlign w:val="bottom"/>
            <w:gridSpan w:val="3"/>
          </w:tcPr>
          <w:p>
            <w:pPr>
              <w:jc w:val="right"/>
              <w:spacing w:after="0" w:line="205" w:lineRule="exact"/>
              <w:rPr>
                <w:sz w:val="20"/>
                <w:szCs w:val="20"/>
                <w:color w:val="auto"/>
              </w:rPr>
            </w:pPr>
            <w:r>
              <w:rPr>
                <w:rFonts w:ascii="Arial" w:cs="Arial" w:eastAsia="Arial" w:hAnsi="Arial"/>
                <w:sz w:val="18"/>
                <w:szCs w:val="18"/>
                <w:color w:val="0000FF"/>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10200" w:type="dxa"/>
            <w:vAlign w:val="bottom"/>
            <w:gridSpan w:val="20"/>
          </w:tcPr>
          <w:p>
            <w:pPr>
              <w:spacing w:after="0"/>
              <w:rPr>
                <w:sz w:val="20"/>
                <w:szCs w:val="20"/>
                <w:color w:val="auto"/>
              </w:rPr>
            </w:pPr>
            <w:r>
              <w:rPr>
                <w:rFonts w:ascii="Arial" w:cs="Arial" w:eastAsia="Arial" w:hAnsi="Arial"/>
                <w:sz w:val="18"/>
                <w:szCs w:val="18"/>
                <w:color w:val="0000FF"/>
              </w:rPr>
              <w:t>PART II. Other Information</w:t>
            </w:r>
          </w:p>
        </w:tc>
        <w:tc>
          <w:tcPr>
            <w:tcW w:w="980" w:type="dxa"/>
            <w:vAlign w:val="bottom"/>
            <w:gridSpan w:val="3"/>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85"/>
              </w:rPr>
              <w:t>Legal Proceedings</w:t>
            </w:r>
          </w:p>
        </w:tc>
        <w:tc>
          <w:tcPr>
            <w:tcW w:w="774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85"/>
              </w:rPr>
              <w:t>Risk Factors</w:t>
            </w:r>
          </w:p>
        </w:tc>
        <w:tc>
          <w:tcPr>
            <w:tcW w:w="8160" w:type="dxa"/>
            <w:vAlign w:val="bottom"/>
            <w:gridSpan w:val="15"/>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FF"/>
            </w:tcBorders>
            <w:gridSpan w:val="11"/>
          </w:tcPr>
          <w:p>
            <w:pPr>
              <w:spacing w:after="0" w:line="205" w:lineRule="exact"/>
              <w:rPr>
                <w:sz w:val="20"/>
                <w:szCs w:val="20"/>
                <w:color w:val="auto"/>
              </w:rPr>
            </w:pPr>
            <w:r>
              <w:rPr>
                <w:rFonts w:ascii="Arial" w:cs="Arial" w:eastAsia="Arial" w:hAnsi="Arial"/>
                <w:sz w:val="18"/>
                <w:szCs w:val="18"/>
                <w:color w:val="0000FF"/>
                <w:w w:val="87"/>
              </w:rPr>
              <w:t>Unregistered Sales of Equity Securities and Use of Proceeds</w:t>
            </w:r>
          </w:p>
        </w:tc>
        <w:tc>
          <w:tcPr>
            <w:tcW w:w="478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3.</w:t>
            </w:r>
          </w:p>
        </w:tc>
        <w:tc>
          <w:tcPr>
            <w:tcW w:w="9040" w:type="dxa"/>
            <w:vAlign w:val="bottom"/>
            <w:gridSpan w:val="18"/>
          </w:tcPr>
          <w:p>
            <w:pPr>
              <w:spacing w:after="0" w:line="205" w:lineRule="exact"/>
              <w:rPr>
                <w:sz w:val="20"/>
                <w:szCs w:val="20"/>
                <w:color w:val="auto"/>
              </w:rPr>
            </w:pPr>
            <w:r>
              <w:rPr>
                <w:rFonts w:ascii="Arial" w:cs="Arial" w:eastAsia="Arial" w:hAnsi="Arial"/>
                <w:sz w:val="18"/>
                <w:szCs w:val="18"/>
                <w:color w:val="0000FF"/>
              </w:rPr>
              <w:t>Defaults Upon Senior Securities</w:t>
            </w:r>
          </w:p>
        </w:tc>
        <w:tc>
          <w:tcPr>
            <w:tcW w:w="980" w:type="dxa"/>
            <w:vAlign w:val="bottom"/>
            <w:gridSpan w:val="3"/>
          </w:tcPr>
          <w:p>
            <w:pPr>
              <w:jc w:val="right"/>
              <w:spacing w:after="0" w:line="205" w:lineRule="exact"/>
              <w:rPr>
                <w:sz w:val="20"/>
                <w:szCs w:val="20"/>
                <w:color w:val="auto"/>
              </w:rPr>
            </w:pPr>
            <w:r>
              <w:rPr>
                <w:rFonts w:ascii="Arial" w:cs="Arial" w:eastAsia="Arial" w:hAnsi="Arial"/>
                <w:sz w:val="18"/>
                <w:szCs w:val="18"/>
                <w:color w:val="0000FF"/>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4.</w:t>
            </w:r>
          </w:p>
        </w:tc>
        <w:tc>
          <w:tcPr>
            <w:tcW w:w="2260" w:type="dxa"/>
            <w:vAlign w:val="bottom"/>
            <w:tcBorders>
              <w:top w:val="single" w:sz="8" w:color="0000FF"/>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rPr>
              <w:t>Mine Safety Disclosures</w:t>
            </w:r>
          </w:p>
        </w:tc>
        <w:tc>
          <w:tcPr>
            <w:tcW w:w="6780" w:type="dxa"/>
            <w:vAlign w:val="bottom"/>
            <w:tcBorders>
              <w:bottom w:val="single" w:sz="8" w:color="0000FF"/>
            </w:tcBorders>
            <w:gridSpan w:val="9"/>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5.</w:t>
            </w:r>
          </w:p>
        </w:tc>
        <w:tc>
          <w:tcPr>
            <w:tcW w:w="9040" w:type="dxa"/>
            <w:vAlign w:val="bottom"/>
            <w:gridSpan w:val="18"/>
          </w:tcPr>
          <w:p>
            <w:pPr>
              <w:spacing w:after="0" w:line="205" w:lineRule="exact"/>
              <w:rPr>
                <w:sz w:val="20"/>
                <w:szCs w:val="20"/>
                <w:color w:val="auto"/>
              </w:rPr>
            </w:pPr>
            <w:r>
              <w:rPr>
                <w:rFonts w:ascii="Arial" w:cs="Arial" w:eastAsia="Arial" w:hAnsi="Arial"/>
                <w:sz w:val="18"/>
                <w:szCs w:val="18"/>
                <w:color w:val="0000FF"/>
              </w:rPr>
              <w:t>Other Information</w:t>
            </w:r>
          </w:p>
        </w:tc>
        <w:tc>
          <w:tcPr>
            <w:tcW w:w="980" w:type="dxa"/>
            <w:vAlign w:val="bottom"/>
            <w:gridSpan w:val="3"/>
          </w:tcPr>
          <w:p>
            <w:pPr>
              <w:jc w:val="right"/>
              <w:spacing w:after="0" w:line="205" w:lineRule="exact"/>
              <w:rPr>
                <w:sz w:val="20"/>
                <w:szCs w:val="20"/>
                <w:color w:val="auto"/>
              </w:rPr>
            </w:pPr>
            <w:r>
              <w:rPr>
                <w:rFonts w:ascii="Arial" w:cs="Arial" w:eastAsia="Arial" w:hAnsi="Arial"/>
                <w:sz w:val="18"/>
                <w:szCs w:val="18"/>
                <w:color w:val="0000FF"/>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FF"/>
            </w:tcBorders>
            <w:gridSpan w:val="5"/>
          </w:tcPr>
          <w:p>
            <w:pPr>
              <w:spacing w:after="0" w:line="205" w:lineRule="exact"/>
              <w:rPr>
                <w:sz w:val="20"/>
                <w:szCs w:val="20"/>
                <w:color w:val="auto"/>
              </w:rPr>
            </w:pPr>
            <w:r>
              <w:rPr>
                <w:rFonts w:ascii="Arial" w:cs="Arial" w:eastAsia="Arial" w:hAnsi="Arial"/>
                <w:sz w:val="18"/>
                <w:szCs w:val="18"/>
                <w:color w:val="0000FF"/>
              </w:rPr>
              <w:t>Exhibits</w:t>
            </w:r>
          </w:p>
        </w:tc>
        <w:tc>
          <w:tcPr>
            <w:tcW w:w="776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79"/>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60" w:type="dxa"/>
            <w:vAlign w:val="bottom"/>
            <w:gridSpan w:val="2"/>
          </w:tcPr>
          <w:p>
            <w:pPr>
              <w:spacing w:after="0" w:line="205" w:lineRule="exact"/>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Pr>
          <w:p>
            <w:pPr>
              <w:spacing w:after="0"/>
              <w:rPr>
                <w:sz w:val="15"/>
                <w:szCs w:val="15"/>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 2022</w:t>
            </w:r>
          </w:p>
        </w:tc>
        <w:tc>
          <w:tcPr>
            <w:tcW w:w="0" w:type="dxa"/>
            <w:vAlign w:val="bottom"/>
          </w:tcPr>
          <w:p>
            <w:pPr>
              <w:spacing w:after="0"/>
              <w:rPr>
                <w:sz w:val="1"/>
                <w:szCs w:val="1"/>
                <w:color w:val="auto"/>
              </w:rPr>
            </w:pPr>
          </w:p>
        </w:tc>
      </w:tr>
      <w:tr>
        <w:trPr>
          <w:trHeight w:val="24"/>
        </w:trPr>
        <w:tc>
          <w:tcPr>
            <w:tcW w:w="758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(In thousands, except per share data)</w:t>
            </w: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5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17,370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20,190</w:t>
            </w:r>
          </w:p>
        </w:tc>
        <w:tc>
          <w:tcPr>
            <w:tcW w:w="0" w:type="dxa"/>
            <w:vAlign w:val="bottom"/>
          </w:tcPr>
          <w:p>
            <w:pPr>
              <w:spacing w:after="0"/>
              <w:rPr>
                <w:sz w:val="1"/>
                <w:szCs w:val="1"/>
                <w:color w:val="auto"/>
              </w:rPr>
            </w:pPr>
          </w:p>
        </w:tc>
      </w:tr>
      <w:tr>
        <w:trPr>
          <w:trHeight w:val="219"/>
        </w:trPr>
        <w:tc>
          <w:tcPr>
            <w:tcW w:w="7580" w:type="dxa"/>
            <w:vAlign w:val="bottom"/>
          </w:tcPr>
          <w:p>
            <w:pPr>
              <w:ind w:left="34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3,338</w:t>
            </w: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receivable</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w:t>
            </w:r>
          </w:p>
        </w:tc>
        <w:tc>
          <w:tcPr>
            <w:tcW w:w="0" w:type="dxa"/>
            <w:vAlign w:val="bottom"/>
          </w:tcPr>
          <w:p>
            <w:pPr>
              <w:spacing w:after="0"/>
              <w:rPr>
                <w:sz w:val="1"/>
                <w:szCs w:val="1"/>
                <w:color w:val="auto"/>
              </w:rPr>
            </w:pPr>
          </w:p>
        </w:tc>
      </w:tr>
      <w:tr>
        <w:trPr>
          <w:trHeight w:val="219"/>
        </w:trPr>
        <w:tc>
          <w:tcPr>
            <w:tcW w:w="7580" w:type="dxa"/>
            <w:vAlign w:val="bottom"/>
          </w:tcPr>
          <w:p>
            <w:pPr>
              <w:ind w:left="340"/>
              <w:spacing w:after="0"/>
              <w:rPr>
                <w:sz w:val="20"/>
                <w:szCs w:val="20"/>
                <w:color w:val="auto"/>
              </w:rPr>
            </w:pPr>
            <w:r>
              <w:rPr>
                <w:rFonts w:ascii="Arial" w:cs="Arial" w:eastAsia="Arial" w:hAnsi="Arial"/>
                <w:sz w:val="17"/>
                <w:szCs w:val="17"/>
                <w:color w:val="auto"/>
              </w:rPr>
              <w:t>Inventory,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20,435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16,472</w:t>
            </w: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5,205</w:t>
            </w:r>
          </w:p>
        </w:tc>
        <w:tc>
          <w:tcPr>
            <w:tcW w:w="0" w:type="dxa"/>
            <w:vAlign w:val="bottom"/>
          </w:tcPr>
          <w:p>
            <w:pPr>
              <w:spacing w:after="0"/>
              <w:rPr>
                <w:sz w:val="1"/>
                <w:szCs w:val="1"/>
                <w:color w:val="auto"/>
              </w:rPr>
            </w:pPr>
          </w:p>
        </w:tc>
      </w:tr>
      <w:tr>
        <w:trPr>
          <w:trHeight w:val="212"/>
        </w:trPr>
        <w:tc>
          <w:tcPr>
            <w:tcW w:w="7580" w:type="dxa"/>
            <w:vAlign w:val="bottom"/>
          </w:tcPr>
          <w:p>
            <w:pPr>
              <w:ind w:left="660"/>
              <w:spacing w:after="0" w:line="194" w:lineRule="exact"/>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44,357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46,957</w:t>
            </w:r>
          </w:p>
        </w:tc>
        <w:tc>
          <w:tcPr>
            <w:tcW w:w="0" w:type="dxa"/>
            <w:vAlign w:val="bottom"/>
          </w:tcPr>
          <w:p>
            <w:pPr>
              <w:spacing w:after="0"/>
              <w:rPr>
                <w:sz w:val="1"/>
                <w:szCs w:val="1"/>
                <w:color w:val="auto"/>
              </w:rPr>
            </w:pPr>
          </w:p>
        </w:tc>
      </w:tr>
      <w:tr>
        <w:trPr>
          <w:trHeight w:val="257"/>
        </w:trPr>
        <w:tc>
          <w:tcPr>
            <w:tcW w:w="7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58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9,315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9,500</w:t>
            </w: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Right-of-use assets</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11,040</w:t>
            </w:r>
          </w:p>
        </w:tc>
        <w:tc>
          <w:tcPr>
            <w:tcW w:w="0" w:type="dxa"/>
            <w:vAlign w:val="bottom"/>
          </w:tcPr>
          <w:p>
            <w:pPr>
              <w:spacing w:after="0"/>
              <w:rPr>
                <w:sz w:val="1"/>
                <w:szCs w:val="1"/>
                <w:color w:val="auto"/>
              </w:rPr>
            </w:pPr>
          </w:p>
        </w:tc>
      </w:tr>
      <w:tr>
        <w:trPr>
          <w:trHeight w:val="219"/>
        </w:trPr>
        <w:tc>
          <w:tcPr>
            <w:tcW w:w="7580" w:type="dxa"/>
            <w:vAlign w:val="bottom"/>
          </w:tcPr>
          <w:p>
            <w:pPr>
              <w:ind w:left="340"/>
              <w:spacing w:after="0"/>
              <w:rPr>
                <w:sz w:val="20"/>
                <w:szCs w:val="20"/>
                <w:color w:val="auto"/>
              </w:rPr>
            </w:pPr>
            <w:r>
              <w:rPr>
                <w:rFonts w:ascii="Arial" w:cs="Arial" w:eastAsia="Arial" w:hAnsi="Arial"/>
                <w:sz w:val="17"/>
                <w:szCs w:val="17"/>
                <w:color w:val="auto"/>
              </w:rPr>
              <w:t>Intangible assets, net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 asset</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w:t>
            </w:r>
          </w:p>
        </w:tc>
        <w:tc>
          <w:tcPr>
            <w:tcW w:w="0" w:type="dxa"/>
            <w:vAlign w:val="bottom"/>
          </w:tcPr>
          <w:p>
            <w:pPr>
              <w:spacing w:after="0"/>
              <w:rPr>
                <w:sz w:val="1"/>
                <w:szCs w:val="1"/>
                <w:color w:val="auto"/>
              </w:rPr>
            </w:pPr>
          </w:p>
        </w:tc>
      </w:tr>
      <w:tr>
        <w:trPr>
          <w:trHeight w:val="219"/>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long-term assets</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70,706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AND STOCKHOLDERS’ EQUITY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7,462</w:t>
            </w:r>
          </w:p>
        </w:tc>
        <w:tc>
          <w:tcPr>
            <w:tcW w:w="0" w:type="dxa"/>
            <w:vAlign w:val="bottom"/>
          </w:tcPr>
          <w:p>
            <w:pPr>
              <w:spacing w:after="0"/>
              <w:rPr>
                <w:sz w:val="1"/>
                <w:szCs w:val="1"/>
                <w:color w:val="auto"/>
              </w:rPr>
            </w:pPr>
          </w:p>
        </w:tc>
      </w:tr>
      <w:tr>
        <w:trPr>
          <w:trHeight w:val="219"/>
        </w:trPr>
        <w:tc>
          <w:tcPr>
            <w:tcW w:w="7580" w:type="dxa"/>
            <w:vAlign w:val="bottom"/>
          </w:tcPr>
          <w:p>
            <w:pPr>
              <w:ind w:left="340"/>
              <w:spacing w:after="0"/>
              <w:rPr>
                <w:sz w:val="20"/>
                <w:szCs w:val="20"/>
                <w:color w:val="auto"/>
              </w:rPr>
            </w:pPr>
            <w:r>
              <w:rPr>
                <w:rFonts w:ascii="Arial" w:cs="Arial" w:eastAsia="Arial" w:hAnsi="Arial"/>
                <w:sz w:val="17"/>
                <w:szCs w:val="17"/>
                <w:color w:val="auto"/>
              </w:rPr>
              <w:t>Commissions payable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6,691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7,285</w:t>
            </w: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payable</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19"/>
        </w:trPr>
        <w:tc>
          <w:tcPr>
            <w:tcW w:w="7580" w:type="dxa"/>
            <w:vAlign w:val="bottom"/>
          </w:tcPr>
          <w:p>
            <w:pPr>
              <w:ind w:left="340"/>
              <w:spacing w:after="0"/>
              <w:rPr>
                <w:sz w:val="20"/>
                <w:szCs w:val="20"/>
                <w:color w:val="auto"/>
              </w:rPr>
            </w:pPr>
            <w:r>
              <w:rPr>
                <w:rFonts w:ascii="Arial" w:cs="Arial" w:eastAsia="Arial" w:hAnsi="Arial"/>
                <w:sz w:val="17"/>
                <w:szCs w:val="17"/>
                <w:color w:val="auto"/>
              </w:rPr>
              <w:t>Lease liabilities</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231"/>
        </w:trPr>
        <w:tc>
          <w:tcPr>
            <w:tcW w:w="75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accrued expenses</w:t>
            </w:r>
          </w:p>
        </w:tc>
        <w:tc>
          <w:tcPr>
            <w:tcW w:w="22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6,405</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7,927</w:t>
            </w:r>
          </w:p>
        </w:tc>
        <w:tc>
          <w:tcPr>
            <w:tcW w:w="0" w:type="dxa"/>
            <w:vAlign w:val="bottom"/>
          </w:tcPr>
          <w:p>
            <w:pPr>
              <w:spacing w:after="0"/>
              <w:rPr>
                <w:sz w:val="1"/>
                <w:szCs w:val="1"/>
                <w:color w:val="auto"/>
              </w:rPr>
            </w:pPr>
          </w:p>
        </w:tc>
      </w:tr>
      <w:tr>
        <w:trPr>
          <w:trHeight w:val="212"/>
        </w:trPr>
        <w:tc>
          <w:tcPr>
            <w:tcW w:w="7580" w:type="dxa"/>
            <w:vAlign w:val="bottom"/>
          </w:tcPr>
          <w:p>
            <w:pPr>
              <w:ind w:left="660"/>
              <w:spacing w:after="0" w:line="194" w:lineRule="exact"/>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23,334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25,728</w:t>
            </w:r>
          </w:p>
        </w:tc>
        <w:tc>
          <w:tcPr>
            <w:tcW w:w="0" w:type="dxa"/>
            <w:vAlign w:val="bottom"/>
          </w:tcPr>
          <w:p>
            <w:pPr>
              <w:spacing w:after="0"/>
              <w:rPr>
                <w:sz w:val="1"/>
                <w:szCs w:val="1"/>
                <w:color w:val="auto"/>
              </w:rPr>
            </w:pPr>
          </w:p>
        </w:tc>
      </w:tr>
      <w:tr>
        <w:trPr>
          <w:trHeight w:val="257"/>
        </w:trPr>
        <w:tc>
          <w:tcPr>
            <w:tcW w:w="7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875" w:right="359" w:bottom="1440" w:gutter="0" w:footer="0" w:header="0"/>
        </w:sectPr>
      </w:pPr>
    </w:p>
    <w:p>
      <w:pPr>
        <w:ind w:left="40"/>
        <w:spacing w:after="0"/>
        <w:rPr>
          <w:sz w:val="20"/>
          <w:szCs w:val="20"/>
          <w:color w:val="auto"/>
        </w:rPr>
      </w:pPr>
      <w:r>
        <w:rPr>
          <w:rFonts w:ascii="Arial" w:cs="Arial" w:eastAsia="Arial" w:hAnsi="Arial"/>
          <w:sz w:val="17"/>
          <w:szCs w:val="17"/>
          <w:color w:val="auto"/>
        </w:rPr>
        <w:t>Long-term lease liabilities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118350" cy="14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liabilities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and contingencies -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11835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Stockholders’ equity</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Preferred stock — par value $0.0001 per share, 5,000 shares authorized, no shares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wp:posOffset>
            </wp:positionV>
            <wp:extent cx="7118350" cy="142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Common stock — par value $0.0001 per share, 40,000 shares authorized and 12,707 and 12,493 issued and</w:t>
      </w:r>
    </w:p>
    <w:p>
      <w:pPr>
        <w:ind w:left="360"/>
        <w:spacing w:after="0"/>
        <w:rPr>
          <w:sz w:val="20"/>
          <w:szCs w:val="20"/>
          <w:color w:val="auto"/>
        </w:rPr>
      </w:pPr>
      <w:r>
        <w:rPr>
          <w:rFonts w:ascii="Arial" w:cs="Arial" w:eastAsia="Arial" w:hAnsi="Arial"/>
          <w:sz w:val="17"/>
          <w:szCs w:val="17"/>
          <w:color w:val="auto"/>
        </w:rPr>
        <w:t>outstanding as of December 31, 2022 and June 30, 2022, respectively</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118350" cy="14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Accumulated deficit</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118350" cy="142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0" cy="142875"/>
                    </a:xfrm>
                    <a:prstGeom prst="rect">
                      <a:avLst/>
                    </a:prstGeom>
                    <a:noFill/>
                  </pic:spPr>
                </pic:pic>
              </a:graphicData>
            </a:graphic>
          </wp:anchor>
        </w:drawing>
      </w:r>
    </w:p>
    <w:p>
      <w:pPr>
        <w:spacing w:after="0" w:line="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29845</wp:posOffset>
            </wp:positionV>
            <wp:extent cx="7118350" cy="167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8350" cy="167640"/>
                    </a:xfrm>
                    <a:prstGeom prst="rect">
                      <a:avLst/>
                    </a:prstGeom>
                    <a:noFill/>
                  </pic:spPr>
                </pic:pic>
              </a:graphicData>
            </a:graphic>
          </wp:anchor>
        </w:drawing>
      </w:r>
    </w:p>
    <w:p>
      <w:pPr>
        <w:spacing w:after="0" w:line="36" w:lineRule="exact"/>
        <w:rPr>
          <w:sz w:val="20"/>
          <w:szCs w:val="20"/>
          <w:color w:val="auto"/>
        </w:rPr>
      </w:pPr>
    </w:p>
    <w:p>
      <w:pPr>
        <w:ind w:left="40"/>
        <w:spacing w:after="0"/>
        <w:tabs>
          <w:tab w:leader="none" w:pos="7600" w:val="left"/>
        </w:tabs>
        <w:rPr>
          <w:sz w:val="20"/>
          <w:szCs w:val="20"/>
          <w:color w:val="auto"/>
        </w:rPr>
      </w:pPr>
      <w:r>
        <w:rPr>
          <w:rFonts w:ascii="Arial" w:cs="Arial" w:eastAsia="Arial" w:hAnsi="Arial"/>
          <w:sz w:val="17"/>
          <w:szCs w:val="17"/>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12,282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13,154</w:t>
            </w:r>
          </w:p>
        </w:tc>
      </w:tr>
      <w:tr>
        <w:trPr>
          <w:trHeight w:val="230"/>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321</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r>
      <w:tr>
        <w:trPr>
          <w:trHeight w:val="219"/>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35,937</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39,190</w:t>
            </w:r>
          </w:p>
        </w:tc>
      </w:tr>
      <w:tr>
        <w:trPr>
          <w:trHeight w:val="644"/>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04"/>
        </w:trPr>
        <w:tc>
          <w:tcPr>
            <w:tcW w:w="720" w:type="dxa"/>
            <w:vAlign w:val="bottom"/>
          </w:tcPr>
          <w:p>
            <w:pPr>
              <w:jc w:val="right"/>
              <w:ind w:right="96"/>
              <w:spacing w:after="0"/>
              <w:rPr>
                <w:sz w:val="20"/>
                <w:szCs w:val="20"/>
                <w:color w:val="auto"/>
              </w:rPr>
            </w:pPr>
            <w:r>
              <w:rPr>
                <w:rFonts w:ascii="Arial" w:cs="Arial" w:eastAsia="Arial" w:hAnsi="Arial"/>
                <w:sz w:val="17"/>
                <w:szCs w:val="17"/>
                <w:color w:val="auto"/>
              </w:rPr>
              <w:t>1</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04"/>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84"/>
              </w:rPr>
              <w:t>132,530</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131,075</w:t>
            </w:r>
          </w:p>
        </w:tc>
      </w:tr>
      <w:tr>
        <w:trPr>
          <w:trHeight w:val="225"/>
        </w:trPr>
        <w:tc>
          <w:tcPr>
            <w:tcW w:w="720" w:type="dxa"/>
            <w:vAlign w:val="bottom"/>
          </w:tcPr>
          <w:p>
            <w:pPr>
              <w:jc w:val="right"/>
              <w:ind w:right="56"/>
              <w:spacing w:after="0"/>
              <w:rPr>
                <w:sz w:val="20"/>
                <w:szCs w:val="20"/>
                <w:color w:val="auto"/>
              </w:rPr>
            </w:pPr>
            <w:r>
              <w:rPr>
                <w:rFonts w:ascii="Arial" w:cs="Arial" w:eastAsia="Arial" w:hAnsi="Arial"/>
                <w:sz w:val="17"/>
                <w:szCs w:val="17"/>
                <w:color w:val="auto"/>
                <w:w w:val="88"/>
              </w:rPr>
              <w:t>(99,643)</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(98,437)</w:t>
            </w:r>
          </w:p>
        </w:tc>
      </w:tr>
      <w:tr>
        <w:trPr>
          <w:trHeight w:val="234"/>
        </w:trPr>
        <w:tc>
          <w:tcPr>
            <w:tcW w:w="720" w:type="dxa"/>
            <w:vAlign w:val="bottom"/>
          </w:tcPr>
          <w:p>
            <w:pPr>
              <w:jc w:val="right"/>
              <w:ind w:right="56"/>
              <w:spacing w:after="0"/>
              <w:rPr>
                <w:sz w:val="20"/>
                <w:szCs w:val="20"/>
                <w:color w:val="auto"/>
              </w:rPr>
            </w:pPr>
            <w:r>
              <w:rPr>
                <w:rFonts w:ascii="Arial" w:cs="Arial" w:eastAsia="Arial" w:hAnsi="Arial"/>
                <w:sz w:val="17"/>
                <w:szCs w:val="17"/>
                <w:color w:val="auto"/>
              </w:rPr>
              <w:t>(993)</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(1,123)</w:t>
            </w:r>
          </w:p>
        </w:tc>
      </w:tr>
      <w:tr>
        <w:trPr>
          <w:trHeight w:val="218"/>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31,895</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31,516</w:t>
            </w:r>
          </w:p>
        </w:tc>
      </w:tr>
      <w:tr>
        <w:trPr>
          <w:trHeight w:val="219"/>
        </w:trPr>
        <w:tc>
          <w:tcPr>
            <w:tcW w:w="720" w:type="dxa"/>
            <w:vAlign w:val="bottom"/>
          </w:tcPr>
          <w:p>
            <w:pPr>
              <w:jc w:val="right"/>
              <w:ind w:right="96"/>
              <w:spacing w:after="0"/>
              <w:rPr>
                <w:sz w:val="20"/>
                <w:szCs w:val="20"/>
                <w:color w:val="auto"/>
              </w:rPr>
            </w:pPr>
            <w:r>
              <w:rPr>
                <w:rFonts w:ascii="Arial" w:cs="Arial" w:eastAsia="Arial" w:hAnsi="Arial"/>
                <w:sz w:val="17"/>
                <w:szCs w:val="17"/>
                <w:color w:val="auto"/>
                <w:w w:val="99"/>
              </w:rPr>
              <w:t>67,832</w:t>
            </w:r>
          </w:p>
        </w:tc>
        <w:tc>
          <w:tcPr>
            <w:tcW w:w="620" w:type="dxa"/>
            <w:vAlign w:val="bottom"/>
            <w:tcBorders>
              <w:bottom w:val="single" w:sz="8" w:color="auto"/>
            </w:tcBorders>
          </w:tcPr>
          <w:p>
            <w:pPr>
              <w:jc w:val="right"/>
              <w:ind w:right="43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70,706</w:t>
            </w:r>
          </w:p>
        </w:tc>
      </w:tr>
      <w:tr>
        <w:trPr>
          <w:trHeight w:val="25"/>
        </w:trPr>
        <w:tc>
          <w:tcPr>
            <w:tcW w:w="7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-7620</wp:posOffset>
            </wp:positionV>
            <wp:extent cx="11163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-335280</wp:posOffset>
            </wp:positionV>
            <wp:extent cx="11163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6330" cy="8255"/>
                    </a:xfrm>
                    <a:prstGeom prst="rect">
                      <a:avLst/>
                    </a:prstGeom>
                    <a:noFill/>
                  </pic:spPr>
                </pic:pic>
              </a:graphicData>
            </a:graphic>
          </wp:anchor>
        </w:drawing>
        <w:drawing>
          <wp:anchor simplePos="0" relativeHeight="251657728" behindDoc="1" locked="0" layoutInCell="0" allowOverlap="1">
            <wp:simplePos x="0" y="0"/>
            <wp:positionH relativeFrom="column">
              <wp:posOffset>-731520</wp:posOffset>
            </wp:positionH>
            <wp:positionV relativeFrom="paragraph">
              <wp:posOffset>-1585595</wp:posOffset>
            </wp:positionV>
            <wp:extent cx="11163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460"/>
          </w:cols>
          <w:pgMar w:left="320" w:top="875" w:right="359" w:bottom="1440" w:gutter="0" w:footer="0" w:header="0"/>
          <w:type w:val="continuous"/>
        </w:sectPr>
      </w:pP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AND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30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5"/>
                <w:szCs w:val="15"/>
                <w:color w:val="auto"/>
              </w:rPr>
            </w:pPr>
          </w:p>
        </w:tc>
        <w:tc>
          <w:tcPr>
            <w:tcW w:w="266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w w:val="98"/>
              </w:rPr>
              <w:t>Six Months Ended December 31,</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4"/>
        </w:trPr>
        <w:tc>
          <w:tcPr>
            <w:tcW w:w="52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53,662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105,414</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19,108</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340"/>
              <w:spacing w:after="0" w:line="204" w:lineRule="exact"/>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41,904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86,306</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49,555</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32,497</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660"/>
              <w:spacing w:after="0" w:line="204" w:lineRule="exact"/>
              <w:rPr>
                <w:sz w:val="20"/>
                <w:szCs w:val="20"/>
                <w:color w:val="auto"/>
              </w:rPr>
            </w:pPr>
            <w:r>
              <w:rPr>
                <w:rFonts w:ascii="Arial" w:cs="Arial" w:eastAsia="Arial" w:hAnsi="Arial"/>
                <w:sz w:val="18"/>
                <w:szCs w:val="18"/>
                <w:color w:val="auto"/>
              </w:rPr>
              <w:t>Total operating expenses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43,136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82,052</w:t>
            </w:r>
          </w:p>
        </w:tc>
        <w:tc>
          <w:tcPr>
            <w:tcW w:w="0" w:type="dxa"/>
            <w:vAlign w:val="bottom"/>
          </w:tcPr>
          <w:p>
            <w:pPr>
              <w:spacing w:after="0"/>
              <w:rPr>
                <w:sz w:val="1"/>
                <w:szCs w:val="1"/>
                <w:color w:val="auto"/>
              </w:rPr>
            </w:pPr>
          </w:p>
        </w:tc>
      </w:tr>
      <w:tr>
        <w:trPr>
          <w:trHeight w:val="218"/>
        </w:trPr>
        <w:tc>
          <w:tcPr>
            <w:tcW w:w="5220" w:type="dxa"/>
            <w:vAlign w:val="bottom"/>
          </w:tcPr>
          <w:p>
            <w:pPr>
              <w:ind w:left="20"/>
              <w:spacing w:after="0" w:line="204" w:lineRule="exact"/>
              <w:rPr>
                <w:sz w:val="20"/>
                <w:szCs w:val="20"/>
                <w:color w:val="auto"/>
              </w:rPr>
            </w:pPr>
            <w:r>
              <w:rPr>
                <w:rFonts w:ascii="Arial" w:cs="Arial" w:eastAsia="Arial" w:hAnsi="Arial"/>
                <w:sz w:val="18"/>
                <w:szCs w:val="18"/>
                <w:color w:val="auto"/>
              </w:rPr>
              <w:t>Operating (loss) income</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(1,232)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660"/>
              <w:spacing w:after="0" w:line="204" w:lineRule="exact"/>
              <w:rPr>
                <w:sz w:val="20"/>
                <w:szCs w:val="20"/>
                <w:color w:val="auto"/>
              </w:rPr>
            </w:pPr>
            <w:r>
              <w:rPr>
                <w:rFonts w:ascii="Arial" w:cs="Arial" w:eastAsia="Arial" w:hAnsi="Arial"/>
                <w:sz w:val="18"/>
                <w:szCs w:val="18"/>
                <w:color w:val="auto"/>
              </w:rPr>
              <w:t>Total other income (expense)</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(Loss) income before income taxes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w:t>
            </w:r>
          </w:p>
        </w:tc>
        <w:tc>
          <w:tcPr>
            <w:tcW w:w="0" w:type="dxa"/>
            <w:vAlign w:val="bottom"/>
          </w:tcPr>
          <w:p>
            <w:pPr>
              <w:spacing w:after="0"/>
              <w:rPr>
                <w:sz w:val="1"/>
                <w:szCs w:val="1"/>
                <w:color w:val="auto"/>
              </w:rPr>
            </w:pPr>
          </w:p>
        </w:tc>
      </w:tr>
      <w:tr>
        <w:trPr>
          <w:trHeight w:val="224"/>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benefit (expense)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 per share:</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4"/>
        </w:trPr>
        <w:tc>
          <w:tcPr>
            <w:tcW w:w="5220" w:type="dxa"/>
            <w:vAlign w:val="bottom"/>
          </w:tcPr>
          <w:p>
            <w:pPr>
              <w:ind w:left="220"/>
              <w:spacing w:after="0"/>
              <w:rPr>
                <w:sz w:val="20"/>
                <w:szCs w:val="20"/>
                <w:color w:val="auto"/>
              </w:rPr>
            </w:pPr>
            <w:r>
              <w:rPr>
                <w:rFonts w:ascii="Arial" w:cs="Arial" w:eastAsia="Arial" w:hAnsi="Arial"/>
                <w:sz w:val="18"/>
                <w:szCs w:val="18"/>
                <w:color w:val="auto"/>
              </w:rPr>
              <w:t>Diluted</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220"/>
              <w:spacing w:after="0"/>
              <w:rPr>
                <w:sz w:val="20"/>
                <w:szCs w:val="20"/>
                <w:color w:val="auto"/>
              </w:rPr>
            </w:pPr>
            <w:r>
              <w:rPr>
                <w:rFonts w:ascii="Arial" w:cs="Arial" w:eastAsia="Arial" w:hAnsi="Arial"/>
                <w:sz w:val="18"/>
                <w:szCs w:val="18"/>
                <w:color w:val="auto"/>
              </w:rPr>
              <w:t>Basic</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13,294</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gain (loss), net of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20"/>
              <w:spacing w:after="0" w:line="204" w:lineRule="exact"/>
              <w:rPr>
                <w:sz w:val="20"/>
                <w:szCs w:val="20"/>
                <w:color w:val="auto"/>
              </w:rPr>
            </w:pPr>
            <w:r>
              <w:rPr>
                <w:rFonts w:ascii="Arial" w:cs="Arial" w:eastAsia="Arial" w:hAnsi="Arial"/>
                <w:sz w:val="18"/>
                <w:szCs w:val="18"/>
                <w:color w:val="auto"/>
              </w:rPr>
              <w:t>Other comprehensive gain (loss), net of tax</w:t>
            </w: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Comprehensive (loss) income</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7" w:right="339" w:bottom="1440" w:gutter="0" w:footer="0" w:header="0"/>
        </w:sectPr>
      </w:pPr>
    </w:p>
    <w:bookmarkStart w:id="6" w:name="page7"/>
    <w:bookmarkEnd w:id="6"/>
    <w:p>
      <w:pPr>
        <w:jc w:val="center"/>
        <w:ind w:right="20"/>
        <w:spacing w:after="0" w:line="254"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16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38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9"/>
                <w:szCs w:val="9"/>
                <w:color w:val="auto"/>
              </w:rPr>
            </w:pPr>
          </w:p>
        </w:tc>
        <w:tc>
          <w:tcPr>
            <w:tcW w:w="114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9"/>
                <w:szCs w:val="9"/>
                <w:color w:val="auto"/>
              </w:rPr>
            </w:pPr>
          </w:p>
        </w:tc>
        <w:tc>
          <w:tcPr>
            <w:tcW w:w="126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Comprehensive Loss</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2022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12,493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(98,437)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31,516</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Balances, September 30,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12,560</w:t>
            </w: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(98,204)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31,890</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18"/>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Balances, December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12,707</w:t>
            </w:r>
          </w:p>
        </w:tc>
        <w:tc>
          <w:tcPr>
            <w:tcW w:w="1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132,530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(99,643)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31,895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881" w:right="359" w:bottom="1440" w:gutter="0" w:footer="0" w:header="0"/>
        </w:sectPr>
      </w:pPr>
    </w:p>
    <w:bookmarkStart w:id="7" w:name="page8"/>
    <w:bookmarkEnd w:id="7"/>
    <w:p>
      <w:pPr>
        <w:jc w:val="center"/>
        <w:ind w:right="20"/>
        <w:spacing w:after="0" w:line="259" w:lineRule="auto"/>
        <w:rPr>
          <w:sz w:val="20"/>
          <w:szCs w:val="20"/>
          <w:color w:val="auto"/>
        </w:rPr>
      </w:pPr>
      <w:r>
        <w:rPr>
          <w:rFonts w:ascii="Arial" w:cs="Arial" w:eastAsia="Arial" w:hAnsi="Arial"/>
          <w:sz w:val="18"/>
          <w:szCs w:val="18"/>
          <w:color w:val="auto"/>
        </w:rPr>
        <w:t>LIFEVANTAGE CORPORATION AND SUBSIDIARIES CONDENSED CONSOLIDATED STATEMENT OF STOCKHOLDERS’ EQUITY (CONTINUED)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2160" w:type="dxa"/>
            <w:vAlign w:val="bottom"/>
            <w:gridSpan w:val="3"/>
            <w:vMerge w:val="restart"/>
          </w:tcPr>
          <w:p>
            <w:pPr>
              <w:jc w:val="right"/>
              <w:ind w:right="39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380" w:type="dxa"/>
            <w:vAlign w:val="bottom"/>
          </w:tcPr>
          <w:p>
            <w:pPr>
              <w:spacing w:after="0"/>
              <w:rPr>
                <w:sz w:val="9"/>
                <w:szCs w:val="9"/>
                <w:color w:val="auto"/>
              </w:rPr>
            </w:pPr>
          </w:p>
        </w:tc>
        <w:tc>
          <w:tcPr>
            <w:tcW w:w="21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300"/>
              <w:spacing w:after="0" w:line="12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9"/>
                <w:szCs w:val="9"/>
                <w:color w:val="auto"/>
              </w:rPr>
            </w:pPr>
          </w:p>
        </w:tc>
        <w:tc>
          <w:tcPr>
            <w:tcW w:w="114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9"/>
                <w:szCs w:val="9"/>
                <w:color w:val="auto"/>
              </w:rPr>
            </w:pPr>
          </w:p>
        </w:tc>
        <w:tc>
          <w:tcPr>
            <w:tcW w:w="1280" w:type="dxa"/>
            <w:vAlign w:val="bottom"/>
            <w:gridSpan w:val="2"/>
            <w:vMerge w:val="restart"/>
          </w:tcPr>
          <w:p>
            <w:pPr>
              <w:jc w:val="center"/>
              <w:ind w:right="2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80" w:type="dxa"/>
            <w:vAlign w:val="bottom"/>
          </w:tcPr>
          <w:p>
            <w:pPr>
              <w:spacing w:after="0"/>
              <w:rPr>
                <w:sz w:val="16"/>
                <w:szCs w:val="16"/>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3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13,609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36,807</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3"/>
              </w:rPr>
              <w:t>Common stock issued under employee stock</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September 30,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129,862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(92,522)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37,310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173"/>
        </w:trPr>
        <w:tc>
          <w:tcPr>
            <w:tcW w:w="3380" w:type="dxa"/>
            <w:vAlign w:val="bottom"/>
          </w:tcPr>
          <w:p>
            <w:pPr>
              <w:ind w:left="20"/>
              <w:spacing w:after="0" w:line="173" w:lineRule="exact"/>
              <w:rPr>
                <w:sz w:val="20"/>
                <w:szCs w:val="20"/>
                <w:color w:val="auto"/>
              </w:rPr>
            </w:pPr>
            <w:r>
              <w:rPr>
                <w:rFonts w:ascii="Arial" w:cs="Arial" w:eastAsia="Arial" w:hAnsi="Arial"/>
                <w:sz w:val="18"/>
                <w:szCs w:val="18"/>
                <w:color w:val="auto"/>
                <w:w w:val="99"/>
              </w:rPr>
              <w:t>Common stock issued under equity award</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338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89"/>
              </w:rPr>
              <w:t>Shares canceled or surrendered as payment of</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 and other</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Repurchase of company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25"/>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4"/>
        </w:trPr>
        <w:tc>
          <w:tcPr>
            <w:tcW w:w="3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December 31,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34,780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60" w:top="1039"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spacing w:after="0"/>
              <w:rPr>
                <w:sz w:val="15"/>
                <w:szCs w:val="15"/>
                <w:color w:val="auto"/>
              </w:rPr>
            </w:pPr>
          </w:p>
        </w:tc>
        <w:tc>
          <w:tcPr>
            <w:tcW w:w="298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rPr>
              <w:t>Six Months Ended December 31,</w:t>
            </w:r>
          </w:p>
        </w:tc>
        <w:tc>
          <w:tcPr>
            <w:tcW w:w="640" w:type="dxa"/>
            <w:vAlign w:val="bottom"/>
          </w:tcPr>
          <w:p>
            <w:pPr>
              <w:spacing w:after="0"/>
              <w:rPr>
                <w:sz w:val="15"/>
                <w:szCs w:val="15"/>
                <w:color w:val="auto"/>
              </w:rPr>
            </w:pPr>
          </w:p>
        </w:tc>
      </w:tr>
      <w:tr>
        <w:trPr>
          <w:trHeight w:val="24"/>
        </w:trPr>
        <w:tc>
          <w:tcPr>
            <w:tcW w:w="7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5"/>
        </w:trPr>
        <w:tc>
          <w:tcPr>
            <w:tcW w:w="7580" w:type="dxa"/>
            <w:vAlign w:val="bottom"/>
          </w:tcPr>
          <w:p>
            <w:pPr>
              <w:spacing w:after="0"/>
              <w:rPr>
                <w:sz w:val="16"/>
                <w:szCs w:val="16"/>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r>
      <w:tr>
        <w:trPr>
          <w:trHeight w:val="174"/>
        </w:trPr>
        <w:tc>
          <w:tcPr>
            <w:tcW w:w="7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
        </w:trPr>
        <w:tc>
          <w:tcPr>
            <w:tcW w:w="7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1120" w:type="dxa"/>
            <w:vAlign w:val="bottom"/>
          </w:tcPr>
          <w:p>
            <w:pPr>
              <w:jc w:val="right"/>
              <w:ind w:right="918"/>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3,395</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1,605</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Amortization of right-of-use assets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1,079</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on disposal of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Deferred income tax</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Accounts receivable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receivable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Inventory, net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Other long-term assets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Income tax payable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accrued expenses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r>
      <w:tr>
        <w:trPr>
          <w:trHeight w:val="224"/>
        </w:trPr>
        <w:tc>
          <w:tcPr>
            <w:tcW w:w="7580" w:type="dxa"/>
            <w:vAlign w:val="bottom"/>
          </w:tcPr>
          <w:p>
            <w:pPr>
              <w:ind w:left="660"/>
              <w:spacing w:after="0"/>
              <w:rPr>
                <w:sz w:val="20"/>
                <w:szCs w:val="20"/>
                <w:color w:val="auto"/>
              </w:rPr>
            </w:pPr>
            <w:r>
              <w:rPr>
                <w:rFonts w:ascii="Arial" w:cs="Arial" w:eastAsia="Arial" w:hAnsi="Arial"/>
                <w:sz w:val="18"/>
                <w:szCs w:val="18"/>
                <w:color w:val="auto"/>
              </w:rPr>
              <w:t>Lease liabilities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25"/>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long-term liabilities</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(378)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4,508</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4"/>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Purchase of property and equipment</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r>
      <w:tr>
        <w:trPr>
          <w:trHeight w:val="21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company stock</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Payment of cash dividends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canceled or surrendered as payment of tax withholding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Proceeds from common stock issued under employee stock purchase plan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options</w:t>
            </w:r>
          </w:p>
        </w:tc>
        <w:tc>
          <w:tcPr>
            <w:tcW w:w="1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1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(728)</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(6,508)</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Effect on Cash</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Decrease in Cash and Cash Equivalents: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(2,820)</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(3,000)</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23,174</w:t>
            </w:r>
          </w:p>
        </w:tc>
      </w:tr>
      <w:tr>
        <w:trPr>
          <w:trHeight w:val="192"/>
        </w:trPr>
        <w:tc>
          <w:tcPr>
            <w:tcW w:w="7580" w:type="dxa"/>
            <w:vAlign w:val="bottom"/>
          </w:tcPr>
          <w:p>
            <w:pPr>
              <w:ind w:left="20"/>
              <w:spacing w:after="0" w:line="192" w:lineRule="exact"/>
              <w:rPr>
                <w:sz w:val="20"/>
                <w:szCs w:val="20"/>
                <w:color w:val="auto"/>
              </w:rPr>
            </w:pPr>
            <w:r>
              <w:rPr>
                <w:rFonts w:ascii="Arial" w:cs="Arial" w:eastAsia="Arial" w:hAnsi="Arial"/>
                <w:sz w:val="18"/>
                <w:szCs w:val="18"/>
                <w:b w:val="1"/>
                <w:bCs w:val="1"/>
                <w:color w:val="auto"/>
              </w:rPr>
              <w:t>Cash and Cash Equivalents — end of period</w:t>
            </w:r>
          </w:p>
        </w:tc>
        <w:tc>
          <w:tcPr>
            <w:tcW w:w="1120" w:type="dxa"/>
            <w:vAlign w:val="bottom"/>
            <w:tcBorders>
              <w:bottom w:val="single" w:sz="8" w:color="auto"/>
            </w:tcBorders>
          </w:tcPr>
          <w:p>
            <w:pPr>
              <w:jc w:val="right"/>
              <w:ind w:right="918"/>
              <w:spacing w:after="0" w:line="192" w:lineRule="exact"/>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17,370</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915"/>
              <w:spacing w:after="0" w:line="192"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20,174</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1"/>
        </w:trPr>
        <w:tc>
          <w:tcPr>
            <w:tcW w:w="75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24"/>
        </w:trPr>
        <w:tc>
          <w:tcPr>
            <w:tcW w:w="758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1120" w:type="dxa"/>
            <w:vAlign w:val="bottom"/>
          </w:tcPr>
          <w:p>
            <w:pPr>
              <w:jc w:val="right"/>
              <w:ind w:right="918"/>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income taxes</w:t>
            </w:r>
          </w:p>
        </w:tc>
        <w:tc>
          <w:tcPr>
            <w:tcW w:w="112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881" w:right="3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LIFEVANTAGE CORPORATION AND SUBSIDIARIES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38" w:lineRule="exact"/>
        <w:rPr>
          <w:sz w:val="20"/>
          <w:szCs w:val="20"/>
          <w:color w:val="auto"/>
        </w:rPr>
      </w:pPr>
    </w:p>
    <w:p>
      <w:pPr>
        <w:jc w:val="both"/>
        <w:ind w:right="20" w:firstLine="397"/>
        <w:spacing w:after="0" w:line="254"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2022 included in the annual report on Form 10-K filed with the Securities and Exchange Commission (“SEC”) on August 23,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56" w:lineRule="exact"/>
        <w:rPr>
          <w:sz w:val="20"/>
          <w:szCs w:val="20"/>
          <w:color w:val="auto"/>
        </w:rPr>
      </w:pPr>
    </w:p>
    <w:p>
      <w:pPr>
        <w:ind w:right="100" w:firstLine="397"/>
        <w:spacing w:after="0" w:line="265" w:lineRule="auto"/>
        <w:rPr>
          <w:sz w:val="20"/>
          <w:szCs w:val="20"/>
          <w:color w:val="auto"/>
        </w:rPr>
      </w:pPr>
      <w:r>
        <w:rPr>
          <w:rFonts w:ascii="Arial" w:cs="Arial" w:eastAsia="Arial" w:hAnsi="Arial"/>
          <w:sz w:val="17"/>
          <w:szCs w:val="17"/>
          <w:color w:val="auto"/>
        </w:rPr>
        <w:t>LifeVantage Corporation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distributors as well as a financially rewarding commission-based direct sales opportunity to its independent distributors. LifeVantage sells its products in the United States, Mexico, Japan, Australia, Hong Kong, Canada, Thailand, the United Kingdom, the Netherlands, Germany, Taiwan, Austria, Spain, Ireland, Belgium, New Zealand, Singapore, and the Philippines. The Company also sells its products in a number of countries to customers for personal consumption only. In addition, the Company sells its products in China through a China approved cross-border e-commerce business model.</w:t>
      </w:r>
    </w:p>
    <w:p>
      <w:pPr>
        <w:spacing w:after="0" w:line="102" w:lineRule="exact"/>
        <w:rPr>
          <w:sz w:val="20"/>
          <w:szCs w:val="20"/>
          <w:color w:val="auto"/>
        </w:rPr>
      </w:pPr>
    </w:p>
    <w:p>
      <w:pPr>
        <w:ind w:right="20" w:firstLine="397"/>
        <w:spacing w:after="0" w:line="202" w:lineRule="auto"/>
        <w:rPr>
          <w:sz w:val="20"/>
          <w:szCs w:val="20"/>
          <w:color w:val="auto"/>
        </w:rPr>
      </w:pPr>
      <w:r>
        <w:rPr>
          <w:rFonts w:ascii="Arial" w:cs="Arial" w:eastAsia="Arial" w:hAnsi="Arial"/>
          <w:sz w:val="18"/>
          <w:szCs w:val="18"/>
          <w:color w:val="auto"/>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scientifically-validated dietary supplements includes its flagship Protandim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family of products, LifeVantage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Omega+</w:t>
      </w:r>
      <w:r>
        <w:rPr>
          <w:rFonts w:ascii="Arial" w:cs="Arial" w:eastAsia="Arial" w:hAnsi="Arial"/>
          <w:sz w:val="22"/>
          <w:szCs w:val="22"/>
          <w:color w:val="auto"/>
          <w:vertAlign w:val="superscript"/>
        </w:rPr>
        <w:t>™</w:t>
      </w:r>
      <w:r>
        <w:rPr>
          <w:rFonts w:ascii="Arial" w:cs="Arial" w:eastAsia="Arial" w:hAnsi="Arial"/>
          <w:sz w:val="18"/>
          <w:szCs w:val="18"/>
          <w:color w:val="auto"/>
        </w:rPr>
        <w:t>, ProBio</w:t>
      </w:r>
      <w:r>
        <w:rPr>
          <w:rFonts w:ascii="Arial" w:cs="Arial" w:eastAsia="Arial" w:hAnsi="Arial"/>
          <w:sz w:val="22"/>
          <w:szCs w:val="22"/>
          <w:color w:val="auto"/>
          <w:vertAlign w:val="superscript"/>
        </w:rPr>
        <w:t>™</w:t>
      </w:r>
      <w:r>
        <w:rPr>
          <w:rFonts w:ascii="Arial" w:cs="Arial" w:eastAsia="Arial" w:hAnsi="Arial"/>
          <w:sz w:val="18"/>
          <w:szCs w:val="18"/>
          <w:color w:val="auto"/>
        </w:rPr>
        <w:t>, IC Bright</w:t>
      </w:r>
      <w:r>
        <w:rPr>
          <w:rFonts w:ascii="Arial" w:cs="Arial" w:eastAsia="Arial" w:hAnsi="Arial"/>
          <w:sz w:val="22"/>
          <w:szCs w:val="22"/>
          <w:color w:val="auto"/>
          <w:vertAlign w:val="superscript"/>
        </w:rPr>
        <w:t>®</w:t>
      </w:r>
      <w:r>
        <w:rPr>
          <w:rFonts w:ascii="Arial" w:cs="Arial" w:eastAsia="Arial" w:hAnsi="Arial"/>
          <w:sz w:val="18"/>
          <w:szCs w:val="18"/>
          <w:color w:val="auto"/>
        </w:rPr>
        <w:t>, and Daily Wellness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dietary supplements. TrueScience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the Company's line of skin, hair, bath &amp; body, and targeted relief products. The Company also markets and sells Petandim</w:t>
      </w:r>
      <w:r>
        <w:rPr>
          <w:rFonts w:ascii="Arial" w:cs="Arial" w:eastAsia="Arial" w:hAnsi="Arial"/>
          <w:sz w:val="22"/>
          <w:szCs w:val="22"/>
          <w:color w:val="auto"/>
          <w:vertAlign w:val="superscript"/>
        </w:rPr>
        <w:t>®</w:t>
      </w:r>
      <w:r>
        <w:rPr>
          <w:rFonts w:ascii="Arial" w:cs="Arial" w:eastAsia="Arial" w:hAnsi="Arial"/>
          <w:sz w:val="18"/>
          <w:szCs w:val="18"/>
          <w:color w:val="auto"/>
        </w:rPr>
        <w:t>, its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its nootropic energy drink mixes, and PhysIQ</w:t>
      </w:r>
      <w:r>
        <w:rPr>
          <w:rFonts w:ascii="Arial" w:cs="Arial" w:eastAsia="Arial" w:hAnsi="Arial"/>
          <w:sz w:val="22"/>
          <w:szCs w:val="22"/>
          <w:color w:val="auto"/>
          <w:vertAlign w:val="superscript"/>
        </w:rPr>
        <w:t>™</w:t>
      </w:r>
      <w:r>
        <w:rPr>
          <w:rFonts w:ascii="Arial" w:cs="Arial" w:eastAsia="Arial" w:hAnsi="Arial"/>
          <w:sz w:val="18"/>
          <w:szCs w:val="18"/>
          <w:color w:val="auto"/>
        </w:rPr>
        <w:t>, its smart weight management system.</w:t>
      </w:r>
    </w:p>
    <w:p>
      <w:pPr>
        <w:spacing w:after="0" w:line="135"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December 31, 2022, and the results of operations for the three and six months ended December 31, 2022 and 2021, and the cash flows for the six months ended December 31, 2022 and 2021. Interim results are not necessarily indicative of results for a full year or for any future period.</w:t>
      </w:r>
    </w:p>
    <w:p>
      <w:pPr>
        <w:spacing w:after="0" w:line="116" w:lineRule="exact"/>
        <w:rPr>
          <w:sz w:val="20"/>
          <w:szCs w:val="20"/>
          <w:color w:val="auto"/>
        </w:rPr>
      </w:pPr>
    </w:p>
    <w:p>
      <w:pPr>
        <w:ind w:right="100" w:firstLine="397"/>
        <w:spacing w:after="0" w:line="251"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2022, pursuant to the rules and regulations of the SEC. For further information, refer to the financial statements and notes thereto as of and for the year ended June 30, 2022, and included in the annual report on Form 10-K on file with the SEC.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43" w:lineRule="exact"/>
        <w:rPr>
          <w:sz w:val="20"/>
          <w:szCs w:val="20"/>
          <w:color w:val="auto"/>
        </w:rPr>
      </w:pPr>
    </w:p>
    <w:p>
      <w:pPr>
        <w:ind w:right="160" w:firstLine="397"/>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6" w:lineRule="exact"/>
        <w:rPr>
          <w:sz w:val="20"/>
          <w:szCs w:val="20"/>
          <w:color w:val="auto"/>
        </w:rPr>
      </w:pPr>
    </w:p>
    <w:p>
      <w:pPr>
        <w:ind w:right="160" w:firstLine="397"/>
        <w:spacing w:after="0" w:line="308" w:lineRule="auto"/>
        <w:rPr>
          <w:sz w:val="20"/>
          <w:szCs w:val="20"/>
          <w:color w:val="auto"/>
        </w:rPr>
      </w:pPr>
      <w:r>
        <w:rPr>
          <w:rFonts w:ascii="Arial" w:cs="Arial" w:eastAsia="Arial" w:hAnsi="Arial"/>
          <w:sz w:val="15"/>
          <w:szCs w:val="15"/>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56" w:lineRule="exact"/>
        <w:rPr>
          <w:sz w:val="20"/>
          <w:szCs w:val="20"/>
          <w:color w:val="auto"/>
        </w:rPr>
      </w:pPr>
    </w:p>
    <w:p>
      <w:pPr>
        <w:ind w:right="120" w:firstLine="397"/>
        <w:spacing w:after="0" w:line="251" w:lineRule="auto"/>
        <w:rPr>
          <w:sz w:val="20"/>
          <w:szCs w:val="20"/>
          <w:color w:val="auto"/>
        </w:rPr>
      </w:pPr>
      <w:r>
        <w:rPr>
          <w:rFonts w:ascii="Arial" w:cs="Arial" w:eastAsia="Arial" w:hAnsi="Arial"/>
          <w:sz w:val="18"/>
          <w:szCs w:val="18"/>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0" w:name="page11"/>
    <w:bookmarkEnd w:id="10"/>
    <w:p>
      <w:pPr>
        <w:ind w:right="80"/>
        <w:spacing w:after="0" w:line="249" w:lineRule="auto"/>
        <w:rPr>
          <w:sz w:val="20"/>
          <w:szCs w:val="20"/>
          <w:color w:val="auto"/>
        </w:rPr>
      </w:pPr>
      <w:r>
        <w:rPr>
          <w:rFonts w:ascii="Arial" w:cs="Arial" w:eastAsia="Arial" w:hAnsi="Arial"/>
          <w:sz w:val="18"/>
          <w:szCs w:val="18"/>
          <w:color w:val="auto"/>
        </w:rPr>
        <w:t>as a separate component of stockholders’ equity in the condensed consolidated balance sheets and as a component of comprehensive income. Transaction gains and losses are included in other expense, net in the condensed consolidated statements of operations and comprehensive income. For the three months ended December 31, 2022 and 2021, net foreign currency gains of $0.2 million and losses of $0.1 million, respectively, are recorded in other expense, net. For the six months ended December 31, 2022 and 2021, net foreign currency losses of $0.3 million and $0.3 million, respectively, are recorded in other expense, net.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56"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23" w:lineRule="exact"/>
        <w:rPr>
          <w:sz w:val="20"/>
          <w:szCs w:val="20"/>
          <w:color w:val="auto"/>
        </w:rPr>
      </w:pPr>
    </w:p>
    <w:p>
      <w:pPr>
        <w:ind w:right="180" w:firstLine="397"/>
        <w:spacing w:after="0" w:line="317" w:lineRule="auto"/>
        <w:rPr>
          <w:sz w:val="20"/>
          <w:szCs w:val="20"/>
          <w:color w:val="auto"/>
        </w:rPr>
      </w:pPr>
      <w:r>
        <w:rPr>
          <w:rFonts w:ascii="Arial" w:cs="Arial" w:eastAsia="Arial" w:hAnsi="Arial"/>
          <w:sz w:val="15"/>
          <w:szCs w:val="15"/>
          <w:color w:val="auto"/>
        </w:rPr>
        <w:t>To hedge risks associated with the foreign-currency-denominated intercompany transactions, the Company entered into forward foreign exchange contracts which were all settled by the end of December 2021 and were not designated for hedge accounting. There were no realized gains or losses for three and six months ended December 31, 2022. For the three and six months ended December 31, 2021, realized losses of $34,000 and $0.1 million related to forward contracts, are recorded in other expense, net, respectively. The Company did not hold any derivative instruments at December 31, 2022.</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3"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December 31, 2022, the Company had $12.4 million in cash accounts at one financial institution and $5.0 million in accounts at other financial institutions. At June 30, 2022, the Company had $15.4 million in cash accounts at one financial institution and $4.8 million in accounts at other financial institutions. As of December 31, 2022 and June 30, 2022, and during the periods then ended, the Company’s cash balances exceeded federally insured limits.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56" w:lineRule="exact"/>
        <w:rPr>
          <w:sz w:val="20"/>
          <w:szCs w:val="20"/>
          <w:color w:val="auto"/>
        </w:rPr>
      </w:pPr>
    </w:p>
    <w:p>
      <w:pPr>
        <w:ind w:right="120" w:firstLine="397"/>
        <w:spacing w:after="0" w:line="251" w:lineRule="auto"/>
        <w:rPr>
          <w:sz w:val="20"/>
          <w:szCs w:val="20"/>
          <w:color w:val="auto"/>
        </w:rPr>
      </w:pPr>
      <w:r>
        <w:rPr>
          <w:rFonts w:ascii="Arial" w:cs="Arial" w:eastAsia="Arial" w:hAnsi="Arial"/>
          <w:sz w:val="18"/>
          <w:szCs w:val="18"/>
          <w:color w:val="auto"/>
        </w:rPr>
        <w:t>The Company’s accounts receivable as of December 31, 2022 and June 30, 2022 consist primarily of credit card receivables. Based on the Company’s verification process for customer credit cards and historical information available, management has determined that an allowance for doubtful accounts on credit card sales related to its customer sales as of December 31, 2022 and June 30, 2022 is not necessary. No bad debt expense was recorded during the three and six months ended December 31, 2022 and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2022 and June 30, 2022, inventory consisted of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0"/>
              </w:rPr>
              <w:t>December 31,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Pr>
          <w:p>
            <w:pPr>
              <w:spacing w:after="0"/>
              <w:rPr>
                <w:sz w:val="14"/>
                <w:szCs w:val="14"/>
                <w:color w:val="auto"/>
              </w:rPr>
            </w:pPr>
          </w:p>
        </w:tc>
      </w:tr>
      <w:tr>
        <w:trPr>
          <w:trHeight w:val="189"/>
        </w:trPr>
        <w:tc>
          <w:tcPr>
            <w:tcW w:w="34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6"/>
                <w:szCs w:val="16"/>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16,447</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76.9 %</w:t>
            </w:r>
          </w:p>
        </w:tc>
      </w:tr>
      <w:tr>
        <w:trPr>
          <w:trHeight w:val="224"/>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Raw materials</w:t>
            </w: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23.1 %</w:t>
            </w:r>
          </w:p>
        </w:tc>
      </w:tr>
      <w:tr>
        <w:trPr>
          <w:trHeight w:val="243"/>
        </w:trPr>
        <w:tc>
          <w:tcPr>
            <w:tcW w:w="3420" w:type="dxa"/>
            <w:vAlign w:val="bottom"/>
            <w:tcBorders>
              <w:bottom w:val="single" w:sz="8" w:color="CCEEFF"/>
            </w:tcBorders>
            <w:shd w:val="clear" w:color="auto" w:fill="CCEEFF"/>
          </w:tcPr>
          <w:p>
            <w:pPr>
              <w:ind w:left="460"/>
              <w:spacing w:after="0" w:line="204" w:lineRule="exact"/>
              <w:rPr>
                <w:sz w:val="20"/>
                <w:szCs w:val="20"/>
                <w:color w:val="auto"/>
              </w:rPr>
            </w:pPr>
            <w:r>
              <w:rPr>
                <w:rFonts w:ascii="Arial" w:cs="Arial" w:eastAsia="Arial" w:hAnsi="Arial"/>
                <w:sz w:val="18"/>
                <w:szCs w:val="18"/>
                <w:color w:val="auto"/>
              </w:rPr>
              <w:t>Total inventory</w:t>
            </w: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20,435</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16,472</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right="200" w:firstLine="397"/>
        <w:spacing w:after="0" w:line="293" w:lineRule="auto"/>
        <w:rPr>
          <w:sz w:val="20"/>
          <w:szCs w:val="20"/>
          <w:color w:val="auto"/>
        </w:rPr>
      </w:pPr>
      <w:r>
        <w:rPr>
          <w:rFonts w:ascii="Arial" w:cs="Arial" w:eastAsia="Arial" w:hAnsi="Arial"/>
          <w:sz w:val="17"/>
          <w:szCs w:val="17"/>
          <w:color w:val="auto"/>
        </w:rPr>
        <w:t>Inventories are carried at the lower of cost or net realizable value, using the first-in, first-out method, which includes a reduction in inventory values of $1.2 million and $1.3 million at December 31, 2022 and June 30, 2022, respectively, related to obsolete and slow-moving inventory.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56"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99" w:lineRule="exact"/>
        <w:rPr>
          <w:sz w:val="20"/>
          <w:szCs w:val="20"/>
          <w:color w:val="auto"/>
        </w:rPr>
      </w:pPr>
    </w:p>
    <w:p>
      <w:pPr>
        <w:ind w:left="400"/>
        <w:spacing w:after="0"/>
        <w:tabs>
          <w:tab w:leader="none" w:pos="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Level 1—Quoted prices for identical instruments in active markets;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1" w:name="page12"/>
    <w:bookmarkEnd w:id="11"/>
    <w:p>
      <w:pPr>
        <w:ind w:left="640" w:right="60" w:hanging="238"/>
        <w:spacing w:after="0" w:line="293"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77" w:lineRule="exact"/>
        <w:rPr>
          <w:rFonts w:ascii="Arial" w:cs="Arial" w:eastAsia="Arial" w:hAnsi="Arial"/>
          <w:sz w:val="17"/>
          <w:szCs w:val="17"/>
          <w:color w:val="auto"/>
        </w:rPr>
      </w:pPr>
    </w:p>
    <w:p>
      <w:pPr>
        <w:ind w:left="640" w:hanging="238"/>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61" w:lineRule="exact"/>
        <w:rPr>
          <w:sz w:val="20"/>
          <w:szCs w:val="20"/>
          <w:color w:val="auto"/>
        </w:rPr>
      </w:pPr>
    </w:p>
    <w:p>
      <w:pPr>
        <w:jc w:val="both"/>
        <w:ind w:right="80" w:firstLine="397"/>
        <w:spacing w:after="0" w:line="254" w:lineRule="auto"/>
        <w:rPr>
          <w:sz w:val="20"/>
          <w:szCs w:val="20"/>
          <w:color w:val="auto"/>
        </w:rPr>
      </w:pPr>
      <w:r>
        <w:rPr>
          <w:rFonts w:ascii="Arial" w:cs="Arial" w:eastAsia="Arial" w:hAnsi="Arial"/>
          <w:sz w:val="18"/>
          <w:szCs w:val="18"/>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3" w:lineRule="exact"/>
        <w:rPr>
          <w:sz w:val="20"/>
          <w:szCs w:val="20"/>
          <w:color w:val="auto"/>
        </w:rPr>
      </w:pPr>
    </w:p>
    <w:p>
      <w:pPr>
        <w:ind w:right="60" w:firstLine="397"/>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value-added, and other taxes the Company collects concurrent with revenue-producing activities are excluded from revenue.</w:t>
      </w:r>
    </w:p>
    <w:p>
      <w:pPr>
        <w:spacing w:after="0" w:line="116" w:lineRule="exact"/>
        <w:rPr>
          <w:sz w:val="20"/>
          <w:szCs w:val="20"/>
          <w:color w:val="auto"/>
        </w:rPr>
      </w:pPr>
    </w:p>
    <w:p>
      <w:pPr>
        <w:ind w:right="20" w:firstLine="397"/>
        <w:spacing w:after="0" w:line="241" w:lineRule="auto"/>
        <w:rPr>
          <w:sz w:val="20"/>
          <w:szCs w:val="20"/>
          <w:color w:val="auto"/>
        </w:rPr>
      </w:pPr>
      <w:r>
        <w:rPr>
          <w:rFonts w:ascii="Arial" w:cs="Arial" w:eastAsia="Arial" w:hAnsi="Arial"/>
          <w:sz w:val="17"/>
          <w:szCs w:val="17"/>
          <w:color w:val="auto"/>
        </w:rPr>
        <w:t>The Company generates the majority of its revenue through product sales to customers. These products include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line of dietary supplements,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Omega+</w:t>
      </w:r>
      <w:r>
        <w:rPr>
          <w:rFonts w:ascii="Arial" w:cs="Arial" w:eastAsia="Arial" w:hAnsi="Arial"/>
          <w:sz w:val="21"/>
          <w:szCs w:val="21"/>
          <w:color w:val="auto"/>
          <w:vertAlign w:val="superscript"/>
        </w:rPr>
        <w:t>™</w:t>
      </w:r>
      <w:r>
        <w:rPr>
          <w:rFonts w:ascii="Arial" w:cs="Arial" w:eastAsia="Arial" w:hAnsi="Arial"/>
          <w:sz w:val="17"/>
          <w:szCs w:val="17"/>
          <w:color w:val="auto"/>
        </w:rPr>
        <w:t>, ProBio</w:t>
      </w:r>
      <w:r>
        <w:rPr>
          <w:rFonts w:ascii="Arial" w:cs="Arial" w:eastAsia="Arial" w:hAnsi="Arial"/>
          <w:sz w:val="21"/>
          <w:szCs w:val="21"/>
          <w:color w:val="auto"/>
          <w:vertAlign w:val="superscript"/>
        </w:rPr>
        <w:t>™</w:t>
      </w:r>
      <w:r>
        <w:rPr>
          <w:rFonts w:ascii="Arial" w:cs="Arial" w:eastAsia="Arial" w:hAnsi="Arial"/>
          <w:sz w:val="17"/>
          <w:szCs w:val="17"/>
          <w:color w:val="auto"/>
        </w:rPr>
        <w:t>, IC Bright</w:t>
      </w:r>
      <w:r>
        <w:rPr>
          <w:rFonts w:ascii="Arial" w:cs="Arial" w:eastAsia="Arial" w:hAnsi="Arial"/>
          <w:sz w:val="21"/>
          <w:szCs w:val="21"/>
          <w:color w:val="auto"/>
          <w:vertAlign w:val="superscript"/>
        </w:rPr>
        <w:t>®</w:t>
      </w:r>
      <w:r>
        <w:rPr>
          <w:rFonts w:ascii="Arial" w:cs="Arial" w:eastAsia="Arial" w:hAnsi="Arial"/>
          <w:sz w:val="17"/>
          <w:szCs w:val="17"/>
          <w:color w:val="auto"/>
        </w:rPr>
        <w:t>, and Daily Wellness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dietary supplements, TrueScience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skin, hair, bath &amp; body and targeted relief, Petandim</w:t>
      </w:r>
      <w:r>
        <w:rPr>
          <w:rFonts w:ascii="Arial" w:cs="Arial" w:eastAsia="Arial" w:hAnsi="Arial"/>
          <w:sz w:val="21"/>
          <w:szCs w:val="21"/>
          <w:color w:val="auto"/>
          <w:vertAlign w:val="superscript"/>
        </w:rPr>
        <w:t>®</w:t>
      </w:r>
      <w:r>
        <w:rPr>
          <w:rFonts w:ascii="Arial" w:cs="Arial" w:eastAsia="Arial" w:hAnsi="Arial"/>
          <w:sz w:val="17"/>
          <w:szCs w:val="17"/>
          <w:color w:val="auto"/>
        </w:rPr>
        <w:t>, Axio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nootropic energy drink mixes, and the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36"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The Company also charges independent distributors to attend certain events that it holds.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112" w:lineRule="exact"/>
        <w:rPr>
          <w:sz w:val="20"/>
          <w:szCs w:val="20"/>
          <w:color w:val="auto"/>
        </w:rPr>
      </w:pPr>
    </w:p>
    <w:p>
      <w:pPr>
        <w:ind w:firstLine="397"/>
        <w:spacing w:after="0" w:line="248" w:lineRule="auto"/>
        <w:rPr>
          <w:sz w:val="20"/>
          <w:szCs w:val="20"/>
          <w:color w:val="auto"/>
        </w:rPr>
      </w:pPr>
      <w:r>
        <w:rPr>
          <w:rFonts w:ascii="Arial" w:cs="Arial" w:eastAsia="Arial" w:hAnsi="Arial"/>
          <w:sz w:val="18"/>
          <w:szCs w:val="18"/>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December 31, 2022 and June 30, 2022, the returns liability reserve, net was $0.2 million and $0.1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Shipping and handling costs associated with inbound freight and freight out to customers and independent distributors are included in cost of sales.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fees charged to customers and independent distributors are included in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56" w:lineRule="exact"/>
        <w:rPr>
          <w:sz w:val="20"/>
          <w:szCs w:val="20"/>
          <w:color w:val="auto"/>
        </w:rPr>
      </w:pPr>
    </w:p>
    <w:p>
      <w:pPr>
        <w:ind w:right="40" w:firstLine="397"/>
        <w:spacing w:after="0" w:line="254"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December 31, 2022 and 2021 were $0.2 million and $0.2 million, respectively. Research and development expenses for the six months ended December 31, 2022 and 2021 were $0.3 million and $0.4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3" w:lineRule="exact"/>
        <w:rPr>
          <w:sz w:val="20"/>
          <w:szCs w:val="20"/>
          <w:color w:val="auto"/>
        </w:rPr>
      </w:pPr>
    </w:p>
    <w:p>
      <w:pPr>
        <w:ind w:right="360" w:firstLine="397"/>
        <w:spacing w:after="0" w:line="276" w:lineRule="auto"/>
        <w:rPr>
          <w:sz w:val="20"/>
          <w:szCs w:val="20"/>
          <w:color w:val="auto"/>
        </w:rPr>
      </w:pPr>
      <w:r>
        <w:rPr>
          <w:rFonts w:ascii="Arial" w:cs="Arial" w:eastAsia="Arial" w:hAnsi="Arial"/>
          <w:sz w:val="17"/>
          <w:szCs w:val="17"/>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106" w:lineRule="exact"/>
        <w:rPr>
          <w:sz w:val="20"/>
          <w:szCs w:val="20"/>
          <w:color w:val="auto"/>
        </w:rPr>
      </w:pPr>
    </w:p>
    <w:p>
      <w:pPr>
        <w:ind w:right="360" w:firstLine="397"/>
        <w:spacing w:after="0" w:line="254" w:lineRule="auto"/>
        <w:rPr>
          <w:sz w:val="20"/>
          <w:szCs w:val="20"/>
          <w:color w:val="auto"/>
        </w:rPr>
      </w:pPr>
      <w:r>
        <w:rPr>
          <w:rFonts w:ascii="Arial" w:cs="Arial" w:eastAsia="Arial" w:hAnsi="Arial"/>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2" w:name="page13"/>
    <w:bookmarkEnd w:id="12"/>
    <w:p>
      <w:pPr>
        <w:ind w:right="20"/>
        <w:spacing w:after="0" w:line="268" w:lineRule="auto"/>
        <w:rPr>
          <w:sz w:val="20"/>
          <w:szCs w:val="20"/>
          <w:color w:val="auto"/>
        </w:rPr>
      </w:pPr>
      <w:r>
        <w:rPr>
          <w:rFonts w:ascii="Arial" w:cs="Arial" w:eastAsia="Arial" w:hAnsi="Arial"/>
          <w:sz w:val="17"/>
          <w:szCs w:val="17"/>
          <w:color w:val="auto"/>
        </w:rPr>
        <w:t>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98" w:lineRule="exact"/>
        <w:rPr>
          <w:sz w:val="20"/>
          <w:szCs w:val="20"/>
          <w:color w:val="auto"/>
        </w:rPr>
      </w:pPr>
    </w:p>
    <w:p>
      <w:pPr>
        <w:ind w:right="120" w:firstLine="397"/>
        <w:spacing w:after="0" w:line="317" w:lineRule="auto"/>
        <w:rPr>
          <w:sz w:val="20"/>
          <w:szCs w:val="20"/>
          <w:color w:val="auto"/>
        </w:rPr>
      </w:pPr>
      <w:r>
        <w:rPr>
          <w:rFonts w:ascii="Arial" w:cs="Arial" w:eastAsia="Arial" w:hAnsi="Arial"/>
          <w:sz w:val="15"/>
          <w:szCs w:val="15"/>
          <w:color w:val="auto"/>
        </w:rPr>
        <w:t>Changes in the Company's strategies have resulted in operation modifications in certain Asia/Pacific markets resulting in the closure of showrooms and changes to selling models. As of December 31, 2022, the Company abandoned the ROU assets related to the Hong Kong and Singapore showroom leases. These leases were to terminate in August and September 2023, respectively. However, the Company reached agreements with each of the landlords to modify the termination date to February 2023. The remaining lease liability for these showrooms is $34,000 as of December 31, 2022.</w:t>
      </w:r>
    </w:p>
    <w:p>
      <w:pPr>
        <w:spacing w:after="0" w:line="80" w:lineRule="exact"/>
        <w:rPr>
          <w:sz w:val="20"/>
          <w:szCs w:val="20"/>
          <w:color w:val="auto"/>
        </w:rPr>
      </w:pPr>
    </w:p>
    <w:p>
      <w:pPr>
        <w:ind w:right="300" w:firstLine="397"/>
        <w:spacing w:after="0" w:line="263" w:lineRule="auto"/>
        <w:rPr>
          <w:sz w:val="20"/>
          <w:szCs w:val="20"/>
          <w:color w:val="auto"/>
        </w:rPr>
      </w:pPr>
      <w:r>
        <w:rPr>
          <w:rFonts w:ascii="Arial" w:cs="Arial" w:eastAsia="Arial" w:hAnsi="Arial"/>
          <w:sz w:val="18"/>
          <w:szCs w:val="18"/>
          <w:color w:val="auto"/>
        </w:rPr>
        <w:t>Total expenses related to the abandonment of the ROU assets and costs associated with the change in operations in these markets for the three and six months ended December 31, 2022 is $0.4 million and is included in selling, general, and administrative expenses.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43" w:lineRule="exact"/>
        <w:rPr>
          <w:sz w:val="20"/>
          <w:szCs w:val="20"/>
          <w:color w:val="auto"/>
        </w:rPr>
      </w:pPr>
    </w:p>
    <w:p>
      <w:pPr>
        <w:ind w:right="200" w:firstLine="397"/>
        <w:spacing w:after="0" w:line="317" w:lineRule="auto"/>
        <w:rPr>
          <w:sz w:val="20"/>
          <w:szCs w:val="20"/>
          <w:color w:val="auto"/>
        </w:rPr>
      </w:pPr>
      <w:r>
        <w:rPr>
          <w:rFonts w:ascii="Arial" w:cs="Arial" w:eastAsia="Arial" w:hAnsi="Arial"/>
          <w:sz w:val="15"/>
          <w:szCs w:val="15"/>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8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29" w:lineRule="exact"/>
        <w:rPr>
          <w:sz w:val="20"/>
          <w:szCs w:val="20"/>
          <w:color w:val="auto"/>
        </w:rPr>
      </w:pPr>
    </w:p>
    <w:p>
      <w:pPr>
        <w:jc w:val="both"/>
        <w:ind w:right="260" w:firstLine="397"/>
        <w:spacing w:after="0" w:line="329" w:lineRule="auto"/>
        <w:rPr>
          <w:sz w:val="20"/>
          <w:szCs w:val="20"/>
          <w:color w:val="auto"/>
        </w:rPr>
      </w:pPr>
      <w:r>
        <w:rPr>
          <w:rFonts w:ascii="Arial" w:cs="Arial" w:eastAsia="Arial" w:hAnsi="Arial"/>
          <w:sz w:val="15"/>
          <w:szCs w:val="15"/>
          <w:color w:val="auto"/>
        </w:rPr>
        <w:t>The fair value of restricted stock grants is based on the closing market price of the Company's stock on the date of grant less the Company's expected dividend yield.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56" w:lineRule="exact"/>
        <w:rPr>
          <w:sz w:val="20"/>
          <w:szCs w:val="20"/>
          <w:color w:val="auto"/>
        </w:rPr>
      </w:pPr>
    </w:p>
    <w:p>
      <w:pPr>
        <w:ind w:right="120" w:firstLine="397"/>
        <w:spacing w:after="0" w:line="264"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7" w:lineRule="exact"/>
        <w:rPr>
          <w:sz w:val="20"/>
          <w:szCs w:val="20"/>
          <w:color w:val="auto"/>
        </w:rPr>
      </w:pPr>
    </w:p>
    <w:p>
      <w:pPr>
        <w:ind w:right="140" w:firstLine="397"/>
        <w:spacing w:after="0" w:line="254" w:lineRule="auto"/>
        <w:rPr>
          <w:sz w:val="20"/>
          <w:szCs w:val="20"/>
          <w:color w:val="auto"/>
        </w:rPr>
      </w:pPr>
      <w:r>
        <w:rPr>
          <w:rFonts w:ascii="Arial" w:cs="Arial" w:eastAsia="Arial" w:hAnsi="Arial"/>
          <w:sz w:val="18"/>
          <w:szCs w:val="18"/>
          <w:color w:val="auto"/>
        </w:rPr>
        <w:t>For the six months ended December 31, 2022 and 2021, the Company recognized income tax expense of $0.2 million and $0.5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56" w:lineRule="exact"/>
        <w:rPr>
          <w:sz w:val="20"/>
          <w:szCs w:val="20"/>
          <w:color w:val="auto"/>
        </w:rPr>
      </w:pPr>
    </w:p>
    <w:p>
      <w:pPr>
        <w:ind w:right="140" w:firstLine="397"/>
        <w:spacing w:after="0" w:line="276" w:lineRule="auto"/>
        <w:rPr>
          <w:sz w:val="20"/>
          <w:szCs w:val="20"/>
          <w:color w:val="auto"/>
        </w:rPr>
      </w:pPr>
      <w:r>
        <w:rPr>
          <w:rFonts w:ascii="Arial" w:cs="Arial" w:eastAsia="Arial" w:hAnsi="Arial"/>
          <w:sz w:val="17"/>
          <w:szCs w:val="17"/>
          <w:color w:val="auto"/>
        </w:rPr>
        <w:t>Basic (loss) income per common share is computed by dividing the net (loss) income by the weighted-average number of common shares outstanding during the period, less unvested restricted stock awards. Diluted (loss) income per common share is computed by dividing net (loss) income by the weighted-average common shares and potentially dilutive common share equivalents using the treasury stock method.</w:t>
      </w:r>
    </w:p>
    <w:p>
      <w:pPr>
        <w:spacing w:after="0" w:line="106" w:lineRule="exact"/>
        <w:rPr>
          <w:sz w:val="20"/>
          <w:szCs w:val="20"/>
          <w:color w:val="auto"/>
        </w:rPr>
      </w:pPr>
    </w:p>
    <w:p>
      <w:pPr>
        <w:ind w:right="60" w:firstLine="397"/>
        <w:spacing w:after="0" w:line="263" w:lineRule="auto"/>
        <w:rPr>
          <w:sz w:val="20"/>
          <w:szCs w:val="20"/>
          <w:color w:val="auto"/>
        </w:rPr>
      </w:pPr>
      <w:r>
        <w:rPr>
          <w:rFonts w:ascii="Arial" w:cs="Arial" w:eastAsia="Arial" w:hAnsi="Arial"/>
          <w:sz w:val="18"/>
          <w:szCs w:val="18"/>
          <w:color w:val="auto"/>
        </w:rPr>
        <w:t>For the three months ended December 31, 2022 and 2021, the effects of approximately 0.2 million and 0.1 million common shares, respectively, issuable upon exercise of options and non-vested shares of restricted stock are not included 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 w:name="page14"/>
    <w:bookmarkEnd w:id="13"/>
    <w:p>
      <w:pPr>
        <w:ind w:right="60"/>
        <w:spacing w:after="0" w:line="254" w:lineRule="auto"/>
        <w:rPr>
          <w:sz w:val="20"/>
          <w:szCs w:val="20"/>
          <w:color w:val="auto"/>
        </w:rPr>
      </w:pPr>
      <w:r>
        <w:rPr>
          <w:rFonts w:ascii="Arial" w:cs="Arial" w:eastAsia="Arial" w:hAnsi="Arial"/>
          <w:sz w:val="18"/>
          <w:szCs w:val="18"/>
          <w:color w:val="auto"/>
        </w:rPr>
        <w:t>computations as their effect was anti-dilutive. For the six months ended December 31, 2022 and 2021, the effects of approximately 0.4 million and 0.2 million common shares, respectively, issuable upon exercise of options and non-vested shares of restricted stock are not included in computations as their effect was anti-dilutive.</w:t>
      </w:r>
    </w:p>
    <w:p>
      <w:pPr>
        <w:spacing w:after="0" w:line="110" w:lineRule="exact"/>
        <w:rPr>
          <w:sz w:val="20"/>
          <w:szCs w:val="20"/>
          <w:color w:val="auto"/>
        </w:rPr>
      </w:pPr>
    </w:p>
    <w:p>
      <w:pPr>
        <w:ind w:right="220" w:firstLine="397"/>
        <w:spacing w:after="0" w:line="262" w:lineRule="auto"/>
        <w:rPr>
          <w:sz w:val="20"/>
          <w:szCs w:val="20"/>
          <w:color w:val="auto"/>
        </w:rPr>
      </w:pPr>
      <w:r>
        <w:rPr>
          <w:rFonts w:ascii="Arial" w:cs="Arial" w:eastAsia="Arial" w:hAnsi="Arial"/>
          <w:sz w:val="18"/>
          <w:szCs w:val="18"/>
          <w:color w:val="auto"/>
        </w:rPr>
        <w:t>The following is a reconciliation of net (loss) income per share and the weighted-average common shares outstanding for purposes of computing basic and diluted net income per share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30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5"/>
                <w:szCs w:val="15"/>
                <w:color w:val="auto"/>
              </w:rPr>
            </w:pPr>
          </w:p>
        </w:tc>
        <w:tc>
          <w:tcPr>
            <w:tcW w:w="266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w w:val="98"/>
              </w:rPr>
              <w:t>Six Months Ended December 31,</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860" w:type="dxa"/>
            <w:vAlign w:val="bottom"/>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(1,058)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3,395</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Basic weighted-average common shares outstanding</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12,543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13,294</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220" w:type="dxa"/>
            <w:vAlign w:val="bottom"/>
          </w:tcPr>
          <w:p>
            <w:pPr>
              <w:ind w:left="340"/>
              <w:spacing w:after="0"/>
              <w:rPr>
                <w:sz w:val="20"/>
                <w:szCs w:val="20"/>
                <w:color w:val="auto"/>
              </w:rPr>
            </w:pPr>
            <w:r>
              <w:rPr>
                <w:rFonts w:ascii="Arial" w:cs="Arial" w:eastAsia="Arial" w:hAnsi="Arial"/>
                <w:sz w:val="18"/>
                <w:szCs w:val="18"/>
                <w:color w:val="auto"/>
              </w:rPr>
              <w:t>Stock awards and options</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220" w:type="dxa"/>
            <w:vAlign w:val="bottom"/>
            <w:tcBorders>
              <w:top w:val="single" w:sz="8" w:color="CCEEFF"/>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Diluted weighted-average common shares outstanding</w:t>
            </w: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Net (loss) income per share, basic</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22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79"/>
              <w:spacing w:after="0" w:line="198"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(0.04)</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220" w:type="dxa"/>
            <w:vAlign w:val="bottom"/>
            <w:tcBorders>
              <w:bottom w:val="single" w:sz="8" w:color="CCEEFF"/>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Net (loss) income per share, diluted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43" w:lineRule="exact"/>
        <w:rPr>
          <w:sz w:val="20"/>
          <w:szCs w:val="20"/>
          <w:color w:val="auto"/>
        </w:rPr>
      </w:pPr>
    </w:p>
    <w:p>
      <w:pPr>
        <w:ind w:right="100" w:firstLine="397"/>
        <w:spacing w:after="0" w:line="317" w:lineRule="auto"/>
        <w:rPr>
          <w:sz w:val="20"/>
          <w:szCs w:val="20"/>
          <w:color w:val="auto"/>
        </w:rPr>
      </w:pPr>
      <w:r>
        <w:rPr>
          <w:rFonts w:ascii="Arial" w:cs="Arial" w:eastAsia="Arial" w:hAnsi="Arial"/>
          <w:sz w:val="15"/>
          <w:szCs w:val="15"/>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revenue disaggregated by these two geographic regions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30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December 31,</w:t>
            </w:r>
          </w:p>
        </w:tc>
        <w:tc>
          <w:tcPr>
            <w:tcW w:w="300" w:type="dxa"/>
            <w:vAlign w:val="bottom"/>
          </w:tcPr>
          <w:p>
            <w:pPr>
              <w:spacing w:after="0"/>
              <w:rPr>
                <w:sz w:val="15"/>
                <w:szCs w:val="15"/>
                <w:color w:val="auto"/>
              </w:rPr>
            </w:pPr>
          </w:p>
        </w:tc>
        <w:tc>
          <w:tcPr>
            <w:tcW w:w="2660" w:type="dxa"/>
            <w:vAlign w:val="bottom"/>
            <w:gridSpan w:val="4"/>
          </w:tcPr>
          <w:p>
            <w:pPr>
              <w:jc w:val="right"/>
              <w:ind w:right="416"/>
              <w:spacing w:after="0"/>
              <w:rPr>
                <w:sz w:val="20"/>
                <w:szCs w:val="20"/>
                <w:color w:val="auto"/>
              </w:rPr>
            </w:pPr>
            <w:r>
              <w:rPr>
                <w:rFonts w:ascii="Arial" w:cs="Arial" w:eastAsia="Arial" w:hAnsi="Arial"/>
                <w:sz w:val="14"/>
                <w:szCs w:val="14"/>
                <w:b w:val="1"/>
                <w:bCs w:val="1"/>
                <w:color w:val="auto"/>
                <w:w w:val="98"/>
              </w:rPr>
              <w:t>Six Months Ended December 31,</w:t>
            </w:r>
          </w:p>
        </w:tc>
      </w:tr>
      <w:tr>
        <w:trPr>
          <w:trHeight w:val="24"/>
        </w:trPr>
        <w:tc>
          <w:tcPr>
            <w:tcW w:w="52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5"/>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71,157</w:t>
            </w:r>
          </w:p>
        </w:tc>
      </w:tr>
      <w:tr>
        <w:trPr>
          <w:trHeight w:val="224"/>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 &amp; Europe</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34,257</w:t>
            </w:r>
          </w:p>
        </w:tc>
      </w:tr>
      <w:tr>
        <w:trPr>
          <w:trHeight w:val="243"/>
        </w:trPr>
        <w:tc>
          <w:tcPr>
            <w:tcW w:w="5220" w:type="dxa"/>
            <w:vAlign w:val="bottom"/>
            <w:tcBorders>
              <w:bottom w:val="single" w:sz="8" w:color="CCEEFF"/>
            </w:tcBorders>
            <w:shd w:val="clear" w:color="auto" w:fill="CCEEFF"/>
          </w:tcPr>
          <w:p>
            <w:pPr>
              <w:ind w:left="340"/>
              <w:spacing w:after="0" w:line="204" w:lineRule="exact"/>
              <w:rPr>
                <w:sz w:val="20"/>
                <w:szCs w:val="20"/>
                <w:color w:val="auto"/>
              </w:rPr>
            </w:pPr>
            <w:r>
              <w:rPr>
                <w:rFonts w:ascii="Arial" w:cs="Arial" w:eastAsia="Arial" w:hAnsi="Arial"/>
                <w:sz w:val="18"/>
                <w:szCs w:val="18"/>
                <w:color w:val="auto"/>
              </w:rPr>
              <w:t>Total revenue</w:t>
            </w: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53,662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105,414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December 31,</w:t>
            </w:r>
          </w:p>
        </w:tc>
        <w:tc>
          <w:tcPr>
            <w:tcW w:w="420" w:type="dxa"/>
            <w:vAlign w:val="bottom"/>
          </w:tcPr>
          <w:p>
            <w:pPr>
              <w:spacing w:after="0"/>
              <w:rPr>
                <w:sz w:val="15"/>
                <w:szCs w:val="15"/>
                <w:color w:val="auto"/>
              </w:rPr>
            </w:pPr>
          </w:p>
        </w:tc>
        <w:tc>
          <w:tcPr>
            <w:tcW w:w="2540" w:type="dxa"/>
            <w:vAlign w:val="bottom"/>
            <w:gridSpan w:val="7"/>
          </w:tcPr>
          <w:p>
            <w:pPr>
              <w:ind w:left="80"/>
              <w:spacing w:after="0"/>
              <w:rPr>
                <w:sz w:val="20"/>
                <w:szCs w:val="20"/>
                <w:color w:val="auto"/>
              </w:rPr>
            </w:pPr>
            <w:r>
              <w:rPr>
                <w:rFonts w:ascii="Arial" w:cs="Arial" w:eastAsia="Arial" w:hAnsi="Arial"/>
                <w:sz w:val="14"/>
                <w:szCs w:val="14"/>
                <w:b w:val="1"/>
                <w:bCs w:val="1"/>
                <w:color w:val="auto"/>
              </w:rPr>
              <w:t>Six Months Ended December 31,</w:t>
            </w:r>
          </w:p>
        </w:tc>
      </w:tr>
      <w:tr>
        <w:trPr>
          <w:trHeight w:val="24"/>
        </w:trPr>
        <w:tc>
          <w:tcPr>
            <w:tcW w:w="5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5"/>
        </w:trPr>
        <w:tc>
          <w:tcPr>
            <w:tcW w:w="5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32,897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72,630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67,195</w:t>
            </w:r>
          </w:p>
        </w:tc>
        <w:tc>
          <w:tcPr>
            <w:tcW w:w="20" w:type="dxa"/>
            <w:vAlign w:val="bottom"/>
            <w:shd w:val="clear" w:color="auto" w:fill="CCEEFF"/>
          </w:tcPr>
          <w:p>
            <w:pPr>
              <w:spacing w:after="0"/>
              <w:rPr>
                <w:sz w:val="19"/>
                <w:szCs w:val="19"/>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Japan</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7,365</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19"/>
                <w:szCs w:val="19"/>
                <w:color w:val="auto"/>
              </w:rPr>
            </w:pPr>
          </w:p>
        </w:tc>
        <w:tc>
          <w:tcPr>
            <w:tcW w:w="420" w:type="dxa"/>
            <w:vAlign w:val="bottom"/>
          </w:tcPr>
          <w:p>
            <w:pPr>
              <w:jc w:val="right"/>
              <w:ind w:right="238"/>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15,533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19,834</w:t>
            </w:r>
          </w:p>
        </w:tc>
        <w:tc>
          <w:tcPr>
            <w:tcW w:w="20" w:type="dxa"/>
            <w:vAlign w:val="bottom"/>
          </w:tcPr>
          <w:p>
            <w:pPr>
              <w:spacing w:after="0"/>
              <w:rPr>
                <w:sz w:val="19"/>
                <w:szCs w:val="19"/>
                <w:color w:val="auto"/>
              </w:rPr>
            </w:pPr>
          </w:p>
        </w:tc>
      </w:tr>
      <w:tr>
        <w:trPr>
          <w:trHeight w:val="449"/>
        </w:trPr>
        <w:tc>
          <w:tcPr>
            <w:tcW w:w="9460" w:type="dxa"/>
            <w:vAlign w:val="bottom"/>
            <w:gridSpan w:val="11"/>
          </w:tcPr>
          <w:p>
            <w:pPr>
              <w:jc w:val="right"/>
              <w:ind w:right="580"/>
              <w:spacing w:after="0"/>
              <w:rPr>
                <w:sz w:val="20"/>
                <w:szCs w:val="20"/>
                <w:color w:val="auto"/>
              </w:rPr>
            </w:pPr>
            <w:r>
              <w:rPr>
                <w:rFonts w:ascii="Arial" w:cs="Arial" w:eastAsia="Arial" w:hAnsi="Arial"/>
                <w:sz w:val="18"/>
                <w:szCs w:val="18"/>
                <w:color w:val="auto"/>
                <w:w w:val="92"/>
              </w:rPr>
              <w:t>The following table presents the Company's long-lived assets for its most significant geographic markets (in thousands):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5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60" w:type="dxa"/>
            <w:vAlign w:val="bottom"/>
            <w:gridSpan w:val="5"/>
          </w:tcPr>
          <w:p>
            <w:pPr>
              <w:jc w:val="right"/>
              <w:ind w:right="580"/>
              <w:spacing w:after="0" w:line="15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June 30,</w:t>
            </w:r>
          </w:p>
        </w:tc>
      </w:tr>
      <w:tr>
        <w:trPr>
          <w:trHeight w:val="192"/>
        </w:trPr>
        <w:tc>
          <w:tcPr>
            <w:tcW w:w="52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19,790</w:t>
            </w:r>
          </w:p>
        </w:tc>
        <w:tc>
          <w:tcPr>
            <w:tcW w:w="20" w:type="dxa"/>
            <w:vAlign w:val="bottom"/>
          </w:tcPr>
          <w:p>
            <w:pPr>
              <w:spacing w:after="0"/>
              <w:rPr>
                <w:sz w:val="19"/>
                <w:szCs w:val="19"/>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Japan</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1,869</w:t>
            </w:r>
          </w:p>
        </w:tc>
        <w:tc>
          <w:tcPr>
            <w:tcW w:w="20" w:type="dxa"/>
            <w:vAlign w:val="bottom"/>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Gig Economy Group Investment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Receivable</w:t>
      </w:r>
    </w:p>
    <w:p>
      <w:pPr>
        <w:spacing w:after="0" w:line="137" w:lineRule="exact"/>
        <w:rPr>
          <w:sz w:val="20"/>
          <w:szCs w:val="20"/>
          <w:color w:val="auto"/>
        </w:rPr>
      </w:pPr>
    </w:p>
    <w:p>
      <w:pPr>
        <w:ind w:firstLine="397"/>
        <w:spacing w:after="0" w:line="317" w:lineRule="auto"/>
        <w:rPr>
          <w:sz w:val="20"/>
          <w:szCs w:val="20"/>
          <w:color w:val="auto"/>
        </w:rPr>
      </w:pPr>
      <w:r>
        <w:rPr>
          <w:rFonts w:ascii="Arial" w:cs="Arial" w:eastAsia="Arial" w:hAnsi="Arial"/>
          <w:sz w:val="15"/>
          <w:szCs w:val="15"/>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 interest at a rate of 8% per annum, compounded annually. On May 17, 2019, the Company and GEG entered into an amendment agreement to extend the maturity date of the Convertible Note to December 31, 2019. In all other aspects, the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4" w:name="page15"/>
    <w:bookmarkEnd w:id="14"/>
    <w:p>
      <w:pPr>
        <w:jc w:val="both"/>
        <w:ind w:right="80"/>
        <w:spacing w:after="0" w:line="276" w:lineRule="auto"/>
        <w:rPr>
          <w:sz w:val="20"/>
          <w:szCs w:val="20"/>
          <w:color w:val="auto"/>
        </w:rPr>
      </w:pPr>
      <w:r>
        <w:rPr>
          <w:rFonts w:ascii="Arial" w:cs="Arial" w:eastAsia="Arial" w:hAnsi="Arial"/>
          <w:sz w:val="17"/>
          <w:szCs w:val="17"/>
          <w:color w:val="auto"/>
        </w:rPr>
        <w:t>Convertible Note remained unchanged from the original agreement. Pursuant to a Common Stock Purchase Agreement between the Company and GEG dated December 16, 2019, GEG issued to the Company 1,000,000 shares of GEG’s common stock in consideration for conversion and cancellation of all principal, interest and other amounts due under the Convertible Note (representing $0.0 million in aggregate consideration).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under ASC 321</w:t>
      </w:r>
    </w:p>
    <w:p>
      <w:pPr>
        <w:spacing w:after="0" w:line="150" w:lineRule="exact"/>
        <w:rPr>
          <w:sz w:val="20"/>
          <w:szCs w:val="20"/>
          <w:color w:val="auto"/>
        </w:rPr>
      </w:pPr>
    </w:p>
    <w:p>
      <w:pPr>
        <w:ind w:right="20" w:firstLine="397"/>
        <w:spacing w:after="0" w:line="263" w:lineRule="auto"/>
        <w:rPr>
          <w:sz w:val="20"/>
          <w:szCs w:val="20"/>
          <w:color w:val="auto"/>
        </w:rPr>
      </w:pPr>
      <w:r>
        <w:rPr>
          <w:rFonts w:ascii="Arial" w:cs="Arial" w:eastAsia="Arial" w:hAnsi="Arial"/>
          <w:sz w:val="17"/>
          <w:szCs w:val="17"/>
          <w:color w:val="auto"/>
        </w:rPr>
        <w:t xml:space="preserve">Upon conversion of the convertible promissory note receivable with GEG, the Company held a minority interest (less than 20%) in GEG, accounted for under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(loss)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 which may result in future impairment.</w:t>
      </w:r>
    </w:p>
    <w:p>
      <w:pPr>
        <w:spacing w:after="0" w:line="118" w:lineRule="exact"/>
        <w:rPr>
          <w:sz w:val="20"/>
          <w:szCs w:val="20"/>
          <w:color w:val="auto"/>
        </w:rPr>
      </w:pPr>
    </w:p>
    <w:p>
      <w:pPr>
        <w:ind w:right="100" w:firstLine="397"/>
        <w:spacing w:after="0" w:line="306" w:lineRule="auto"/>
        <w:rPr>
          <w:sz w:val="20"/>
          <w:szCs w:val="20"/>
          <w:color w:val="auto"/>
        </w:rPr>
      </w:pPr>
      <w:r>
        <w:rPr>
          <w:rFonts w:ascii="Arial" w:cs="Arial" w:eastAsia="Arial" w:hAnsi="Arial"/>
          <w:sz w:val="15"/>
          <w:szCs w:val="15"/>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During the fourth quarter of the fiscal year ended June 30, 2022, the Company determined its investment in GEG had declined significantly as a result of the business failing to achieve profitability due to weak market conditions for its products. The Company determined the book value of its investment exceeded its fair value and concluded this decline in value was other than temporary. The Company recorded a non-cash impairment charge of $2.2 million related to these equity securities. The was no carrying amount of equity securities held by the Company without readily determinable fair values at December 31, 2022 and June 30, 2022. During the three and six months ended December 31, 2022 and 2021, there were no impairments recognized.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56" w:lineRule="exact"/>
        <w:rPr>
          <w:sz w:val="20"/>
          <w:szCs w:val="20"/>
          <w:color w:val="auto"/>
        </w:rPr>
      </w:pPr>
    </w:p>
    <w:p>
      <w:pPr>
        <w:ind w:right="120" w:firstLine="397"/>
        <w:spacing w:after="0" w:line="254" w:lineRule="auto"/>
        <w:rPr>
          <w:sz w:val="20"/>
          <w:szCs w:val="20"/>
          <w:color w:val="auto"/>
        </w:rPr>
      </w:pPr>
      <w:r>
        <w:rPr>
          <w:rFonts w:ascii="Arial" w:cs="Arial" w:eastAsia="Arial" w:hAnsi="Arial"/>
          <w:sz w:val="18"/>
          <w:szCs w:val="18"/>
          <w:color w:val="auto"/>
        </w:rPr>
        <w:t>The Company has operating leases for current corporate offices and certain equipment. These leases have remaining terms of approximately one to nine years. As of December 31, 2022, the weighted average remaining lease term and weighted average discount rate for operating leases was 8.44 years and 3.25%, respectively.</w:t>
      </w:r>
    </w:p>
    <w:p>
      <w:pPr>
        <w:spacing w:after="0" w:line="123" w:lineRule="exact"/>
        <w:rPr>
          <w:sz w:val="20"/>
          <w:szCs w:val="20"/>
          <w:color w:val="auto"/>
        </w:rPr>
      </w:pPr>
    </w:p>
    <w:p>
      <w:pPr>
        <w:ind w:right="260" w:firstLine="397"/>
        <w:spacing w:after="0" w:line="263" w:lineRule="auto"/>
        <w:rPr>
          <w:sz w:val="20"/>
          <w:szCs w:val="20"/>
          <w:color w:val="auto"/>
        </w:rPr>
      </w:pPr>
      <w:r>
        <w:rPr>
          <w:rFonts w:ascii="Arial" w:cs="Arial" w:eastAsia="Arial" w:hAnsi="Arial"/>
          <w:sz w:val="18"/>
          <w:szCs w:val="18"/>
          <w:color w:val="auto"/>
        </w:rPr>
        <w:t>For the three months ended December 31, 2022 and 2021, operating lease expense was $0.8 million and $0.8 million, respectively. For the six months ended December 31, 2022 and 2021, operating lease expense was $1.5 million and $1.6 million, respectively.</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December 31,</w:t>
            </w:r>
          </w:p>
        </w:tc>
        <w:tc>
          <w:tcPr>
            <w:tcW w:w="48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5"/>
        </w:trPr>
        <w:tc>
          <w:tcPr>
            <w:tcW w:w="5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960" w:type="dxa"/>
            <w:vAlign w:val="bottom"/>
            <w:shd w:val="clear" w:color="auto" w:fill="CCEEFF"/>
          </w:tcPr>
          <w:p>
            <w:pPr>
              <w:jc w:val="right"/>
              <w:ind w:right="78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61"/>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1,506</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1,054</w:t>
            </w:r>
          </w:p>
        </w:tc>
      </w:tr>
    </w:tbl>
    <w:p>
      <w:pPr>
        <w:spacing w:after="0" w:line="2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Maturity of lease liabilities at December 31, 2022 are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Year ended June 30,</w:t>
            </w: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
        </w:trPr>
        <w:tc>
          <w:tcPr>
            <w:tcW w:w="458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six months ending June 30, 2023)</w:t>
            </w:r>
          </w:p>
        </w:tc>
        <w:tc>
          <w:tcPr>
            <w:tcW w:w="5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8"/>
                <w:szCs w:val="18"/>
                <w:color w:val="auto"/>
              </w:rPr>
              <w:t>2024</w:t>
            </w:r>
          </w:p>
        </w:tc>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8"/>
                <w:szCs w:val="18"/>
                <w:color w:val="auto"/>
              </w:rPr>
              <w:t>2026</w:t>
            </w:r>
          </w:p>
        </w:tc>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jc w:val="right"/>
              <w:ind w:right="3552"/>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0"/>
        </w:trPr>
        <w:tc>
          <w:tcPr>
            <w:tcW w:w="458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580" w:type="dxa"/>
            <w:vAlign w:val="bottom"/>
            <w:tcBorders>
              <w:bottom w:val="single" w:sz="8" w:color="9A9A9A"/>
            </w:tcBorders>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 Long-Term Debt</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March 30, 2016, the Company entered into a loan agreement (the “2016 Loan Agreement”) to refinance its outstanding debt. In connection with the</w:t>
      </w:r>
    </w:p>
    <w:p>
      <w:pPr>
        <w:spacing w:after="0" w:line="5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31"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23" w:lineRule="exact"/>
        <w:rPr>
          <w:sz w:val="20"/>
          <w:szCs w:val="20"/>
          <w:color w:val="auto"/>
        </w:rPr>
      </w:pPr>
    </w:p>
    <w:p>
      <w:pPr>
        <w:ind w:right="80" w:firstLine="397"/>
        <w:spacing w:after="0" w:line="248" w:lineRule="auto"/>
        <w:rPr>
          <w:sz w:val="20"/>
          <w:szCs w:val="20"/>
          <w:color w:val="auto"/>
        </w:rPr>
      </w:pPr>
      <w:r>
        <w:rPr>
          <w:rFonts w:ascii="Arial" w:cs="Arial" w:eastAsia="Arial" w:hAnsi="Arial"/>
          <w:sz w:val="18"/>
          <w:szCs w:val="18"/>
          <w:color w:val="auto"/>
        </w:rPr>
        <w:t>On May 4, 2018, the Company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16" w:lineRule="exact"/>
        <w:rPr>
          <w:sz w:val="20"/>
          <w:szCs w:val="20"/>
          <w:color w:val="auto"/>
        </w:rPr>
      </w:pPr>
    </w:p>
    <w:p>
      <w:pPr>
        <w:ind w:right="240" w:firstLine="397"/>
        <w:spacing w:after="0" w:line="317" w:lineRule="auto"/>
        <w:rPr>
          <w:sz w:val="20"/>
          <w:szCs w:val="20"/>
          <w:color w:val="auto"/>
        </w:rPr>
      </w:pPr>
      <w:r>
        <w:rPr>
          <w:rFonts w:ascii="Arial" w:cs="Arial" w:eastAsia="Arial" w:hAnsi="Arial"/>
          <w:sz w:val="15"/>
          <w:szCs w:val="15"/>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80" w:lineRule="exact"/>
        <w:rPr>
          <w:sz w:val="20"/>
          <w:szCs w:val="20"/>
          <w:color w:val="auto"/>
        </w:rPr>
      </w:pPr>
    </w:p>
    <w:p>
      <w:pPr>
        <w:ind w:right="140" w:firstLine="397"/>
        <w:spacing w:after="0" w:line="249" w:lineRule="auto"/>
        <w:rPr>
          <w:sz w:val="20"/>
          <w:szCs w:val="20"/>
          <w:color w:val="auto"/>
        </w:rPr>
      </w:pPr>
      <w:r>
        <w:rPr>
          <w:rFonts w:ascii="Arial" w:cs="Arial" w:eastAsia="Arial" w:hAnsi="Arial"/>
          <w:sz w:val="18"/>
          <w:szCs w:val="18"/>
          <w:color w:val="auto"/>
        </w:rPr>
        <w:t>On February 1, 2019, the Company entered into a loan modification agreement, which further amended the 2016 Credit Facility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9" w:lineRule="exact"/>
        <w:rPr>
          <w:sz w:val="20"/>
          <w:szCs w:val="20"/>
          <w:color w:val="auto"/>
        </w:rPr>
      </w:pPr>
    </w:p>
    <w:p>
      <w:pPr>
        <w:ind w:right="80" w:firstLine="397"/>
        <w:spacing w:after="0" w:line="311" w:lineRule="auto"/>
        <w:rPr>
          <w:sz w:val="20"/>
          <w:szCs w:val="20"/>
          <w:color w:val="auto"/>
        </w:rPr>
      </w:pPr>
      <w:r>
        <w:rPr>
          <w:rFonts w:ascii="Arial" w:cs="Arial" w:eastAsia="Arial" w:hAnsi="Arial"/>
          <w:sz w:val="15"/>
          <w:szCs w:val="15"/>
          <w:color w:val="auto"/>
        </w:rPr>
        <w:t>On April 1, 2021, the Company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w:t>
      </w:r>
    </w:p>
    <w:p>
      <w:pPr>
        <w:spacing w:after="0" w:line="72" w:lineRule="exact"/>
        <w:rPr>
          <w:sz w:val="20"/>
          <w:szCs w:val="20"/>
          <w:color w:val="auto"/>
        </w:rPr>
      </w:pPr>
    </w:p>
    <w:p>
      <w:pPr>
        <w:ind w:right="40" w:firstLine="397"/>
        <w:spacing w:after="0" w:line="251" w:lineRule="auto"/>
        <w:rPr>
          <w:sz w:val="20"/>
          <w:szCs w:val="20"/>
          <w:color w:val="auto"/>
        </w:rPr>
      </w:pPr>
      <w:r>
        <w:rPr>
          <w:rFonts w:ascii="Arial" w:cs="Arial" w:eastAsia="Arial" w:hAnsi="Arial"/>
          <w:sz w:val="18"/>
          <w:szCs w:val="18"/>
          <w:color w:val="auto"/>
        </w:rPr>
        <w:t>The Company entered into a loan modification agreement ("Amendment No. 4"), effective September 30, 2022, which amended the 2016 Credit Facility, as previously amended. Amendment No. 4 revised the calculation of the minimum fixed charge coverage ratio (as defined in Amendment No. 4) and allows the Company to declare and pay dividends, up to $500,000 per quarter, through September 30, 2023. There were no other changes to the covenants or revolving loan facility as set forth in Amendment No. 3.</w:t>
      </w:r>
    </w:p>
    <w:p>
      <w:pPr>
        <w:spacing w:after="0" w:line="126" w:lineRule="exact"/>
        <w:rPr>
          <w:sz w:val="20"/>
          <w:szCs w:val="20"/>
          <w:color w:val="auto"/>
        </w:rPr>
      </w:pPr>
    </w:p>
    <w:p>
      <w:pPr>
        <w:ind w:firstLine="397"/>
        <w:spacing w:after="0" w:line="303" w:lineRule="auto"/>
        <w:rPr>
          <w:sz w:val="20"/>
          <w:szCs w:val="20"/>
          <w:color w:val="auto"/>
        </w:rPr>
      </w:pPr>
      <w:r>
        <w:rPr>
          <w:rFonts w:ascii="Arial" w:cs="Arial" w:eastAsia="Arial" w:hAnsi="Arial"/>
          <w:sz w:val="15"/>
          <w:szCs w:val="15"/>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December 31, 2022, the Company was in compliance with all applicable covenants under the 2016 Credit Facility, as amended.</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book value for the 2016 Credit Facility, as amended, approximates the fair value. During the fiscal year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16" w:name="page17"/>
    <w:bookmarkEnd w:id="16"/>
    <w:p>
      <w:pPr>
        <w:ind w:right="220"/>
        <w:spacing w:after="0" w:line="263" w:lineRule="auto"/>
        <w:rPr>
          <w:sz w:val="20"/>
          <w:szCs w:val="20"/>
          <w:color w:val="auto"/>
        </w:rPr>
      </w:pPr>
      <w:r>
        <w:rPr>
          <w:rFonts w:ascii="Arial" w:cs="Arial" w:eastAsia="Arial" w:hAnsi="Arial"/>
          <w:sz w:val="18"/>
          <w:szCs w:val="18"/>
          <w:color w:val="auto"/>
        </w:rPr>
        <w:t>ended June 30, 2020, the Company repaid, in full, the remaining balance of the 2016 Term Loan in accordance with the terms of the 2016 Credit Facility, as amended.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56" w:lineRule="exact"/>
        <w:rPr>
          <w:sz w:val="20"/>
          <w:szCs w:val="20"/>
          <w:color w:val="auto"/>
        </w:rPr>
      </w:pPr>
    </w:p>
    <w:p>
      <w:pPr>
        <w:ind w:firstLine="397"/>
        <w:spacing w:after="0" w:line="306" w:lineRule="auto"/>
        <w:rPr>
          <w:sz w:val="20"/>
          <w:szCs w:val="20"/>
          <w:color w:val="auto"/>
        </w:rPr>
      </w:pPr>
      <w:r>
        <w:rPr>
          <w:rFonts w:ascii="Arial" w:cs="Arial" w:eastAsia="Arial" w:hAnsi="Arial"/>
          <w:sz w:val="15"/>
          <w:szCs w:val="15"/>
          <w:color w:val="auto"/>
        </w:rPr>
        <w:t>During the three months ended December 31, 2022 and 2021, the company issued $0.2 million and $0.1 million shares of common stock under equity award plans, respectively. During the six months ended December 31, 2022 and 2021, the company issued $0.2 million and $0.1 million shares of common stock equity award plans, respectively. During the three months ended December 31, 2022 and 2021, the company issued no shares of common stock upon the exercise of stock options. During the six months ended December 31, 2022 and 2021, the company issued zero and 30,000 shares of common stock upon the exercise of stock options. During the three months ended December 31, 2022 and 2021, 5,000 and 5,000 shares of restricted stock were canceled or surrendered as payment of tax withholding upon vesting, respectively. During the six months ended December 31, 2022 and 2021, 22,000 and 24,000 shares of restricted stock were canceled or surrendered as payment of tax withholding upon vesting, respectively.</w:t>
      </w:r>
    </w:p>
    <w:p>
      <w:pPr>
        <w:spacing w:after="0" w:line="87" w:lineRule="exact"/>
        <w:rPr>
          <w:sz w:val="20"/>
          <w:szCs w:val="20"/>
          <w:color w:val="auto"/>
        </w:rPr>
      </w:pPr>
    </w:p>
    <w:p>
      <w:pPr>
        <w:ind w:right="20" w:firstLine="397"/>
        <w:spacing w:after="0" w:line="300" w:lineRule="auto"/>
        <w:rPr>
          <w:sz w:val="20"/>
          <w:szCs w:val="20"/>
          <w:color w:val="auto"/>
        </w:rPr>
      </w:pPr>
      <w:r>
        <w:rPr>
          <w:rFonts w:ascii="Arial" w:cs="Arial" w:eastAsia="Arial" w:hAnsi="Arial"/>
          <w:sz w:val="15"/>
          <w:szCs w:val="15"/>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 Company's management. As part of the repurchase program, the Company has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On February 1, 2019, the Board of Directors approved an amendment to the share repurchase program to increase the authorized share repurchase amount from $5 million to $15 million. On August 27, 2020, the Board of Directors approved an amendment to the share repurchase program to increase the authorized share repurchase amount from $15 million to $35 million and to extend the duration of the program through November 30, 2023 and, on February 17, 2022, the Board of Directors approved an amendment to the share repurchase program to increase the authorized share repurchase amount from $35 million to $60 million. During the three and six months ended December 31, 2022, the Company purchased no shares of common stock under this repurchase program. During the three and six months ended December 31, 2021, the Company purchased 0.5 million and 0.9 million shares of common stock at an aggregate price of $3.2 million and $6.6 million under this repurchase program, respectively. At December 31, 2022, there is $27.7 million remaining under this repurchase program.</w:t>
      </w:r>
    </w:p>
    <w:p>
      <w:pPr>
        <w:spacing w:after="0" w:line="79" w:lineRule="exact"/>
        <w:rPr>
          <w:sz w:val="20"/>
          <w:szCs w:val="20"/>
          <w:color w:val="auto"/>
        </w:rPr>
      </w:pPr>
    </w:p>
    <w:p>
      <w:pPr>
        <w:ind w:right="220" w:firstLine="397"/>
        <w:spacing w:after="0" w:line="263" w:lineRule="auto"/>
        <w:rPr>
          <w:sz w:val="20"/>
          <w:szCs w:val="20"/>
          <w:color w:val="auto"/>
        </w:rPr>
      </w:pPr>
      <w:r>
        <w:rPr>
          <w:rFonts w:ascii="Arial" w:cs="Arial" w:eastAsia="Arial" w:hAnsi="Arial"/>
          <w:sz w:val="18"/>
          <w:szCs w:val="18"/>
          <w:color w:val="auto"/>
        </w:rPr>
        <w:t>The Company’s Certificate of Incorporation authorizes the issuance of preferred stock. However, as of December 31, 2022, none have been issued nor have any rights or preferences been assigned to the preferred stock by the Company’s board of directors.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p>
    <w:p>
      <w:pPr>
        <w:spacing w:after="0" w:line="150" w:lineRule="exact"/>
        <w:rPr>
          <w:sz w:val="20"/>
          <w:szCs w:val="20"/>
          <w:color w:val="auto"/>
        </w:rPr>
      </w:pPr>
    </w:p>
    <w:p>
      <w:pPr>
        <w:ind w:firstLine="397"/>
        <w:spacing w:after="0" w:line="276" w:lineRule="auto"/>
        <w:rPr>
          <w:sz w:val="20"/>
          <w:szCs w:val="20"/>
          <w:color w:val="auto"/>
        </w:rPr>
      </w:pPr>
      <w:r>
        <w:rPr>
          <w:rFonts w:ascii="Arial" w:cs="Arial" w:eastAsia="Arial" w:hAnsi="Arial"/>
          <w:sz w:val="17"/>
          <w:szCs w:val="17"/>
          <w:color w:val="auto"/>
        </w:rPr>
        <w:t>In August 2022 and November 2022, the board of directors declared a quarterly cash dividend of $0.03 per share of common stock to be paid on September 15, 2022 and December 15, 2022, to stockholders of record on September 2, 2022 and December 1, 2022, respectively. Cash dividends for the three and six months ended December 31, 2022 totaled $0.4 million and $0.8 million, or $0.03 and $0.06 per share, respectively.</w:t>
      </w:r>
    </w:p>
    <w:p>
      <w:pPr>
        <w:spacing w:after="0" w:line="92" w:lineRule="exact"/>
        <w:rPr>
          <w:sz w:val="20"/>
          <w:szCs w:val="20"/>
          <w:color w:val="auto"/>
        </w:rPr>
      </w:pPr>
    </w:p>
    <w:p>
      <w:pPr>
        <w:ind w:right="80" w:firstLine="397"/>
        <w:spacing w:after="0" w:line="254" w:lineRule="auto"/>
        <w:rPr>
          <w:sz w:val="20"/>
          <w:szCs w:val="20"/>
          <w:color w:val="auto"/>
        </w:rPr>
      </w:pPr>
      <w:r>
        <w:rPr>
          <w:rFonts w:ascii="Arial" w:cs="Arial" w:eastAsia="Arial" w:hAnsi="Arial"/>
          <w:sz w:val="18"/>
          <w:szCs w:val="18"/>
          <w:color w:val="auto"/>
        </w:rPr>
        <w:t>The declaration of dividends is subject to the discretion of the Company's board of directors and will depend upon various factors, including our earnings, financial condition, restrictions imposed by any indebtedness that may be outstanding, cash requirements, future prospects and other factors deemed relevant by the Company's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Long-Term Incentive Plans</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Equity-Settled Plans</w:t>
      </w:r>
    </w:p>
    <w:p>
      <w:pPr>
        <w:spacing w:after="0" w:line="156" w:lineRule="exact"/>
        <w:rPr>
          <w:sz w:val="20"/>
          <w:szCs w:val="20"/>
          <w:color w:val="auto"/>
        </w:rPr>
      </w:pPr>
    </w:p>
    <w:p>
      <w:pPr>
        <w:ind w:right="140" w:firstLine="397"/>
        <w:spacing w:after="0" w:line="251" w:lineRule="auto"/>
        <w:rPr>
          <w:sz w:val="20"/>
          <w:szCs w:val="20"/>
          <w:color w:val="auto"/>
        </w:rPr>
      </w:pPr>
      <w:r>
        <w:rPr>
          <w:rFonts w:ascii="Arial" w:cs="Arial" w:eastAsia="Arial" w:hAnsi="Arial"/>
          <w:sz w:val="18"/>
          <w:szCs w:val="18"/>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Effective November 21, 2016, no new awards can be granted under the 2007 Plan. As of December 31, 2022, there were no stock option awards outstanding under the 2007 Plan.</w:t>
      </w:r>
    </w:p>
    <w:p>
      <w:pPr>
        <w:spacing w:after="0" w:line="126" w:lineRule="exact"/>
        <w:rPr>
          <w:sz w:val="20"/>
          <w:szCs w:val="20"/>
          <w:color w:val="auto"/>
        </w:rPr>
      </w:pPr>
    </w:p>
    <w:p>
      <w:pPr>
        <w:jc w:val="both"/>
        <w:ind w:right="20" w:firstLine="397"/>
        <w:spacing w:after="0" w:line="251" w:lineRule="auto"/>
        <w:rPr>
          <w:sz w:val="20"/>
          <w:szCs w:val="20"/>
          <w:color w:val="auto"/>
        </w:rPr>
      </w:pPr>
      <w:r>
        <w:rPr>
          <w:rFonts w:ascii="Arial" w:cs="Arial" w:eastAsia="Arial" w:hAnsi="Arial"/>
          <w:sz w:val="18"/>
          <w:szCs w:val="18"/>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employees, officers and directors. As of December 31, 2022, there were no stock option awards outstanding under the 2010 Plan.</w:t>
      </w:r>
    </w:p>
    <w:p>
      <w:pPr>
        <w:spacing w:after="0" w:line="137" w:lineRule="exact"/>
        <w:rPr>
          <w:sz w:val="20"/>
          <w:szCs w:val="20"/>
          <w:color w:val="auto"/>
        </w:rPr>
      </w:pPr>
    </w:p>
    <w:p>
      <w:pPr>
        <w:ind w:right="80" w:firstLine="397"/>
        <w:spacing w:after="0" w:line="298" w:lineRule="auto"/>
        <w:rPr>
          <w:sz w:val="20"/>
          <w:szCs w:val="20"/>
          <w:color w:val="auto"/>
        </w:rPr>
      </w:pPr>
      <w:r>
        <w:rPr>
          <w:rFonts w:ascii="Arial" w:cs="Arial" w:eastAsia="Arial" w:hAnsi="Arial"/>
          <w:sz w:val="15"/>
          <w:szCs w:val="15"/>
          <w:color w:val="auto"/>
        </w:rPr>
        <w:t>The Company adopted, and the stockholders approved, the 2017 Long-Term Incentive Plan (the “2017 Plan”), effective February 16, 2017, to provide incentives to eligible employees, directors and consultants. The initial share pool approved was 650,000 shares. On February 2, 2018, November 15, 2018, November 12, 2020 and November 10, 2022, the stockholders approved amendments to the 2017 Plan to increase by 425,000 shares, 715,000 shares, 650,000 shares and 1,052,000 shares, respectively, the number of shares of the Company's common stock that are available for issuance under the 2017 Plan. As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of December 31, 2022, a maximum of 4.0 million shares of the Company's common stock can be issued under the 2017 Plan in connection with the grant of awards which is calculated as the sum of (i) 3,492,000 shares and (ii) up to 475,000 shares previously reserved for issuance under the 2010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is generally ten years. As of December 31, 2022, under the 2017 Plan, there were stock option awards outstanding, net of awards expired, for an aggregate of 0.1 million shares of the Company's common stock.</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Employee Stock Purchase Plan</w:t>
      </w:r>
    </w:p>
    <w:p>
      <w:pPr>
        <w:spacing w:after="0" w:line="156" w:lineRule="exact"/>
        <w:rPr>
          <w:sz w:val="20"/>
          <w:szCs w:val="20"/>
          <w:color w:val="auto"/>
        </w:rPr>
      </w:pPr>
    </w:p>
    <w:p>
      <w:pPr>
        <w:ind w:right="260" w:firstLine="397"/>
        <w:spacing w:after="0" w:line="293"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Company's 2019 Employee Stock Purchase Plan ("ESPP") was adopted by the board of directors in September 2018 and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approved it in November 2018. The ESPP is intended to qualify under Section 423 of the Internal Revenue Code.</w:t>
      </w:r>
    </w:p>
    <w:p>
      <w:pPr>
        <w:spacing w:after="0" w:line="78" w:lineRule="exact"/>
        <w:rPr>
          <w:sz w:val="20"/>
          <w:szCs w:val="20"/>
          <w:color w:val="auto"/>
        </w:rPr>
      </w:pPr>
    </w:p>
    <w:p>
      <w:pPr>
        <w:ind w:right="20" w:firstLine="397"/>
        <w:spacing w:after="0" w:line="254"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0.4 million shares of its common stock for issuance under the ESPP. As of December 31, 2022, 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were available for issuance. The number of shares reserved under the ESPP will automatically be adjusted in the event of a stock split, stock dividend or a reverse stock split (including an adjustment to the per-purchase period share limit).</w:t>
      </w:r>
    </w:p>
    <w:p>
      <w:pPr>
        <w:spacing w:after="0" w:line="123"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Employees may purchase each share of common stock under the ESPP at a price equal to 85% of the lower of the fair market values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112" w:lineRule="exact"/>
        <w:rPr>
          <w:sz w:val="20"/>
          <w:szCs w:val="20"/>
          <w:color w:val="auto"/>
        </w:rPr>
      </w:pPr>
    </w:p>
    <w:p>
      <w:pPr>
        <w:ind w:right="400" w:firstLine="397"/>
        <w:spacing w:after="0" w:line="263"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102" w:lineRule="exact"/>
        <w:rPr>
          <w:sz w:val="20"/>
          <w:szCs w:val="20"/>
          <w:color w:val="auto"/>
        </w:rPr>
      </w:pPr>
    </w:p>
    <w:p>
      <w:pPr>
        <w:ind w:right="420" w:firstLine="397"/>
        <w:spacing w:after="0" w:line="263" w:lineRule="auto"/>
        <w:rPr>
          <w:sz w:val="20"/>
          <w:szCs w:val="20"/>
          <w:color w:val="auto"/>
        </w:rPr>
      </w:pPr>
      <w:r>
        <w:rPr>
          <w:rFonts w:ascii="Arial" w:cs="Arial" w:eastAsia="Arial" w:hAnsi="Arial"/>
          <w:sz w:val="18"/>
          <w:szCs w:val="18"/>
          <w:color w:val="auto"/>
        </w:rPr>
        <w:t>During the six months ended December 31, 2022 and 2021, approximately 36,000 and 27,000 shares of common stock were issued under the ESPP, respectively.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Stock-Based Compensation</w:t>
      </w:r>
    </w:p>
    <w:p>
      <w:pPr>
        <w:spacing w:after="0" w:line="150" w:lineRule="exact"/>
        <w:rPr>
          <w:sz w:val="20"/>
          <w:szCs w:val="20"/>
          <w:color w:val="auto"/>
        </w:rPr>
      </w:pPr>
    </w:p>
    <w:p>
      <w:pPr>
        <w:ind w:firstLine="397"/>
        <w:spacing w:after="0" w:line="317" w:lineRule="auto"/>
        <w:rPr>
          <w:sz w:val="20"/>
          <w:szCs w:val="20"/>
          <w:color w:val="auto"/>
        </w:rPr>
      </w:pPr>
      <w:r>
        <w:rPr>
          <w:rFonts w:ascii="Arial" w:cs="Arial" w:eastAsia="Arial" w:hAnsi="Arial"/>
          <w:sz w:val="15"/>
          <w:szCs w:val="15"/>
          <w:color w:val="auto"/>
        </w:rPr>
        <w:t>In accordance with accounting guidance for stock-based compensation, payments in equity instruments for goods or services are accounted for by the fair value method. For the three months ended December 31, 2022 and 2021, compensation of $0.8 million and $0.8 million, respectively, was reflected as an increase to additional paid-in capital, all of which was employee related. For the six months ended December 31, 2022 and 2021, compensation of $1.4 million and $1.4 million, respectively, was reflected as an increase to additional paid-in capital, all of which was employee related.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50"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The Company accounts for contingent liabilities in accordance with ASC 450, Contingencies.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December 31, 2022, and based on the assessment, there are no probable loss contingencies requiring accrual or disclosures within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Legal Accruals</w:t>
      </w:r>
    </w:p>
    <w:p>
      <w:pPr>
        <w:spacing w:after="0" w:line="137" w:lineRule="exact"/>
        <w:rPr>
          <w:sz w:val="20"/>
          <w:szCs w:val="20"/>
          <w:color w:val="auto"/>
        </w:rPr>
      </w:pPr>
    </w:p>
    <w:p>
      <w:pPr>
        <w:ind w:firstLine="397"/>
        <w:spacing w:after="0" w:line="299" w:lineRule="auto"/>
        <w:rPr>
          <w:sz w:val="20"/>
          <w:szCs w:val="20"/>
          <w:color w:val="auto"/>
        </w:rPr>
      </w:pPr>
      <w:r>
        <w:rPr>
          <w:rFonts w:ascii="Arial" w:cs="Arial" w:eastAsia="Arial" w:hAnsi="Arial"/>
          <w:sz w:val="15"/>
          <w:szCs w:val="15"/>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300" w:lineRule="exact"/>
        <w:rPr>
          <w:sz w:val="20"/>
          <w:szCs w:val="20"/>
          <w:color w:val="auto"/>
        </w:rPr>
      </w:pPr>
    </w:p>
    <w:p>
      <w:pPr>
        <w:ind w:firstLine="397"/>
        <w:spacing w:after="0" w:line="297" w:lineRule="auto"/>
        <w:rPr>
          <w:sz w:val="20"/>
          <w:szCs w:val="20"/>
          <w:color w:val="auto"/>
        </w:rPr>
      </w:pPr>
      <w:r>
        <w:rPr>
          <w:rFonts w:ascii="Arial" w:cs="Arial" w:eastAsia="Arial" w:hAnsi="Arial"/>
          <w:sz w:val="15"/>
          <w:szCs w:val="15"/>
          <w:b w:val="1"/>
          <w:bCs w:val="1"/>
          <w:color w:val="auto"/>
        </w:rPr>
        <w:t>Class Action Lawsuit (</w:t>
      </w:r>
      <w:r>
        <w:rPr>
          <w:rFonts w:ascii="Arial" w:cs="Arial" w:eastAsia="Arial" w:hAnsi="Arial"/>
          <w:sz w:val="15"/>
          <w:szCs w:val="15"/>
          <w:b w:val="1"/>
          <w:bCs w:val="1"/>
          <w:i w:val="1"/>
          <w:iCs w:val="1"/>
          <w:color w:val="auto"/>
        </w:rPr>
        <w:t>Smith v. LifeVantage Corp</w:t>
      </w:r>
      <w:r>
        <w:rPr>
          <w:rFonts w:ascii="Arial" w:cs="Arial" w:eastAsia="Arial" w:hAnsi="Arial"/>
          <w:sz w:val="15"/>
          <w:szCs w:val="15"/>
          <w:b w:val="1"/>
          <w:bCs w:val="1"/>
          <w:color w:val="auto"/>
        </w:rPr>
        <w:t xml:space="preserve">.): </w:t>
      </w:r>
      <w:r>
        <w:rPr>
          <w:rFonts w:ascii="Arial" w:cs="Arial" w:eastAsia="Arial" w:hAnsi="Arial"/>
          <w:sz w:val="15"/>
          <w:szCs w:val="15"/>
          <w:color w:val="auto"/>
        </w:rPr>
        <w:t>On January 24, 2018, a purported class action was filed in the United States District Court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On June 15, 2021, the plaintiffs filed their motion for class certification, and on July 13, 2021, the defendants, including LifeVantage Corporation, filed their opposition brief that opposed class certification. On July 27, 2021, the Plaintiffs filed their reply to LifeVantage’s opposition brief. The court held a hearing for the motion for class certification on March 28, 2022. On April 19, 2022, the court issued an order denying the Plaintiff’s motion for class certification. On December 15, 2022, the case was dismissed with prejudice, which concluded litigation.</w:t>
      </w:r>
    </w:p>
    <w:p>
      <w:pPr>
        <w:spacing w:after="0" w:line="310" w:lineRule="exact"/>
        <w:rPr>
          <w:sz w:val="20"/>
          <w:szCs w:val="20"/>
          <w:color w:val="auto"/>
        </w:rPr>
      </w:pPr>
    </w:p>
    <w:p>
      <w:pPr>
        <w:ind w:right="80" w:firstLine="397"/>
        <w:spacing w:after="0" w:line="320" w:lineRule="auto"/>
        <w:rPr>
          <w:sz w:val="20"/>
          <w:szCs w:val="20"/>
          <w:color w:val="auto"/>
        </w:rPr>
      </w:pPr>
      <w:r>
        <w:rPr>
          <w:rFonts w:ascii="Arial" w:cs="Arial" w:eastAsia="Arial" w:hAnsi="Arial"/>
          <w:sz w:val="15"/>
          <w:szCs w:val="15"/>
          <w:b w:val="1"/>
          <w:bCs w:val="1"/>
          <w:color w:val="auto"/>
        </w:rPr>
        <w:t xml:space="preserve">Other Matters. </w:t>
      </w:r>
      <w:r>
        <w:rPr>
          <w:rFonts w:ascii="Arial" w:cs="Arial" w:eastAsia="Arial" w:hAnsi="Arial"/>
          <w:sz w:val="15"/>
          <w:szCs w:val="15"/>
          <w:color w:val="auto"/>
        </w:rPr>
        <w:t>In addition to the matters described above, the Company also may become involved in other litigation and regulatory matters incidental</w:t>
      </w:r>
      <w:r>
        <w:rPr>
          <w:rFonts w:ascii="Arial" w:cs="Arial" w:eastAsia="Arial" w:hAnsi="Arial"/>
          <w:sz w:val="15"/>
          <w:szCs w:val="15"/>
          <w:b w:val="1"/>
          <w:bCs w:val="1"/>
          <w:color w:val="auto"/>
        </w:rPr>
        <w:t xml:space="preserve"> </w:t>
      </w:r>
      <w:r>
        <w:rPr>
          <w:rFonts w:ascii="Arial" w:cs="Arial" w:eastAsia="Arial" w:hAnsi="Arial"/>
          <w:sz w:val="15"/>
          <w:szCs w:val="15"/>
          <w:color w:val="auto"/>
        </w:rPr>
        <w:t>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9" w:name="page20"/>
    <w:bookmarkEnd w:id="19"/>
    <w:p>
      <w:pPr>
        <w:ind w:right="3980"/>
        <w:spacing w:after="0" w:line="409"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 w:lineRule="exact"/>
        <w:rPr>
          <w:sz w:val="20"/>
          <w:szCs w:val="20"/>
          <w:color w:val="auto"/>
        </w:rPr>
      </w:pPr>
    </w:p>
    <w:p>
      <w:pPr>
        <w:ind w:right="100" w:firstLine="397"/>
        <w:spacing w:after="0" w:line="308" w:lineRule="auto"/>
        <w:rPr>
          <w:sz w:val="20"/>
          <w:szCs w:val="20"/>
          <w:color w:val="auto"/>
        </w:rPr>
      </w:pPr>
      <w:r>
        <w:rPr>
          <w:rFonts w:ascii="Arial" w:cs="Arial" w:eastAsia="Arial" w:hAnsi="Arial"/>
          <w:sz w:val="15"/>
          <w:szCs w:val="15"/>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and independent distributors as well as a financially rewarding commission-based direct sales opportunity to our independent distributors.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distributors in two geographic regions that we have classified as the Americas region and the Asia/Pacific &amp; Europe region.</w:t>
      </w:r>
    </w:p>
    <w:p>
      <w:pPr>
        <w:spacing w:after="0" w:line="86" w:lineRule="exact"/>
        <w:rPr>
          <w:sz w:val="20"/>
          <w:szCs w:val="20"/>
          <w:color w:val="auto"/>
        </w:rPr>
      </w:pPr>
    </w:p>
    <w:p>
      <w:pPr>
        <w:jc w:val="both"/>
        <w:ind w:right="120" w:firstLine="406"/>
        <w:spacing w:after="0" w:line="254" w:lineRule="auto"/>
        <w:rPr>
          <w:sz w:val="20"/>
          <w:szCs w:val="20"/>
          <w:color w:val="auto"/>
        </w:rPr>
      </w:pPr>
      <w:r>
        <w:rPr>
          <w:rFonts w:ascii="Arial" w:cs="Arial" w:eastAsia="Arial" w:hAnsi="Arial"/>
          <w:sz w:val="18"/>
          <w:szCs w:val="18"/>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110" w:lineRule="exact"/>
        <w:rPr>
          <w:sz w:val="20"/>
          <w:szCs w:val="20"/>
          <w:color w:val="auto"/>
        </w:rPr>
      </w:pPr>
    </w:p>
    <w:p>
      <w:pPr>
        <w:ind w:left="640" w:hanging="238"/>
        <w:spacing w:after="0" w:line="203"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products, including our flagship Protandim</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family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Omega+</w:t>
      </w:r>
      <w:r>
        <w:rPr>
          <w:rFonts w:ascii="Arial" w:cs="Arial" w:eastAsia="Arial" w:hAnsi="Arial"/>
          <w:sz w:val="22"/>
          <w:szCs w:val="22"/>
          <w:color w:val="auto"/>
          <w:vertAlign w:val="superscript"/>
        </w:rPr>
        <w:t>™</w:t>
      </w:r>
      <w:r>
        <w:rPr>
          <w:rFonts w:ascii="Arial" w:cs="Arial" w:eastAsia="Arial" w:hAnsi="Arial"/>
          <w:sz w:val="18"/>
          <w:szCs w:val="18"/>
          <w:color w:val="auto"/>
        </w:rPr>
        <w:t>, ProBio</w:t>
      </w:r>
      <w:r>
        <w:rPr>
          <w:rFonts w:ascii="Arial" w:cs="Arial" w:eastAsia="Arial" w:hAnsi="Arial"/>
          <w:sz w:val="22"/>
          <w:szCs w:val="22"/>
          <w:color w:val="auto"/>
          <w:vertAlign w:val="superscript"/>
        </w:rPr>
        <w:t>™</w:t>
      </w:r>
      <w:r>
        <w:rPr>
          <w:rFonts w:ascii="Arial" w:cs="Arial" w:eastAsia="Arial" w:hAnsi="Arial"/>
          <w:sz w:val="18"/>
          <w:szCs w:val="18"/>
          <w:color w:val="auto"/>
        </w:rPr>
        <w:t>, IC Bright</w:t>
      </w:r>
      <w:r>
        <w:rPr>
          <w:rFonts w:ascii="Arial" w:cs="Arial" w:eastAsia="Arial" w:hAnsi="Arial"/>
          <w:sz w:val="22"/>
          <w:szCs w:val="22"/>
          <w:color w:val="auto"/>
          <w:vertAlign w:val="superscript"/>
        </w:rPr>
        <w:t>®</w:t>
      </w:r>
      <w:r>
        <w:rPr>
          <w:rFonts w:ascii="Arial" w:cs="Arial" w:eastAsia="Arial" w:hAnsi="Arial"/>
          <w:sz w:val="18"/>
          <w:szCs w:val="18"/>
          <w:color w:val="auto"/>
        </w:rPr>
        <w:t>, and Daily Wellness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dietary supplements, our line of Nrf2 enhanced TrueScience® skin, hair, bath &amp; body, and targeted relief products, Petandim</w:t>
      </w:r>
      <w:r>
        <w:rPr>
          <w:rFonts w:ascii="Arial" w:cs="Arial" w:eastAsia="Arial" w:hAnsi="Arial"/>
          <w:sz w:val="22"/>
          <w:szCs w:val="22"/>
          <w:color w:val="auto"/>
          <w:vertAlign w:val="superscript"/>
        </w:rPr>
        <w:t>®</w:t>
      </w:r>
      <w:r>
        <w:rPr>
          <w:rFonts w:ascii="Arial" w:cs="Arial" w:eastAsia="Arial" w:hAnsi="Arial"/>
          <w:sz w:val="18"/>
          <w:szCs w:val="18"/>
          <w:color w:val="auto"/>
        </w:rPr>
        <w:t>,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8"/>
          <w:szCs w:val="18"/>
          <w:color w:val="auto"/>
        </w:rPr>
        <w:t>, our nootropic energy drink mixes, and PhysIQ</w:t>
      </w:r>
      <w:r>
        <w:rPr>
          <w:rFonts w:ascii="Arial" w:cs="Arial" w:eastAsia="Arial" w:hAnsi="Arial"/>
          <w:sz w:val="22"/>
          <w:szCs w:val="22"/>
          <w:color w:val="auto"/>
          <w:vertAlign w:val="superscript"/>
        </w:rPr>
        <w:t>™</w:t>
      </w:r>
      <w:r>
        <w:rPr>
          <w:rFonts w:ascii="Arial" w:cs="Arial" w:eastAsia="Arial" w:hAnsi="Arial"/>
          <w:sz w:val="18"/>
          <w:szCs w:val="18"/>
          <w:color w:val="auto"/>
        </w:rPr>
        <w:t>, our smart weight management system;</w:t>
      </w:r>
    </w:p>
    <w:p>
      <w:pPr>
        <w:spacing w:after="0" w:line="135" w:lineRule="exact"/>
        <w:rPr>
          <w:rFonts w:ascii="Arial" w:cs="Arial" w:eastAsia="Arial" w:hAnsi="Arial"/>
          <w:sz w:val="18"/>
          <w:szCs w:val="18"/>
          <w:color w:val="auto"/>
        </w:rPr>
      </w:pPr>
    </w:p>
    <w:p>
      <w:pPr>
        <w:ind w:left="640" w:hanging="23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sales compensation plan and other sales initiatives and incentives; and</w:t>
      </w:r>
    </w:p>
    <w:p>
      <w:pPr>
        <w:spacing w:after="0" w:line="149" w:lineRule="exact"/>
        <w:rPr>
          <w:rFonts w:ascii="Arial" w:cs="Arial" w:eastAsia="Arial" w:hAnsi="Arial"/>
          <w:sz w:val="18"/>
          <w:szCs w:val="18"/>
          <w:color w:val="auto"/>
        </w:rPr>
      </w:pPr>
    </w:p>
    <w:p>
      <w:pPr>
        <w:ind w:left="640" w:hanging="23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37" w:lineRule="exact"/>
        <w:rPr>
          <w:sz w:val="20"/>
          <w:szCs w:val="20"/>
          <w:color w:val="auto"/>
        </w:rPr>
      </w:pPr>
    </w:p>
    <w:p>
      <w:pPr>
        <w:ind w:right="100" w:firstLine="397"/>
        <w:spacing w:after="0" w:line="308" w:lineRule="auto"/>
        <w:rPr>
          <w:sz w:val="20"/>
          <w:szCs w:val="20"/>
          <w:color w:val="auto"/>
        </w:rPr>
      </w:pPr>
      <w:r>
        <w:rPr>
          <w:rFonts w:ascii="Arial" w:cs="Arial" w:eastAsia="Arial" w:hAnsi="Arial"/>
          <w:sz w:val="15"/>
          <w:szCs w:val="15"/>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Singapore, and the Philippines. In addition, we sell our products in a number of countries to customers for personal consumption only and in China through a China approved cross-border e-commerce business model. Entering a new market requires a considerable amount of time, resources and continued support. If we are unable to properly support an existing or new market, our revenue growth may be negatively impacted.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56" w:lineRule="exact"/>
        <w:rPr>
          <w:sz w:val="20"/>
          <w:szCs w:val="20"/>
          <w:color w:val="auto"/>
        </w:rPr>
      </w:pPr>
    </w:p>
    <w:p>
      <w:pPr>
        <w:ind w:right="60" w:firstLine="397"/>
        <w:spacing w:after="0" w:line="300" w:lineRule="auto"/>
        <w:rPr>
          <w:sz w:val="20"/>
          <w:szCs w:val="20"/>
          <w:color w:val="auto"/>
        </w:rPr>
      </w:pPr>
      <w:r>
        <w:rPr>
          <w:rFonts w:ascii="Arial" w:cs="Arial" w:eastAsia="Arial" w:hAnsi="Arial"/>
          <w:sz w:val="15"/>
          <w:szCs w:val="15"/>
          <w:color w:val="auto"/>
        </w:rPr>
        <w:t>The pandemic caused by COVID-19 has continued to disrupt our business in certain markets in fiscal year 2023. Our independent distributors have continued to experience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independent distributors from connecting with potential new independent distributors virtually or through social media. Accordingly, quarantines, avoidance of public places and general concerns about physical distancing related to COVID-19 or otherwise negatively affected the ability for independent distributors to meet people in person and commence the enrollment process. To mitigate these effects and in an effort to sustain their sales volume, our independent distributors have adapted their approach for customer outreach and enrollment, including transitioning to a stronger social media presence.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295" w:lineRule="exact"/>
        <w:rPr>
          <w:sz w:val="20"/>
          <w:szCs w:val="20"/>
          <w:color w:val="auto"/>
        </w:rPr>
      </w:pPr>
    </w:p>
    <w:p>
      <w:pPr>
        <w:ind w:right="220" w:firstLine="397"/>
        <w:spacing w:after="0" w:line="248" w:lineRule="auto"/>
        <w:rPr>
          <w:sz w:val="20"/>
          <w:szCs w:val="20"/>
          <w:color w:val="auto"/>
        </w:rPr>
      </w:pPr>
      <w:r>
        <w:rPr>
          <w:rFonts w:ascii="Arial" w:cs="Arial" w:eastAsia="Arial" w:hAnsi="Arial"/>
          <w:sz w:val="18"/>
          <w:szCs w:val="18"/>
          <w:color w:val="auto"/>
        </w:rPr>
        <w:t>We have made modifications and are continuing to evaluate additional potential modifications that may be needed, to protect our supply chain and preserve adequate liquidity to ensure that our business can continue to operate during uncertain times. Near the end of fiscal year 2020 we transitioned all of our corporate employees to a work from home model and during July 2021 we began to implement a hybrid schedule with opportunities for employees to return back to the office. That hybrid schedule continues to be in effect today. To date, our employees are performing and adapting well with the evolving environment. With respect to liquidity, we are evaluating and taking actions to ensure that we continue to responsibly manage expenses across our organization.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20" w:name="page21"/>
    <w:bookmarkEnd w:id="20"/>
    <w:p>
      <w:pPr>
        <w:ind w:right="200" w:firstLine="397"/>
        <w:spacing w:after="0" w:line="254" w:lineRule="auto"/>
        <w:rPr>
          <w:sz w:val="20"/>
          <w:szCs w:val="20"/>
          <w:color w:val="auto"/>
        </w:rPr>
      </w:pPr>
      <w:r>
        <w:rPr>
          <w:rFonts w:ascii="Arial" w:cs="Arial" w:eastAsia="Arial" w:hAnsi="Arial"/>
          <w:sz w:val="18"/>
          <w:szCs w:val="18"/>
          <w:color w:val="auto"/>
        </w:rPr>
        <w:t>We will continue to actively monitor how COVID-19 or any similar situation might affect business operations. We may take any necessary actions that alter our business operations as may be required by federal, state or local authorities or that we determine are in the best interests of our employees, independent distributors, customers, and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49" w:lineRule="exact"/>
        <w:rPr>
          <w:sz w:val="20"/>
          <w:szCs w:val="20"/>
          <w:color w:val="auto"/>
        </w:rPr>
      </w:pPr>
    </w:p>
    <w:p>
      <w:pPr>
        <w:ind w:firstLine="397"/>
        <w:spacing w:after="0" w:line="230" w:lineRule="auto"/>
        <w:rPr>
          <w:sz w:val="20"/>
          <w:szCs w:val="20"/>
          <w:color w:val="auto"/>
        </w:rPr>
      </w:pPr>
      <w:r>
        <w:rPr>
          <w:rFonts w:ascii="Arial" w:cs="Arial" w:eastAsia="Arial" w:hAnsi="Arial"/>
          <w:sz w:val="16"/>
          <w:szCs w:val="16"/>
          <w:color w:val="auto"/>
        </w:rPr>
        <w:t>Our products are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scientifically-validated dietary supplements,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 ProBio and Daily Wellness dietary supplements, TrueScience</w:t>
      </w:r>
      <w:r>
        <w:rPr>
          <w:rFonts w:ascii="Arial" w:cs="Arial" w:eastAsia="Arial" w:hAnsi="Arial"/>
          <w:sz w:val="20"/>
          <w:szCs w:val="20"/>
          <w:color w:val="auto"/>
          <w:vertAlign w:val="superscript"/>
        </w:rPr>
        <w:t>®</w:t>
      </w:r>
      <w:r>
        <w:rPr>
          <w:rFonts w:ascii="Arial" w:cs="Arial" w:eastAsia="Arial" w:hAnsi="Arial"/>
          <w:sz w:val="16"/>
          <w:szCs w:val="16"/>
          <w:color w:val="auto"/>
        </w:rPr>
        <w:t>, our line of skin, bath &amp; body, target relief, and hair care products, Petandim</w:t>
      </w:r>
      <w:r>
        <w:rPr>
          <w:rFonts w:ascii="Arial" w:cs="Arial" w:eastAsia="Arial" w:hAnsi="Arial"/>
          <w:sz w:val="20"/>
          <w:szCs w:val="20"/>
          <w:color w:val="auto"/>
          <w:vertAlign w:val="superscript"/>
        </w:rPr>
        <w:t>®</w:t>
      </w:r>
      <w:r>
        <w:rPr>
          <w:rFonts w:ascii="Arial" w:cs="Arial" w:eastAsia="Arial" w:hAnsi="Arial"/>
          <w:sz w:val="16"/>
          <w:szCs w:val="16"/>
          <w:color w:val="auto"/>
        </w:rPr>
        <w:t>, our companion pet supplement formulated to combat oxidative stress in dogs, Axio</w:t>
      </w:r>
      <w:r>
        <w:rPr>
          <w:rFonts w:ascii="Arial" w:cs="Arial" w:eastAsia="Arial" w:hAnsi="Arial"/>
          <w:sz w:val="20"/>
          <w:szCs w:val="20"/>
          <w:color w:val="auto"/>
          <w:vertAlign w:val="superscript"/>
        </w:rPr>
        <w:t>®</w:t>
      </w:r>
      <w:r>
        <w:rPr>
          <w:rFonts w:ascii="Arial" w:cs="Arial" w:eastAsia="Arial" w:hAnsi="Arial"/>
          <w:sz w:val="16"/>
          <w:szCs w:val="16"/>
          <w:color w:val="auto"/>
        </w:rPr>
        <w:t>, our nootropic energy drink mixes, and PhysIQ, our smart weight management system.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line includes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and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formulated to increase cellular energy and performance by boosting mitochondria production to improve cellular repair and slow cellular aging.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contains a proprietary blend of ingredients and has been shown to combat oxidative stress and enhance energy production by increasing the body’s natural antioxidant protection at the genetic level, inducing the production of naturally occurring protective antioxidant enzymes, including superoxide dismutase, catalase, and glutathione synthase.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Use of the three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products together has been shown to produce synergistic benefits greater than using the single products on their own.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ProBio is a dietary supplement designed to support optimal digestion and immune system function.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Daily Wellness is a dietary supplement designed to support and strengthen immune health. Our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anti-aging skin and hair care, and CBD Nrf2 enhanced, bath &amp; body, targeted relief products includes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Anti-Aging Cream,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Beauty Serum,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Hand Cream,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Invigorating Shampoo,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Nourishing Conditioner,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Scalp Serum,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Body Lotion,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Body Wash,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Body Butter,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Deodorant,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Soothing Balm,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Body Rub, and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Liquid Collagen. Petandim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a supplement specially formulated to combat oxidative stress in dogs through Nrf2 activation. Axio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line of our nootropic energy drink mixes formulated to promote alertness and support mental performance. PhysIQ is our smart weight management system, which includes PhysIQ Fat Burn, PhysIQ Prebiotic and PhysIQ Whey Protein, all formulated to aid in weight management. IC Bright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helps support eye and brain health, reduce eye fatigue and strain, supports cognitive functions, and may help support normal sleep patterns.</w:t>
      </w:r>
    </w:p>
    <w:p>
      <w:pPr>
        <w:spacing w:after="0" w:line="142" w:lineRule="exact"/>
        <w:rPr>
          <w:sz w:val="20"/>
          <w:szCs w:val="20"/>
          <w:color w:val="auto"/>
        </w:rPr>
      </w:pPr>
    </w:p>
    <w:p>
      <w:pPr>
        <w:ind w:firstLine="397"/>
        <w:spacing w:after="0" w:line="231" w:lineRule="auto"/>
        <w:rPr>
          <w:sz w:val="20"/>
          <w:szCs w:val="20"/>
          <w:color w:val="auto"/>
        </w:rPr>
      </w:pPr>
      <w:r>
        <w:rPr>
          <w:rFonts w:ascii="Arial" w:cs="Arial" w:eastAsia="Arial" w:hAnsi="Arial"/>
          <w:sz w:val="17"/>
          <w:szCs w:val="17"/>
          <w:color w:val="auto"/>
        </w:rPr>
        <w:t>We sell our products both individually and in stacks. 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synergy from nutrigenomic products to promote a healthier life. The Vitality Stack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includes four of our nutrigenomics products —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Omega+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LifeVantage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ProBio. This product stack was designed to provide a foundation for wellness, supporting healthy organs, including the brain, heart, eyes, and other vitals. With the Ultimate Stack</w:t>
      </w:r>
      <w:r>
        <w:rPr>
          <w:rFonts w:ascii="Arial" w:cs="Arial" w:eastAsia="Arial" w:hAnsi="Arial"/>
          <w:sz w:val="21"/>
          <w:szCs w:val="21"/>
          <w:color w:val="auto"/>
          <w:vertAlign w:val="superscript"/>
        </w:rPr>
        <w:t>™</w:t>
      </w:r>
      <w:r>
        <w:rPr>
          <w:rFonts w:ascii="Arial" w:cs="Arial" w:eastAsia="Arial" w:hAnsi="Arial"/>
          <w:sz w:val="17"/>
          <w:szCs w:val="17"/>
          <w:color w:val="auto"/>
        </w:rPr>
        <w:t>, we added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PhysIQ</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Prebiotic to our Vitality Stack</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to support gut health and increase sirtuin activity, supporting increased health, focus, energy, mental clarity and mood. The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Tri-Synergizer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consists of our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1"/>
          <w:szCs w:val="21"/>
          <w:color w:val="auto"/>
          <w:vertAlign w:val="superscript"/>
        </w:rPr>
        <w:t>®</w:t>
      </w:r>
      <w:r>
        <w:rPr>
          <w:rFonts w:ascii="Arial" w:cs="Arial" w:eastAsia="Arial" w:hAnsi="Arial"/>
          <w:sz w:val="17"/>
          <w:szCs w:val="17"/>
          <w:color w:val="auto"/>
        </w:rPr>
        <w:t>,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Protandim</w:t>
      </w:r>
      <w:r>
        <w:rPr>
          <w:rFonts w:ascii="Arial" w:cs="Arial" w:eastAsia="Arial" w:hAnsi="Arial"/>
          <w:sz w:val="21"/>
          <w:szCs w:val="21"/>
          <w:color w:val="auto"/>
          <w:vertAlign w:val="superscript"/>
        </w:rPr>
        <w:t>®</w:t>
      </w:r>
      <w:r>
        <w:rPr>
          <w:rFonts w:ascii="Arial" w:cs="Arial" w:eastAsia="Arial" w:hAnsi="Arial"/>
          <w:sz w:val="17"/>
          <w:szCs w:val="17"/>
          <w:color w:val="auto"/>
        </w:rPr>
        <w:t xml:space="preserve"> NAD Synergizer</w:t>
      </w:r>
      <w:r>
        <w:rPr>
          <w:rFonts w:ascii="Arial" w:cs="Arial" w:eastAsia="Arial" w:hAnsi="Arial"/>
          <w:sz w:val="21"/>
          <w:szCs w:val="21"/>
          <w:color w:val="auto"/>
          <w:vertAlign w:val="superscript"/>
        </w:rPr>
        <w:t>®</w:t>
      </w:r>
      <w:r>
        <w:rPr>
          <w:rFonts w:ascii="Arial" w:cs="Arial" w:eastAsia="Arial" w:hAnsi="Arial"/>
          <w:sz w:val="17"/>
          <w:szCs w:val="17"/>
          <w:color w:val="auto"/>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spacing w:after="0" w:line="124" w:lineRule="exact"/>
        <w:rPr>
          <w:sz w:val="20"/>
          <w:szCs w:val="20"/>
          <w:color w:val="auto"/>
        </w:rPr>
      </w:pPr>
    </w:p>
    <w:p>
      <w:pPr>
        <w:ind w:right="80" w:firstLine="397"/>
        <w:spacing w:after="0" w:line="293" w:lineRule="auto"/>
        <w:rPr>
          <w:sz w:val="20"/>
          <w:szCs w:val="20"/>
          <w:color w:val="auto"/>
        </w:rPr>
      </w:pPr>
      <w:r>
        <w:rPr>
          <w:rFonts w:ascii="Arial" w:cs="Arial" w:eastAsia="Arial" w:hAnsi="Arial"/>
          <w:sz w:val="17"/>
          <w:szCs w:val="17"/>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56" w:lineRule="exact"/>
        <w:rPr>
          <w:sz w:val="20"/>
          <w:szCs w:val="20"/>
          <w:color w:val="auto"/>
        </w:rPr>
      </w:pPr>
    </w:p>
    <w:p>
      <w:pPr>
        <w:ind w:right="160" w:firstLine="397"/>
        <w:spacing w:after="0" w:line="249"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ind w:right="20" w:firstLine="397"/>
        <w:spacing w:after="0" w:line="271" w:lineRule="auto"/>
        <w:rPr>
          <w:sz w:val="20"/>
          <w:szCs w:val="20"/>
          <w:color w:val="auto"/>
        </w:rPr>
      </w:pPr>
      <w:r>
        <w:rPr>
          <w:rFonts w:ascii="Arial" w:cs="Arial" w:eastAsia="Arial" w:hAnsi="Arial"/>
          <w:sz w:val="17"/>
          <w:szCs w:val="17"/>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restart"/>
          </w:tcPr>
          <w:p>
            <w:pPr>
              <w:jc w:val="right"/>
              <w:ind w:right="95"/>
              <w:spacing w:after="0" w:line="156" w:lineRule="exact"/>
              <w:rPr>
                <w:sz w:val="20"/>
                <w:szCs w:val="20"/>
                <w:color w:val="auto"/>
              </w:rPr>
            </w:pPr>
            <w:r>
              <w:rPr>
                <w:rFonts w:ascii="Arial" w:cs="Arial" w:eastAsia="Arial" w:hAnsi="Arial"/>
                <w:sz w:val="14"/>
                <w:szCs w:val="14"/>
                <w:b w:val="1"/>
                <w:bCs w:val="1"/>
                <w:color w:val="auto"/>
              </w:rPr>
              <w:t>Change from</w:t>
            </w: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3280" w:type="dxa"/>
            <w:vAlign w:val="bottom"/>
          </w:tcPr>
          <w:p>
            <w:pPr>
              <w:spacing w:after="0"/>
              <w:rPr>
                <w:sz w:val="9"/>
                <w:szCs w:val="9"/>
                <w:color w:val="auto"/>
              </w:rPr>
            </w:pPr>
          </w:p>
        </w:tc>
        <w:tc>
          <w:tcPr>
            <w:tcW w:w="16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Prior Year</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Independent Distributors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8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8"/>
        </w:trPr>
        <w:tc>
          <w:tcPr>
            <w:tcW w:w="3280" w:type="dxa"/>
            <w:vAlign w:val="bottom"/>
          </w:tcPr>
          <w:p>
            <w:pPr>
              <w:ind w:left="380"/>
              <w:spacing w:after="0"/>
              <w:rPr>
                <w:sz w:val="20"/>
                <w:szCs w:val="20"/>
                <w:color w:val="auto"/>
              </w:rPr>
            </w:pPr>
            <w:r>
              <w:rPr>
                <w:rFonts w:ascii="Arial" w:cs="Arial" w:eastAsia="Arial" w:hAnsi="Arial"/>
                <w:sz w:val="18"/>
                <w:szCs w:val="18"/>
                <w:color w:val="auto"/>
                <w:w w:val="97"/>
              </w:rPr>
              <w:t>Total Active Independent Distributors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280" w:type="dxa"/>
            <w:vAlign w:val="bottom"/>
          </w:tcPr>
          <w:p>
            <w:pPr>
              <w:ind w:left="20"/>
              <w:spacing w:after="0"/>
              <w:rPr>
                <w:sz w:val="20"/>
                <w:szCs w:val="20"/>
                <w:color w:val="auto"/>
              </w:rPr>
            </w:pPr>
            <w:r>
              <w:rPr>
                <w:rFonts w:ascii="Arial" w:cs="Arial" w:eastAsia="Arial" w:hAnsi="Arial"/>
                <w:sz w:val="18"/>
                <w:szCs w:val="18"/>
                <w:color w:val="auto"/>
              </w:rPr>
              <w:t>Active Customers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4"/>
        </w:trPr>
        <w:tc>
          <w:tcPr>
            <w:tcW w:w="3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Active Customers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Accounts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28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5"/>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8"/>
        </w:trPr>
        <w:tc>
          <w:tcPr>
            <w:tcW w:w="3280" w:type="dxa"/>
            <w:vAlign w:val="bottom"/>
          </w:tcPr>
          <w:p>
            <w:pPr>
              <w:ind w:left="380"/>
              <w:spacing w:after="0"/>
              <w:rPr>
                <w:sz w:val="20"/>
                <w:szCs w:val="20"/>
                <w:color w:val="auto"/>
              </w:rPr>
            </w:pPr>
            <w:r>
              <w:rPr>
                <w:rFonts w:ascii="Arial" w:cs="Arial" w:eastAsia="Arial" w:hAnsi="Arial"/>
                <w:sz w:val="18"/>
                <w:szCs w:val="18"/>
                <w:color w:val="auto"/>
              </w:rPr>
              <w:t>Total Active Accounts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Six Months Ended December 31, 2022 and 2021</w:t>
      </w:r>
    </w:p>
    <w:p>
      <w:pPr>
        <w:spacing w:after="0" w:line="150" w:lineRule="exact"/>
        <w:rPr>
          <w:sz w:val="20"/>
          <w:szCs w:val="20"/>
          <w:color w:val="auto"/>
        </w:rPr>
      </w:pPr>
    </w:p>
    <w:p>
      <w:pPr>
        <w:ind w:right="300" w:firstLine="397"/>
        <w:spacing w:after="0" w:line="251"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generated net revenue of $53.7 million and $52.2 million during the three months ended December 31, 2022 and 2021, respectively.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net revenue of $105.4 million and $105.4 million during the six months ended December 31, 2022 and 2021, respectively. Foreign currency fluctuations negatively impacted our revenue $2.4 million or 4.5% and $5.0 million or 4.8% during the three and six months ended December 31, 2022, respectively.</w:t>
      </w:r>
    </w:p>
    <w:p>
      <w:pPr>
        <w:spacing w:after="0" w:line="126" w:lineRule="exact"/>
        <w:rPr>
          <w:sz w:val="20"/>
          <w:szCs w:val="20"/>
          <w:color w:val="auto"/>
        </w:rPr>
      </w:pPr>
    </w:p>
    <w:p>
      <w:pPr>
        <w:ind w:right="820" w:firstLine="397"/>
        <w:spacing w:after="0" w:line="262" w:lineRule="auto"/>
        <w:rPr>
          <w:sz w:val="20"/>
          <w:szCs w:val="20"/>
          <w:color w:val="auto"/>
        </w:rPr>
      </w:pPr>
      <w:r>
        <w:rPr>
          <w:rFonts w:ascii="Arial" w:cs="Arial" w:eastAsia="Arial" w:hAnsi="Arial"/>
          <w:sz w:val="18"/>
          <w:szCs w:val="18"/>
          <w:u w:val="single" w:color="auto"/>
          <w:color w:val="auto"/>
        </w:rPr>
        <w:t>Americas</w:t>
      </w:r>
      <w:r>
        <w:rPr>
          <w:rFonts w:ascii="Arial" w:cs="Arial" w:eastAsia="Arial" w:hAnsi="Arial"/>
          <w:sz w:val="18"/>
          <w:szCs w:val="18"/>
          <w:color w:val="auto"/>
        </w:rPr>
        <w:t>. The following table sets forth revenue for the three and six months ended December 31, 2022 and 2021 for the Americas region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1"/>
              </w:rPr>
              <w:t>Three Months Ended December 31,</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w w:val="92"/>
              </w:rPr>
              <w:t>Six Months Ended December 31,</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24"/>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Americas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34,708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100" w:firstLine="397"/>
        <w:spacing w:after="0" w:line="235" w:lineRule="auto"/>
        <w:rPr>
          <w:sz w:val="20"/>
          <w:szCs w:val="20"/>
          <w:color w:val="auto"/>
        </w:rPr>
      </w:pPr>
      <w:r>
        <w:rPr>
          <w:rFonts w:ascii="Arial" w:cs="Arial" w:eastAsia="Arial" w:hAnsi="Arial"/>
          <w:sz w:val="18"/>
          <w:szCs w:val="18"/>
          <w:color w:val="auto"/>
        </w:rPr>
        <w:t>Revenue in the Americas region for the three and six months ended December 31, 2022 increased $5.0 million or 14.4% and $4.9 million or 6.9%, respectively, from the prior year periods. Total Active Accounts decreased by 7.1% in the region compared to the prior year period. The decrease in total Active Accounts was offset by an increase in average revenue per account due to changes in our product sales mix, driven primarily by our new TrueScience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Liquid Collagen product announced during our Activate 2022 event held in June 2022.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2" w:name="page23"/>
    <w:bookmarkEnd w:id="22"/>
    <w:p>
      <w:pPr>
        <w:ind w:left="400"/>
        <w:spacing w:after="0"/>
        <w:rPr>
          <w:sz w:val="20"/>
          <w:szCs w:val="20"/>
          <w:color w:val="auto"/>
        </w:rPr>
      </w:pPr>
      <w:r>
        <w:rPr>
          <w:rFonts w:ascii="Arial" w:cs="Arial" w:eastAsia="Arial" w:hAnsi="Arial"/>
          <w:sz w:val="15"/>
          <w:szCs w:val="15"/>
          <w:u w:val="single" w:color="auto"/>
          <w:color w:val="auto"/>
        </w:rPr>
        <w:t>Asia/Pacific &amp; Europe</w:t>
      </w:r>
      <w:r>
        <w:rPr>
          <w:rFonts w:ascii="Arial" w:cs="Arial" w:eastAsia="Arial" w:hAnsi="Arial"/>
          <w:sz w:val="15"/>
          <w:szCs w:val="15"/>
          <w:color w:val="auto"/>
        </w:rPr>
        <w:t>. The following table sets forth revenue for the three and six months ended December 31, 2022 and 2021 for the Asia/Pacific &amp;</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Europe region and its principal markets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1"/>
              </w:rPr>
              <w:t>Three Months Ended December 31,</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3"/>
              </w:rPr>
              <w:t>Six Months Ended December 31,</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1"/>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4"/>
        </w:trPr>
        <w:tc>
          <w:tcPr>
            <w:tcW w:w="3440" w:type="dxa"/>
            <w:vAlign w:val="bottom"/>
          </w:tcPr>
          <w:p>
            <w:pPr>
              <w:ind w:left="20"/>
              <w:spacing w:after="0"/>
              <w:rPr>
                <w:sz w:val="20"/>
                <w:szCs w:val="20"/>
                <w:color w:val="auto"/>
              </w:rPr>
            </w:pPr>
            <w:r>
              <w:rPr>
                <w:rFonts w:ascii="Arial" w:cs="Arial" w:eastAsia="Arial" w:hAnsi="Arial"/>
                <w:sz w:val="18"/>
                <w:szCs w:val="18"/>
                <w:color w:val="auto"/>
              </w:rPr>
              <w:t>Australia &amp; New Zealand</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6,899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China</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4"/>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49.4 %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63.1 %</w:t>
            </w:r>
          </w:p>
        </w:tc>
        <w:tc>
          <w:tcPr>
            <w:tcW w:w="0" w:type="dxa"/>
            <w:vAlign w:val="bottom"/>
          </w:tcPr>
          <w:p>
            <w:pPr>
              <w:spacing w:after="0"/>
              <w:rPr>
                <w:sz w:val="1"/>
                <w:szCs w:val="1"/>
                <w:color w:val="auto"/>
              </w:rPr>
            </w:pPr>
          </w:p>
        </w:tc>
      </w:tr>
      <w:tr>
        <w:trPr>
          <w:trHeight w:val="243"/>
        </w:trPr>
        <w:tc>
          <w:tcPr>
            <w:tcW w:w="3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Asia/Pacific &amp; Europe 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right="160" w:firstLine="397"/>
        <w:spacing w:after="0" w:line="249" w:lineRule="auto"/>
        <w:rPr>
          <w:sz w:val="20"/>
          <w:szCs w:val="20"/>
          <w:color w:val="auto"/>
        </w:rPr>
      </w:pPr>
      <w:r>
        <w:rPr>
          <w:rFonts w:ascii="Arial" w:cs="Arial" w:eastAsia="Arial" w:hAnsi="Arial"/>
          <w:sz w:val="18"/>
          <w:szCs w:val="18"/>
          <w:color w:val="auto"/>
        </w:rPr>
        <w:t>Revenue in the Asia/Pacific &amp; Europe region decreased $3.5 million or 20.2% and $4.9 million or 14.3% for the three and six months ended December 31, 2022, respectively, as compared to the prior year periods. Active Accounts in the region decreased 12.0% compared to the prior year period. Decreases in total Active Accounts along with negative impacts from foreign currency exchange rate fluctuations have contributed to the overall decrease in revenue within the Asia/Pacific &amp; Europe region. We continue to be encouraged by the results we are seeing from our launch of Philippines due to continued distributor leadership development and advancement.</w:t>
      </w:r>
    </w:p>
    <w:p>
      <w:pPr>
        <w:spacing w:after="0" w:line="129" w:lineRule="exact"/>
        <w:rPr>
          <w:sz w:val="20"/>
          <w:szCs w:val="20"/>
          <w:color w:val="auto"/>
        </w:rPr>
      </w:pPr>
    </w:p>
    <w:p>
      <w:pPr>
        <w:ind w:right="40" w:firstLine="397"/>
        <w:spacing w:after="0" w:line="266" w:lineRule="auto"/>
        <w:rPr>
          <w:sz w:val="20"/>
          <w:szCs w:val="20"/>
          <w:color w:val="auto"/>
        </w:rPr>
      </w:pPr>
      <w:r>
        <w:rPr>
          <w:rFonts w:ascii="Arial" w:cs="Arial" w:eastAsia="Arial" w:hAnsi="Arial"/>
          <w:sz w:val="17"/>
          <w:szCs w:val="17"/>
          <w:color w:val="auto"/>
        </w:rPr>
        <w:t>Overall, revenue in the Asia/Pacific &amp; Europe region was negatively impacted by foreign currency exchange rate fluctuations in the amount of approximately $2.3 million or 13.3% and $4.9 million or 14.5% during the three and six months ended December 31, 2022, respectively, as compared to the prior year periods, mainly due to currency fluctuations in Japan. Revenue in Japan was negatively impacted by foreign exchange rate fluctuations in the amount of approximately $1.8 million or 17.3% and $3.9 million or 19.3%, during the three and six months ended December 31, 2022, respectively, as compared to the prior year periods. On a constant currency basis, revenue in Japan decreased 8.3% and 2.0% for the three and six months ended December 31, 2022, respectively, as compared to the prior year periods.</w:t>
      </w:r>
    </w:p>
    <w:p>
      <w:pPr>
        <w:spacing w:after="0" w:line="101" w:lineRule="exact"/>
        <w:rPr>
          <w:sz w:val="20"/>
          <w:szCs w:val="20"/>
          <w:color w:val="auto"/>
        </w:rPr>
      </w:pPr>
    </w:p>
    <w:p>
      <w:pPr>
        <w:ind w:right="120" w:firstLine="397"/>
        <w:spacing w:after="0" w:line="227" w:lineRule="auto"/>
        <w:rPr>
          <w:sz w:val="20"/>
          <w:szCs w:val="20"/>
          <w:color w:val="auto"/>
        </w:rPr>
      </w:pPr>
      <w:r>
        <w:rPr>
          <w:rFonts w:ascii="Arial" w:cs="Arial" w:eastAsia="Arial" w:hAnsi="Arial"/>
          <w:sz w:val="18"/>
          <w:szCs w:val="18"/>
          <w:color w:val="auto"/>
        </w:rPr>
        <w:t>Globally, our sales and marketing efforts continue to be directed toward strengthening our core business through our fiscal year initiatives and building our worldwide revenue. During fiscal year 2022, we launched our new LifeVantage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IC Bright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eye health product in October 2021 and TrueScience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Liquid Collagen in June 2022. We have plans for continued product expansion during the remaining fiscal 2023. We expect these product launches will help drive revenue growth globally through increased average order size and increased ability to attract and retain new independent distributors and customers with a compelling product lineup.</w:t>
      </w:r>
    </w:p>
    <w:p>
      <w:pPr>
        <w:spacing w:after="0" w:line="137" w:lineRule="exact"/>
        <w:rPr>
          <w:sz w:val="20"/>
          <w:szCs w:val="20"/>
          <w:color w:val="auto"/>
        </w:rPr>
      </w:pPr>
    </w:p>
    <w:p>
      <w:pPr>
        <w:jc w:val="both"/>
        <w:ind w:firstLine="397"/>
        <w:spacing w:after="0" w:line="329"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Our gross profit percentage for the three months ended December 31, 2022 and 2021 was 78.1% and 81.5%, respectively. Our gross profit</w:t>
      </w:r>
      <w:r>
        <w:rPr>
          <w:rFonts w:ascii="Arial" w:cs="Arial" w:eastAsia="Arial" w:hAnsi="Arial"/>
          <w:sz w:val="15"/>
          <w:szCs w:val="15"/>
          <w:i w:val="1"/>
          <w:iCs w:val="1"/>
          <w:color w:val="auto"/>
        </w:rPr>
        <w:t xml:space="preserve"> </w:t>
      </w:r>
      <w:r>
        <w:rPr>
          <w:rFonts w:ascii="Arial" w:cs="Arial" w:eastAsia="Arial" w:hAnsi="Arial"/>
          <w:sz w:val="15"/>
          <w:szCs w:val="15"/>
          <w:color w:val="auto"/>
        </w:rPr>
        <w:t>percentage for the six months ended December 31, 2022 and 2021 was 79.4% and 81.9%, respectively. The decrease in gross margins, as compared to the prior year periods, is primarily due to increased shipping to customer expenses during the current year period as well as shifts in geographic and product sales mix.</w:t>
      </w:r>
    </w:p>
    <w:p>
      <w:pPr>
        <w:spacing w:after="0" w:line="71" w:lineRule="exact"/>
        <w:rPr>
          <w:sz w:val="20"/>
          <w:szCs w:val="20"/>
          <w:color w:val="auto"/>
        </w:rPr>
      </w:pPr>
    </w:p>
    <w:p>
      <w:pPr>
        <w:ind w:right="20" w:firstLine="397"/>
        <w:spacing w:after="0" w:line="306" w:lineRule="auto"/>
        <w:rPr>
          <w:sz w:val="20"/>
          <w:szCs w:val="20"/>
          <w:color w:val="auto"/>
        </w:rPr>
      </w:pPr>
      <w:r>
        <w:rPr>
          <w:rFonts w:ascii="Arial" w:cs="Arial" w:eastAsia="Arial" w:hAnsi="Arial"/>
          <w:sz w:val="15"/>
          <w:szCs w:val="15"/>
          <w:i w:val="1"/>
          <w:iCs w:val="1"/>
          <w:color w:val="auto"/>
        </w:rPr>
        <w:t xml:space="preserve">Commissions and Incentives. </w:t>
      </w:r>
      <w:r>
        <w:rPr>
          <w:rFonts w:ascii="Arial" w:cs="Arial" w:eastAsia="Arial" w:hAnsi="Arial"/>
          <w:sz w:val="15"/>
          <w:szCs w:val="15"/>
          <w:color w:val="auto"/>
        </w:rPr>
        <w:t>Commissions and incentives expenses during the three months ended December 31, 2022 were $23.6 million or 43.9% of</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as compared to $25.4 million or 48.8% of revenue for the three months ended December 31, 2021. Commissions and incentives expenses during the six months ended December 31, 2022 were $47.4 million or 44.9% of revenue as compared to $49.6 million or 47.0% of revenue for the six months ended December 31, 2021. The decrease in commissions and incentives expenses as a percentage of revenue compared to the prior year periods is due mainly to the price increases on many of our products during the current period as well as due to the timing and magnitude of our various promotional and incentive programs. Commissions and incentives expenses, as a percentage of revenue, may fluctuate in future periods based on ability to hold incentive trips and events and the timing and magnitude of compensation, incentive and promotional programs.</w:t>
      </w:r>
    </w:p>
    <w:p>
      <w:pPr>
        <w:spacing w:after="0" w:line="73" w:lineRule="exact"/>
        <w:rPr>
          <w:sz w:val="20"/>
          <w:szCs w:val="20"/>
          <w:color w:val="auto"/>
        </w:rPr>
      </w:pPr>
    </w:p>
    <w:p>
      <w:pPr>
        <w:ind w:right="80" w:firstLine="397"/>
        <w:spacing w:after="0" w:line="265"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expenses during the three months ended December 31, 2022 were $19.6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36.5% of revenue as compared to $17.4 million or 33.4% of revenue for the three months ended December 31, 2021. Selling, general and administrative expenses during the six months ended December 31, 2022 were $36.3 million or 34.4% of revenue as compared to $32.5 million or 30.8% of revenue for the six months ended December 31, 2021. The increase in selling, general and administrative expenses as a percentage of revenue during the three and six months ended December 31, 2022 compared to the prior year periods is primarily due to increased event and travel expenses, employee compensation, and outside professional services related to upcoming initiatives launching in the second half of fiscal 2023. These increases have been offset by decreases in legal, accounting, and tax services.</w:t>
      </w:r>
    </w:p>
    <w:p>
      <w:pPr>
        <w:spacing w:after="0" w:line="115" w:lineRule="exact"/>
        <w:rPr>
          <w:sz w:val="20"/>
          <w:szCs w:val="20"/>
          <w:color w:val="auto"/>
        </w:rPr>
      </w:pPr>
    </w:p>
    <w:p>
      <w:pPr>
        <w:ind w:right="160" w:firstLine="397"/>
        <w:spacing w:after="0" w:line="263" w:lineRule="auto"/>
        <w:rPr>
          <w:sz w:val="20"/>
          <w:szCs w:val="20"/>
          <w:color w:val="auto"/>
        </w:rPr>
      </w:pPr>
      <w:r>
        <w:rPr>
          <w:rFonts w:ascii="Arial" w:cs="Arial" w:eastAsia="Arial" w:hAnsi="Arial"/>
          <w:sz w:val="18"/>
          <w:szCs w:val="18"/>
          <w:i w:val="1"/>
          <w:iCs w:val="1"/>
          <w:color w:val="auto"/>
        </w:rPr>
        <w:t xml:space="preserve">Total Other Income (Expense). </w:t>
      </w:r>
      <w:r>
        <w:rPr>
          <w:rFonts w:ascii="Arial" w:cs="Arial" w:eastAsia="Arial" w:hAnsi="Arial"/>
          <w:sz w:val="18"/>
          <w:szCs w:val="18"/>
          <w:color w:val="auto"/>
        </w:rPr>
        <w:t>During the three months ended December 31, 2022 we recognized total net other income of $0.2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$0.1 million for the three months ended December 31, 2021. During the six months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3" w:name="page24"/>
    <w:bookmarkEnd w:id="23"/>
    <w:p>
      <w:pPr>
        <w:spacing w:after="0"/>
        <w:rPr>
          <w:sz w:val="20"/>
          <w:szCs w:val="20"/>
          <w:color w:val="auto"/>
        </w:rPr>
      </w:pPr>
      <w:r>
        <w:rPr>
          <w:rFonts w:ascii="Arial" w:cs="Arial" w:eastAsia="Arial" w:hAnsi="Arial"/>
          <w:sz w:val="15"/>
          <w:szCs w:val="15"/>
          <w:color w:val="auto"/>
        </w:rPr>
        <w:t>ended December 31, 2022 we recognized total net other expense of $0.3 million as compared to $0.3 million for the six months ended December 31, 2021.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Total net other income (expense) for the three and six months ended December 31, 2022 and 2021 consisted primarily of foreign currency gains and losses.</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7"/>
          <w:szCs w:val="17"/>
          <w:i w:val="1"/>
          <w:iCs w:val="1"/>
          <w:color w:val="auto"/>
        </w:rPr>
        <w:t>Income Tax Benefit (Expense)</w:t>
      </w:r>
      <w:r>
        <w:rPr>
          <w:rFonts w:ascii="Arial" w:cs="Arial" w:eastAsia="Arial" w:hAnsi="Arial"/>
          <w:sz w:val="17"/>
          <w:szCs w:val="17"/>
          <w:color w:val="auto"/>
        </w:rPr>
        <w:t>. We recognized income tax benefit of $17,000 and expense of $0.2 million for the three and six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respectively, as compared to income tax benefit of $0.6 million and expense $0.5 million for the three and six months ended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respectively.</w:t>
      </w:r>
    </w:p>
    <w:p>
      <w:pPr>
        <w:spacing w:after="0" w:line="125" w:lineRule="exact"/>
        <w:rPr>
          <w:sz w:val="20"/>
          <w:szCs w:val="20"/>
          <w:color w:val="auto"/>
        </w:rPr>
      </w:pPr>
    </w:p>
    <w:p>
      <w:pPr>
        <w:ind w:firstLine="397"/>
        <w:spacing w:after="0" w:line="248" w:lineRule="auto"/>
        <w:rPr>
          <w:sz w:val="20"/>
          <w:szCs w:val="20"/>
          <w:color w:val="auto"/>
        </w:rPr>
      </w:pPr>
      <w:r>
        <w:rPr>
          <w:rFonts w:ascii="Arial" w:cs="Arial" w:eastAsia="Arial" w:hAnsi="Arial"/>
          <w:sz w:val="18"/>
          <w:szCs w:val="18"/>
          <w:color w:val="auto"/>
        </w:rPr>
        <w:t>The change in the effective tax rate for the six months ended December 31, 2022 compared to the prior year period was mainly due to a change in taxable income.</w:t>
      </w:r>
    </w:p>
    <w:p>
      <w:pPr>
        <w:spacing w:after="0" w:line="114" w:lineRule="exact"/>
        <w:rPr>
          <w:sz w:val="20"/>
          <w:szCs w:val="20"/>
          <w:color w:val="auto"/>
        </w:rPr>
      </w:pPr>
    </w:p>
    <w:p>
      <w:pPr>
        <w:ind w:right="300" w:firstLine="397"/>
        <w:spacing w:after="0" w:line="254" w:lineRule="auto"/>
        <w:rPr>
          <w:sz w:val="20"/>
          <w:szCs w:val="20"/>
          <w:color w:val="auto"/>
        </w:rPr>
      </w:pPr>
      <w:r>
        <w:rPr>
          <w:rFonts w:ascii="Arial" w:cs="Arial" w:eastAsia="Arial" w:hAnsi="Arial"/>
          <w:sz w:val="18"/>
          <w:szCs w:val="18"/>
          <w:color w:val="auto"/>
        </w:rPr>
        <w:t>We expect that our effective tax rate will fluctuate slightly during the remainder of fiscal 2023 as the impact of discrete items and other permanent differences are recognized during the year; however, our tax rate can be impacted by various book to tax differences and fluctuations in our stock price that occur during the year which are difficult to forecast.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37" w:lineRule="exact"/>
        <w:rPr>
          <w:sz w:val="20"/>
          <w:szCs w:val="20"/>
          <w:color w:val="auto"/>
        </w:rPr>
      </w:pPr>
    </w:p>
    <w:p>
      <w:pPr>
        <w:ind w:right="20" w:firstLine="397"/>
        <w:spacing w:after="0" w:line="251" w:lineRule="auto"/>
        <w:rPr>
          <w:sz w:val="20"/>
          <w:szCs w:val="20"/>
          <w:color w:val="auto"/>
        </w:rPr>
      </w:pPr>
      <w:r>
        <w:rPr>
          <w:rFonts w:ascii="Arial" w:cs="Arial" w:eastAsia="Arial" w:hAnsi="Arial"/>
          <w:sz w:val="18"/>
          <w:szCs w:val="18"/>
          <w:color w:val="auto"/>
        </w:rPr>
        <w:t>Our primary liquidity and capital resource requirements are to finance the cost of our planned operating expenses and working capital (principally inventory purchases), fund capital expenditures, and service our debt, which includes any outstanding balances under the 2016 Credit Facility. We have generally relied on cash flow from operations to fund operating activities and we have, at times, incurred long-term debt in order to fund stock repurchases and strategic transactions.</w:t>
      </w:r>
    </w:p>
    <w:p>
      <w:pPr>
        <w:spacing w:after="0" w:line="126" w:lineRule="exact"/>
        <w:rPr>
          <w:sz w:val="20"/>
          <w:szCs w:val="20"/>
          <w:color w:val="auto"/>
        </w:rPr>
      </w:pPr>
    </w:p>
    <w:p>
      <w:pPr>
        <w:ind w:right="180" w:firstLine="397"/>
        <w:spacing w:after="0" w:line="263" w:lineRule="auto"/>
        <w:rPr>
          <w:sz w:val="20"/>
          <w:szCs w:val="20"/>
          <w:color w:val="auto"/>
        </w:rPr>
      </w:pPr>
      <w:r>
        <w:rPr>
          <w:rFonts w:ascii="Arial" w:cs="Arial" w:eastAsia="Arial" w:hAnsi="Arial"/>
          <w:sz w:val="18"/>
          <w:szCs w:val="18"/>
          <w:color w:val="auto"/>
        </w:rPr>
        <w:t>As of December 31, 2022, our available liquidity was $17.4 million, which consisted of available cash and cash equivalents. This represents a decrease of $2.8 million from the $20.2 million in cash and cash equivalents as of June 30, 2022.</w:t>
      </w:r>
    </w:p>
    <w:p>
      <w:pPr>
        <w:spacing w:after="0" w:line="115" w:lineRule="exact"/>
        <w:rPr>
          <w:sz w:val="20"/>
          <w:szCs w:val="20"/>
          <w:color w:val="auto"/>
        </w:rPr>
      </w:pPr>
    </w:p>
    <w:p>
      <w:pPr>
        <w:ind w:right="380" w:firstLine="397"/>
        <w:spacing w:after="0" w:line="263" w:lineRule="auto"/>
        <w:rPr>
          <w:sz w:val="20"/>
          <w:szCs w:val="20"/>
          <w:color w:val="auto"/>
        </w:rPr>
      </w:pPr>
      <w:r>
        <w:rPr>
          <w:rFonts w:ascii="Arial" w:cs="Arial" w:eastAsia="Arial" w:hAnsi="Arial"/>
          <w:sz w:val="18"/>
          <w:szCs w:val="18"/>
          <w:color w:val="auto"/>
        </w:rPr>
        <w:t>During the six months ended December 31, 2022, our net cash used in operating activities was $0.4 million as compared to our net cash provided by operating activities of $4.5 million during the six months ended December 31, 2021.</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During the six months ended December 31, 2022, our net cash used in investing activities was $1.6 million, as a result of the purchase of fixed assets.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During the six months ended December 31, 2021, our net cash used in investing activities was $0.9 million, as a result of the purchase of fixed assets.</w:t>
      </w:r>
    </w:p>
    <w:p>
      <w:pPr>
        <w:spacing w:after="0" w:line="173" w:lineRule="exact"/>
        <w:rPr>
          <w:sz w:val="20"/>
          <w:szCs w:val="20"/>
          <w:color w:val="auto"/>
        </w:rPr>
      </w:pPr>
    </w:p>
    <w:p>
      <w:pPr>
        <w:ind w:right="180" w:firstLine="397"/>
        <w:spacing w:after="0" w:line="249" w:lineRule="auto"/>
        <w:rPr>
          <w:sz w:val="20"/>
          <w:szCs w:val="20"/>
          <w:color w:val="auto"/>
        </w:rPr>
      </w:pPr>
      <w:r>
        <w:rPr>
          <w:rFonts w:ascii="Arial" w:cs="Arial" w:eastAsia="Arial" w:hAnsi="Arial"/>
          <w:sz w:val="18"/>
          <w:szCs w:val="18"/>
          <w:color w:val="auto"/>
        </w:rPr>
        <w:t>Cash used in financing activities during the six months ended December 31, 2022 was $0.7 million as a result of our payment of a cash dividend and shares purchased as payment of tax withholding upon vesting of equity awards, partially offset by proceeds from stock issued under our employee stock purchase plan. Cash used in financing activities during the six months ended December 31, 2021 was $6.5 million as a result of our repurchase of common stock, and shares purchased as payment of tax withholding upon vesting of equity awards, partially offset by proceeds from stock issued under our employee stock purchase plan and stock option exercises.</w:t>
      </w:r>
    </w:p>
    <w:p>
      <w:pPr>
        <w:spacing w:after="0" w:line="129" w:lineRule="exact"/>
        <w:rPr>
          <w:sz w:val="20"/>
          <w:szCs w:val="20"/>
          <w:color w:val="auto"/>
        </w:rPr>
      </w:pPr>
    </w:p>
    <w:p>
      <w:pPr>
        <w:ind w:right="20" w:firstLine="397"/>
        <w:spacing w:after="0" w:line="329" w:lineRule="auto"/>
        <w:rPr>
          <w:sz w:val="20"/>
          <w:szCs w:val="20"/>
          <w:color w:val="auto"/>
        </w:rPr>
      </w:pPr>
      <w:r>
        <w:rPr>
          <w:rFonts w:ascii="Arial" w:cs="Arial" w:eastAsia="Arial" w:hAnsi="Arial"/>
          <w:sz w:val="15"/>
          <w:szCs w:val="15"/>
          <w:color w:val="auto"/>
        </w:rPr>
        <w:t>At December 31, 2022 and June 30, 2022, the total amount of our foreign subsidiary cash was $6.4 million and $7.0 million, respectively. The federal tax reform legislation that was passed into law during December 2017 enacted a 100% dividend deduction for greater than 10% owned foreign corporations. Therefore, in the future, if needed, we expect to be able to repatriate cash from foreign subsidiaries without paying additional U.S. taxes.</w:t>
      </w:r>
    </w:p>
    <w:p>
      <w:pPr>
        <w:spacing w:after="0" w:line="57" w:lineRule="exact"/>
        <w:rPr>
          <w:sz w:val="20"/>
          <w:szCs w:val="20"/>
          <w:color w:val="auto"/>
        </w:rPr>
      </w:pPr>
    </w:p>
    <w:p>
      <w:pPr>
        <w:ind w:right="20" w:firstLine="397"/>
        <w:spacing w:after="0" w:line="304" w:lineRule="auto"/>
        <w:rPr>
          <w:sz w:val="20"/>
          <w:szCs w:val="20"/>
          <w:color w:val="auto"/>
        </w:rPr>
      </w:pPr>
      <w:r>
        <w:rPr>
          <w:rFonts w:ascii="Arial" w:cs="Arial" w:eastAsia="Arial" w:hAnsi="Arial"/>
          <w:sz w:val="15"/>
          <w:szCs w:val="15"/>
          <w:color w:val="auto"/>
        </w:rPr>
        <w:t>At December 31, 2022, we had working capital (current assets minus current liabilities) of $21.0 million, compared to working capital of $21.2 million at June 30, 2022.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as amended, provides for a revolving loan facility in an aggregate principal amount up to $5.0 million. We would also consider realigning our strategic plans including a reduction in capital spending and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37"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4" w:name="page25"/>
    <w:bookmarkEnd w:id="24"/>
    <w:p>
      <w:pPr>
        <w:ind w:right="80"/>
        <w:spacing w:after="0" w:line="293" w:lineRule="auto"/>
        <w:rPr>
          <w:sz w:val="20"/>
          <w:szCs w:val="20"/>
          <w:color w:val="auto"/>
        </w:rPr>
      </w:pPr>
      <w:r>
        <w:rPr>
          <w:rFonts w:ascii="Arial" w:cs="Arial" w:eastAsia="Arial" w:hAnsi="Arial"/>
          <w:sz w:val="17"/>
          <w:szCs w:val="17"/>
          <w:color w:val="auto"/>
        </w:rPr>
        <w:t>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Credit Facility</w:t>
      </w:r>
    </w:p>
    <w:p>
      <w:pPr>
        <w:spacing w:after="0" w:line="150" w:lineRule="exact"/>
        <w:rPr>
          <w:sz w:val="20"/>
          <w:szCs w:val="20"/>
          <w:color w:val="auto"/>
        </w:rPr>
      </w:pPr>
    </w:p>
    <w:p>
      <w:pPr>
        <w:ind w:right="20" w:firstLine="397"/>
        <w:spacing w:after="0" w:line="317" w:lineRule="auto"/>
        <w:rPr>
          <w:sz w:val="20"/>
          <w:szCs w:val="20"/>
          <w:color w:val="auto"/>
        </w:rPr>
      </w:pPr>
      <w:r>
        <w:rPr>
          <w:rFonts w:ascii="Arial" w:cs="Arial" w:eastAsia="Arial" w:hAnsi="Arial"/>
          <w:sz w:val="15"/>
          <w:szCs w:val="15"/>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80" w:lineRule="exact"/>
        <w:rPr>
          <w:sz w:val="20"/>
          <w:szCs w:val="20"/>
          <w:color w:val="auto"/>
        </w:rPr>
      </w:pPr>
    </w:p>
    <w:p>
      <w:pPr>
        <w:ind w:right="280" w:firstLine="397"/>
        <w:spacing w:after="0" w:line="254" w:lineRule="auto"/>
        <w:rPr>
          <w:sz w:val="20"/>
          <w:szCs w:val="20"/>
          <w:color w:val="auto"/>
        </w:rPr>
      </w:pPr>
      <w:r>
        <w:rPr>
          <w:rFonts w:ascii="Arial" w:cs="Arial" w:eastAsia="Arial" w:hAnsi="Arial"/>
          <w:sz w:val="18"/>
          <w:szCs w:val="18"/>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May 4, 2018, we entered into a loan modification agreement, which amended the 2016 Credit Facility (“Amendment No. 1”). Amendment No. 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revised the maturity date from March 30, 2019 to March 31, 2021 and increased the fixed interest rate for the term loan from 4.93% to 5.68%. Amendment</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No. 1 also revised certain financial covenants. The minimum fixed charge coverage ratio (as defined in Amendment No. 1) was revised from a minimum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1.50 to 1.00 to 1.25 to 1.00, measured on a trailing twelve-month basis, at the end of each fiscal quarter. The minimum working capital was increased from</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$5.0 million to $8.0 million. The funded debt to EBITDA ratio was replaced with the total liabilities to tangible net worth ratio (as defined in Amendment No.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1) of not greater than 3.00 to 1.00 at the end of each quarter. The minimum tangible net worth measure was removed from the financial covenants.</w:t>
      </w:r>
    </w:p>
    <w:p>
      <w:pPr>
        <w:spacing w:after="0" w:line="150" w:lineRule="exact"/>
        <w:rPr>
          <w:sz w:val="20"/>
          <w:szCs w:val="20"/>
          <w:color w:val="auto"/>
        </w:rPr>
      </w:pPr>
    </w:p>
    <w:p>
      <w:pPr>
        <w:ind w:right="20" w:firstLine="397"/>
        <w:spacing w:after="0" w:line="249" w:lineRule="auto"/>
        <w:rPr>
          <w:sz w:val="20"/>
          <w:szCs w:val="20"/>
          <w:color w:val="auto"/>
        </w:rPr>
      </w:pPr>
      <w:r>
        <w:rPr>
          <w:rFonts w:ascii="Arial" w:cs="Arial" w:eastAsia="Arial" w:hAnsi="Arial"/>
          <w:sz w:val="18"/>
          <w:szCs w:val="18"/>
          <w:color w:val="auto"/>
        </w:rPr>
        <w:t>On February 1, 2019, we entered into a loan modification agreement, which further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9" w:lineRule="exact"/>
        <w:rPr>
          <w:sz w:val="20"/>
          <w:szCs w:val="20"/>
          <w:color w:val="auto"/>
        </w:rPr>
      </w:pPr>
    </w:p>
    <w:p>
      <w:pPr>
        <w:ind w:firstLine="397"/>
        <w:spacing w:after="0" w:line="266" w:lineRule="auto"/>
        <w:rPr>
          <w:sz w:val="20"/>
          <w:szCs w:val="20"/>
          <w:color w:val="auto"/>
        </w:rPr>
      </w:pPr>
      <w:r>
        <w:rPr>
          <w:rFonts w:ascii="Arial" w:cs="Arial" w:eastAsia="Arial" w:hAnsi="Arial"/>
          <w:sz w:val="17"/>
          <w:szCs w:val="17"/>
          <w:color w:val="auto"/>
        </w:rPr>
        <w:t>On April 1, 2021, we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Amendment No. 3 also revised the debt (total liabilities) to tangible net worth ratio (as defined in Amendment No. 3) covenant to require that we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amount as set forth in Amendment No. 2.</w:t>
      </w:r>
    </w:p>
    <w:p>
      <w:pPr>
        <w:spacing w:after="0" w:line="101" w:lineRule="exact"/>
        <w:rPr>
          <w:sz w:val="20"/>
          <w:szCs w:val="20"/>
          <w:color w:val="auto"/>
        </w:rPr>
      </w:pPr>
    </w:p>
    <w:p>
      <w:pPr>
        <w:ind w:right="40" w:firstLine="397"/>
        <w:spacing w:after="0" w:line="251" w:lineRule="auto"/>
        <w:rPr>
          <w:sz w:val="20"/>
          <w:szCs w:val="20"/>
          <w:color w:val="auto"/>
        </w:rPr>
      </w:pPr>
      <w:r>
        <w:rPr>
          <w:rFonts w:ascii="Arial" w:cs="Arial" w:eastAsia="Arial" w:hAnsi="Arial"/>
          <w:sz w:val="18"/>
          <w:szCs w:val="18"/>
          <w:color w:val="auto"/>
        </w:rPr>
        <w:t>We entered into a loan modification agreement ("Amendment No. 4"), effective September 30, 2022, which amended the 2016 Credit Facility, as previously amended. Amendment No. 4 revised the calculation of the minimum fixed charge coverage ratio (as defined in Amendment No. 4) and allows us to declare and pay dividends, up to $500,000 per quarter, through September 30, 2023. There were no other changes to the covenants or revolving loan facility as set forth in Amendment No. 3.</w:t>
      </w:r>
    </w:p>
    <w:p>
      <w:pPr>
        <w:spacing w:after="0" w:line="126"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December 31, 2022, we were in compliance with all applicable non-financial and restrictive covenants under the 2016 Credit Facility, as amended.</w:t>
      </w:r>
    </w:p>
    <w:p>
      <w:pPr>
        <w:spacing w:after="0" w:line="112" w:lineRule="exact"/>
        <w:rPr>
          <w:sz w:val="20"/>
          <w:szCs w:val="20"/>
          <w:color w:val="auto"/>
        </w:rPr>
      </w:pPr>
    </w:p>
    <w:p>
      <w:pPr>
        <w:ind w:right="40" w:firstLine="397"/>
        <w:spacing w:after="0" w:line="263"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102" w:lineRule="exact"/>
        <w:rPr>
          <w:sz w:val="20"/>
          <w:szCs w:val="20"/>
          <w:color w:val="auto"/>
        </w:rPr>
      </w:pPr>
    </w:p>
    <w:p>
      <w:pPr>
        <w:ind w:left="640" w:right="380" w:hanging="238"/>
        <w:spacing w:after="0" w:line="263"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114" w:lineRule="exact"/>
        <w:rPr>
          <w:rFonts w:ascii="Arial" w:cs="Arial" w:eastAsia="Arial" w:hAnsi="Arial"/>
          <w:sz w:val="18"/>
          <w:szCs w:val="18"/>
          <w:color w:val="auto"/>
        </w:rPr>
      </w:pPr>
    </w:p>
    <w:p>
      <w:pPr>
        <w:ind w:left="640" w:right="320" w:hanging="238"/>
        <w:spacing w:after="0" w:line="263"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5" w:name="page26"/>
    <w:bookmarkEnd w:id="25"/>
    <w:p>
      <w:pPr>
        <w:ind w:left="640" w:right="140" w:hanging="238"/>
        <w:spacing w:after="0" w:line="263"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ratio of debt (total liabilities) to tangible net worth (as defined in the 2016 Loan Agreement, as amended) of not greater than 2.00 to 1.00 at the end of each quarter, measured on a trailing twelve month basis.</w:t>
      </w:r>
    </w:p>
    <w:p>
      <w:pPr>
        <w:spacing w:after="0" w:line="102" w:lineRule="exact"/>
        <w:rPr>
          <w:sz w:val="20"/>
          <w:szCs w:val="20"/>
          <w:color w:val="auto"/>
        </w:rPr>
      </w:pPr>
    </w:p>
    <w:p>
      <w:pPr>
        <w:ind w:right="440" w:firstLine="397"/>
        <w:spacing w:after="0" w:line="364" w:lineRule="auto"/>
        <w:rPr>
          <w:sz w:val="20"/>
          <w:szCs w:val="20"/>
          <w:color w:val="auto"/>
        </w:rPr>
      </w:pPr>
      <w:r>
        <w:rPr>
          <w:rFonts w:ascii="Arial" w:cs="Arial" w:eastAsia="Arial" w:hAnsi="Arial"/>
          <w:sz w:val="15"/>
          <w:szCs w:val="15"/>
          <w:color w:val="auto"/>
        </w:rPr>
        <w:t>As of December 31, 2022,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45" w:lineRule="exact"/>
        <w:rPr>
          <w:sz w:val="20"/>
          <w:szCs w:val="20"/>
          <w:color w:val="auto"/>
        </w:rPr>
      </w:pPr>
    </w:p>
    <w:p>
      <w:pPr>
        <w:ind w:right="280" w:firstLine="397"/>
        <w:spacing w:after="0" w:line="263" w:lineRule="auto"/>
        <w:rPr>
          <w:sz w:val="20"/>
          <w:szCs w:val="20"/>
          <w:color w:val="auto"/>
        </w:rPr>
      </w:pPr>
      <w:r>
        <w:rPr>
          <w:rFonts w:ascii="Arial" w:cs="Arial" w:eastAsia="Arial" w:hAnsi="Arial"/>
          <w:sz w:val="18"/>
          <w:szCs w:val="18"/>
          <w:color w:val="auto"/>
        </w:rPr>
        <w:t>During the fiscal year ended June 30, 2020, we repaid, in full, the remaining balance of the 2016 Term Loan in accordance with the terms of the 2016 Credit Facility, as amended.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contractual payment obligations and commitments as of December 31, 2022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1"/>
                <w:szCs w:val="11"/>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1-3 years</w:t>
            </w: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9"/>
        </w:trPr>
        <w:tc>
          <w:tcPr>
            <w:tcW w:w="4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0" w:type="dxa"/>
            <w:vAlign w:val="bottom"/>
          </w:tcPr>
          <w:p>
            <w:pPr>
              <w:spacing w:after="0"/>
              <w:rPr>
                <w:sz w:val="1"/>
                <w:szCs w:val="1"/>
                <w:color w:val="auto"/>
              </w:rPr>
            </w:pPr>
          </w:p>
        </w:tc>
      </w:tr>
      <w:tr>
        <w:trPr>
          <w:trHeight w:val="225"/>
        </w:trPr>
        <w:tc>
          <w:tcPr>
            <w:tcW w:w="476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tcBorders>
              <w:top w:val="single" w:sz="8" w:color="CCEEFF"/>
              <w:bottom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 Other operating obligations represent contractual obligations primarily related to marketing and sponsorship commitments and purchases of inventory.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2022, we did not have any off-balance sheet arrangements.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3" w:lineRule="exact"/>
        <w:rPr>
          <w:sz w:val="20"/>
          <w:szCs w:val="20"/>
          <w:color w:val="auto"/>
        </w:rPr>
      </w:pPr>
    </w:p>
    <w:p>
      <w:pPr>
        <w:ind w:right="80" w:firstLine="397"/>
        <w:spacing w:after="0" w:line="304" w:lineRule="auto"/>
        <w:rPr>
          <w:sz w:val="20"/>
          <w:szCs w:val="20"/>
          <w:color w:val="auto"/>
        </w:rPr>
      </w:pPr>
      <w:r>
        <w:rPr>
          <w:rFonts w:ascii="Arial" w:cs="Arial" w:eastAsia="Arial" w:hAnsi="Arial"/>
          <w:sz w:val="15"/>
          <w:szCs w:val="15"/>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90" w:lineRule="exact"/>
        <w:rPr>
          <w:sz w:val="20"/>
          <w:szCs w:val="20"/>
          <w:color w:val="auto"/>
        </w:rPr>
      </w:pPr>
    </w:p>
    <w:p>
      <w:pPr>
        <w:ind w:right="140" w:firstLine="397"/>
        <w:spacing w:after="0" w:line="27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37" w:lineRule="exact"/>
        <w:rPr>
          <w:sz w:val="20"/>
          <w:szCs w:val="20"/>
          <w:color w:val="auto"/>
        </w:rPr>
      </w:pPr>
    </w:p>
    <w:p>
      <w:pPr>
        <w:ind w:right="220" w:firstLine="397"/>
        <w:spacing w:after="0" w:line="249"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December 31, 2022, our shipments of products sold totaling approximately $17.5 million were subject to the return policy.</w:t>
      </w:r>
    </w:p>
    <w:p>
      <w:pPr>
        <w:spacing w:after="0" w:line="129" w:lineRule="exact"/>
        <w:rPr>
          <w:sz w:val="20"/>
          <w:szCs w:val="20"/>
          <w:color w:val="auto"/>
        </w:rPr>
      </w:pPr>
    </w:p>
    <w:p>
      <w:pPr>
        <w:ind w:firstLine="397"/>
        <w:spacing w:after="0" w:line="251"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$0.2 million at December 31, 2022, compared with $0.1 million at June 30, 2022.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37" w:lineRule="exact"/>
        <w:rPr>
          <w:sz w:val="20"/>
          <w:szCs w:val="20"/>
          <w:color w:val="auto"/>
        </w:rPr>
      </w:pPr>
    </w:p>
    <w:p>
      <w:pPr>
        <w:ind w:right="100" w:firstLine="397"/>
        <w:spacing w:after="0" w:line="263" w:lineRule="auto"/>
        <w:rPr>
          <w:sz w:val="20"/>
          <w:szCs w:val="20"/>
          <w:color w:val="auto"/>
        </w:rPr>
      </w:pPr>
      <w:r>
        <w:rPr>
          <w:rFonts w:ascii="Arial" w:cs="Arial" w:eastAsia="Arial" w:hAnsi="Arial"/>
          <w:sz w:val="18"/>
          <w:szCs w:val="18"/>
          <w:color w:val="auto"/>
        </w:rPr>
        <w:t>We value our inventory at the lower of cost or net realizable value on a first-in first-out basis. Accordingly, we reduce our inventories for the diminution of value resulting from product obsolescence, damage or other issues affecting marketability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t>equal to the difference between the cost of the inventory and its net realizable value. Factors utilized in the determination of net realizable value include:</w:t>
      </w:r>
    </w:p>
    <w:p>
      <w:pPr>
        <w:spacing w:after="0" w:line="51" w:lineRule="exact"/>
        <w:rPr>
          <w:sz w:val="20"/>
          <w:szCs w:val="20"/>
          <w:color w:val="auto"/>
        </w:rPr>
      </w:pPr>
    </w:p>
    <w:p>
      <w:pPr>
        <w:ind w:left="220" w:hanging="214"/>
        <w:spacing w:after="0"/>
        <w:tabs>
          <w:tab w:leader="none" w:pos="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current sales data and historical return rates, (ii) estimates of future demand, (iii) competitive pricing pressures, (iv) new production introductions,</w:t>
      </w:r>
    </w:p>
    <w:p>
      <w:pPr>
        <w:spacing w:after="0" w:line="16" w:lineRule="exact"/>
        <w:rPr>
          <w:rFonts w:ascii="Arial" w:cs="Arial" w:eastAsia="Arial" w:hAnsi="Arial"/>
          <w:sz w:val="17"/>
          <w:szCs w:val="17"/>
          <w:color w:val="auto"/>
        </w:rPr>
      </w:pPr>
    </w:p>
    <w:p>
      <w:pPr>
        <w:ind w:left="260" w:hanging="254"/>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expiration dates, and (vi) component and packaging obsolescence.</w:t>
      </w:r>
    </w:p>
    <w:p>
      <w:pPr>
        <w:spacing w:after="0" w:line="125" w:lineRule="exact"/>
        <w:rPr>
          <w:sz w:val="20"/>
          <w:szCs w:val="20"/>
          <w:color w:val="auto"/>
        </w:rPr>
      </w:pPr>
    </w:p>
    <w:p>
      <w:pPr>
        <w:jc w:val="both"/>
        <w:ind w:right="20" w:firstLine="397"/>
        <w:spacing w:after="0" w:line="254" w:lineRule="auto"/>
        <w:rPr>
          <w:sz w:val="20"/>
          <w:szCs w:val="20"/>
          <w:color w:val="auto"/>
        </w:rPr>
      </w:pPr>
      <w:r>
        <w:rPr>
          <w:rFonts w:ascii="Arial" w:cs="Arial" w:eastAsia="Arial" w:hAnsi="Arial"/>
          <w:sz w:val="18"/>
          <w:szCs w:val="18"/>
          <w:color w:val="auto"/>
        </w:rPr>
        <w:t>During the three and six months ended December 31, 2022 we recognized expenses of approximately $0.3 million and $0.5 million, respectively, related to obsolete and slow-moving inventory. During the three and six months ended December 31, 2021 we recognized expenses of approximately $0.3 million and $0.5 million, respectively, related to obsolete and slow-moving inventory.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50" w:lineRule="exact"/>
        <w:rPr>
          <w:sz w:val="20"/>
          <w:szCs w:val="20"/>
          <w:color w:val="auto"/>
        </w:rPr>
      </w:pPr>
    </w:p>
    <w:p>
      <w:pPr>
        <w:ind w:right="260" w:firstLine="397"/>
        <w:spacing w:after="0" w:line="254"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we expect to be entitled to in exchange for those goods or services. Sales, value-added, and other taxes that we collect concurrent with revenue-producing activities are excluded from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0"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expense all of our costs related to research and development activities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50" w:lineRule="exact"/>
        <w:rPr>
          <w:sz w:val="20"/>
          <w:szCs w:val="20"/>
          <w:color w:val="auto"/>
        </w:rPr>
      </w:pPr>
    </w:p>
    <w:p>
      <w:pPr>
        <w:ind w:right="160" w:firstLine="397"/>
        <w:spacing w:after="0" w:line="251"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There were no substantial changes to our market risks during the quarter ended December 31, 2022 when compared to the disclosures in “Item 7A.</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 in our Annual Report on Form 10-K for the year ended June 30,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56" w:lineRule="exact"/>
        <w:rPr>
          <w:sz w:val="20"/>
          <w:szCs w:val="20"/>
          <w:color w:val="auto"/>
        </w:rPr>
      </w:pPr>
    </w:p>
    <w:p>
      <w:pPr>
        <w:ind w:right="60" w:firstLine="397"/>
        <w:spacing w:after="0" w:line="304" w:lineRule="auto"/>
        <w:rPr>
          <w:sz w:val="20"/>
          <w:szCs w:val="20"/>
          <w:color w:val="auto"/>
        </w:rPr>
      </w:pPr>
      <w:r>
        <w:rPr>
          <w:rFonts w:ascii="Arial" w:cs="Arial" w:eastAsia="Arial" w:hAnsi="Arial"/>
          <w:sz w:val="15"/>
          <w:szCs w:val="15"/>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Chief Executive Officer and Chief Financial Officer, of the effectiveness and design and operation of such disclosure controls and procedures, as defined in Rules 13a-15(e) and 15d-15(e) under the Exchange Act of 1934, as amended. Based on that evaluation, our Chief Executive Officer and Chief Financial Officer concluded that our disclosure controls and procedures were designed and operating effectively as of December 31, 2022.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3" w:lineRule="exact"/>
        <w:rPr>
          <w:sz w:val="20"/>
          <w:szCs w:val="20"/>
          <w:color w:val="auto"/>
        </w:rPr>
      </w:pPr>
    </w:p>
    <w:p>
      <w:pPr>
        <w:ind w:right="120" w:firstLine="397"/>
        <w:spacing w:after="0" w:line="263" w:lineRule="auto"/>
        <w:rPr>
          <w:sz w:val="20"/>
          <w:szCs w:val="20"/>
          <w:color w:val="auto"/>
        </w:rPr>
      </w:pPr>
      <w:r>
        <w:rPr>
          <w:rFonts w:ascii="Arial" w:cs="Arial" w:eastAsia="Arial" w:hAnsi="Arial"/>
          <w:sz w:val="18"/>
          <w:szCs w:val="18"/>
          <w:color w:val="auto"/>
        </w:rPr>
        <w:t>There were no changes in our internal controls over financial reporting during the quarter ended December 31, 2022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7" w:name="page28"/>
    <w:bookmarkEnd w:id="27"/>
    <w:p>
      <w:pPr>
        <w:ind w:right="180" w:firstLine="397"/>
        <w:spacing w:after="0" w:line="249" w:lineRule="auto"/>
        <w:rPr>
          <w:sz w:val="20"/>
          <w:szCs w:val="20"/>
          <w:color w:val="auto"/>
        </w:rPr>
      </w:pPr>
      <w:r>
        <w:rPr>
          <w:rFonts w:ascii="Arial" w:cs="Arial" w:eastAsia="Arial" w:hAnsi="Arial"/>
          <w:sz w:val="18"/>
          <w:szCs w:val="18"/>
          <w:color w:val="auto"/>
        </w:rPr>
        <w:t>An evaluation required by paragraph (d) of Rules 13a-15 and 15d-15 of the Exchange Act of 1934, as amended, was also performed under the supervision and with the participation of our management, including our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December 31, 2022 that have materially affected, or are reasonably likely to materially affect, our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56" w:lineRule="exact"/>
        <w:rPr>
          <w:sz w:val="20"/>
          <w:szCs w:val="20"/>
          <w:color w:val="auto"/>
        </w:rPr>
      </w:pPr>
    </w:p>
    <w:p>
      <w:pPr>
        <w:ind w:right="20" w:firstLine="397"/>
        <w:spacing w:after="0" w:line="270"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6" w:lineRule="exact"/>
        <w:rPr>
          <w:sz w:val="20"/>
          <w:szCs w:val="20"/>
          <w:color w:val="auto"/>
        </w:rPr>
      </w:pPr>
    </w:p>
    <w:p>
      <w:pPr>
        <w:ind w:right="340" w:firstLine="397"/>
        <w:spacing w:after="0" w:line="263" w:lineRule="auto"/>
        <w:rPr>
          <w:sz w:val="20"/>
          <w:szCs w:val="20"/>
          <w:color w:val="auto"/>
        </w:rPr>
      </w:pPr>
      <w:r>
        <w:rPr>
          <w:rFonts w:ascii="Arial" w:cs="Arial" w:eastAsia="Arial" w:hAnsi="Arial"/>
          <w:sz w:val="18"/>
          <w:szCs w:val="18"/>
          <w:color w:val="auto"/>
        </w:rPr>
        <w:t>See Note 8 to our unaudited condensed consolidated financial statements contained within this quarterly report on Form 10-Q for a discussion of our legal proceedings.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3" w:lineRule="exact"/>
        <w:rPr>
          <w:sz w:val="20"/>
          <w:szCs w:val="20"/>
          <w:color w:val="auto"/>
        </w:rPr>
      </w:pPr>
    </w:p>
    <w:p>
      <w:pPr>
        <w:ind w:firstLine="397"/>
        <w:spacing w:after="0" w:line="249"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2022, filed on August 23, 2022.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6" w:lineRule="exact"/>
        <w:rPr>
          <w:sz w:val="20"/>
          <w:szCs w:val="20"/>
          <w:color w:val="auto"/>
        </w:rPr>
      </w:pPr>
    </w:p>
    <w:p>
      <w:pPr>
        <w:ind w:right="40" w:firstLine="397"/>
        <w:spacing w:after="0" w:line="263" w:lineRule="auto"/>
        <w:rPr>
          <w:sz w:val="20"/>
          <w:szCs w:val="20"/>
          <w:color w:val="auto"/>
        </w:rPr>
      </w:pPr>
      <w:r>
        <w:rPr>
          <w:rFonts w:ascii="Arial" w:cs="Arial" w:eastAsia="Arial" w:hAnsi="Arial"/>
          <w:sz w:val="17"/>
          <w:szCs w:val="17"/>
          <w:color w:val="auto"/>
        </w:rPr>
        <w:t>On November 27, 2017, our Board of Directors approved a stock repurchase plan, as amended on February 1, 2019, August 27, 2020, and February 17, 2022. Under the plan, we are authorized to repurchase up to $60.0 million of our outstanding shares through November 30, 2023.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have entered into a pre-arranged stock repurchase plan which operates in accordance with guidelines specified under Rule 10b5-1 of the Securities Exchange Act of 1934, as amended. Accordingly, any transactions under such stock repurchase plan will be completed in accordance with the terms of the plan, including specified price, volume and timing conditions. The authorization may be suspended or discontinued at any time. During the three months ended December 31, 2022, we repurchased no shares of our common stock under this repurchase program. At December 31, 2022, there is $27.7 million remaining under this repurchase program.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80" w:type="dxa"/>
            <w:vAlign w:val="bottom"/>
            <w:gridSpan w:val="9"/>
          </w:tcPr>
          <w:p>
            <w:pPr>
              <w:ind w:left="180"/>
              <w:spacing w:after="0"/>
              <w:rPr>
                <w:sz w:val="20"/>
                <w:szCs w:val="20"/>
                <w:color w:val="auto"/>
              </w:rPr>
            </w:pPr>
            <w:r>
              <w:rPr>
                <w:rFonts w:ascii="Arial" w:cs="Arial" w:eastAsia="Arial" w:hAnsi="Arial"/>
                <w:sz w:val="14"/>
                <w:szCs w:val="14"/>
                <w:b w:val="1"/>
                <w:bCs w:val="1"/>
                <w:color w:val="auto"/>
              </w:rPr>
              <w:t>Document Description</w:t>
            </w:r>
          </w:p>
        </w:tc>
        <w:tc>
          <w:tcPr>
            <w:tcW w:w="4440" w:type="dxa"/>
            <w:vAlign w:val="bottom"/>
          </w:tcPr>
          <w:p>
            <w:pPr>
              <w:ind w:left="720"/>
              <w:spacing w:after="0"/>
              <w:rPr>
                <w:sz w:val="20"/>
                <w:szCs w:val="20"/>
                <w:color w:val="auto"/>
              </w:rPr>
            </w:pPr>
            <w:r>
              <w:rPr>
                <w:rFonts w:ascii="Arial" w:cs="Arial" w:eastAsia="Arial" w:hAnsi="Arial"/>
                <w:sz w:val="14"/>
                <w:szCs w:val="14"/>
                <w:b w:val="1"/>
                <w:bCs w:val="1"/>
                <w:color w:val="auto"/>
              </w:rPr>
              <w:t>Filed Herewith or Incorporate by Reference From</w:t>
            </w:r>
          </w:p>
        </w:tc>
      </w:tr>
      <w:tr>
        <w:trPr>
          <w:trHeight w:val="24"/>
        </w:trPr>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71"/>
        </w:trPr>
        <w:tc>
          <w:tcPr>
            <w:tcW w:w="9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140" w:type="dxa"/>
            <w:vAlign w:val="bottom"/>
            <w:gridSpan w:val="11"/>
          </w:tcPr>
          <w:p>
            <w:pPr>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Certificate of Incorporation, as filed with the Delaware Secretary of</w:t>
              </w:r>
            </w:hyperlink>
          </w:p>
        </w:tc>
        <w:tc>
          <w:tcPr>
            <w:tcW w:w="4440" w:type="dxa"/>
            <w:vAlign w:val="bottom"/>
          </w:tcPr>
          <w:p>
            <w:pPr>
              <w:ind w:left="20"/>
              <w:spacing w:after="0"/>
              <w:rPr>
                <w:sz w:val="20"/>
                <w:szCs w:val="20"/>
                <w:color w:val="auto"/>
              </w:rPr>
            </w:pPr>
            <w:r>
              <w:rPr>
                <w:rFonts w:ascii="Arial" w:cs="Arial" w:eastAsia="Arial" w:hAnsi="Arial"/>
                <w:sz w:val="18"/>
                <w:szCs w:val="18"/>
                <w:color w:val="auto"/>
                <w:w w:val="91"/>
              </w:rPr>
              <w:t>Exhibit 3.1 to the Current Report on Form 8-K filed on March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92"/>
              </w:rPr>
            </w:pPr>
            <w:hyperlink r:id="rId47">
              <w:r>
                <w:rPr>
                  <w:rFonts w:ascii="Arial" w:cs="Arial" w:eastAsia="Arial" w:hAnsi="Arial"/>
                  <w:sz w:val="17"/>
                  <w:szCs w:val="17"/>
                  <w:color w:val="0000FF"/>
                  <w:w w:val="92"/>
                </w:rPr>
                <w:t>State on March 9, 2018</w:t>
              </w:r>
            </w:hyperlink>
          </w:p>
        </w:tc>
        <w:tc>
          <w:tcPr>
            <w:tcW w:w="3120" w:type="dxa"/>
            <w:vAlign w:val="bottom"/>
            <w:tcBorders>
              <w:top w:val="single" w:sz="8" w:color="0000FF"/>
            </w:tcBorders>
            <w:gridSpan w:val="4"/>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ind w:left="20"/>
              <w:spacing w:after="0" w:line="152" w:lineRule="exact"/>
              <w:rPr>
                <w:sz w:val="20"/>
                <w:szCs w:val="20"/>
                <w:color w:val="auto"/>
              </w:rPr>
            </w:pPr>
            <w:r>
              <w:rPr>
                <w:rFonts w:ascii="Arial" w:cs="Arial" w:eastAsia="Arial" w:hAnsi="Arial"/>
                <w:sz w:val="17"/>
                <w:szCs w:val="17"/>
                <w:color w:val="auto"/>
              </w:rPr>
              <w:t>13, 2018.</w:t>
            </w:r>
          </w:p>
        </w:tc>
      </w:tr>
      <w:tr>
        <w:trPr>
          <w:trHeight w:val="324"/>
        </w:trPr>
        <w:tc>
          <w:tcPr>
            <w:tcW w:w="9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rFonts w:ascii="Arial" w:cs="Arial" w:eastAsia="Arial" w:hAnsi="Arial"/>
                <w:sz w:val="18"/>
                <w:szCs w:val="18"/>
                <w:color w:val="0000FF"/>
              </w:rPr>
            </w:pPr>
            <w:hyperlink r:id="rId48">
              <w:r>
                <w:rPr>
                  <w:rFonts w:ascii="Arial" w:cs="Arial" w:eastAsia="Arial" w:hAnsi="Arial"/>
                  <w:sz w:val="18"/>
                  <w:szCs w:val="18"/>
                  <w:color w:val="0000FF"/>
                </w:rPr>
                <w:t>Amended and Restated Bylaws, August 9, 2019</w:t>
              </w:r>
            </w:hyperlink>
          </w:p>
        </w:tc>
        <w:tc>
          <w:tcPr>
            <w:tcW w:w="4440" w:type="dxa"/>
            <w:vAlign w:val="bottom"/>
          </w:tcPr>
          <w:p>
            <w:pPr>
              <w:ind w:left="20"/>
              <w:spacing w:after="0"/>
              <w:rPr>
                <w:sz w:val="20"/>
                <w:szCs w:val="20"/>
                <w:color w:val="auto"/>
              </w:rPr>
            </w:pPr>
            <w:r>
              <w:rPr>
                <w:rFonts w:ascii="Arial" w:cs="Arial" w:eastAsia="Arial" w:hAnsi="Arial"/>
                <w:sz w:val="18"/>
                <w:szCs w:val="18"/>
                <w:color w:val="auto"/>
              </w:rPr>
              <w:t>Exhibit 3.1 to the Current Report on Form 8-K filed on</w:t>
            </w:r>
          </w:p>
        </w:tc>
      </w:tr>
      <w:tr>
        <w:trPr>
          <w:trHeight w:val="203"/>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720" w:type="dxa"/>
            <w:vAlign w:val="bottom"/>
            <w:tcBorders>
              <w:top w:val="single" w:sz="8" w:color="0000FF"/>
            </w:tcBorders>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40" w:type="dxa"/>
            <w:vAlign w:val="bottom"/>
          </w:tcPr>
          <w:p>
            <w:pPr>
              <w:ind w:left="20"/>
              <w:spacing w:after="0" w:line="203" w:lineRule="exact"/>
              <w:rPr>
                <w:sz w:val="20"/>
                <w:szCs w:val="20"/>
                <w:color w:val="auto"/>
              </w:rPr>
            </w:pPr>
            <w:r>
              <w:rPr>
                <w:rFonts w:ascii="Arial" w:cs="Arial" w:eastAsia="Arial" w:hAnsi="Arial"/>
                <w:sz w:val="18"/>
                <w:szCs w:val="18"/>
                <w:color w:val="auto"/>
              </w:rPr>
              <w:t>August 15, 2019</w:t>
            </w:r>
          </w:p>
        </w:tc>
      </w:tr>
      <w:tr>
        <w:trPr>
          <w:trHeight w:val="293"/>
        </w:trPr>
        <w:tc>
          <w:tcPr>
            <w:tcW w:w="9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 to Rule 13a-</w:t>
            </w:r>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5"/>
          </w:tcPr>
          <w:p>
            <w:pPr>
              <w:spacing w:after="0" w:line="152" w:lineRule="exact"/>
              <w:rPr>
                <w:sz w:val="20"/>
                <w:szCs w:val="20"/>
                <w:color w:val="auto"/>
              </w:rPr>
            </w:pPr>
            <w:r>
              <w:rPr>
                <w:rFonts w:ascii="Arial" w:cs="Arial" w:eastAsia="Arial" w:hAnsi="Arial"/>
                <w:sz w:val="17"/>
                <w:szCs w:val="17"/>
                <w:color w:val="0000FF"/>
              </w:rPr>
              <w:t>14(a)/15d-14(a)</w:t>
            </w:r>
          </w:p>
        </w:tc>
        <w:tc>
          <w:tcPr>
            <w:tcW w:w="3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4"/>
        </w:trPr>
        <w:tc>
          <w:tcPr>
            <w:tcW w:w="9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Rule 13a-</w:t>
            </w:r>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4"/>
          </w:tcPr>
          <w:p>
            <w:pPr>
              <w:spacing w:after="0" w:line="152" w:lineRule="exact"/>
              <w:rPr>
                <w:sz w:val="20"/>
                <w:szCs w:val="20"/>
                <w:color w:val="auto"/>
              </w:rPr>
            </w:pPr>
            <w:r>
              <w:rPr>
                <w:rFonts w:ascii="Arial" w:cs="Arial" w:eastAsia="Arial" w:hAnsi="Arial"/>
                <w:sz w:val="17"/>
                <w:szCs w:val="17"/>
                <w:color w:val="0000FF"/>
              </w:rPr>
              <w:t>14(a)/15d-14(a)</w:t>
            </w:r>
          </w:p>
        </w:tc>
        <w:tc>
          <w:tcPr>
            <w:tcW w:w="44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24"/>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0000FF"/>
                <w:w w:val="93"/>
              </w:rPr>
              <w:t>Certification of principal executive officer pursuant to 18 U.S.C. 1350,</w:t>
            </w:r>
          </w:p>
        </w:tc>
        <w:tc>
          <w:tcPr>
            <w:tcW w:w="444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8"/>
          </w:tcPr>
          <w:p>
            <w:pPr>
              <w:spacing w:after="0" w:line="152" w:lineRule="exact"/>
              <w:rPr>
                <w:sz w:val="20"/>
                <w:szCs w:val="20"/>
                <w:color w:val="auto"/>
              </w:rPr>
            </w:pPr>
            <w:r>
              <w:rPr>
                <w:rFonts w:ascii="Arial" w:cs="Arial" w:eastAsia="Arial" w:hAnsi="Arial"/>
                <w:sz w:val="17"/>
                <w:szCs w:val="17"/>
                <w:color w:val="0000FF"/>
                <w:w w:val="93"/>
              </w:rPr>
              <w:t>as adopted pursuant to Section 906 of the Sarbanes-Oxley Act of 2002</w:t>
            </w:r>
          </w:p>
        </w:tc>
        <w:tc>
          <w:tcPr>
            <w:tcW w:w="20" w:type="dxa"/>
            <w:vAlign w:val="bottom"/>
            <w:tcBorders>
              <w:top w:val="single" w:sz="8" w:color="0000FF"/>
            </w:tcBorders>
          </w:tcPr>
          <w:p>
            <w:pPr>
              <w:spacing w:after="0"/>
              <w:rPr>
                <w:sz w:val="13"/>
                <w:szCs w:val="13"/>
                <w:color w:val="auto"/>
              </w:rPr>
            </w:pPr>
          </w:p>
        </w:tc>
        <w:tc>
          <w:tcPr>
            <w:tcW w:w="140" w:type="dxa"/>
            <w:vAlign w:val="bottom"/>
            <w:gridSpan w:val="2"/>
          </w:tcPr>
          <w:p>
            <w:pPr>
              <w:spacing w:after="0"/>
              <w:rPr>
                <w:sz w:val="13"/>
                <w:szCs w:val="13"/>
                <w:color w:val="auto"/>
              </w:rPr>
            </w:pPr>
          </w:p>
        </w:tc>
        <w:tc>
          <w:tcPr>
            <w:tcW w:w="4440" w:type="dxa"/>
            <w:vAlign w:val="bottom"/>
          </w:tcPr>
          <w:p>
            <w:pPr>
              <w:spacing w:after="0"/>
              <w:rPr>
                <w:sz w:val="13"/>
                <w:szCs w:val="13"/>
                <w:color w:val="auto"/>
              </w:rPr>
            </w:pPr>
          </w:p>
        </w:tc>
      </w:tr>
      <w:tr>
        <w:trPr>
          <w:trHeight w:val="324"/>
        </w:trPr>
        <w:tc>
          <w:tcPr>
            <w:tcW w:w="98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0000FF"/>
                <w:w w:val="94"/>
              </w:rPr>
              <w:t>Certification of principal financial officer pursuant to 18 U.S.C. 1350,</w:t>
            </w:r>
          </w:p>
        </w:tc>
        <w:tc>
          <w:tcPr>
            <w:tcW w:w="444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152"/>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bottom w:val="single" w:sz="8" w:color="0000FF"/>
            </w:tcBorders>
            <w:gridSpan w:val="7"/>
          </w:tcPr>
          <w:p>
            <w:pPr>
              <w:spacing w:after="0" w:line="152" w:lineRule="exact"/>
              <w:rPr>
                <w:sz w:val="20"/>
                <w:szCs w:val="20"/>
                <w:color w:val="auto"/>
              </w:rPr>
            </w:pPr>
            <w:r>
              <w:rPr>
                <w:rFonts w:ascii="Arial" w:cs="Arial" w:eastAsia="Arial" w:hAnsi="Arial"/>
                <w:sz w:val="17"/>
                <w:szCs w:val="17"/>
                <w:color w:val="0000FF"/>
                <w:w w:val="92"/>
              </w:rPr>
              <w:t>as adopted pursuant to Section 906 of the Sarbanes-Oxley Act of 2002</w:t>
            </w:r>
          </w:p>
        </w:tc>
        <w:tc>
          <w:tcPr>
            <w:tcW w:w="40" w:type="dxa"/>
            <w:vAlign w:val="bottom"/>
            <w:tcBorders>
              <w:bottom w:val="single" w:sz="8" w:color="0000FF"/>
            </w:tcBorders>
          </w:tcPr>
          <w:p>
            <w:pPr>
              <w:spacing w:after="0"/>
              <w:rPr>
                <w:sz w:val="13"/>
                <w:szCs w:val="13"/>
                <w:color w:val="auto"/>
              </w:rPr>
            </w:pPr>
          </w:p>
        </w:tc>
        <w:tc>
          <w:tcPr>
            <w:tcW w:w="160" w:type="dxa"/>
            <w:vAlign w:val="bottom"/>
            <w:gridSpan w:val="3"/>
          </w:tcPr>
          <w:p>
            <w:pPr>
              <w:spacing w:after="0"/>
              <w:rPr>
                <w:sz w:val="13"/>
                <w:szCs w:val="13"/>
                <w:color w:val="auto"/>
              </w:rPr>
            </w:pPr>
          </w:p>
        </w:tc>
        <w:tc>
          <w:tcPr>
            <w:tcW w:w="4440" w:type="dxa"/>
            <w:vAlign w:val="bottom"/>
          </w:tcPr>
          <w:p>
            <w:pPr>
              <w:spacing w:after="0"/>
              <w:rPr>
                <w:sz w:val="13"/>
                <w:szCs w:val="13"/>
                <w:color w:val="auto"/>
              </w:rPr>
            </w:pPr>
          </w:p>
        </w:tc>
      </w:tr>
      <w:tr>
        <w:trPr>
          <w:trHeight w:val="311"/>
        </w:trPr>
        <w:tc>
          <w:tcPr>
            <w:tcW w:w="980" w:type="dxa"/>
            <w:vAlign w:val="bottom"/>
          </w:tcPr>
          <w:p>
            <w:pPr>
              <w:jc w:val="center"/>
              <w:spacing w:after="0"/>
              <w:rPr>
                <w:sz w:val="20"/>
                <w:szCs w:val="20"/>
                <w:color w:val="auto"/>
              </w:rPr>
            </w:pPr>
            <w:r>
              <w:rPr>
                <w:rFonts w:ascii="Arial" w:cs="Arial" w:eastAsia="Arial" w:hAnsi="Arial"/>
                <w:sz w:val="18"/>
                <w:szCs w:val="18"/>
                <w:color w:val="auto"/>
                <w:w w:val="86"/>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w w:val="99"/>
              </w:rPr>
              <w:t>The following financial information from the Company’s quarterly</w:t>
            </w:r>
          </w:p>
        </w:tc>
        <w:tc>
          <w:tcPr>
            <w:tcW w:w="44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rPr>
              <w:t>report on Form 10-Q for the quarter ended December 31, 2022</w:t>
            </w:r>
          </w:p>
        </w:tc>
        <w:tc>
          <w:tcPr>
            <w:tcW w:w="4440" w:type="dxa"/>
            <w:vAlign w:val="bottom"/>
          </w:tcPr>
          <w:p>
            <w:pPr>
              <w:spacing w:after="0"/>
              <w:rPr>
                <w:sz w:val="14"/>
                <w:szCs w:val="14"/>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40" w:type="dxa"/>
            <w:vAlign w:val="bottom"/>
            <w:gridSpan w:val="11"/>
          </w:tcPr>
          <w:p>
            <w:pPr>
              <w:spacing w:after="0" w:line="185" w:lineRule="exact"/>
              <w:rPr>
                <w:sz w:val="20"/>
                <w:szCs w:val="20"/>
                <w:color w:val="auto"/>
              </w:rPr>
            </w:pPr>
            <w:r>
              <w:rPr>
                <w:rFonts w:ascii="Arial" w:cs="Arial" w:eastAsia="Arial" w:hAnsi="Arial"/>
                <w:sz w:val="18"/>
                <w:szCs w:val="18"/>
                <w:color w:val="auto"/>
                <w:w w:val="94"/>
              </w:rPr>
              <w:t>formatted in Inline XBRL (extensible Business Reporting Language):</w:t>
            </w:r>
          </w:p>
        </w:tc>
        <w:tc>
          <w:tcPr>
            <w:tcW w:w="4440" w:type="dxa"/>
            <w:vAlign w:val="bottom"/>
          </w:tcPr>
          <w:p>
            <w:pPr>
              <w:spacing w:after="0"/>
              <w:rPr>
                <w:sz w:val="16"/>
                <w:szCs w:val="16"/>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3"/>
              </w:rPr>
              <w:t>(i) Unaudited Condensed Consolidated Balance Sheets at December</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3"/>
              </w:rPr>
              <w:t>31, 2022 and June 30, 2022; (ii) Unaudited Condensed Consolidated</w:t>
            </w:r>
          </w:p>
        </w:tc>
        <w:tc>
          <w:tcPr>
            <w:tcW w:w="4440" w:type="dxa"/>
            <w:vAlign w:val="bottom"/>
          </w:tcPr>
          <w:p>
            <w:pPr>
              <w:spacing w:after="0"/>
              <w:rPr>
                <w:sz w:val="14"/>
                <w:szCs w:val="14"/>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40" w:type="dxa"/>
            <w:vAlign w:val="bottom"/>
            <w:gridSpan w:val="11"/>
          </w:tcPr>
          <w:p>
            <w:pPr>
              <w:spacing w:after="0" w:line="185" w:lineRule="exact"/>
              <w:rPr>
                <w:sz w:val="20"/>
                <w:szCs w:val="20"/>
                <w:color w:val="auto"/>
              </w:rPr>
            </w:pPr>
            <w:r>
              <w:rPr>
                <w:rFonts w:ascii="Arial" w:cs="Arial" w:eastAsia="Arial" w:hAnsi="Arial"/>
                <w:sz w:val="18"/>
                <w:szCs w:val="18"/>
                <w:color w:val="auto"/>
                <w:w w:val="94"/>
              </w:rPr>
              <w:t>Statements of Operations and Other Comprehensive Income for the</w:t>
            </w:r>
          </w:p>
        </w:tc>
        <w:tc>
          <w:tcPr>
            <w:tcW w:w="4440" w:type="dxa"/>
            <w:vAlign w:val="bottom"/>
          </w:tcPr>
          <w:p>
            <w:pPr>
              <w:spacing w:after="0"/>
              <w:rPr>
                <w:sz w:val="16"/>
                <w:szCs w:val="16"/>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rPr>
              <w:t>three and six months ended December 31, 2022 and 2021; (iii)</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0"/>
              </w:rPr>
              <w:t>Unaudited Condensed Consolidated Statement of Stockholders’ Equity</w:t>
            </w:r>
          </w:p>
        </w:tc>
        <w:tc>
          <w:tcPr>
            <w:tcW w:w="4440" w:type="dxa"/>
            <w:vAlign w:val="bottom"/>
          </w:tcPr>
          <w:p>
            <w:pPr>
              <w:spacing w:after="0"/>
              <w:rPr>
                <w:sz w:val="14"/>
                <w:szCs w:val="14"/>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40" w:type="dxa"/>
            <w:vAlign w:val="bottom"/>
            <w:gridSpan w:val="11"/>
          </w:tcPr>
          <w:p>
            <w:pPr>
              <w:spacing w:after="0" w:line="185" w:lineRule="exact"/>
              <w:rPr>
                <w:sz w:val="20"/>
                <w:szCs w:val="20"/>
                <w:color w:val="auto"/>
              </w:rPr>
            </w:pPr>
            <w:r>
              <w:rPr>
                <w:rFonts w:ascii="Arial" w:cs="Arial" w:eastAsia="Arial" w:hAnsi="Arial"/>
                <w:sz w:val="18"/>
                <w:szCs w:val="18"/>
                <w:color w:val="auto"/>
                <w:w w:val="92"/>
              </w:rPr>
              <w:t>for the three and six months ended December 31, 2022 and 2021; (iv)</w:t>
            </w:r>
          </w:p>
        </w:tc>
        <w:tc>
          <w:tcPr>
            <w:tcW w:w="4440" w:type="dxa"/>
            <w:vAlign w:val="bottom"/>
          </w:tcPr>
          <w:p>
            <w:pPr>
              <w:spacing w:after="0"/>
              <w:rPr>
                <w:sz w:val="16"/>
                <w:szCs w:val="16"/>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1"/>
              </w:rPr>
              <w:t>Unaudited Condensed Consolidated Statements of Cash Flows for the</w:t>
            </w:r>
          </w:p>
        </w:tc>
        <w:tc>
          <w:tcPr>
            <w:tcW w:w="44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40" w:type="dxa"/>
            <w:vAlign w:val="bottom"/>
            <w:gridSpan w:val="11"/>
          </w:tcPr>
          <w:p>
            <w:pPr>
              <w:spacing w:after="0" w:line="172" w:lineRule="exact"/>
              <w:rPr>
                <w:sz w:val="20"/>
                <w:szCs w:val="20"/>
                <w:color w:val="auto"/>
              </w:rPr>
            </w:pPr>
            <w:r>
              <w:rPr>
                <w:rFonts w:ascii="Arial" w:cs="Arial" w:eastAsia="Arial" w:hAnsi="Arial"/>
                <w:sz w:val="18"/>
                <w:szCs w:val="18"/>
                <w:color w:val="auto"/>
                <w:w w:val="98"/>
              </w:rPr>
              <w:t>six months ended December 31, 2022 and 2021; and (v) Notes to</w:t>
            </w:r>
          </w:p>
        </w:tc>
        <w:tc>
          <w:tcPr>
            <w:tcW w:w="4440" w:type="dxa"/>
            <w:vAlign w:val="bottom"/>
          </w:tcPr>
          <w:p>
            <w:pPr>
              <w:spacing w:after="0"/>
              <w:rPr>
                <w:sz w:val="14"/>
                <w:szCs w:val="14"/>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40" w:type="dxa"/>
            <w:vAlign w:val="bottom"/>
            <w:gridSpan w:val="11"/>
          </w:tcPr>
          <w:p>
            <w:pPr>
              <w:spacing w:after="0" w:line="185" w:lineRule="exact"/>
              <w:rPr>
                <w:sz w:val="20"/>
                <w:szCs w:val="20"/>
                <w:color w:val="auto"/>
              </w:rPr>
            </w:pPr>
            <w:r>
              <w:rPr>
                <w:rFonts w:ascii="Arial" w:cs="Arial" w:eastAsia="Arial" w:hAnsi="Arial"/>
                <w:sz w:val="18"/>
                <w:szCs w:val="18"/>
                <w:color w:val="auto"/>
                <w:w w:val="92"/>
              </w:rPr>
              <w:t>Unaudited Condensed Consolidated Financial Statements, tagged as</w:t>
            </w:r>
          </w:p>
        </w:tc>
        <w:tc>
          <w:tcPr>
            <w:tcW w:w="4440" w:type="dxa"/>
            <w:vAlign w:val="bottom"/>
          </w:tcPr>
          <w:p>
            <w:pPr>
              <w:spacing w:after="0"/>
              <w:rPr>
                <w:sz w:val="16"/>
                <w:szCs w:val="16"/>
                <w:color w:val="auto"/>
              </w:rPr>
            </w:pP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blocks of text</w:t>
            </w:r>
          </w:p>
        </w:tc>
        <w:tc>
          <w:tcPr>
            <w:tcW w:w="4440" w:type="dxa"/>
            <w:vAlign w:val="bottom"/>
          </w:tcPr>
          <w:p>
            <w:pPr>
              <w:spacing w:after="0"/>
              <w:rPr>
                <w:sz w:val="19"/>
                <w:szCs w:val="19"/>
                <w:color w:val="auto"/>
              </w:rPr>
            </w:pPr>
          </w:p>
        </w:tc>
      </w:tr>
      <w:tr>
        <w:trPr>
          <w:trHeight w:val="174"/>
        </w:trPr>
        <w:tc>
          <w:tcPr>
            <w:tcW w:w="980" w:type="dxa"/>
            <w:vAlign w:val="bottom"/>
          </w:tcPr>
          <w:p>
            <w:pPr>
              <w:jc w:val="center"/>
              <w:spacing w:after="0" w:line="174" w:lineRule="exact"/>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gridSpan w:val="11"/>
          </w:tcPr>
          <w:p>
            <w:pPr>
              <w:spacing w:after="0" w:line="174" w:lineRule="exact"/>
              <w:rPr>
                <w:sz w:val="20"/>
                <w:szCs w:val="20"/>
                <w:color w:val="auto"/>
              </w:rPr>
            </w:pPr>
            <w:r>
              <w:rPr>
                <w:rFonts w:ascii="Arial" w:cs="Arial" w:eastAsia="Arial" w:hAnsi="Arial"/>
                <w:sz w:val="18"/>
                <w:szCs w:val="18"/>
                <w:color w:val="auto"/>
              </w:rPr>
              <w:t>Cover Page Interactive Data File (formatted as Inline XBRL and</w:t>
            </w:r>
          </w:p>
        </w:tc>
        <w:tc>
          <w:tcPr>
            <w:tcW w:w="4440" w:type="dxa"/>
            <w:vAlign w:val="bottom"/>
          </w:tcPr>
          <w:p>
            <w:pPr>
              <w:ind w:left="20"/>
              <w:spacing w:after="0" w:line="174" w:lineRule="exact"/>
              <w:rPr>
                <w:sz w:val="20"/>
                <w:szCs w:val="20"/>
                <w:color w:val="auto"/>
              </w:rPr>
            </w:pPr>
            <w:r>
              <w:rPr>
                <w:rFonts w:ascii="Arial" w:cs="Arial" w:eastAsia="Arial" w:hAnsi="Arial"/>
                <w:sz w:val="18"/>
                <w:szCs w:val="18"/>
                <w:color w:val="auto"/>
              </w:rPr>
              <w:t>Filed herewith</w:t>
            </w:r>
          </w:p>
        </w:tc>
      </w:tr>
      <w:tr>
        <w:trPr>
          <w:trHeight w:val="223"/>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40" w:type="dxa"/>
            <w:vAlign w:val="bottom"/>
            <w:gridSpan w:val="11"/>
          </w:tcPr>
          <w:p>
            <w:pPr>
              <w:spacing w:after="0"/>
              <w:rPr>
                <w:sz w:val="20"/>
                <w:szCs w:val="20"/>
                <w:color w:val="auto"/>
              </w:rPr>
            </w:pPr>
            <w:r>
              <w:rPr>
                <w:rFonts w:ascii="Arial" w:cs="Arial" w:eastAsia="Arial" w:hAnsi="Arial"/>
                <w:sz w:val="18"/>
                <w:szCs w:val="18"/>
                <w:color w:val="auto"/>
              </w:rPr>
              <w:t>contained in Exhibit 101</w:t>
            </w:r>
          </w:p>
        </w:tc>
        <w:tc>
          <w:tcPr>
            <w:tcW w:w="4440" w:type="dxa"/>
            <w:vAlign w:val="bottom"/>
          </w:tcPr>
          <w:p>
            <w:pPr>
              <w:spacing w:after="0"/>
              <w:rPr>
                <w:sz w:val="19"/>
                <w:szCs w:val="19"/>
                <w:color w:val="auto"/>
              </w:rPr>
            </w:pPr>
          </w:p>
        </w:tc>
      </w:tr>
    </w:tbl>
    <w:p>
      <w:pPr>
        <w:spacing w:after="0" w:line="266" w:lineRule="exact"/>
        <w:rPr>
          <w:sz w:val="20"/>
          <w:szCs w:val="20"/>
          <w:color w:val="auto"/>
        </w:rPr>
      </w:pPr>
    </w:p>
    <w:p>
      <w:pPr>
        <w:ind w:left="1560" w:hanging="666"/>
        <w:spacing w:after="0" w:line="224" w:lineRule="auto"/>
        <w:tabs>
          <w:tab w:leader="none" w:pos="1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20" w:right="239" w:bottom="1440" w:gutter="0" w:footer="0" w:header="0"/>
        </w:sectPr>
      </w:pPr>
    </w:p>
    <w:bookmarkStart w:id="29" w:name="page30"/>
    <w:bookmarkEnd w:id="2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LIFEVANTAGE CORPORATION</w:t>
      </w:r>
    </w:p>
    <w:p>
      <w:pPr>
        <w:spacing w:after="0" w:line="282"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February 2, 2023</w:t>
      </w:r>
      <w:r>
        <w:rPr>
          <w:sz w:val="20"/>
          <w:szCs w:val="20"/>
          <w:color w:val="auto"/>
        </w:rPr>
        <w:tab/>
      </w:r>
      <w:r>
        <w:rPr>
          <w:rFonts w:ascii="Arial" w:cs="Arial" w:eastAsia="Arial" w:hAnsi="Arial"/>
          <w:sz w:val="15"/>
          <w:szCs w:val="15"/>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R. Fife</w:t>
      </w:r>
    </w:p>
    <w:p>
      <w:pPr>
        <w:ind w:left="5520"/>
        <w:spacing w:after="0" w:line="199" w:lineRule="auto"/>
        <w:rPr>
          <w:sz w:val="20"/>
          <w:szCs w:val="20"/>
          <w:color w:val="auto"/>
        </w:rPr>
      </w:pPr>
      <w:r>
        <w:rPr>
          <w:rFonts w:ascii="Arial" w:cs="Arial" w:eastAsia="Arial" w:hAnsi="Arial"/>
          <w:sz w:val="18"/>
          <w:szCs w:val="18"/>
          <w:color w:val="auto"/>
        </w:rPr>
        <w:t>President and Chief Executive Officer</w:t>
      </w:r>
    </w:p>
    <w:p>
      <w:pPr>
        <w:ind w:left="5520"/>
        <w:spacing w:after="0"/>
        <w:rPr>
          <w:sz w:val="20"/>
          <w:szCs w:val="20"/>
          <w:color w:val="auto"/>
        </w:rPr>
      </w:pPr>
      <w:r>
        <w:rPr>
          <w:rFonts w:ascii="Arial" w:cs="Arial" w:eastAsia="Arial" w:hAnsi="Arial"/>
          <w:sz w:val="18"/>
          <w:szCs w:val="18"/>
          <w:color w:val="auto"/>
        </w:rPr>
        <w:t>(Principal Executive Officer)</w:t>
      </w:r>
    </w:p>
    <w:p>
      <w:pPr>
        <w:spacing w:after="0" w:line="268"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February 2, 2023</w:t>
      </w:r>
      <w:r>
        <w:rPr>
          <w:sz w:val="20"/>
          <w:szCs w:val="20"/>
          <w:color w:val="auto"/>
        </w:rPr>
        <w:tab/>
      </w:r>
      <w:r>
        <w:rPr>
          <w:rFonts w:ascii="Arial" w:cs="Arial" w:eastAsia="Arial" w:hAnsi="Arial"/>
          <w:sz w:val="15"/>
          <w:szCs w:val="15"/>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6429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Carl A. Aure</w:t>
      </w:r>
    </w:p>
    <w:p>
      <w:pPr>
        <w:ind w:left="5520"/>
        <w:spacing w:after="0" w:line="199" w:lineRule="auto"/>
        <w:rPr>
          <w:sz w:val="20"/>
          <w:szCs w:val="20"/>
          <w:color w:val="auto"/>
        </w:rPr>
      </w:pPr>
      <w:r>
        <w:rPr>
          <w:rFonts w:ascii="Arial" w:cs="Arial" w:eastAsia="Arial" w:hAnsi="Arial"/>
          <w:sz w:val="18"/>
          <w:szCs w:val="18"/>
          <w:color w:val="auto"/>
        </w:rPr>
        <w:t>Chief Financial Officer</w:t>
      </w:r>
    </w:p>
    <w:p>
      <w:pPr>
        <w:ind w:left="55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320" w:top="1020" w:right="5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Steven R. Fife, certify that:</w:t>
      </w:r>
    </w:p>
    <w:p>
      <w:pPr>
        <w:spacing w:after="0" w:line="150" w:lineRule="exact"/>
        <w:rPr>
          <w:sz w:val="20"/>
          <w:szCs w:val="20"/>
          <w:color w:val="auto"/>
        </w:rPr>
      </w:pPr>
    </w:p>
    <w:p>
      <w:pPr>
        <w:ind w:left="400" w:hanging="394"/>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9" w:lineRule="exact"/>
        <w:rPr>
          <w:rFonts w:ascii="Arial" w:cs="Arial" w:eastAsia="Arial" w:hAnsi="Arial"/>
          <w:sz w:val="18"/>
          <w:szCs w:val="18"/>
          <w:color w:val="auto"/>
        </w:rPr>
      </w:pPr>
    </w:p>
    <w:p>
      <w:pPr>
        <w:ind w:left="400" w:right="100" w:hanging="394"/>
        <w:spacing w:after="0" w:line="364" w:lineRule="auto"/>
        <w:tabs>
          <w:tab w:leader="none" w:pos="4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5"/>
          <w:szCs w:val="15"/>
          <w:color w:val="auto"/>
        </w:rPr>
      </w:pPr>
    </w:p>
    <w:p>
      <w:pPr>
        <w:ind w:left="400" w:right="560" w:hanging="394"/>
        <w:spacing w:after="0" w:line="293" w:lineRule="auto"/>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400" w:right="40" w:hanging="394"/>
        <w:spacing w:after="0" w:line="254"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800" w:right="460" w:hanging="398"/>
        <w:spacing w:after="0" w:line="254" w:lineRule="auto"/>
        <w:tabs>
          <w:tab w:leader="none" w:pos="7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800" w:right="140" w:hanging="398"/>
        <w:spacing w:after="0" w:line="254" w:lineRule="auto"/>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00" w:right="920" w:hanging="398"/>
        <w:spacing w:after="0" w:line="364" w:lineRule="auto"/>
        <w:tabs>
          <w:tab w:leader="none" w:pos="79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800" w:right="20" w:hanging="398"/>
        <w:spacing w:after="0" w:line="254" w:lineRule="auto"/>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400" w:right="480" w:hanging="394"/>
        <w:spacing w:after="0" w:line="364" w:lineRule="auto"/>
        <w:tabs>
          <w:tab w:leader="none" w:pos="4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800" w:right="360" w:hanging="398"/>
        <w:spacing w:after="0" w:line="293" w:lineRule="auto"/>
        <w:tabs>
          <w:tab w:leader="none" w:pos="79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7"/>
          <w:szCs w:val="17"/>
          <w:color w:val="auto"/>
        </w:rPr>
      </w:pPr>
    </w:p>
    <w:p>
      <w:pPr>
        <w:ind w:left="800" w:right="300" w:hanging="398"/>
        <w:spacing w:after="0" w:line="263" w:lineRule="auto"/>
        <w:tabs>
          <w:tab w:leader="none" w:pos="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10795</wp:posOffset>
            </wp:positionV>
            <wp:extent cx="29718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Steven R. Fife</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President and Chief Executive Officer</w:t>
      </w:r>
    </w:p>
    <w:p>
      <w:pPr>
        <w:spacing w:after="0" w:line="206" w:lineRule="auto"/>
        <w:rPr>
          <w:sz w:val="20"/>
          <w:szCs w:val="20"/>
          <w:color w:val="auto"/>
        </w:rPr>
      </w:pPr>
      <w:r>
        <w:rPr>
          <w:rFonts w:ascii="Arial" w:cs="Arial" w:eastAsia="Arial" w:hAnsi="Arial"/>
          <w:sz w:val="35"/>
          <w:szCs w:val="35"/>
          <w:color w:val="auto"/>
          <w:vertAlign w:val="subscript"/>
        </w:rPr>
        <w:t>Date: February 2, 2023</w:t>
      </w:r>
      <w:r>
        <w:rPr>
          <w:rFonts w:ascii="Arial" w:cs="Arial" w:eastAsia="Arial" w:hAnsi="Arial"/>
          <w:sz w:val="18"/>
          <w:szCs w:val="18"/>
          <w:color w:val="auto"/>
        </w:rPr>
        <w:t>(Principal Executive Officer)</w:t>
      </w:r>
    </w:p>
    <w:p>
      <w:pPr>
        <w:sectPr>
          <w:pgSz w:w="11900" w:h="16838" w:orient="portrait"/>
          <w:cols w:equalWidth="0" w:num="1">
            <w:col w:w="11240"/>
          </w:cols>
          <w:pgMar w:left="320" w:top="87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Carl A. Aure, certify that:</w:t>
      </w:r>
    </w:p>
    <w:p>
      <w:pPr>
        <w:spacing w:after="0" w:line="150" w:lineRule="exact"/>
        <w:rPr>
          <w:sz w:val="20"/>
          <w:szCs w:val="20"/>
          <w:color w:val="auto"/>
        </w:rPr>
      </w:pPr>
    </w:p>
    <w:p>
      <w:pPr>
        <w:ind w:left="400" w:hanging="394"/>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49" w:lineRule="exact"/>
        <w:rPr>
          <w:rFonts w:ascii="Arial" w:cs="Arial" w:eastAsia="Arial" w:hAnsi="Arial"/>
          <w:sz w:val="18"/>
          <w:szCs w:val="18"/>
          <w:color w:val="auto"/>
        </w:rPr>
      </w:pPr>
    </w:p>
    <w:p>
      <w:pPr>
        <w:ind w:left="400" w:right="100" w:hanging="394"/>
        <w:spacing w:after="0" w:line="364"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5"/>
          <w:szCs w:val="15"/>
          <w:color w:val="auto"/>
        </w:rPr>
      </w:pPr>
    </w:p>
    <w:p>
      <w:pPr>
        <w:ind w:left="400" w:right="560" w:hanging="394"/>
        <w:spacing w:after="0" w:line="293" w:lineRule="auto"/>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7"/>
          <w:szCs w:val="17"/>
          <w:color w:val="auto"/>
        </w:rPr>
      </w:pPr>
    </w:p>
    <w:p>
      <w:pPr>
        <w:ind w:left="400" w:right="40" w:hanging="394"/>
        <w:spacing w:after="0" w:line="254" w:lineRule="auto"/>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800" w:right="460" w:hanging="398"/>
        <w:spacing w:after="0" w:line="254" w:lineRule="auto"/>
        <w:tabs>
          <w:tab w:leader="none" w:pos="79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800" w:right="140" w:hanging="398"/>
        <w:spacing w:after="0" w:line="254" w:lineRule="auto"/>
        <w:tabs>
          <w:tab w:leader="none" w:pos="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00" w:right="920" w:hanging="398"/>
        <w:spacing w:after="0" w:line="364" w:lineRule="auto"/>
        <w:tabs>
          <w:tab w:leader="none" w:pos="79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5" w:lineRule="exact"/>
        <w:rPr>
          <w:rFonts w:ascii="Arial" w:cs="Arial" w:eastAsia="Arial" w:hAnsi="Arial"/>
          <w:sz w:val="15"/>
          <w:szCs w:val="15"/>
          <w:color w:val="auto"/>
        </w:rPr>
      </w:pPr>
    </w:p>
    <w:p>
      <w:pPr>
        <w:ind w:left="800" w:right="20" w:hanging="398"/>
        <w:spacing w:after="0" w:line="254" w:lineRule="auto"/>
        <w:tabs>
          <w:tab w:leader="none" w:pos="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400" w:right="480" w:hanging="394"/>
        <w:spacing w:after="0" w:line="364" w:lineRule="auto"/>
        <w:tabs>
          <w:tab w:leader="none" w:pos="4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5" w:lineRule="exact"/>
        <w:rPr>
          <w:rFonts w:ascii="Arial" w:cs="Arial" w:eastAsia="Arial" w:hAnsi="Arial"/>
          <w:sz w:val="15"/>
          <w:szCs w:val="15"/>
          <w:color w:val="auto"/>
        </w:rPr>
      </w:pPr>
    </w:p>
    <w:p>
      <w:pPr>
        <w:ind w:left="800" w:right="360" w:hanging="398"/>
        <w:spacing w:after="0" w:line="293"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7"/>
          <w:szCs w:val="17"/>
          <w:color w:val="auto"/>
        </w:rPr>
      </w:pPr>
    </w:p>
    <w:p>
      <w:pPr>
        <w:ind w:left="800" w:right="300" w:hanging="398"/>
        <w:spacing w:after="0" w:line="263" w:lineRule="auto"/>
        <w:tabs>
          <w:tab w:leader="none" w:pos="8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10795</wp:posOffset>
            </wp:positionV>
            <wp:extent cx="29718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Carl A. Aure</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Chief Financial Officer</w:t>
      </w:r>
    </w:p>
    <w:p>
      <w:pPr>
        <w:spacing w:after="0" w:line="206" w:lineRule="auto"/>
        <w:rPr>
          <w:sz w:val="20"/>
          <w:szCs w:val="20"/>
          <w:color w:val="auto"/>
        </w:rPr>
      </w:pPr>
      <w:r>
        <w:rPr>
          <w:rFonts w:ascii="Arial" w:cs="Arial" w:eastAsia="Arial" w:hAnsi="Arial"/>
          <w:sz w:val="35"/>
          <w:szCs w:val="35"/>
          <w:color w:val="auto"/>
          <w:vertAlign w:val="subscript"/>
        </w:rPr>
        <w:t>Date: February 2, 2023</w:t>
      </w:r>
      <w:r>
        <w:rPr>
          <w:rFonts w:ascii="Arial" w:cs="Arial" w:eastAsia="Arial" w:hAnsi="Arial"/>
          <w:sz w:val="18"/>
          <w:szCs w:val="18"/>
          <w:color w:val="auto"/>
        </w:rPr>
        <w:t>(Principal Financial Officer)</w:t>
      </w:r>
    </w:p>
    <w:p>
      <w:pPr>
        <w:sectPr>
          <w:pgSz w:w="11900" w:h="16838" w:orient="portrait"/>
          <w:cols w:equalWidth="0" w:num="1">
            <w:col w:w="11240"/>
          </w:cols>
          <w:pgMar w:left="320" w:top="87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5" w:lineRule="exact"/>
        <w:rPr>
          <w:sz w:val="20"/>
          <w:szCs w:val="20"/>
          <w:color w:val="auto"/>
        </w:rPr>
      </w:pPr>
    </w:p>
    <w:p>
      <w:pPr>
        <w:ind w:right="180" w:firstLine="436"/>
        <w:spacing w:after="0" w:line="27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2022,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106" w:lineRule="exact"/>
        <w:rPr>
          <w:sz w:val="20"/>
          <w:szCs w:val="20"/>
          <w:color w:val="auto"/>
        </w:rPr>
      </w:pPr>
    </w:p>
    <w:p>
      <w:pPr>
        <w:ind w:left="780" w:hanging="378"/>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9" w:lineRule="exact"/>
        <w:rPr>
          <w:rFonts w:ascii="Arial" w:cs="Arial" w:eastAsia="Arial" w:hAnsi="Arial"/>
          <w:sz w:val="18"/>
          <w:szCs w:val="18"/>
          <w:color w:val="auto"/>
        </w:rPr>
      </w:pPr>
    </w:p>
    <w:p>
      <w:pPr>
        <w:ind w:left="780" w:hanging="378"/>
        <w:spacing w:after="0"/>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0" w:firstLine="436"/>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10795</wp:posOffset>
            </wp:positionV>
            <wp:extent cx="29718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Steven R. Fife</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President and Chief Executive Officer</w:t>
      </w:r>
    </w:p>
    <w:p>
      <w:pPr>
        <w:spacing w:after="0" w:line="206" w:lineRule="auto"/>
        <w:rPr>
          <w:sz w:val="20"/>
          <w:szCs w:val="20"/>
          <w:color w:val="auto"/>
        </w:rPr>
      </w:pPr>
      <w:r>
        <w:rPr>
          <w:rFonts w:ascii="Arial" w:cs="Arial" w:eastAsia="Arial" w:hAnsi="Arial"/>
          <w:sz w:val="35"/>
          <w:szCs w:val="35"/>
          <w:color w:val="auto"/>
          <w:vertAlign w:val="subscript"/>
        </w:rPr>
        <w:t>Date: February 2, 2023</w:t>
      </w:r>
      <w:r>
        <w:rPr>
          <w:rFonts w:ascii="Arial" w:cs="Arial" w:eastAsia="Arial" w:hAnsi="Arial"/>
          <w:sz w:val="18"/>
          <w:szCs w:val="18"/>
          <w:color w:val="auto"/>
        </w:rPr>
        <w:t>(Principal Executive Officer)</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5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16"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5" w:lineRule="exact"/>
        <w:rPr>
          <w:sz w:val="20"/>
          <w:szCs w:val="20"/>
          <w:color w:val="auto"/>
        </w:rPr>
      </w:pPr>
    </w:p>
    <w:p>
      <w:pPr>
        <w:jc w:val="both"/>
        <w:ind w:right="320" w:firstLine="436"/>
        <w:spacing w:after="0" w:line="27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December 31, 2022, with the Securities and Exchange Commission on the date hereof (the “report”), I, Carl A. Aure, Principal Financial Officer of the Company, certify, pursuant to 18 U.S.C. Section 1350, as adopted pursuant to Section 906 of the Sarbanes-Oxley Act of 2002, that:</w:t>
      </w:r>
    </w:p>
    <w:p>
      <w:pPr>
        <w:spacing w:after="0" w:line="106" w:lineRule="exact"/>
        <w:rPr>
          <w:sz w:val="20"/>
          <w:szCs w:val="20"/>
          <w:color w:val="auto"/>
        </w:rPr>
      </w:pPr>
    </w:p>
    <w:p>
      <w:pPr>
        <w:ind w:left="780" w:hanging="378"/>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9" w:lineRule="exact"/>
        <w:rPr>
          <w:rFonts w:ascii="Arial" w:cs="Arial" w:eastAsia="Arial" w:hAnsi="Arial"/>
          <w:sz w:val="18"/>
          <w:szCs w:val="18"/>
          <w:color w:val="auto"/>
        </w:rPr>
      </w:pPr>
    </w:p>
    <w:p>
      <w:pPr>
        <w:ind w:left="780" w:hanging="378"/>
        <w:spacing w:after="0"/>
        <w:tabs>
          <w:tab w:leader="none" w:pos="7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right="200" w:firstLine="436"/>
        <w:spacing w:after="0" w:line="263"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5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1044575</wp:posOffset>
            </wp:positionH>
            <wp:positionV relativeFrom="paragraph">
              <wp:posOffset>10795</wp:posOffset>
            </wp:positionV>
            <wp:extent cx="29718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pacing w:after="0" w:line="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Carl A. Aure</w:t>
      </w:r>
    </w:p>
    <w:p>
      <w:pPr>
        <w:spacing w:after="0" w:line="1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Chief Financial Officer</w:t>
      </w:r>
    </w:p>
    <w:p>
      <w:pPr>
        <w:spacing w:after="0" w:line="206" w:lineRule="auto"/>
        <w:rPr>
          <w:sz w:val="20"/>
          <w:szCs w:val="20"/>
          <w:color w:val="auto"/>
        </w:rPr>
      </w:pPr>
      <w:r>
        <w:rPr>
          <w:rFonts w:ascii="Arial" w:cs="Arial" w:eastAsia="Arial" w:hAnsi="Arial"/>
          <w:sz w:val="35"/>
          <w:szCs w:val="35"/>
          <w:color w:val="auto"/>
          <w:vertAlign w:val="subscript"/>
        </w:rPr>
        <w:t>Date: February 2, 2023</w:t>
      </w:r>
      <w:r>
        <w:rPr>
          <w:rFonts w:ascii="Arial" w:cs="Arial" w:eastAsia="Arial" w:hAnsi="Arial"/>
          <w:sz w:val="18"/>
          <w:szCs w:val="18"/>
          <w:color w:val="auto"/>
        </w:rPr>
        <w:t>(Principal Financial Officer)</w:t>
      </w:r>
    </w:p>
    <w:p>
      <w:pPr>
        <w:spacing w:after="0" w:line="12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lowerRoman"/>
      <w:start w:val="5"/>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7" Type="http://schemas.openxmlformats.org/officeDocument/2006/relationships/hyperlink" Target="http://www.sec.gov/Archives/edgar/data/849146/000084914618000046/ex31-certificateofincorpor.htm" TargetMode="External"/><Relationship Id="rId48" Type="http://schemas.openxmlformats.org/officeDocument/2006/relationships/hyperlink" Target="http://www.sec.gov/Archives/edgar/data/849146/000084914619000066/lifevantage-amendedandres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2023-02-02T15:16:09Z</dcterms:created>
  <dcterms:modified xsi:type="dcterms:W3CDTF">2023-02-02T15:16:09Z</dcterms:modified>
</cp:coreProperties>
</file>