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3"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10-Q</w:t>
      </w:r>
    </w:p>
    <w:p>
      <w:pPr>
        <w:spacing w:after="0" w:line="37"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3" w:lineRule="exact"/>
        <w:rPr>
          <w:sz w:val="24"/>
          <w:szCs w:val="24"/>
          <w:color w:val="auto"/>
        </w:rPr>
      </w:pPr>
    </w:p>
    <w:p>
      <w:pPr>
        <w:ind w:left="680" w:hanging="643"/>
        <w:spacing w:after="0"/>
        <w:tabs>
          <w:tab w:leader="none" w:pos="68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UNDER SECTION 13 OR 15 (d) OF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40" w:lineRule="exact"/>
        <w:rPr>
          <w:sz w:val="24"/>
          <w:szCs w:val="24"/>
          <w:color w:val="auto"/>
        </w:rPr>
      </w:pPr>
    </w:p>
    <w:p>
      <w:pPr>
        <w:ind w:left="680" w:hanging="643"/>
        <w:spacing w:after="0"/>
        <w:tabs>
          <w:tab w:leader="none" w:pos="68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96" w:lineRule="exact"/>
        <w:rPr>
          <w:sz w:val="24"/>
          <w:szCs w:val="24"/>
          <w:color w:val="auto"/>
        </w:rPr>
      </w:pPr>
    </w:p>
    <w:p>
      <w:pPr>
        <w:ind w:left="2920"/>
        <w:spacing w:after="0"/>
        <w:tabs>
          <w:tab w:leader="none" w:pos="71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3952875</wp:posOffset>
            </wp:positionH>
            <wp:positionV relativeFrom="paragraph">
              <wp:posOffset>-10160</wp:posOffset>
            </wp:positionV>
            <wp:extent cx="1334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001-35647</w:t>
      </w:r>
    </w:p>
    <w:p>
      <w:pPr>
        <w:spacing w:after="0" w:line="19"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LIFEVANTAGE CORPORATION</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3280" w:type="dxa"/>
            <w:vAlign w:val="bottom"/>
          </w:tcPr>
          <w:p>
            <w:pPr>
              <w:jc w:val="right"/>
              <w:ind w:right="81"/>
              <w:spacing w:after="0"/>
              <w:rPr>
                <w:sz w:val="20"/>
                <w:szCs w:val="20"/>
                <w:color w:val="auto"/>
              </w:rPr>
            </w:pPr>
            <w:r>
              <w:rPr>
                <w:rFonts w:ascii="Arial" w:cs="Arial" w:eastAsia="Arial" w:hAnsi="Arial"/>
                <w:sz w:val="18"/>
                <w:szCs w:val="18"/>
                <w:b w:val="1"/>
                <w:bCs w:val="1"/>
                <w:color w:val="auto"/>
              </w:rPr>
              <w:t>Delaware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ind w:left="600"/>
              <w:spacing w:after="0"/>
              <w:rPr>
                <w:sz w:val="20"/>
                <w:szCs w:val="20"/>
                <w:color w:val="auto"/>
              </w:rPr>
            </w:pPr>
            <w:r>
              <w:rPr>
                <w:rFonts w:ascii="Arial" w:cs="Arial" w:eastAsia="Arial" w:hAnsi="Arial"/>
                <w:sz w:val="18"/>
                <w:szCs w:val="18"/>
                <w:b w:val="1"/>
                <w:bCs w:val="1"/>
                <w:color w:val="auto"/>
              </w:rPr>
              <w:t>90-0224471</w:t>
            </w:r>
          </w:p>
        </w:tc>
      </w:tr>
      <w:tr>
        <w:trPr>
          <w:trHeight w:val="180"/>
        </w:trPr>
        <w:tc>
          <w:tcPr>
            <w:tcW w:w="7520" w:type="dxa"/>
            <w:vAlign w:val="bottom"/>
            <w:gridSpan w:val="5"/>
          </w:tcPr>
          <w:p>
            <w:pPr>
              <w:ind w:left="1080"/>
              <w:spacing w:after="0"/>
              <w:rPr>
                <w:sz w:val="20"/>
                <w:szCs w:val="20"/>
                <w:color w:val="auto"/>
              </w:rPr>
            </w:pPr>
            <w:r>
              <w:rPr>
                <w:rFonts w:ascii="Arial" w:cs="Arial" w:eastAsia="Arial" w:hAnsi="Arial"/>
                <w:sz w:val="14"/>
                <w:szCs w:val="14"/>
                <w:color w:val="auto"/>
              </w:rPr>
              <w:t>(State or other jurisdiction of incorporation or organization)</w:t>
            </w:r>
          </w:p>
        </w:tc>
        <w:tc>
          <w:tcPr>
            <w:tcW w:w="3680" w:type="dxa"/>
            <w:vAlign w:val="bottom"/>
          </w:tcPr>
          <w:p>
            <w:pPr>
              <w:ind w:left="40"/>
              <w:spacing w:after="0"/>
              <w:rPr>
                <w:sz w:val="20"/>
                <w:szCs w:val="20"/>
                <w:color w:val="auto"/>
              </w:rPr>
            </w:pPr>
            <w:r>
              <w:rPr>
                <w:rFonts w:ascii="Arial" w:cs="Arial" w:eastAsia="Arial" w:hAnsi="Arial"/>
                <w:sz w:val="14"/>
                <w:szCs w:val="14"/>
                <w:color w:val="auto"/>
              </w:rPr>
              <w:t>(IRS Employer Identification No.)</w:t>
            </w:r>
          </w:p>
        </w:tc>
      </w:tr>
      <w:tr>
        <w:trPr>
          <w:trHeight w:val="455"/>
        </w:trPr>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3300 Triumph Blvd, Suite 700, Lehi, UT 84043</w:t>
            </w:r>
          </w:p>
        </w:tc>
        <w:tc>
          <w:tcPr>
            <w:tcW w:w="3680" w:type="dxa"/>
            <w:vAlign w:val="bottom"/>
          </w:tcPr>
          <w:p>
            <w:pPr>
              <w:spacing w:after="0"/>
              <w:rPr>
                <w:sz w:val="24"/>
                <w:szCs w:val="24"/>
                <w:color w:val="auto"/>
              </w:rPr>
            </w:pPr>
          </w:p>
        </w:tc>
      </w:tr>
      <w:tr>
        <w:trPr>
          <w:trHeight w:val="180"/>
        </w:trPr>
        <w:tc>
          <w:tcPr>
            <w:tcW w:w="3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(Address of principal executive offices, including zip code)</w:t>
            </w:r>
          </w:p>
        </w:tc>
        <w:tc>
          <w:tcPr>
            <w:tcW w:w="3680" w:type="dxa"/>
            <w:vAlign w:val="bottom"/>
          </w:tcPr>
          <w:p>
            <w:pPr>
              <w:spacing w:after="0"/>
              <w:rPr>
                <w:sz w:val="15"/>
                <w:szCs w:val="15"/>
                <w:color w:val="auto"/>
              </w:rPr>
            </w:pPr>
          </w:p>
        </w:tc>
      </w:tr>
      <w:tr>
        <w:trPr>
          <w:trHeight w:val="349"/>
        </w:trPr>
        <w:tc>
          <w:tcPr>
            <w:tcW w:w="3280" w:type="dxa"/>
            <w:vAlign w:val="bottom"/>
          </w:tcPr>
          <w:p>
            <w:pPr>
              <w:spacing w:after="0"/>
              <w:rPr>
                <w:sz w:val="24"/>
                <w:szCs w:val="24"/>
                <w:color w:val="auto"/>
              </w:rPr>
            </w:pPr>
          </w:p>
        </w:tc>
        <w:tc>
          <w:tcPr>
            <w:tcW w:w="4140" w:type="dxa"/>
            <w:vAlign w:val="bottom"/>
            <w:gridSpan w:val="3"/>
          </w:tcPr>
          <w:p>
            <w:pPr>
              <w:jc w:val="center"/>
              <w:ind w:left="432"/>
              <w:spacing w:after="0"/>
              <w:rPr>
                <w:sz w:val="20"/>
                <w:szCs w:val="20"/>
                <w:color w:val="auto"/>
              </w:rPr>
            </w:pPr>
            <w:r>
              <w:rPr>
                <w:rFonts w:ascii="Arial" w:cs="Arial" w:eastAsia="Arial" w:hAnsi="Arial"/>
                <w:sz w:val="18"/>
                <w:szCs w:val="18"/>
                <w:b w:val="1"/>
                <w:bCs w:val="1"/>
                <w:color w:val="auto"/>
                <w:w w:val="89"/>
              </w:rPr>
              <w:t>(801) 432-9000</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80"/>
        </w:trPr>
        <w:tc>
          <w:tcPr>
            <w:tcW w:w="3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60"/>
              <w:spacing w:after="0"/>
              <w:rPr>
                <w:sz w:val="20"/>
                <w:szCs w:val="20"/>
                <w:color w:val="auto"/>
              </w:rPr>
            </w:pPr>
            <w:r>
              <w:rPr>
                <w:rFonts w:ascii="Arial" w:cs="Arial" w:eastAsia="Arial" w:hAnsi="Arial"/>
                <w:sz w:val="14"/>
                <w:szCs w:val="14"/>
                <w:color w:val="auto"/>
                <w:w w:val="90"/>
              </w:rPr>
              <w:t>(Registrant’s telephone number)</w:t>
            </w:r>
          </w:p>
        </w:tc>
        <w:tc>
          <w:tcPr>
            <w:tcW w:w="3680" w:type="dxa"/>
            <w:vAlign w:val="bottom"/>
          </w:tcPr>
          <w:p>
            <w:pPr>
              <w:spacing w:after="0"/>
              <w:rPr>
                <w:sz w:val="15"/>
                <w:szCs w:val="15"/>
                <w:color w:val="auto"/>
              </w:rPr>
            </w:pPr>
          </w:p>
        </w:tc>
      </w:tr>
      <w:tr>
        <w:trPr>
          <w:trHeight w:val="446"/>
        </w:trPr>
        <w:tc>
          <w:tcPr>
            <w:tcW w:w="3280" w:type="dxa"/>
            <w:vAlign w:val="bottom"/>
          </w:tcPr>
          <w:p>
            <w:pPr>
              <w:spacing w:after="0"/>
              <w:rPr>
                <w:sz w:val="24"/>
                <w:szCs w:val="24"/>
                <w:color w:val="auto"/>
              </w:rPr>
            </w:pPr>
          </w:p>
        </w:tc>
        <w:tc>
          <w:tcPr>
            <w:tcW w:w="7920" w:type="dxa"/>
            <w:vAlign w:val="bottom"/>
            <w:gridSpan w:val="5"/>
          </w:tcPr>
          <w:p>
            <w:pPr>
              <w:jc w:val="center"/>
              <w:ind w:right="3201"/>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252"/>
        </w:trPr>
        <w:tc>
          <w:tcPr>
            <w:tcW w:w="3280" w:type="dxa"/>
            <w:vAlign w:val="bottom"/>
          </w:tcPr>
          <w:p>
            <w:pPr>
              <w:jc w:val="right"/>
              <w:ind w:right="81"/>
              <w:spacing w:after="0"/>
              <w:rPr>
                <w:sz w:val="20"/>
                <w:szCs w:val="20"/>
                <w:color w:val="auto"/>
              </w:rPr>
            </w:pPr>
            <w:r>
              <w:rPr>
                <w:rFonts w:ascii="Arial" w:cs="Arial" w:eastAsia="Arial" w:hAnsi="Arial"/>
                <w:sz w:val="18"/>
                <w:szCs w:val="18"/>
                <w:b w:val="1"/>
                <w:bCs w:val="1"/>
                <w:color w:val="auto"/>
              </w:rPr>
              <w:t>Common Stock, par value $0.0001</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LFVN</w:t>
            </w:r>
          </w:p>
        </w:tc>
        <w:tc>
          <w:tcPr>
            <w:tcW w:w="3680" w:type="dxa"/>
            <w:vAlign w:val="bottom"/>
          </w:tcPr>
          <w:p>
            <w:pPr>
              <w:ind w:left="660"/>
              <w:spacing w:after="0"/>
              <w:rPr>
                <w:sz w:val="20"/>
                <w:szCs w:val="20"/>
                <w:color w:val="auto"/>
              </w:rPr>
            </w:pPr>
            <w:r>
              <w:rPr>
                <w:rFonts w:ascii="Arial" w:cs="Arial" w:eastAsia="Arial" w:hAnsi="Arial"/>
                <w:sz w:val="18"/>
                <w:szCs w:val="18"/>
                <w:b w:val="1"/>
                <w:bCs w:val="1"/>
                <w:color w:val="auto"/>
              </w:rPr>
              <w:t>The Nasdaq Stock Market LLC</w:t>
            </w:r>
          </w:p>
        </w:tc>
      </w:tr>
      <w:tr>
        <w:trPr>
          <w:trHeight w:val="173"/>
        </w:trPr>
        <w:tc>
          <w:tcPr>
            <w:tcW w:w="3280" w:type="dxa"/>
            <w:vAlign w:val="bottom"/>
            <w:tcBorders>
              <w:top w:val="single" w:sz="8" w:color="auto"/>
            </w:tcBorders>
          </w:tcPr>
          <w:p>
            <w:pPr>
              <w:jc w:val="right"/>
              <w:ind w:right="861"/>
              <w:spacing w:after="0"/>
              <w:rPr>
                <w:sz w:val="20"/>
                <w:szCs w:val="20"/>
                <w:color w:val="auto"/>
              </w:rPr>
            </w:pPr>
            <w:r>
              <w:rPr>
                <w:rFonts w:ascii="Arial" w:cs="Arial" w:eastAsia="Arial" w:hAnsi="Arial"/>
                <w:sz w:val="14"/>
                <w:szCs w:val="14"/>
                <w:color w:val="auto"/>
              </w:rPr>
              <w:t>Title of each class</w:t>
            </w: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Trading Symbol(s)</w:t>
            </w:r>
          </w:p>
        </w:tc>
        <w:tc>
          <w:tcPr>
            <w:tcW w:w="100" w:type="dxa"/>
            <w:vAlign w:val="bottom"/>
          </w:tcPr>
          <w:p>
            <w:pPr>
              <w:spacing w:after="0"/>
              <w:rPr>
                <w:sz w:val="15"/>
                <w:szCs w:val="15"/>
                <w:color w:val="auto"/>
              </w:rPr>
            </w:pPr>
          </w:p>
        </w:tc>
        <w:tc>
          <w:tcPr>
            <w:tcW w:w="3680" w:type="dxa"/>
            <w:vAlign w:val="bottom"/>
            <w:tcBorders>
              <w:top w:val="single" w:sz="8" w:color="auto"/>
            </w:tcBorders>
          </w:tcPr>
          <w:p>
            <w:pPr>
              <w:ind w:left="600"/>
              <w:spacing w:after="0"/>
              <w:rPr>
                <w:sz w:val="20"/>
                <w:szCs w:val="20"/>
                <w:color w:val="auto"/>
              </w:rPr>
            </w:pPr>
            <w:r>
              <w:rPr>
                <w:rFonts w:ascii="Arial" w:cs="Arial" w:eastAsia="Arial" w:hAnsi="Arial"/>
                <w:sz w:val="14"/>
                <w:szCs w:val="14"/>
                <w:color w:val="auto"/>
              </w:rPr>
              <w:t>Name of each exchange on which registered</w:t>
            </w:r>
          </w:p>
        </w:tc>
      </w:tr>
    </w:tbl>
    <w:p>
      <w:pPr>
        <w:spacing w:after="0" w:line="84"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47" w:lineRule="exact"/>
        <w:rPr>
          <w:sz w:val="24"/>
          <w:szCs w:val="24"/>
          <w:color w:val="auto"/>
        </w:rPr>
      </w:pPr>
    </w:p>
    <w:p>
      <w:pPr>
        <w:spacing w:after="0" w:line="20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ind w:right="40"/>
        <w:spacing w:after="0" w:line="21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ind w:right="200"/>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35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20" w:type="dxa"/>
            <w:vAlign w:val="bottom"/>
          </w:tcPr>
          <w:p>
            <w:pPr>
              <w:ind w:left="162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140"/>
              <w:spacing w:after="0"/>
              <w:rPr>
                <w:sz w:val="20"/>
                <w:szCs w:val="20"/>
                <w:color w:val="auto"/>
              </w:rPr>
            </w:pPr>
            <w:r>
              <w:rPr>
                <w:rFonts w:ascii="Arial" w:cs="Arial" w:eastAsia="Arial" w:hAnsi="Arial"/>
                <w:sz w:val="17"/>
                <w:szCs w:val="17"/>
                <w:color w:val="auto"/>
              </w:rPr>
              <w:t>Accelerated filer</w:t>
            </w:r>
          </w:p>
        </w:tc>
        <w:tc>
          <w:tcPr>
            <w:tcW w:w="182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25"/>
        </w:trPr>
        <w:tc>
          <w:tcPr>
            <w:tcW w:w="3540" w:type="dxa"/>
            <w:vAlign w:val="bottom"/>
          </w:tcPr>
          <w:p>
            <w:pPr>
              <w:spacing w:after="0"/>
              <w:rPr>
                <w:sz w:val="20"/>
                <w:szCs w:val="20"/>
                <w:color w:val="auto"/>
              </w:rPr>
            </w:pPr>
            <w:r>
              <w:rPr>
                <w:rFonts w:ascii="Arial" w:cs="Arial" w:eastAsia="Arial" w:hAnsi="Arial"/>
                <w:sz w:val="17"/>
                <w:szCs w:val="17"/>
                <w:color w:val="auto"/>
              </w:rPr>
              <w:t>Non-accelerated filer</w:t>
            </w:r>
          </w:p>
        </w:tc>
        <w:tc>
          <w:tcPr>
            <w:tcW w:w="1920" w:type="dxa"/>
            <w:vAlign w:val="bottom"/>
          </w:tcPr>
          <w:p>
            <w:pPr>
              <w:ind w:left="162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140"/>
              <w:spacing w:after="0"/>
              <w:rPr>
                <w:sz w:val="20"/>
                <w:szCs w:val="20"/>
                <w:color w:val="auto"/>
              </w:rPr>
            </w:pPr>
            <w:r>
              <w:rPr>
                <w:rFonts w:ascii="Arial" w:cs="Arial" w:eastAsia="Arial" w:hAnsi="Arial"/>
                <w:sz w:val="17"/>
                <w:szCs w:val="17"/>
                <w:color w:val="auto"/>
              </w:rPr>
              <w:t>Smaller reporting company</w:t>
            </w:r>
          </w:p>
        </w:tc>
        <w:tc>
          <w:tcPr>
            <w:tcW w:w="182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8"/>
        </w:trPr>
        <w:tc>
          <w:tcPr>
            <w:tcW w:w="354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92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42" w:lineRule="exact"/>
        <w:rPr>
          <w:sz w:val="24"/>
          <w:szCs w:val="24"/>
          <w:color w:val="auto"/>
        </w:rPr>
      </w:pPr>
    </w:p>
    <w:p>
      <w:pPr>
        <w:ind w:right="220"/>
        <w:spacing w:after="0" w:line="21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7" w:lineRule="exact"/>
        <w:rPr>
          <w:sz w:val="24"/>
          <w:szCs w:val="24"/>
          <w:color w:val="auto"/>
        </w:rPr>
      </w:pPr>
    </w:p>
    <w:p>
      <w:pPr>
        <w:ind w:right="2440"/>
        <w:spacing w:after="0" w:line="30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outstanding of the issuer’s common stock, par value $0.0001 per share, as of April 29, 2022 was 12,590,098.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535305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3" w:lineRule="exact"/>
        <w:rPr>
          <w:sz w:val="20"/>
          <w:szCs w:val="20"/>
          <w:color w:val="auto"/>
        </w:rPr>
      </w:pPr>
    </w:p>
    <w:p>
      <w:pPr>
        <w:ind w:right="60" w:firstLine="397"/>
        <w:spacing w:after="0" w:line="303" w:lineRule="auto"/>
        <w:rPr>
          <w:sz w:val="20"/>
          <w:szCs w:val="20"/>
          <w:color w:val="auto"/>
        </w:rPr>
      </w:pPr>
      <w:r>
        <w:rPr>
          <w:rFonts w:ascii="Arial" w:cs="Arial" w:eastAsia="Arial" w:hAnsi="Arial"/>
          <w:sz w:val="15"/>
          <w:szCs w:val="15"/>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89"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37" w:lineRule="exact"/>
        <w:rPr>
          <w:sz w:val="20"/>
          <w:szCs w:val="20"/>
          <w:color w:val="auto"/>
        </w:rPr>
      </w:pPr>
    </w:p>
    <w:p>
      <w:pPr>
        <w:ind w:left="640" w:right="40" w:hanging="317"/>
        <w:spacing w:after="0" w:line="263" w:lineRule="auto"/>
        <w:tabs>
          <w:tab w:leader="none" w:pos="636"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Inability to properly manage, motivate and retain our independent distributors or to attract new customers and independent distributors on an ongoing basis;</w:t>
      </w:r>
    </w:p>
    <w:p>
      <w:pPr>
        <w:spacing w:after="0" w:line="114" w:lineRule="exact"/>
        <w:rPr>
          <w:rFonts w:ascii="Arial" w:cs="Arial" w:eastAsia="Arial" w:hAnsi="Arial"/>
          <w:sz w:val="18"/>
          <w:szCs w:val="18"/>
          <w:b w:val="1"/>
          <w:bCs w:val="1"/>
          <w:color w:val="auto"/>
        </w:rPr>
      </w:pPr>
    </w:p>
    <w:p>
      <w:pPr>
        <w:ind w:left="640" w:right="100" w:hanging="317"/>
        <w:spacing w:after="0" w:line="263"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or the widespread outbreak of any other illness or communicable disease or any other public health crisis, could adversely affect our business, results of operations and financial condition;</w:t>
      </w:r>
    </w:p>
    <w:p>
      <w:pPr>
        <w:spacing w:after="0" w:line="114"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protect against cyber security risks and to maintain the integrity of data;</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existing markets, open new international markets or expand our operations;</w:t>
      </w:r>
    </w:p>
    <w:p>
      <w:pPr>
        <w:spacing w:after="0" w:line="149" w:lineRule="exact"/>
        <w:rPr>
          <w:rFonts w:ascii="Arial" w:cs="Arial" w:eastAsia="Arial" w:hAnsi="Arial"/>
          <w:sz w:val="18"/>
          <w:szCs w:val="18"/>
          <w:color w:val="auto"/>
        </w:rPr>
      </w:pPr>
    </w:p>
    <w:p>
      <w:pPr>
        <w:ind w:left="640" w:hanging="317"/>
        <w:spacing w:after="0" w:line="263"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 including making improper and/or illegal claims about our products or earnings opportunity;</w:t>
      </w:r>
    </w:p>
    <w:p>
      <w:pPr>
        <w:spacing w:after="0" w:line="114"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new products and technological innovations to gain customer or independent distributor or market acceptance;</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to execute our product launch process due to increased pressure on our supply chain, information systems and management;</w:t>
      </w:r>
    </w:p>
    <w:p>
      <w:pPr>
        <w:spacing w:after="0" w:line="161" w:lineRule="exact"/>
        <w:rPr>
          <w:rFonts w:ascii="Arial" w:cs="Arial" w:eastAsia="Arial" w:hAnsi="Arial"/>
          <w:sz w:val="17"/>
          <w:szCs w:val="17"/>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appropriately manage our inventory;</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effects on our business and stock price due to ineffective internal controls;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comply with financial covenants imposed by our credit facility and the impact of debt service obligations and restrictive debt covenants;</w:t>
      </w:r>
    </w:p>
    <w:p>
      <w:pPr>
        <w:spacing w:after="0" w:line="184" w:lineRule="exact"/>
        <w:rPr>
          <w:rFonts w:ascii="Arial" w:cs="Arial" w:eastAsia="Arial" w:hAnsi="Arial"/>
          <w:sz w:val="15"/>
          <w:szCs w:val="15"/>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 fluctuations;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or complete desired acquisitions;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a few products for revenue;</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materials for our products may become difficult to obtain or expensive;</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manufacture our products;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the transportation channels used to distribute our products;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a product recall;</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2" w:name="page3"/>
    <w:bookmarkEnd w:id="2"/>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publicity on our business or products;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direct selling program could be found to not be in compliance with current or newly adopted laws or regulations in various markets;</w:t>
      </w:r>
    </w:p>
    <w:p>
      <w:pPr>
        <w:spacing w:after="0" w:line="148" w:lineRule="exact"/>
        <w:rPr>
          <w:rFonts w:ascii="Arial" w:cs="Arial" w:eastAsia="Arial" w:hAnsi="Arial"/>
          <w:sz w:val="17"/>
          <w:szCs w:val="17"/>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may be expensive and time consuming;</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investigatory and enforcement action;</w:t>
      </w:r>
    </w:p>
    <w:p>
      <w:pPr>
        <w:spacing w:after="0" w:line="149" w:lineRule="exact"/>
        <w:rPr>
          <w:rFonts w:ascii="Arial" w:cs="Arial" w:eastAsia="Arial" w:hAnsi="Arial"/>
          <w:sz w:val="18"/>
          <w:szCs w:val="18"/>
          <w:color w:val="auto"/>
        </w:rPr>
      </w:pPr>
    </w:p>
    <w:p>
      <w:pPr>
        <w:ind w:left="640" w:right="160" w:hanging="317"/>
        <w:spacing w:after="0" w:line="263"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authorities may question our tax positions or transfer pricing policies or change their laws in a manner that could increase our effective tax rate or otherwise harm our business;</w:t>
      </w:r>
    </w:p>
    <w:p>
      <w:pPr>
        <w:spacing w:after="0" w:line="114"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laws;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held responsible for certain taxes or assessments and other obligations relating to the activity of our independent distributors;</w:t>
      </w:r>
    </w:p>
    <w:p>
      <w:pPr>
        <w:spacing w:after="0" w:line="161" w:lineRule="exact"/>
        <w:rPr>
          <w:rFonts w:ascii="Arial" w:cs="Arial" w:eastAsia="Arial" w:hAnsi="Arial"/>
          <w:sz w:val="17"/>
          <w:szCs w:val="17"/>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dietary supplement and personal care markets;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claims that we infringe on their intellectual property;</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against us;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delisting of our common stock due to non-compliance with Nasdaq's continued listing requirements;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sales of shares may negatively impact the market price of our common stock; and</w:t>
      </w:r>
    </w:p>
    <w:p>
      <w:pPr>
        <w:spacing w:after="0" w:line="149" w:lineRule="exact"/>
        <w:rPr>
          <w:rFonts w:ascii="Arial" w:cs="Arial" w:eastAsia="Arial" w:hAnsi="Arial"/>
          <w:sz w:val="18"/>
          <w:szCs w:val="18"/>
          <w:color w:val="auto"/>
        </w:rPr>
      </w:pPr>
    </w:p>
    <w:p>
      <w:pPr>
        <w:ind w:left="640" w:right="60" w:hanging="317"/>
        <w:spacing w:after="0" w:line="263"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outstanding common shares may occur if holders of our existing options exercise their securities or upon future vesting of restricted stock units.</w:t>
      </w:r>
    </w:p>
    <w:p>
      <w:pPr>
        <w:spacing w:after="0" w:line="102" w:lineRule="exact"/>
        <w:rPr>
          <w:sz w:val="20"/>
          <w:szCs w:val="20"/>
          <w:color w:val="auto"/>
        </w:rPr>
      </w:pPr>
    </w:p>
    <w:p>
      <w:pPr>
        <w:ind w:firstLine="397"/>
        <w:spacing w:after="0" w:line="254" w:lineRule="auto"/>
        <w:rPr>
          <w:sz w:val="20"/>
          <w:szCs w:val="20"/>
          <w:color w:val="auto"/>
        </w:rPr>
      </w:pPr>
      <w:r>
        <w:rPr>
          <w:rFonts w:ascii="Arial" w:cs="Arial" w:eastAsia="Arial" w:hAnsi="Arial"/>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LIFEVANTAGE CORPORATION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72"/>
        </w:trPr>
        <w:tc>
          <w:tcPr>
            <w:tcW w:w="2440" w:type="dxa"/>
            <w:vAlign w:val="bottom"/>
            <w:gridSpan w:val="7"/>
          </w:tcPr>
          <w:p>
            <w:pPr>
              <w:spacing w:after="0" w:line="152" w:lineRule="exact"/>
              <w:rPr>
                <w:rFonts w:ascii="Arial" w:cs="Arial" w:eastAsia="Arial" w:hAnsi="Arial"/>
                <w:sz w:val="17"/>
                <w:szCs w:val="17"/>
                <w:color w:val="0000FF"/>
              </w:rPr>
            </w:pPr>
            <w:hyperlink w:anchor="page4">
              <w:r>
                <w:rPr>
                  <w:rFonts w:ascii="Arial" w:cs="Arial" w:eastAsia="Arial" w:hAnsi="Arial"/>
                  <w:sz w:val="17"/>
                  <w:szCs w:val="17"/>
                  <w:color w:val="0000FF"/>
                </w:rPr>
                <w:t>PART I. Financial Information</w:t>
              </w:r>
            </w:hyperlink>
          </w:p>
        </w:tc>
        <w:tc>
          <w:tcPr>
            <w:tcW w:w="7760" w:type="dxa"/>
            <w:vAlign w:val="bottom"/>
            <w:gridSpan w:val="12"/>
          </w:tcPr>
          <w:p>
            <w:pPr>
              <w:spacing w:after="0"/>
              <w:rPr>
                <w:sz w:val="14"/>
                <w:szCs w:val="14"/>
                <w:color w:val="auto"/>
              </w:rPr>
            </w:pPr>
          </w:p>
        </w:tc>
        <w:tc>
          <w:tcPr>
            <w:tcW w:w="1000" w:type="dxa"/>
            <w:vAlign w:val="bottom"/>
            <w:gridSpan w:val="4"/>
          </w:tcPr>
          <w:p>
            <w:pPr>
              <w:jc w:val="right"/>
              <w:ind w:right="20"/>
              <w:spacing w:after="0" w:line="152" w:lineRule="exact"/>
              <w:rPr>
                <w:rFonts w:ascii="Arial" w:cs="Arial" w:eastAsia="Arial" w:hAnsi="Arial"/>
                <w:sz w:val="17"/>
                <w:szCs w:val="17"/>
                <w:color w:val="0000FF"/>
              </w:rPr>
            </w:pPr>
            <w:hyperlink w:anchor="page4">
              <w:r>
                <w:rPr>
                  <w:rFonts w:ascii="Arial" w:cs="Arial" w:eastAsia="Arial" w:hAnsi="Arial"/>
                  <w:sz w:val="17"/>
                  <w:szCs w:val="17"/>
                  <w:color w:val="0000FF"/>
                </w:rPr>
                <w:t>5</w:t>
              </w:r>
            </w:hyperlink>
          </w:p>
        </w:tc>
      </w:tr>
      <w:tr>
        <w:trPr>
          <w:trHeight w:val="26"/>
        </w:trPr>
        <w:tc>
          <w:tcPr>
            <w:tcW w:w="7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gridSpan w:val="7"/>
          </w:tcPr>
          <w:p>
            <w:pPr>
              <w:spacing w:after="0"/>
              <w:rPr>
                <w:rFonts w:ascii="Arial" w:cs="Arial" w:eastAsia="Arial" w:hAnsi="Arial"/>
                <w:sz w:val="18"/>
                <w:szCs w:val="18"/>
                <w:color w:val="0000FF"/>
                <w:w w:val="86"/>
              </w:rPr>
            </w:pPr>
            <w:hyperlink w:anchor="page5">
              <w:r>
                <w:rPr>
                  <w:rFonts w:ascii="Arial" w:cs="Arial" w:eastAsia="Arial" w:hAnsi="Arial"/>
                  <w:sz w:val="18"/>
                  <w:szCs w:val="18"/>
                  <w:color w:val="0000FF"/>
                  <w:w w:val="86"/>
                </w:rPr>
                <w:t>Financial Statements:</w:t>
              </w:r>
            </w:hyperlink>
          </w:p>
        </w:tc>
        <w:tc>
          <w:tcPr>
            <w:tcW w:w="7520" w:type="dxa"/>
            <w:vAlign w:val="bottom"/>
            <w:gridSpan w:val="10"/>
          </w:tcPr>
          <w:p>
            <w:pPr>
              <w:spacing w:after="0"/>
              <w:rPr>
                <w:sz w:val="18"/>
                <w:szCs w:val="18"/>
                <w:color w:val="auto"/>
              </w:rPr>
            </w:pPr>
          </w:p>
        </w:tc>
        <w:tc>
          <w:tcPr>
            <w:tcW w:w="10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60" w:type="dxa"/>
            <w:vAlign w:val="bottom"/>
            <w:gridSpan w:val="11"/>
          </w:tcPr>
          <w:p>
            <w:pPr>
              <w:spacing w:after="0" w:line="205" w:lineRule="exact"/>
              <w:rPr>
                <w:rFonts w:ascii="Arial" w:cs="Arial" w:eastAsia="Arial" w:hAnsi="Arial"/>
                <w:sz w:val="18"/>
                <w:szCs w:val="18"/>
                <w:color w:val="0000FF"/>
                <w:w w:val="98"/>
              </w:rPr>
            </w:pPr>
            <w:hyperlink w:anchor="page5">
              <w:r>
                <w:rPr>
                  <w:rFonts w:ascii="Arial" w:cs="Arial" w:eastAsia="Arial" w:hAnsi="Arial"/>
                  <w:sz w:val="18"/>
                  <w:szCs w:val="18"/>
                  <w:color w:val="0000FF"/>
                  <w:w w:val="98"/>
                </w:rPr>
                <w:t>Condensed Consolidated Balance Sheets (unaudited)</w:t>
              </w:r>
            </w:hyperlink>
          </w:p>
        </w:tc>
        <w:tc>
          <w:tcPr>
            <w:tcW w:w="4780" w:type="dxa"/>
            <w:vAlign w:val="bottom"/>
            <w:gridSpan w:val="6"/>
          </w:tcPr>
          <w:p>
            <w:pPr>
              <w:spacing w:after="0"/>
              <w:rPr>
                <w:sz w:val="17"/>
                <w:szCs w:val="17"/>
                <w:color w:val="auto"/>
              </w:rPr>
            </w:pPr>
          </w:p>
        </w:tc>
        <w:tc>
          <w:tcPr>
            <w:tcW w:w="1000" w:type="dxa"/>
            <w:vAlign w:val="bottom"/>
            <w:gridSpan w:val="4"/>
          </w:tcPr>
          <w:p>
            <w:pPr>
              <w:jc w:val="right"/>
              <w:ind w:right="20"/>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60" w:type="dxa"/>
            <w:vAlign w:val="bottom"/>
            <w:gridSpan w:val="16"/>
          </w:tcPr>
          <w:p>
            <w:pPr>
              <w:spacing w:after="0" w:line="205"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Condensed Consolidated Statements of Operations and Comprehensive Income (unaudited)</w:t>
              </w:r>
            </w:hyperlink>
          </w:p>
        </w:tc>
        <w:tc>
          <w:tcPr>
            <w:tcW w:w="2580" w:type="dxa"/>
            <w:vAlign w:val="bottom"/>
          </w:tcPr>
          <w:p>
            <w:pPr>
              <w:spacing w:after="0"/>
              <w:rPr>
                <w:sz w:val="17"/>
                <w:szCs w:val="17"/>
                <w:color w:val="auto"/>
              </w:rPr>
            </w:pPr>
          </w:p>
        </w:tc>
        <w:tc>
          <w:tcPr>
            <w:tcW w:w="1000" w:type="dxa"/>
            <w:vAlign w:val="bottom"/>
            <w:gridSpan w:val="4"/>
          </w:tcPr>
          <w:p>
            <w:pPr>
              <w:jc w:val="right"/>
              <w:ind w:right="20"/>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60" w:type="dxa"/>
            <w:vAlign w:val="bottom"/>
            <w:gridSpan w:val="16"/>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 of Stockholders’ Equity (unaudited)</w:t>
              </w:r>
            </w:hyperlink>
          </w:p>
        </w:tc>
        <w:tc>
          <w:tcPr>
            <w:tcW w:w="2580" w:type="dxa"/>
            <w:vAlign w:val="bottom"/>
          </w:tcPr>
          <w:p>
            <w:pPr>
              <w:spacing w:after="0"/>
              <w:rPr>
                <w:sz w:val="17"/>
                <w:szCs w:val="17"/>
                <w:color w:val="auto"/>
              </w:rPr>
            </w:pPr>
          </w:p>
        </w:tc>
        <w:tc>
          <w:tcPr>
            <w:tcW w:w="1000" w:type="dxa"/>
            <w:vAlign w:val="bottom"/>
            <w:gridSpan w:val="4"/>
          </w:tcPr>
          <w:p>
            <w:pPr>
              <w:jc w:val="right"/>
              <w:ind w:right="20"/>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60" w:type="dxa"/>
            <w:vAlign w:val="bottom"/>
            <w:gridSpan w:val="13"/>
          </w:tcPr>
          <w:p>
            <w:pPr>
              <w:spacing w:after="0" w:line="205" w:lineRule="exact"/>
              <w:rPr>
                <w:rFonts w:ascii="Arial" w:cs="Arial" w:eastAsia="Arial" w:hAnsi="Arial"/>
                <w:sz w:val="18"/>
                <w:szCs w:val="18"/>
                <w:color w:val="0000FF"/>
                <w:w w:val="92"/>
              </w:rPr>
            </w:pPr>
            <w:hyperlink w:anchor="page8">
              <w:r>
                <w:rPr>
                  <w:rFonts w:ascii="Arial" w:cs="Arial" w:eastAsia="Arial" w:hAnsi="Arial"/>
                  <w:sz w:val="18"/>
                  <w:szCs w:val="18"/>
                  <w:color w:val="0000FF"/>
                  <w:w w:val="92"/>
                </w:rPr>
                <w:t>Condensed Consolidated Statements of Cash Flows (unaudited)</w:t>
              </w:r>
            </w:hyperlink>
          </w:p>
        </w:tc>
        <w:tc>
          <w:tcPr>
            <w:tcW w:w="320" w:type="dxa"/>
            <w:vAlign w:val="bottom"/>
          </w:tcPr>
          <w:p>
            <w:pPr>
              <w:spacing w:after="0"/>
              <w:rPr>
                <w:sz w:val="17"/>
                <w:szCs w:val="17"/>
                <w:color w:val="auto"/>
              </w:rPr>
            </w:pPr>
          </w:p>
        </w:tc>
        <w:tc>
          <w:tcPr>
            <w:tcW w:w="3960" w:type="dxa"/>
            <w:vAlign w:val="bottom"/>
            <w:gridSpan w:val="3"/>
          </w:tcPr>
          <w:p>
            <w:pPr>
              <w:spacing w:after="0"/>
              <w:rPr>
                <w:sz w:val="17"/>
                <w:szCs w:val="17"/>
                <w:color w:val="auto"/>
              </w:rPr>
            </w:pPr>
          </w:p>
        </w:tc>
        <w:tc>
          <w:tcPr>
            <w:tcW w:w="1000" w:type="dxa"/>
            <w:vAlign w:val="bottom"/>
            <w:gridSpan w:val="4"/>
          </w:tcPr>
          <w:p>
            <w:pPr>
              <w:jc w:val="right"/>
              <w:ind w:right="20"/>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60" w:type="dxa"/>
            <w:vAlign w:val="bottom"/>
            <w:tcBorders>
              <w:bottom w:val="single" w:sz="8" w:color="0000FF"/>
            </w:tcBorders>
            <w:gridSpan w:val="13"/>
          </w:tcPr>
          <w:p>
            <w:pPr>
              <w:spacing w:after="0" w:line="205" w:lineRule="exact"/>
              <w:rPr>
                <w:rFonts w:ascii="Arial" w:cs="Arial" w:eastAsia="Arial" w:hAnsi="Arial"/>
                <w:sz w:val="18"/>
                <w:szCs w:val="18"/>
                <w:color w:val="0000FF"/>
                <w:w w:val="87"/>
              </w:rPr>
            </w:pPr>
            <w:hyperlink w:anchor="page9">
              <w:r>
                <w:rPr>
                  <w:rFonts w:ascii="Arial" w:cs="Arial" w:eastAsia="Arial" w:hAnsi="Arial"/>
                  <w:sz w:val="18"/>
                  <w:szCs w:val="18"/>
                  <w:color w:val="0000FF"/>
                  <w:w w:val="87"/>
                </w:rPr>
                <w:t>Notes to Condensed Consolidated Financial Statements (unaudited)</w:t>
              </w:r>
            </w:hyperlink>
          </w:p>
        </w:tc>
        <w:tc>
          <w:tcPr>
            <w:tcW w:w="428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FF"/>
            </w:tcBorders>
            <w:gridSpan w:val="15"/>
          </w:tcPr>
          <w:p>
            <w:pPr>
              <w:spacing w:after="0" w:line="205" w:lineRule="exact"/>
              <w:rPr>
                <w:rFonts w:ascii="Arial" w:cs="Arial" w:eastAsia="Arial" w:hAnsi="Arial"/>
                <w:sz w:val="18"/>
                <w:szCs w:val="18"/>
                <w:color w:val="0000FF"/>
                <w:w w:val="88"/>
              </w:rPr>
            </w:pPr>
            <w:hyperlink w:anchor="page20">
              <w:r>
                <w:rPr>
                  <w:rFonts w:ascii="Arial" w:cs="Arial" w:eastAsia="Arial" w:hAnsi="Arial"/>
                  <w:sz w:val="18"/>
                  <w:szCs w:val="18"/>
                  <w:color w:val="0000FF"/>
                  <w:w w:val="88"/>
                </w:rPr>
                <w:t>Management's Discussion and Analysis of Financial Condition and Results of Operations</w:t>
              </w:r>
            </w:hyperlink>
          </w:p>
        </w:tc>
        <w:tc>
          <w:tcPr>
            <w:tcW w:w="27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3.</w:t>
            </w:r>
          </w:p>
        </w:tc>
        <w:tc>
          <w:tcPr>
            <w:tcW w:w="9040" w:type="dxa"/>
            <w:vAlign w:val="bottom"/>
            <w:gridSpan w:val="17"/>
          </w:tcPr>
          <w:p>
            <w:pPr>
              <w:spacing w:after="0" w:line="205" w:lineRule="exact"/>
              <w:rPr>
                <w:rFonts w:ascii="Arial" w:cs="Arial" w:eastAsia="Arial" w:hAnsi="Arial"/>
                <w:sz w:val="18"/>
                <w:szCs w:val="18"/>
                <w:color w:val="0000FF"/>
              </w:rPr>
            </w:pPr>
            <w:hyperlink w:anchor="page28">
              <w:r>
                <w:rPr>
                  <w:rFonts w:ascii="Arial" w:cs="Arial" w:eastAsia="Arial" w:hAnsi="Arial"/>
                  <w:sz w:val="18"/>
                  <w:szCs w:val="18"/>
                  <w:color w:val="0000FF"/>
                </w:rPr>
                <w:t>Quantitative and Qualitative Disclosures About Market Risk</w:t>
              </w:r>
            </w:hyperlink>
          </w:p>
        </w:tc>
        <w:tc>
          <w:tcPr>
            <w:tcW w:w="980" w:type="dxa"/>
            <w:vAlign w:val="bottom"/>
            <w:gridSpan w:val="3"/>
          </w:tcPr>
          <w:p>
            <w:pPr>
              <w:jc w:val="right"/>
              <w:spacing w:after="0" w:line="205" w:lineRule="exact"/>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4.</w:t>
            </w:r>
          </w:p>
        </w:tc>
        <w:tc>
          <w:tcPr>
            <w:tcW w:w="4260" w:type="dxa"/>
            <w:vAlign w:val="bottom"/>
            <w:tcBorders>
              <w:top w:val="single" w:sz="8" w:color="0000FF"/>
            </w:tcBorders>
            <w:gridSpan w:val="11"/>
          </w:tcPr>
          <w:p>
            <w:pPr>
              <w:spacing w:after="0" w:line="205" w:lineRule="exact"/>
              <w:rPr>
                <w:rFonts w:ascii="Arial" w:cs="Arial" w:eastAsia="Arial" w:hAnsi="Arial"/>
                <w:sz w:val="18"/>
                <w:szCs w:val="18"/>
                <w:color w:val="0000FF"/>
              </w:rPr>
            </w:pPr>
            <w:hyperlink w:anchor="page29">
              <w:r>
                <w:rPr>
                  <w:rFonts w:ascii="Arial" w:cs="Arial" w:eastAsia="Arial" w:hAnsi="Arial"/>
                  <w:sz w:val="18"/>
                  <w:szCs w:val="18"/>
                  <w:color w:val="0000FF"/>
                </w:rPr>
                <w:t>Controls and Procedures</w:t>
              </w:r>
            </w:hyperlink>
          </w:p>
        </w:tc>
        <w:tc>
          <w:tcPr>
            <w:tcW w:w="478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9"/>
        </w:trPr>
        <w:tc>
          <w:tcPr>
            <w:tcW w:w="10200" w:type="dxa"/>
            <w:vAlign w:val="bottom"/>
            <w:gridSpan w:val="19"/>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PART II. Other Information</w:t>
              </w:r>
            </w:hyperlink>
          </w:p>
        </w:tc>
        <w:tc>
          <w:tcPr>
            <w:tcW w:w="98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24"/>
                <w:szCs w:val="24"/>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1.</w:t>
            </w:r>
          </w:p>
        </w:tc>
        <w:tc>
          <w:tcPr>
            <w:tcW w:w="2260" w:type="dxa"/>
            <w:vAlign w:val="bottom"/>
            <w:tcBorders>
              <w:bottom w:val="single" w:sz="8" w:color="0000FF"/>
            </w:tcBorders>
            <w:gridSpan w:val="9"/>
          </w:tcPr>
          <w:p>
            <w:pPr>
              <w:spacing w:after="0" w:line="205" w:lineRule="exact"/>
              <w:rPr>
                <w:rFonts w:ascii="Arial" w:cs="Arial" w:eastAsia="Arial" w:hAnsi="Arial"/>
                <w:sz w:val="18"/>
                <w:szCs w:val="18"/>
                <w:color w:val="0000FF"/>
              </w:rPr>
            </w:pPr>
            <w:hyperlink w:anchor="page29">
              <w:r>
                <w:rPr>
                  <w:rFonts w:ascii="Arial" w:cs="Arial" w:eastAsia="Arial" w:hAnsi="Arial"/>
                  <w:sz w:val="18"/>
                  <w:szCs w:val="18"/>
                  <w:color w:val="0000FF"/>
                </w:rPr>
                <w:t>Legal Proceedings</w:t>
              </w:r>
            </w:hyperlink>
          </w:p>
        </w:tc>
        <w:tc>
          <w:tcPr>
            <w:tcW w:w="678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FF"/>
            </w:tcBorders>
            <w:gridSpan w:val="3"/>
          </w:tcPr>
          <w:p>
            <w:pPr>
              <w:spacing w:after="0" w:line="205" w:lineRule="exact"/>
              <w:rPr>
                <w:rFonts w:ascii="Arial" w:cs="Arial" w:eastAsia="Arial" w:hAnsi="Arial"/>
                <w:sz w:val="18"/>
                <w:szCs w:val="18"/>
                <w:color w:val="0000FF"/>
                <w:w w:val="85"/>
              </w:rPr>
            </w:pPr>
            <w:hyperlink w:anchor="page29">
              <w:r>
                <w:rPr>
                  <w:rFonts w:ascii="Arial" w:cs="Arial" w:eastAsia="Arial" w:hAnsi="Arial"/>
                  <w:sz w:val="18"/>
                  <w:szCs w:val="18"/>
                  <w:color w:val="0000FF"/>
                  <w:w w:val="85"/>
                </w:rPr>
                <w:t>Risk Factors</w:t>
              </w:r>
            </w:hyperlink>
          </w:p>
        </w:tc>
        <w:tc>
          <w:tcPr>
            <w:tcW w:w="8160" w:type="dxa"/>
            <w:vAlign w:val="bottom"/>
            <w:gridSpan w:val="14"/>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FF"/>
            </w:tcBorders>
            <w:gridSpan w:val="11"/>
          </w:tcPr>
          <w:p>
            <w:pPr>
              <w:spacing w:after="0" w:line="205" w:lineRule="exact"/>
              <w:rPr>
                <w:rFonts w:ascii="Arial" w:cs="Arial" w:eastAsia="Arial" w:hAnsi="Arial"/>
                <w:sz w:val="18"/>
                <w:szCs w:val="18"/>
                <w:color w:val="0000FF"/>
                <w:w w:val="87"/>
              </w:rPr>
            </w:pPr>
            <w:hyperlink w:anchor="page29">
              <w:r>
                <w:rPr>
                  <w:rFonts w:ascii="Arial" w:cs="Arial" w:eastAsia="Arial" w:hAnsi="Arial"/>
                  <w:sz w:val="18"/>
                  <w:szCs w:val="18"/>
                  <w:color w:val="0000FF"/>
                  <w:w w:val="87"/>
                </w:rPr>
                <w:t>Unregistered Sales of Equity Securities and Use of Proceeds</w:t>
              </w:r>
            </w:hyperlink>
          </w:p>
        </w:tc>
        <w:tc>
          <w:tcPr>
            <w:tcW w:w="478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3.</w:t>
            </w:r>
          </w:p>
        </w:tc>
        <w:tc>
          <w:tcPr>
            <w:tcW w:w="9040" w:type="dxa"/>
            <w:vAlign w:val="bottom"/>
            <w:tcBorders>
              <w:bottom w:val="single" w:sz="8" w:color="0000FF"/>
            </w:tcBorders>
            <w:gridSpan w:val="17"/>
          </w:tcPr>
          <w:p>
            <w:pPr>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Defaults Upon Senior Securities</w:t>
              </w:r>
            </w:hyperlink>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4.</w:t>
            </w:r>
          </w:p>
        </w:tc>
        <w:tc>
          <w:tcPr>
            <w:tcW w:w="9040" w:type="dxa"/>
            <w:vAlign w:val="bottom"/>
            <w:gridSpan w:val="17"/>
          </w:tcPr>
          <w:p>
            <w:pPr>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Mine Safety Disclosures</w:t>
              </w:r>
            </w:hyperlink>
          </w:p>
        </w:tc>
        <w:tc>
          <w:tcPr>
            <w:tcW w:w="980" w:type="dxa"/>
            <w:vAlign w:val="bottom"/>
            <w:gridSpan w:val="3"/>
          </w:tcPr>
          <w:p>
            <w:pPr>
              <w:jc w:val="right"/>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5.</w:t>
            </w:r>
          </w:p>
        </w:tc>
        <w:tc>
          <w:tcPr>
            <w:tcW w:w="1720" w:type="dxa"/>
            <w:vAlign w:val="bottom"/>
            <w:tcBorders>
              <w:top w:val="single" w:sz="8" w:color="0000FF"/>
            </w:tcBorders>
            <w:gridSpan w:val="8"/>
          </w:tcPr>
          <w:p>
            <w:pPr>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Other Information</w:t>
              </w:r>
            </w:hyperlink>
          </w:p>
        </w:tc>
        <w:tc>
          <w:tcPr>
            <w:tcW w:w="732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FF"/>
            </w:tcBorders>
            <w:gridSpan w:val="5"/>
          </w:tcPr>
          <w:p>
            <w:pPr>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Exhibits</w:t>
              </w:r>
            </w:hyperlink>
          </w:p>
        </w:tc>
        <w:tc>
          <w:tcPr>
            <w:tcW w:w="776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31</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rFonts w:ascii="Arial" w:cs="Arial" w:eastAsia="Arial" w:hAnsi="Arial"/>
                <w:sz w:val="18"/>
                <w:szCs w:val="18"/>
                <w:color w:val="0000FF"/>
              </w:rPr>
            </w:pPr>
            <w:hyperlink w:anchor="page31">
              <w:r>
                <w:rPr>
                  <w:rFonts w:ascii="Arial" w:cs="Arial" w:eastAsia="Arial" w:hAnsi="Arial"/>
                  <w:sz w:val="18"/>
                  <w:szCs w:val="18"/>
                  <w:color w:val="0000FF"/>
                </w:rPr>
                <w:t>Signatures</w:t>
              </w:r>
            </w:hyperlink>
          </w:p>
        </w:tc>
        <w:tc>
          <w:tcPr>
            <w:tcW w:w="58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32</w:t>
              </w:r>
            </w:hyperlink>
          </w:p>
        </w:tc>
        <w:tc>
          <w:tcPr>
            <w:tcW w:w="20" w:type="dxa"/>
            <w:vAlign w:val="bottom"/>
          </w:tcPr>
          <w:p>
            <w:pPr>
              <w:spacing w:after="0"/>
              <w:rPr>
                <w:sz w:val="17"/>
                <w:szCs w:val="17"/>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88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2022</w:t>
            </w:r>
          </w:p>
        </w:tc>
        <w:tc>
          <w:tcPr>
            <w:tcW w:w="280" w:type="dxa"/>
            <w:vAlign w:val="bottom"/>
          </w:tcPr>
          <w:p>
            <w:pPr>
              <w:spacing w:after="0"/>
              <w:rPr>
                <w:sz w:val="16"/>
                <w:szCs w:val="16"/>
                <w:color w:val="auto"/>
              </w:rPr>
            </w:pPr>
          </w:p>
        </w:tc>
        <w:tc>
          <w:tcPr>
            <w:tcW w:w="1460" w:type="dxa"/>
            <w:vAlign w:val="bottom"/>
          </w:tcPr>
          <w:p>
            <w:pPr>
              <w:jc w:val="right"/>
              <w:ind w:right="377"/>
              <w:spacing w:after="0"/>
              <w:rPr>
                <w:sz w:val="20"/>
                <w:szCs w:val="20"/>
                <w:color w:val="auto"/>
              </w:rPr>
            </w:pPr>
            <w:r>
              <w:rPr>
                <w:rFonts w:ascii="Arial" w:cs="Arial" w:eastAsia="Arial" w:hAnsi="Arial"/>
                <w:sz w:val="14"/>
                <w:szCs w:val="14"/>
                <w:b w:val="1"/>
                <w:bCs w:val="1"/>
                <w:color w:val="auto"/>
              </w:rPr>
              <w:t>June 30, 2021</w:t>
            </w:r>
          </w:p>
        </w:tc>
      </w:tr>
      <w:tr>
        <w:trPr>
          <w:trHeight w:val="210"/>
        </w:trPr>
        <w:tc>
          <w:tcPr>
            <w:tcW w:w="7580" w:type="dxa"/>
            <w:vAlign w:val="bottom"/>
          </w:tcPr>
          <w:p>
            <w:pPr>
              <w:ind w:left="20"/>
              <w:spacing w:after="0"/>
              <w:rPr>
                <w:sz w:val="20"/>
                <w:szCs w:val="20"/>
                <w:color w:val="auto"/>
              </w:rPr>
            </w:pPr>
            <w:r>
              <w:rPr>
                <w:rFonts w:ascii="Arial" w:cs="Arial" w:eastAsia="Arial" w:hAnsi="Arial"/>
                <w:sz w:val="17"/>
                <w:szCs w:val="17"/>
                <w:i w:val="1"/>
                <w:iCs w:val="1"/>
                <w:color w:val="auto"/>
              </w:rPr>
              <w:t>(In thousands, except per share data)</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2"/>
        </w:trPr>
        <w:tc>
          <w:tcPr>
            <w:tcW w:w="75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23,174</w:t>
            </w: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Accounts receivable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2,798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2,925</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 tax receivable</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w:t>
            </w: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Inventory,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16,276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16,145</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Prepaid expenses and other</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4,772</w:t>
            </w:r>
          </w:p>
        </w:tc>
      </w:tr>
      <w:tr>
        <w:trPr>
          <w:trHeight w:val="205"/>
        </w:trPr>
        <w:tc>
          <w:tcPr>
            <w:tcW w:w="7580" w:type="dxa"/>
            <w:vAlign w:val="bottom"/>
          </w:tcPr>
          <w:p>
            <w:pPr>
              <w:ind w:left="660"/>
              <w:spacing w:after="0" w:line="194" w:lineRule="exact"/>
              <w:rPr>
                <w:sz w:val="20"/>
                <w:szCs w:val="20"/>
                <w:color w:val="auto"/>
              </w:rPr>
            </w:pPr>
            <w:r>
              <w:rPr>
                <w:rFonts w:ascii="Arial" w:cs="Arial" w:eastAsia="Arial" w:hAnsi="Arial"/>
                <w:sz w:val="17"/>
                <w:szCs w:val="17"/>
                <w:color w:val="auto"/>
              </w:rPr>
              <w:t>Total current assets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45,058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48,054</w:t>
            </w:r>
          </w:p>
        </w:tc>
      </w:tr>
      <w:tr>
        <w:trPr>
          <w:trHeight w:val="251"/>
        </w:trPr>
        <w:tc>
          <w:tcPr>
            <w:tcW w:w="7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Property and equipment,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10,035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11,123</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Right-of-use assets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13,700</w:t>
            </w: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Intangible assets,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719</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income tax asset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1,208</w:t>
            </w: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Equity securities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2,205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2,205</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long-term assets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1,723</w:t>
            </w:r>
          </w:p>
        </w:tc>
      </w:tr>
      <w:tr>
        <w:trPr>
          <w:trHeight w:val="205"/>
        </w:trPr>
        <w:tc>
          <w:tcPr>
            <w:tcW w:w="75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72,215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78,732</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8"/>
        </w:trPr>
        <w:tc>
          <w:tcPr>
            <w:tcW w:w="7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2"/>
        </w:trPr>
        <w:tc>
          <w:tcPr>
            <w:tcW w:w="7580" w:type="dxa"/>
            <w:vAlign w:val="bottom"/>
          </w:tcPr>
          <w:p>
            <w:pPr>
              <w:ind w:left="20"/>
              <w:spacing w:after="0"/>
              <w:rPr>
                <w:sz w:val="20"/>
                <w:szCs w:val="20"/>
                <w:color w:val="auto"/>
              </w:rPr>
            </w:pPr>
            <w:r>
              <w:rPr>
                <w:rFonts w:ascii="Arial" w:cs="Arial" w:eastAsia="Arial" w:hAnsi="Arial"/>
                <w:sz w:val="17"/>
                <w:szCs w:val="17"/>
                <w:color w:val="auto"/>
              </w:rPr>
              <w:t>LIABILITIES AND STOCKHOLDERS’ EQUITY</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2"/>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6,533</w:t>
            </w:r>
          </w:p>
        </w:tc>
        <w:tc>
          <w:tcPr>
            <w:tcW w:w="12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6,744</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Commissions payable</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8,138</w:t>
            </w: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Income tax payable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830</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Lease liabilities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w:t>
            </w:r>
          </w:p>
        </w:tc>
      </w:tr>
      <w:tr>
        <w:trPr>
          <w:trHeight w:val="212"/>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accrued expenses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7,054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7,336</w:t>
            </w:r>
          </w:p>
        </w:tc>
      </w:tr>
      <w:tr>
        <w:trPr>
          <w:trHeight w:val="205"/>
        </w:trPr>
        <w:tc>
          <w:tcPr>
            <w:tcW w:w="7580" w:type="dxa"/>
            <w:vAlign w:val="bottom"/>
            <w:shd w:val="clear" w:color="auto" w:fill="CCEEFF"/>
          </w:tcPr>
          <w:p>
            <w:pPr>
              <w:ind w:left="660"/>
              <w:spacing w:after="0" w:line="194" w:lineRule="exact"/>
              <w:rPr>
                <w:sz w:val="20"/>
                <w:szCs w:val="20"/>
                <w:color w:val="auto"/>
              </w:rPr>
            </w:pPr>
            <w:r>
              <w:rPr>
                <w:rFonts w:ascii="Arial" w:cs="Arial" w:eastAsia="Arial" w:hAnsi="Arial"/>
                <w:sz w:val="17"/>
                <w:szCs w:val="17"/>
                <w:color w:val="auto"/>
              </w:rPr>
              <w:t>Total current liabilities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23,608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25,199</w:t>
            </w:r>
          </w:p>
        </w:tc>
      </w:tr>
    </w:tbl>
    <w:p>
      <w:pPr>
        <w:spacing w:after="0" w:line="200" w:lineRule="exact"/>
        <w:rPr>
          <w:sz w:val="20"/>
          <w:szCs w:val="20"/>
          <w:color w:val="auto"/>
        </w:rPr>
      </w:pPr>
    </w:p>
    <w:p>
      <w:pPr>
        <w:sectPr>
          <w:pgSz w:w="11900" w:h="16838" w:orient="portrait"/>
          <w:cols w:equalWidth="0" w:num="1">
            <w:col w:w="11220"/>
          </w:cols>
          <w:pgMar w:left="320" w:top="875" w:right="359" w:bottom="1440" w:gutter="0" w:footer="0" w:header="0"/>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Long-term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118350" cy="134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8350" cy="1346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Other long-term liabilities</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18350" cy="14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Commitments and contingencies - Note 8</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18350" cy="134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8350" cy="13462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5"/>
          <w:szCs w:val="15"/>
          <w:color w:val="auto"/>
        </w:rPr>
        <w:t>Preferred stock — par value $0.0001 per share, 5,000 shares authorized, no shares issued or outstanding</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Common stock — par value $0.0001 per share, 40,000 shares authorized and 12,577 and 13,609 issued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-106045</wp:posOffset>
            </wp:positionV>
            <wp:extent cx="7118350" cy="234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8350" cy="2349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outstanding as of March 31, 2022 and June 30, 2021, respectively</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Additional paid-in capital</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18350" cy="134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8350" cy="13462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Accumulated other comprehensive (loss) income</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18350" cy="14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21" w:lineRule="exact"/>
        <w:rPr>
          <w:sz w:val="20"/>
          <w:szCs w:val="20"/>
          <w:color w:val="auto"/>
        </w:rPr>
      </w:pPr>
    </w:p>
    <w:p>
      <w:pPr>
        <w:ind w:left="40"/>
        <w:spacing w:after="0"/>
        <w:tabs>
          <w:tab w:leader="none" w:pos="7600" w:val="left"/>
        </w:tabs>
        <w:rPr>
          <w:sz w:val="20"/>
          <w:szCs w:val="20"/>
          <w:color w:val="auto"/>
        </w:rPr>
      </w:pPr>
      <w:r>
        <w:rPr>
          <w:rFonts w:ascii="Arial" w:cs="Arial" w:eastAsia="Arial" w:hAnsi="Arial"/>
          <w:sz w:val="17"/>
          <w:szCs w:val="17"/>
          <w:color w:val="auto"/>
        </w:rPr>
        <w:t>TOTAL LIABILITIES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99"/>
              </w:rPr>
              <w:t>13,876</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16,032</w:t>
            </w:r>
          </w:p>
        </w:tc>
      </w:tr>
      <w:tr>
        <w:trPr>
          <w:trHeight w:val="213"/>
        </w:trPr>
        <w:tc>
          <w:tcPr>
            <w:tcW w:w="720" w:type="dxa"/>
            <w:vAlign w:val="bottom"/>
          </w:tcPr>
          <w:p>
            <w:pPr>
              <w:jc w:val="right"/>
              <w:ind w:right="96"/>
              <w:spacing w:after="0"/>
              <w:rPr>
                <w:sz w:val="20"/>
                <w:szCs w:val="20"/>
                <w:color w:val="auto"/>
              </w:rPr>
            </w:pPr>
            <w:r>
              <w:rPr>
                <w:rFonts w:ascii="Arial" w:cs="Arial" w:eastAsia="Arial" w:hAnsi="Arial"/>
                <w:sz w:val="17"/>
                <w:szCs w:val="17"/>
                <w:color w:val="auto"/>
              </w:rPr>
              <w:t>700</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w:t>
            </w:r>
          </w:p>
        </w:tc>
      </w:tr>
      <w:tr>
        <w:trPr>
          <w:trHeight w:val="208"/>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99"/>
              </w:rPr>
              <w:t>38,184</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41,925</w:t>
            </w:r>
          </w:p>
        </w:tc>
      </w:tr>
      <w:tr>
        <w:trPr>
          <w:trHeight w:val="612"/>
        </w:trPr>
        <w:tc>
          <w:tcPr>
            <w:tcW w:w="72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91"/>
        </w:trPr>
        <w:tc>
          <w:tcPr>
            <w:tcW w:w="720" w:type="dxa"/>
            <w:vAlign w:val="bottom"/>
          </w:tcPr>
          <w:p>
            <w:pPr>
              <w:jc w:val="right"/>
              <w:ind w:right="96"/>
              <w:spacing w:after="0"/>
              <w:rPr>
                <w:sz w:val="20"/>
                <w:szCs w:val="20"/>
                <w:color w:val="auto"/>
              </w:rPr>
            </w:pPr>
            <w:r>
              <w:rPr>
                <w:rFonts w:ascii="Arial" w:cs="Arial" w:eastAsia="Arial" w:hAnsi="Arial"/>
                <w:sz w:val="17"/>
                <w:szCs w:val="17"/>
                <w:color w:val="auto"/>
              </w:rPr>
              <w:t>1</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89"/>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84"/>
              </w:rPr>
              <w:t>130,714</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129,048</w:t>
            </w:r>
          </w:p>
        </w:tc>
      </w:tr>
      <w:tr>
        <w:trPr>
          <w:trHeight w:val="212"/>
        </w:trPr>
        <w:tc>
          <w:tcPr>
            <w:tcW w:w="720" w:type="dxa"/>
            <w:vAlign w:val="bottom"/>
          </w:tcPr>
          <w:p>
            <w:pPr>
              <w:jc w:val="right"/>
              <w:ind w:right="56"/>
              <w:spacing w:after="0"/>
              <w:rPr>
                <w:sz w:val="20"/>
                <w:szCs w:val="20"/>
                <w:color w:val="auto"/>
              </w:rPr>
            </w:pPr>
            <w:r>
              <w:rPr>
                <w:rFonts w:ascii="Arial" w:cs="Arial" w:eastAsia="Arial" w:hAnsi="Arial"/>
                <w:sz w:val="17"/>
                <w:szCs w:val="17"/>
                <w:color w:val="auto"/>
                <w:w w:val="88"/>
              </w:rPr>
              <w:t>(96,184)</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(92,346)</w:t>
            </w:r>
          </w:p>
        </w:tc>
      </w:tr>
      <w:tr>
        <w:trPr>
          <w:trHeight w:val="213"/>
        </w:trPr>
        <w:tc>
          <w:tcPr>
            <w:tcW w:w="720" w:type="dxa"/>
            <w:vAlign w:val="bottom"/>
          </w:tcPr>
          <w:p>
            <w:pPr>
              <w:jc w:val="right"/>
              <w:ind w:right="56"/>
              <w:spacing w:after="0"/>
              <w:rPr>
                <w:sz w:val="20"/>
                <w:szCs w:val="20"/>
                <w:color w:val="auto"/>
              </w:rPr>
            </w:pPr>
            <w:r>
              <w:rPr>
                <w:rFonts w:ascii="Arial" w:cs="Arial" w:eastAsia="Arial" w:hAnsi="Arial"/>
                <w:sz w:val="17"/>
                <w:szCs w:val="17"/>
                <w:color w:val="auto"/>
              </w:rPr>
              <w:t>(500)</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r>
      <w:tr>
        <w:trPr>
          <w:trHeight w:val="208"/>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99"/>
              </w:rPr>
              <w:t>34,031</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36,807</w:t>
            </w:r>
          </w:p>
        </w:tc>
      </w:tr>
      <w:tr>
        <w:trPr>
          <w:trHeight w:val="205"/>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99"/>
              </w:rPr>
              <w:t>72,215</w:t>
            </w:r>
          </w:p>
        </w:tc>
        <w:tc>
          <w:tcPr>
            <w:tcW w:w="62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78,732</w:t>
            </w:r>
          </w:p>
        </w:tc>
      </w:tr>
      <w:tr>
        <w:trPr>
          <w:trHeight w:val="20"/>
        </w:trPr>
        <w:tc>
          <w:tcPr>
            <w:tcW w:w="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-33020</wp:posOffset>
            </wp:positionV>
            <wp:extent cx="11163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6330" cy="825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-7620</wp:posOffset>
            </wp:positionV>
            <wp:extent cx="11163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6330" cy="825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-175895</wp:posOffset>
            </wp:positionV>
            <wp:extent cx="11163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6330" cy="825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-1359535</wp:posOffset>
            </wp:positionV>
            <wp:extent cx="11163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40" w:space="720"/>
            <w:col w:w="2460"/>
          </w:cols>
          <w:pgMar w:left="320" w:top="875" w:right="359" w:bottom="1440" w:gutter="0" w:footer="0" w:header="0"/>
          <w:type w:val="continuous"/>
        </w:sectPr>
      </w:pP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type w:val="continuous"/>
        </w:sectPr>
      </w:pPr>
    </w:p>
    <w:bookmarkStart w:id="5" w:name="page6"/>
    <w:bookmarkEnd w:id="5"/>
    <w:p>
      <w:pPr>
        <w:jc w:val="center"/>
        <w:spacing w:after="0" w:line="259" w:lineRule="auto"/>
        <w:rPr>
          <w:sz w:val="20"/>
          <w:szCs w:val="20"/>
          <w:color w:val="auto"/>
        </w:rPr>
      </w:pPr>
      <w:r>
        <w:rPr>
          <w:rFonts w:ascii="Arial" w:cs="Arial" w:eastAsia="Arial" w:hAnsi="Arial"/>
          <w:sz w:val="18"/>
          <w:szCs w:val="18"/>
          <w:color w:val="auto"/>
        </w:rPr>
        <w:t>LIFEVANTAGE CORPORATION AND SUBSIDIARIES CONDENSED CONSOLIDATED STATEMENTS OF OPERATIONS AND COMPREHENSIVE INCOME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306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6"/>
                <w:szCs w:val="16"/>
                <w:color w:val="auto"/>
              </w:rPr>
            </w:pPr>
          </w:p>
        </w:tc>
        <w:tc>
          <w:tcPr>
            <w:tcW w:w="26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82"/>
        </w:trPr>
        <w:tc>
          <w:tcPr>
            <w:tcW w:w="52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4"/>
        </w:trPr>
        <w:tc>
          <w:tcPr>
            <w:tcW w:w="52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50,004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155,418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165,405</w:t>
            </w:r>
          </w:p>
        </w:tc>
        <w:tc>
          <w:tcPr>
            <w:tcW w:w="0" w:type="dxa"/>
            <w:vAlign w:val="bottom"/>
          </w:tcPr>
          <w:p>
            <w:pPr>
              <w:spacing w:after="0"/>
              <w:rPr>
                <w:sz w:val="1"/>
                <w:szCs w:val="1"/>
                <w:color w:val="auto"/>
              </w:rPr>
            </w:pPr>
          </w:p>
        </w:tc>
      </w:tr>
      <w:tr>
        <w:trPr>
          <w:trHeight w:val="224"/>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28,404</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340"/>
              <w:spacing w:after="0" w:line="204" w:lineRule="exact"/>
              <w:rPr>
                <w:sz w:val="20"/>
                <w:szCs w:val="20"/>
                <w:color w:val="auto"/>
              </w:rPr>
            </w:pPr>
            <w:r>
              <w:rPr>
                <w:rFonts w:ascii="Arial" w:cs="Arial" w:eastAsia="Arial" w:hAnsi="Arial"/>
                <w:sz w:val="18"/>
                <w:szCs w:val="18"/>
                <w:color w:val="auto"/>
              </w:rPr>
              <w:t>Gross profit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40,347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137,001</w:t>
            </w:r>
          </w:p>
        </w:tc>
        <w:tc>
          <w:tcPr>
            <w:tcW w:w="0" w:type="dxa"/>
            <w:vAlign w:val="bottom"/>
          </w:tcPr>
          <w:p>
            <w:pPr>
              <w:spacing w:after="0"/>
              <w:rPr>
                <w:sz w:val="1"/>
                <w:szCs w:val="1"/>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and incentives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77,939</w:t>
            </w:r>
          </w:p>
        </w:tc>
        <w:tc>
          <w:tcPr>
            <w:tcW w:w="0" w:type="dxa"/>
            <w:vAlign w:val="bottom"/>
          </w:tcPr>
          <w:p>
            <w:pPr>
              <w:spacing w:after="0"/>
              <w:rPr>
                <w:sz w:val="1"/>
                <w:szCs w:val="1"/>
                <w:color w:val="auto"/>
              </w:rPr>
            </w:pPr>
          </w:p>
        </w:tc>
      </w:tr>
      <w:tr>
        <w:trPr>
          <w:trHeight w:val="224"/>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15,316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48,027</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660"/>
              <w:spacing w:after="0" w:line="204" w:lineRule="exact"/>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38,522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120,573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125,966</w:t>
            </w:r>
          </w:p>
        </w:tc>
        <w:tc>
          <w:tcPr>
            <w:tcW w:w="0" w:type="dxa"/>
            <w:vAlign w:val="bottom"/>
          </w:tcPr>
          <w:p>
            <w:pPr>
              <w:spacing w:after="0"/>
              <w:rPr>
                <w:sz w:val="1"/>
                <w:szCs w:val="1"/>
                <w:color w:val="auto"/>
              </w:rPr>
            </w:pPr>
          </w:p>
        </w:tc>
      </w:tr>
      <w:tr>
        <w:trPr>
          <w:trHeight w:val="218"/>
        </w:trPr>
        <w:tc>
          <w:tcPr>
            <w:tcW w:w="5220" w:type="dxa"/>
            <w:vAlign w:val="bottom"/>
          </w:tcPr>
          <w:p>
            <w:pPr>
              <w:ind w:left="20"/>
              <w:spacing w:after="0" w:line="204" w:lineRule="exact"/>
              <w:rPr>
                <w:sz w:val="20"/>
                <w:szCs w:val="20"/>
                <w:color w:val="auto"/>
              </w:rPr>
            </w:pPr>
            <w:r>
              <w:rPr>
                <w:rFonts w:ascii="Arial" w:cs="Arial" w:eastAsia="Arial" w:hAnsi="Arial"/>
                <w:sz w:val="18"/>
                <w:szCs w:val="18"/>
                <w:color w:val="auto"/>
              </w:rPr>
              <w:t>Operating income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11,035</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tcPr>
          <w:p>
            <w:pPr>
              <w:ind w:left="660"/>
              <w:spacing w:after="0" w:line="204" w:lineRule="exact"/>
              <w:rPr>
                <w:sz w:val="20"/>
                <w:szCs w:val="20"/>
                <w:color w:val="auto"/>
              </w:rPr>
            </w:pPr>
            <w:r>
              <w:rPr>
                <w:rFonts w:ascii="Arial" w:cs="Arial" w:eastAsia="Arial" w:hAnsi="Arial"/>
                <w:sz w:val="18"/>
                <w:szCs w:val="18"/>
                <w:color w:val="auto"/>
              </w:rPr>
              <w:t>Total other expense</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Income before income taxes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0" w:type="dxa"/>
            <w:vAlign w:val="bottom"/>
          </w:tcPr>
          <w:p>
            <w:pPr>
              <w:spacing w:after="0"/>
              <w:rPr>
                <w:sz w:val="1"/>
                <w:szCs w:val="1"/>
                <w:color w:val="auto"/>
              </w:rPr>
            </w:pPr>
          </w:p>
        </w:tc>
      </w:tr>
      <w:tr>
        <w:trPr>
          <w:trHeight w:val="224"/>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Income tax expense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24"/>
        </w:trPr>
        <w:tc>
          <w:tcPr>
            <w:tcW w:w="5220" w:type="dxa"/>
            <w:vAlign w:val="bottom"/>
          </w:tcPr>
          <w:p>
            <w:pPr>
              <w:ind w:left="220"/>
              <w:spacing w:after="0"/>
              <w:rPr>
                <w:sz w:val="20"/>
                <w:szCs w:val="20"/>
                <w:color w:val="auto"/>
              </w:rPr>
            </w:pPr>
            <w:r>
              <w:rPr>
                <w:rFonts w:ascii="Arial" w:cs="Arial" w:eastAsia="Arial" w:hAnsi="Arial"/>
                <w:sz w:val="18"/>
                <w:szCs w:val="18"/>
                <w:color w:val="auto"/>
              </w:rPr>
              <w:t>Diluted</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220"/>
              <w:spacing w:after="0"/>
              <w:rPr>
                <w:sz w:val="20"/>
                <w:szCs w:val="20"/>
                <w:color w:val="auto"/>
              </w:rPr>
            </w:pPr>
            <w:r>
              <w:rPr>
                <w:rFonts w:ascii="Arial" w:cs="Arial" w:eastAsia="Arial" w:hAnsi="Arial"/>
                <w:sz w:val="18"/>
                <w:szCs w:val="18"/>
                <w:color w:val="auto"/>
              </w:rPr>
              <w:t>Basic</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13,195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14,175</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w:t>
            </w:r>
          </w:p>
        </w:tc>
        <w:tc>
          <w:tcPr>
            <w:tcW w:w="0" w:type="dxa"/>
            <w:vAlign w:val="bottom"/>
          </w:tcPr>
          <w:p>
            <w:pPr>
              <w:spacing w:after="0"/>
              <w:rPr>
                <w:sz w:val="1"/>
                <w:szCs w:val="1"/>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Foreign currency translation adjustment</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Other comprehensive loss, net of tax</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7,948</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7" w:right="339" w:bottom="1440" w:gutter="0" w:footer="0" w:header="0"/>
        </w:sectPr>
      </w:pPr>
    </w:p>
    <w:bookmarkStart w:id="6" w:name="page7"/>
    <w:bookmarkEnd w:id="6"/>
    <w:p>
      <w:pPr>
        <w:jc w:val="center"/>
        <w:ind w:right="20"/>
        <w:spacing w:after="0" w:line="254" w:lineRule="auto"/>
        <w:rPr>
          <w:sz w:val="20"/>
          <w:szCs w:val="20"/>
          <w:color w:val="auto"/>
        </w:rPr>
      </w:pPr>
      <w:r>
        <w:rPr>
          <w:rFonts w:ascii="Arial" w:cs="Arial" w:eastAsia="Arial" w:hAnsi="Arial"/>
          <w:sz w:val="18"/>
          <w:szCs w:val="18"/>
          <w:color w:val="auto"/>
        </w:rPr>
        <w:t>LIFEVANTAGE CORPORATION AND SUBSIDIARIES CONDENSED CONSOLIDATED STATEMENT OF STOCKHOLDERS’ EQUITY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80" w:type="dxa"/>
            <w:vAlign w:val="bottom"/>
          </w:tcPr>
          <w:p>
            <w:pPr>
              <w:spacing w:after="0"/>
              <w:rPr>
                <w:sz w:val="11"/>
                <w:szCs w:val="11"/>
                <w:color w:val="auto"/>
              </w:rPr>
            </w:pPr>
          </w:p>
        </w:tc>
        <w:tc>
          <w:tcPr>
            <w:tcW w:w="2160" w:type="dxa"/>
            <w:vAlign w:val="bottom"/>
            <w:gridSpan w:val="3"/>
            <w:vMerge w:val="restart"/>
          </w:tcPr>
          <w:p>
            <w:pPr>
              <w:jc w:val="right"/>
              <w:ind w:right="395"/>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380" w:type="dxa"/>
            <w:vAlign w:val="bottom"/>
          </w:tcPr>
          <w:p>
            <w:pPr>
              <w:spacing w:after="0"/>
              <w:rPr>
                <w:sz w:val="8"/>
                <w:szCs w:val="8"/>
                <w:color w:val="auto"/>
              </w:rPr>
            </w:pPr>
          </w:p>
        </w:tc>
        <w:tc>
          <w:tcPr>
            <w:tcW w:w="216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tcPr>
          <w:p>
            <w:pPr>
              <w:jc w:val="center"/>
              <w:ind w:right="300"/>
              <w:spacing w:after="0" w:line="101" w:lineRule="exact"/>
              <w:rPr>
                <w:sz w:val="20"/>
                <w:szCs w:val="20"/>
                <w:color w:val="auto"/>
              </w:rPr>
            </w:pPr>
            <w:r>
              <w:rPr>
                <w:rFonts w:ascii="Arial" w:cs="Arial" w:eastAsia="Arial" w:hAnsi="Arial"/>
                <w:sz w:val="11"/>
                <w:szCs w:val="11"/>
                <w:b w:val="1"/>
                <w:bCs w:val="1"/>
                <w:color w:val="auto"/>
              </w:rPr>
              <w:t>Paid-In</w:t>
            </w:r>
          </w:p>
        </w:tc>
        <w:tc>
          <w:tcPr>
            <w:tcW w:w="160" w:type="dxa"/>
            <w:vAlign w:val="bottom"/>
          </w:tcPr>
          <w:p>
            <w:pPr>
              <w:spacing w:after="0"/>
              <w:rPr>
                <w:sz w:val="8"/>
                <w:szCs w:val="8"/>
                <w:color w:val="auto"/>
              </w:rPr>
            </w:pPr>
          </w:p>
        </w:tc>
        <w:tc>
          <w:tcPr>
            <w:tcW w:w="1140" w:type="dxa"/>
            <w:vAlign w:val="bottom"/>
            <w:gridSpan w:val="2"/>
          </w:tcPr>
          <w:p>
            <w:pPr>
              <w:jc w:val="center"/>
              <w:ind w:right="260"/>
              <w:spacing w:after="0" w:line="101"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8"/>
                <w:szCs w:val="8"/>
                <w:color w:val="auto"/>
              </w:rPr>
            </w:pPr>
          </w:p>
        </w:tc>
        <w:tc>
          <w:tcPr>
            <w:tcW w:w="1280" w:type="dxa"/>
            <w:vAlign w:val="bottom"/>
            <w:gridSpan w:val="2"/>
          </w:tcPr>
          <w:p>
            <w:pPr>
              <w:jc w:val="center"/>
              <w:ind w:right="260"/>
              <w:spacing w:after="0" w:line="101" w:lineRule="exact"/>
              <w:rPr>
                <w:sz w:val="20"/>
                <w:szCs w:val="20"/>
                <w:color w:val="auto"/>
              </w:rPr>
            </w:pPr>
            <w:r>
              <w:rPr>
                <w:rFonts w:ascii="Arial" w:cs="Arial" w:eastAsia="Arial" w:hAnsi="Arial"/>
                <w:sz w:val="11"/>
                <w:szCs w:val="11"/>
                <w:b w:val="1"/>
                <w:bCs w:val="1"/>
                <w:color w:val="auto"/>
              </w:rPr>
              <w:t>Comprehensive</w:t>
            </w: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(Loss) Income</w:t>
            </w: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June 30, 2021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13,609</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129,048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(92,346)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36,807</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73"/>
        </w:trPr>
        <w:tc>
          <w:tcPr>
            <w:tcW w:w="33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9"/>
              </w:rPr>
              <w:t>Common stock issued under equity award</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89"/>
              </w:rPr>
              <w:t>Shares canceled or surrendered as payment of</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tax withholding and other</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company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93"/>
              </w:rPr>
              <w:t>Common stock issued under employee stock</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43"/>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September 30, 2021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129,862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(92,522)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37,310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99"/>
              </w:rPr>
              <w:t>Common stock issued under equity award</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3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89"/>
              </w:rPr>
              <w:t>Shares canceled or surrendered as payment of</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withholding and other</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Repurchase of company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December 31, 2021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130,586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(95,597)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34,780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93"/>
              </w:rPr>
              <w:t>Common stock issued under employee stock</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3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9"/>
              </w:rPr>
              <w:t>Common stock issued under equity award</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89"/>
              </w:rPr>
              <w:t>Shares canceled or surrendered as payment of</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tax withholding and other</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company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8"/>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Balances, March 31, 2022</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12,577</w:t>
            </w:r>
          </w:p>
        </w:tc>
        <w:tc>
          <w:tcPr>
            <w:tcW w:w="1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130,714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(96,184)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34,031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881" w:right="359" w:bottom="1440" w:gutter="0" w:footer="0" w:header="0"/>
        </w:sectPr>
      </w:pPr>
    </w:p>
    <w:bookmarkStart w:id="7" w:name="page8"/>
    <w:bookmarkEnd w:id="7"/>
    <w:p>
      <w:pPr>
        <w:jc w:val="center"/>
        <w:ind w:right="20"/>
        <w:spacing w:after="0" w:line="259" w:lineRule="auto"/>
        <w:rPr>
          <w:sz w:val="20"/>
          <w:szCs w:val="20"/>
          <w:color w:val="auto"/>
        </w:rPr>
      </w:pPr>
      <w:r>
        <w:rPr>
          <w:rFonts w:ascii="Arial" w:cs="Arial" w:eastAsia="Arial" w:hAnsi="Arial"/>
          <w:sz w:val="18"/>
          <w:szCs w:val="18"/>
          <w:color w:val="auto"/>
        </w:rPr>
        <w:t>LIFEVANTAGE CORPORATION AND SUBSIDIARIES CONDENSED CONSOLIDATED STATEMENT OF STOCKHOLDERS’ EQUITY (CONTINUED) (Unaudited)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80" w:type="dxa"/>
            <w:vAlign w:val="bottom"/>
          </w:tcPr>
          <w:p>
            <w:pPr>
              <w:spacing w:after="0"/>
              <w:rPr>
                <w:sz w:val="11"/>
                <w:szCs w:val="11"/>
                <w:color w:val="auto"/>
              </w:rPr>
            </w:pPr>
          </w:p>
        </w:tc>
        <w:tc>
          <w:tcPr>
            <w:tcW w:w="2160" w:type="dxa"/>
            <w:vAlign w:val="bottom"/>
            <w:gridSpan w:val="3"/>
            <w:vMerge w:val="restart"/>
          </w:tcPr>
          <w:p>
            <w:pPr>
              <w:jc w:val="right"/>
              <w:ind w:right="395"/>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380" w:type="dxa"/>
            <w:vAlign w:val="bottom"/>
          </w:tcPr>
          <w:p>
            <w:pPr>
              <w:spacing w:after="0"/>
              <w:rPr>
                <w:sz w:val="8"/>
                <w:szCs w:val="8"/>
                <w:color w:val="auto"/>
              </w:rPr>
            </w:pPr>
          </w:p>
        </w:tc>
        <w:tc>
          <w:tcPr>
            <w:tcW w:w="216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tcPr>
          <w:p>
            <w:pPr>
              <w:jc w:val="center"/>
              <w:ind w:right="300"/>
              <w:spacing w:after="0" w:line="101" w:lineRule="exact"/>
              <w:rPr>
                <w:sz w:val="20"/>
                <w:szCs w:val="20"/>
                <w:color w:val="auto"/>
              </w:rPr>
            </w:pPr>
            <w:r>
              <w:rPr>
                <w:rFonts w:ascii="Arial" w:cs="Arial" w:eastAsia="Arial" w:hAnsi="Arial"/>
                <w:sz w:val="11"/>
                <w:szCs w:val="11"/>
                <w:b w:val="1"/>
                <w:bCs w:val="1"/>
                <w:color w:val="auto"/>
              </w:rPr>
              <w:t>Paid-In</w:t>
            </w:r>
          </w:p>
        </w:tc>
        <w:tc>
          <w:tcPr>
            <w:tcW w:w="160" w:type="dxa"/>
            <w:vAlign w:val="bottom"/>
          </w:tcPr>
          <w:p>
            <w:pPr>
              <w:spacing w:after="0"/>
              <w:rPr>
                <w:sz w:val="8"/>
                <w:szCs w:val="8"/>
                <w:color w:val="auto"/>
              </w:rPr>
            </w:pPr>
          </w:p>
        </w:tc>
        <w:tc>
          <w:tcPr>
            <w:tcW w:w="1140" w:type="dxa"/>
            <w:vAlign w:val="bottom"/>
            <w:gridSpan w:val="2"/>
          </w:tcPr>
          <w:p>
            <w:pPr>
              <w:jc w:val="center"/>
              <w:ind w:right="260"/>
              <w:spacing w:after="0" w:line="101"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8"/>
                <w:szCs w:val="8"/>
                <w:color w:val="auto"/>
              </w:rPr>
            </w:pPr>
          </w:p>
        </w:tc>
        <w:tc>
          <w:tcPr>
            <w:tcW w:w="1280" w:type="dxa"/>
            <w:vAlign w:val="bottom"/>
            <w:gridSpan w:val="2"/>
          </w:tcPr>
          <w:p>
            <w:pPr>
              <w:jc w:val="center"/>
              <w:ind w:right="260"/>
              <w:spacing w:after="0" w:line="101" w:lineRule="exact"/>
              <w:rPr>
                <w:sz w:val="20"/>
                <w:szCs w:val="20"/>
                <w:color w:val="auto"/>
              </w:rPr>
            </w:pPr>
            <w:r>
              <w:rPr>
                <w:rFonts w:ascii="Arial" w:cs="Arial" w:eastAsia="Arial" w:hAnsi="Arial"/>
                <w:sz w:val="11"/>
                <w:szCs w:val="11"/>
                <w:b w:val="1"/>
                <w:bCs w:val="1"/>
                <w:color w:val="auto"/>
              </w:rPr>
              <w:t>Comprehensive</w:t>
            </w: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(Loss) Income</w:t>
            </w: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June 30, 2020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14,313</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126,416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(93,307)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33,254</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3"/>
        </w:trPr>
        <w:tc>
          <w:tcPr>
            <w:tcW w:w="33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9"/>
              </w:rPr>
              <w:t>Common stock issued under equity award</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89"/>
              </w:rPr>
              <w:t>Shares canceled or surrendered as payment of</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tax withholding and other</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company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93"/>
              </w:rPr>
              <w:t>Common stock issued under employee stock</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43"/>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September 30, 2020</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126,687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34,136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173"/>
        </w:trPr>
        <w:tc>
          <w:tcPr>
            <w:tcW w:w="33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9"/>
              </w:rPr>
              <w:t>Common stock issued under equity award</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89"/>
              </w:rPr>
              <w:t>Shares canceled or surrendered as payment of</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tax withholding and other</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company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18"/>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Balances, December 31, 2020</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14,151</w:t>
            </w:r>
          </w:p>
        </w:tc>
        <w:tc>
          <w:tcPr>
            <w:tcW w:w="1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128,011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(93,044)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35,516</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options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93"/>
              </w:rPr>
              <w:t>Common stock issued under employee stock</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3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9"/>
              </w:rPr>
              <w:t>Common stock issued under equity award</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89"/>
              </w:rPr>
              <w:t>Shares canceled or surrendered as payment of</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tax withholding and other</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company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8"/>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Balances, March 31, 2021</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13,989</w:t>
            </w:r>
          </w:p>
        </w:tc>
        <w:tc>
          <w:tcPr>
            <w:tcW w:w="1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128,842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(93,320)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35,628</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039"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rPr>
              <w:t>Nine Months Ended March 31,</w:t>
            </w:r>
          </w:p>
        </w:tc>
        <w:tc>
          <w:tcPr>
            <w:tcW w:w="640" w:type="dxa"/>
            <w:vAlign w:val="bottom"/>
            <w:tcBorders>
              <w:bottom w:val="single" w:sz="8" w:color="auto"/>
            </w:tcBorders>
          </w:tcPr>
          <w:p>
            <w:pPr>
              <w:spacing w:after="0"/>
              <w:rPr>
                <w:sz w:val="16"/>
                <w:szCs w:val="16"/>
                <w:color w:val="auto"/>
              </w:rPr>
            </w:pPr>
          </w:p>
        </w:tc>
      </w:tr>
      <w:tr>
        <w:trPr>
          <w:trHeight w:val="182"/>
        </w:trPr>
        <w:tc>
          <w:tcPr>
            <w:tcW w:w="7580" w:type="dxa"/>
            <w:vAlign w:val="bottom"/>
          </w:tcPr>
          <w:p>
            <w:pPr>
              <w:spacing w:after="0"/>
              <w:rPr>
                <w:sz w:val="15"/>
                <w:szCs w:val="15"/>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r>
      <w:tr>
        <w:trPr>
          <w:trHeight w:val="174"/>
        </w:trPr>
        <w:tc>
          <w:tcPr>
            <w:tcW w:w="7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ind w:right="917"/>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4,536</w:t>
            </w:r>
          </w:p>
        </w:tc>
        <w:tc>
          <w:tcPr>
            <w:tcW w:w="120" w:type="dxa"/>
            <w:vAlign w:val="bottom"/>
          </w:tcPr>
          <w:p>
            <w:pPr>
              <w:spacing w:after="0"/>
              <w:rPr>
                <w:sz w:val="19"/>
                <w:szCs w:val="19"/>
                <w:color w:val="auto"/>
              </w:rPr>
            </w:pPr>
          </w:p>
        </w:tc>
        <w:tc>
          <w:tcPr>
            <w:tcW w:w="1100" w:type="dxa"/>
            <w:vAlign w:val="bottom"/>
          </w:tcPr>
          <w:p>
            <w:pPr>
              <w:jc w:val="right"/>
              <w:ind w:right="91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7,987</w:t>
            </w: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2,643</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Amortization of right-of-use assets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2,216</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Income tax receivable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Inventory, net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Prepaid expenses and other</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long-term assets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1,636</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 payable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Other accrued expenses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(4,020)</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Lease liabilities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r>
      <w:tr>
        <w:trPr>
          <w:trHeight w:val="224"/>
        </w:trPr>
        <w:tc>
          <w:tcPr>
            <w:tcW w:w="75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long-term liabilities</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1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7,899</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r>
      <w:tr>
        <w:trPr>
          <w:trHeight w:val="218"/>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(1,264)</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(3,261)</w:t>
            </w: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Repurchase of company stock</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(8,374)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canceled or surrendered as payment of tax withholding and other</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Proceeds from common stock issued under employee stock purchase plan</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options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18"/>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(8,070)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(7,777)</w:t>
            </w: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Effect on Cash</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Decrease in Cash and Cash Equivalents: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(5,378)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(3,183)</w:t>
            </w: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 beginning of period</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23,174</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22,138</w:t>
            </w:r>
          </w:p>
        </w:tc>
      </w:tr>
      <w:tr>
        <w:trPr>
          <w:trHeight w:val="218"/>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 end of period</w:t>
            </w:r>
          </w:p>
        </w:tc>
        <w:tc>
          <w:tcPr>
            <w:tcW w:w="1120" w:type="dxa"/>
            <w:vAlign w:val="bottom"/>
            <w:tcBorders>
              <w:bottom w:val="single" w:sz="8" w:color="auto"/>
            </w:tcBorders>
          </w:tcPr>
          <w:p>
            <w:pPr>
              <w:jc w:val="right"/>
              <w:ind w:right="917"/>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17,796</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15"/>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18,955</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1"/>
        </w:trPr>
        <w:tc>
          <w:tcPr>
            <w:tcW w:w="758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Non Cash Investing and Financing Activities:</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Increase in property and equipment and lease liabilities from lease incentives</w:t>
            </w:r>
          </w:p>
        </w:tc>
        <w:tc>
          <w:tcPr>
            <w:tcW w:w="1120" w:type="dxa"/>
            <w:vAlign w:val="bottom"/>
          </w:tcPr>
          <w:p>
            <w:pPr>
              <w:jc w:val="right"/>
              <w:ind w:right="917"/>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3,543</w:t>
            </w: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1120" w:type="dxa"/>
            <w:vAlign w:val="bottom"/>
          </w:tcPr>
          <w:p>
            <w:pPr>
              <w:jc w:val="right"/>
              <w:ind w:right="917"/>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100" w:type="dxa"/>
            <w:vAlign w:val="bottom"/>
          </w:tcPr>
          <w:p>
            <w:pPr>
              <w:jc w:val="right"/>
              <w:ind w:right="91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120" w:type="dxa"/>
            <w:vAlign w:val="bottom"/>
            <w:shd w:val="clear" w:color="auto" w:fill="CCEEFF"/>
          </w:tcPr>
          <w:p>
            <w:pPr>
              <w:jc w:val="right"/>
              <w:ind w:right="91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881"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8" w:lineRule="exact"/>
        <w:rPr>
          <w:sz w:val="20"/>
          <w:szCs w:val="20"/>
          <w:color w:val="auto"/>
        </w:rPr>
      </w:pPr>
    </w:p>
    <w:p>
      <w:pPr>
        <w:jc w:val="both"/>
        <w:ind w:right="20" w:firstLine="397"/>
        <w:spacing w:after="0" w:line="254" w:lineRule="auto"/>
        <w:rPr>
          <w:sz w:val="20"/>
          <w:szCs w:val="20"/>
          <w:color w:val="auto"/>
        </w:rPr>
      </w:pPr>
      <w:r>
        <w:rPr>
          <w:rFonts w:ascii="Arial" w:cs="Arial" w:eastAsia="Arial" w:hAnsi="Arial"/>
          <w:sz w:val="18"/>
          <w:szCs w:val="18"/>
          <w:color w:val="auto"/>
        </w:rPr>
        <w:t>These unaudited condensed consolidated financial statements and notes should be read in conjunction with the audited financial statements and notes of LifeVantage Corporation (the “Company”) as of and for the year ended June 30, 2021 included in the annual report on Form 10-K filed with the Securities and Exchange Commission (“SEC”) on August 19,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56" w:lineRule="exact"/>
        <w:rPr>
          <w:sz w:val="20"/>
          <w:szCs w:val="20"/>
          <w:color w:val="auto"/>
        </w:rPr>
      </w:pPr>
    </w:p>
    <w:p>
      <w:pPr>
        <w:ind w:right="100" w:firstLine="412"/>
        <w:spacing w:after="0" w:line="265" w:lineRule="auto"/>
        <w:rPr>
          <w:sz w:val="20"/>
          <w:szCs w:val="20"/>
          <w:color w:val="auto"/>
        </w:rPr>
      </w:pPr>
      <w:r>
        <w:rPr>
          <w:rFonts w:ascii="Arial" w:cs="Arial" w:eastAsia="Arial" w:hAnsi="Arial"/>
          <w:sz w:val="17"/>
          <w:szCs w:val="17"/>
          <w:color w:val="auto"/>
        </w:rPr>
        <w:t>LifeVantage Corporation is a company focused on nutrigenomics, the study of how nutrition and naturally occurring compounds affect human genes to support good health. The Company is dedicated to helping people achieve their health, wellness and financial goals. The Company provides quality, scientifically-validated products to customers and independent distributors as well as a financially rewarding commission-based direct sales opportunity to its independent distributors. LifeVantage sells its products in the United States, Mexico, Japan, Australia, Hong Kong, Canada, Thailand, the United Kingdom, the Netherlands, Germany, Taiwan, Austria, Spain, Ireland, Belgium, New Zealand, Singapore, and the Philippines. The Company also sells its products in a number of countries to customers for personal consumption only. In addition, the Company sells its products in China through a China approved cross-border e-commerce business model.</w:t>
      </w:r>
    </w:p>
    <w:p>
      <w:pPr>
        <w:spacing w:after="0" w:line="102" w:lineRule="exact"/>
        <w:rPr>
          <w:sz w:val="20"/>
          <w:szCs w:val="20"/>
          <w:color w:val="auto"/>
        </w:rPr>
      </w:pPr>
    </w:p>
    <w:p>
      <w:pPr>
        <w:ind w:firstLine="412"/>
        <w:spacing w:after="0" w:line="193" w:lineRule="auto"/>
        <w:rPr>
          <w:sz w:val="20"/>
          <w:szCs w:val="20"/>
          <w:color w:val="auto"/>
        </w:rPr>
      </w:pPr>
      <w:r>
        <w:rPr>
          <w:rFonts w:ascii="Arial" w:cs="Arial" w:eastAsia="Arial" w:hAnsi="Arial"/>
          <w:sz w:val="18"/>
          <w:szCs w:val="18"/>
          <w:color w:val="auto"/>
        </w:rPr>
        <w:t>The Company engages in the identification, research, development, formulation and sale of advanced nutrigenomic activators, dietary supplements, nootropics, pre- and pro-biotics, weight management, skin and hair care, bath &amp; body, and targeted relief products. The Company’s line of scientifically-validated dietary supplements includes its flagship Protandim</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family of products, LifeVantage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Omega+</w:t>
      </w:r>
      <w:r>
        <w:rPr>
          <w:rFonts w:ascii="Arial" w:cs="Arial" w:eastAsia="Arial" w:hAnsi="Arial"/>
          <w:sz w:val="22"/>
          <w:szCs w:val="22"/>
          <w:color w:val="auto"/>
          <w:vertAlign w:val="superscript"/>
        </w:rPr>
        <w:t>™</w:t>
      </w:r>
      <w:r>
        <w:rPr>
          <w:rFonts w:ascii="Arial" w:cs="Arial" w:eastAsia="Arial" w:hAnsi="Arial"/>
          <w:sz w:val="18"/>
          <w:szCs w:val="18"/>
          <w:color w:val="auto"/>
        </w:rPr>
        <w:t>, ProBio</w:t>
      </w:r>
      <w:r>
        <w:rPr>
          <w:rFonts w:ascii="Arial" w:cs="Arial" w:eastAsia="Arial" w:hAnsi="Arial"/>
          <w:sz w:val="22"/>
          <w:szCs w:val="22"/>
          <w:color w:val="auto"/>
          <w:vertAlign w:val="superscript"/>
        </w:rPr>
        <w:t>™</w:t>
      </w:r>
      <w:r>
        <w:rPr>
          <w:rFonts w:ascii="Arial" w:cs="Arial" w:eastAsia="Arial" w:hAnsi="Arial"/>
          <w:sz w:val="18"/>
          <w:szCs w:val="18"/>
          <w:color w:val="auto"/>
        </w:rPr>
        <w:t>, IC Bright</w:t>
      </w:r>
      <w:r>
        <w:rPr>
          <w:rFonts w:ascii="Arial" w:cs="Arial" w:eastAsia="Arial" w:hAnsi="Arial"/>
          <w:sz w:val="22"/>
          <w:szCs w:val="22"/>
          <w:color w:val="auto"/>
          <w:vertAlign w:val="superscript"/>
        </w:rPr>
        <w:t>™</w:t>
      </w:r>
      <w:r>
        <w:rPr>
          <w:rFonts w:ascii="Arial" w:cs="Arial" w:eastAsia="Arial" w:hAnsi="Arial"/>
          <w:sz w:val="18"/>
          <w:szCs w:val="18"/>
          <w:color w:val="auto"/>
        </w:rPr>
        <w:t>, and Daily Wellness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dietary supplements. TrueScience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is the Company's line of skin, hair, bath &amp; body, and targeted relief products. The Company also markets and sells Petandim</w:t>
      </w:r>
      <w:r>
        <w:rPr>
          <w:rFonts w:ascii="Arial" w:cs="Arial" w:eastAsia="Arial" w:hAnsi="Arial"/>
          <w:sz w:val="22"/>
          <w:szCs w:val="22"/>
          <w:color w:val="auto"/>
          <w:vertAlign w:val="superscript"/>
        </w:rPr>
        <w:t>®</w:t>
      </w:r>
      <w:r>
        <w:rPr>
          <w:rFonts w:ascii="Arial" w:cs="Arial" w:eastAsia="Arial" w:hAnsi="Arial"/>
          <w:sz w:val="18"/>
          <w:szCs w:val="18"/>
          <w:color w:val="auto"/>
        </w:rPr>
        <w:t>, its companion pet supplement formulated to combat oxidative stress in dogs, Axio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its nootropic energy drink mixes, and PhysIQ</w:t>
      </w:r>
      <w:r>
        <w:rPr>
          <w:rFonts w:ascii="Arial" w:cs="Arial" w:eastAsia="Arial" w:hAnsi="Arial"/>
          <w:sz w:val="22"/>
          <w:szCs w:val="22"/>
          <w:color w:val="auto"/>
          <w:vertAlign w:val="superscript"/>
        </w:rPr>
        <w:t>™</w:t>
      </w:r>
      <w:r>
        <w:rPr>
          <w:rFonts w:ascii="Arial" w:cs="Arial" w:eastAsia="Arial" w:hAnsi="Arial"/>
          <w:sz w:val="18"/>
          <w:szCs w:val="18"/>
          <w:color w:val="auto"/>
        </w:rPr>
        <w:t>, its smart weight management system.</w:t>
      </w:r>
    </w:p>
    <w:p>
      <w:pPr>
        <w:spacing w:after="0" w:line="109"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March 31, 2022, and the results of operations for the three and nine months ended March 31, 2022 and 2021, and the cash flows for the nine months ended March 31, 2022 and 2021. Interim results are not necessarily indicative of results for a full year or for any future period.</w:t>
      </w:r>
    </w:p>
    <w:p>
      <w:pPr>
        <w:spacing w:after="0" w:line="129" w:lineRule="exact"/>
        <w:rPr>
          <w:sz w:val="20"/>
          <w:szCs w:val="20"/>
          <w:color w:val="auto"/>
        </w:rPr>
      </w:pPr>
    </w:p>
    <w:p>
      <w:pPr>
        <w:ind w:right="100" w:firstLine="397"/>
        <w:spacing w:after="0" w:line="251" w:lineRule="auto"/>
        <w:rPr>
          <w:sz w:val="20"/>
          <w:szCs w:val="20"/>
          <w:color w:val="auto"/>
        </w:rPr>
      </w:pPr>
      <w:r>
        <w:rPr>
          <w:rFonts w:ascii="Arial" w:cs="Arial" w:eastAsia="Arial" w:hAnsi="Arial"/>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2021, pursuant to the rules and regulations of the SEC. For further information, refer to the financial statements and notes thereto as of and for the year ended June 30, 2021, and included in the annual report on Form 10-K on file with the SEC.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56" w:lineRule="exact"/>
        <w:rPr>
          <w:sz w:val="20"/>
          <w:szCs w:val="20"/>
          <w:color w:val="auto"/>
        </w:rPr>
      </w:pPr>
    </w:p>
    <w:p>
      <w:pPr>
        <w:ind w:right="160" w:firstLine="397"/>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are eliminated in consolidation.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3" w:lineRule="exact"/>
        <w:rPr>
          <w:sz w:val="20"/>
          <w:szCs w:val="20"/>
          <w:color w:val="auto"/>
        </w:rPr>
      </w:pPr>
    </w:p>
    <w:p>
      <w:pPr>
        <w:ind w:right="160" w:firstLine="397"/>
        <w:spacing w:after="0" w:line="308" w:lineRule="auto"/>
        <w:rPr>
          <w:sz w:val="20"/>
          <w:szCs w:val="20"/>
          <w:color w:val="auto"/>
        </w:rPr>
      </w:pPr>
      <w:r>
        <w:rPr>
          <w:rFonts w:ascii="Arial" w:cs="Arial" w:eastAsia="Arial" w:hAnsi="Arial"/>
          <w:sz w:val="15"/>
          <w:szCs w:val="15"/>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56" w:lineRule="exact"/>
        <w:rPr>
          <w:sz w:val="20"/>
          <w:szCs w:val="20"/>
          <w:color w:val="auto"/>
        </w:rPr>
      </w:pPr>
    </w:p>
    <w:p>
      <w:pPr>
        <w:ind w:right="120" w:firstLine="397"/>
        <w:spacing w:after="0" w:line="251" w:lineRule="auto"/>
        <w:rPr>
          <w:sz w:val="20"/>
          <w:szCs w:val="20"/>
          <w:color w:val="auto"/>
        </w:rPr>
      </w:pPr>
      <w:r>
        <w:rPr>
          <w:rFonts w:ascii="Arial" w:cs="Arial" w:eastAsia="Arial" w:hAnsi="Arial"/>
          <w:sz w:val="18"/>
          <w:szCs w:val="18"/>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0" w:name="page11"/>
    <w:bookmarkEnd w:id="10"/>
    <w:p>
      <w:pPr>
        <w:ind w:right="240"/>
        <w:spacing w:after="0" w:line="317" w:lineRule="auto"/>
        <w:rPr>
          <w:sz w:val="20"/>
          <w:szCs w:val="20"/>
          <w:color w:val="auto"/>
        </w:rPr>
      </w:pPr>
      <w:r>
        <w:rPr>
          <w:rFonts w:ascii="Arial" w:cs="Arial" w:eastAsia="Arial" w:hAnsi="Arial"/>
          <w:sz w:val="15"/>
          <w:szCs w:val="15"/>
          <w:color w:val="auto"/>
        </w:rPr>
        <w:t>as a separate component of stockholders’ equity in the condensed consolidated balance sheets and as a component of comprehensive income. Transaction gains and losses are included in other expense, net in the condensed consolidated statements of operations and comprehensive income. For the three months ended March 31, 2022 and 2021, net foreign currency losses of $0.1 million and $0.3 million, respectively, are recorded in other expense, net. For the nine months ended March 31, 2022 and 2021, net foreign currency losses of $0.4 million and $0.2 million, respectively, are recorded in other expense, net.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56" w:lineRule="exact"/>
        <w:rPr>
          <w:sz w:val="20"/>
          <w:szCs w:val="20"/>
          <w:color w:val="auto"/>
        </w:rPr>
      </w:pPr>
    </w:p>
    <w:p>
      <w:pPr>
        <w:ind w:right="80" w:firstLine="397"/>
        <w:spacing w:after="0" w:line="254" w:lineRule="auto"/>
        <w:rPr>
          <w:sz w:val="20"/>
          <w:szCs w:val="20"/>
          <w:color w:val="auto"/>
        </w:rPr>
      </w:pPr>
      <w:r>
        <w:rPr>
          <w:rFonts w:ascii="Arial" w:cs="Arial" w:eastAsia="Arial" w:hAnsi="Arial"/>
          <w:sz w:val="18"/>
          <w:szCs w:val="18"/>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123" w:lineRule="exact"/>
        <w:rPr>
          <w:sz w:val="20"/>
          <w:szCs w:val="20"/>
          <w:color w:val="auto"/>
        </w:rPr>
      </w:pPr>
    </w:p>
    <w:p>
      <w:pPr>
        <w:ind w:right="120" w:firstLine="397"/>
        <w:spacing w:after="0" w:line="311" w:lineRule="auto"/>
        <w:rPr>
          <w:sz w:val="20"/>
          <w:szCs w:val="20"/>
          <w:color w:val="auto"/>
        </w:rPr>
      </w:pPr>
      <w:r>
        <w:rPr>
          <w:rFonts w:ascii="Arial" w:cs="Arial" w:eastAsia="Arial" w:hAnsi="Arial"/>
          <w:sz w:val="15"/>
          <w:szCs w:val="15"/>
          <w:color w:val="auto"/>
        </w:rPr>
        <w:t>To hedge risks associated with the foreign-currency-denominated intercompany transactions, the Company entered into forward foreign exchange contracts which were all settled by the end of December 2021 and were not designated for hedge accounting. There were no realized gains or losses for three months ended March 31, 2022. For the three months ended March 31, 2021 realized losses of $26,000 related to forward contracts, are recorded in other expense, net. For the nine months ended March 31, 2022 and 2021, realized losses of $0.1 million and $0.4 million, respectively, related to forward contracts, are recorded in other expense, net. The Company did not hold any derivative instruments at March 31, 2022.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considers only its monetary liquid assets with original maturities of three months or less as cash and 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3"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March 31, 2022, the Company had $11.7 million in cash accounts at one financial institution and $6.1 million in accounts at other financial institutions. At June 30, 2021, the Company had $17.2 million in cash accounts at one financial institution and $6.0 million in accounts at other financial institutions. As of March 31, 2022 and June 30, 2021, and during the periods then ended, the Company’s cash balances exceeded federally insured limits.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56" w:lineRule="exact"/>
        <w:rPr>
          <w:sz w:val="20"/>
          <w:szCs w:val="20"/>
          <w:color w:val="auto"/>
        </w:rPr>
      </w:pPr>
    </w:p>
    <w:p>
      <w:pPr>
        <w:ind w:right="100" w:firstLine="397"/>
        <w:spacing w:after="0" w:line="251" w:lineRule="auto"/>
        <w:rPr>
          <w:sz w:val="20"/>
          <w:szCs w:val="20"/>
          <w:color w:val="auto"/>
        </w:rPr>
      </w:pPr>
      <w:r>
        <w:rPr>
          <w:rFonts w:ascii="Arial" w:cs="Arial" w:eastAsia="Arial" w:hAnsi="Arial"/>
          <w:sz w:val="18"/>
          <w:szCs w:val="18"/>
          <w:color w:val="auto"/>
        </w:rPr>
        <w:t>The Company’s accounts receivable as of March 31, 2022 and June 30, 2021 consist primarily of credit card receivables. Based on the Company’s verification process for customer credit cards and historical information available, management has determined that an allowance for doubtful accounts on credit card sales related to its customer sales as of March 31, 2022 and June 30, 2021 is not necessary. No bad debt expense was recorded during the three and nine months ended March 31, 2022 and 2021.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2022 and June 30, 2021, inventory consisted of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2"/>
          </w:tcPr>
          <w:p>
            <w:pPr>
              <w:jc w:val="right"/>
              <w:ind w:right="992"/>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2"/>
          </w:tcPr>
          <w:p>
            <w:pPr>
              <w:jc w:val="right"/>
              <w:ind w:right="1072"/>
              <w:spacing w:after="0"/>
              <w:rPr>
                <w:sz w:val="20"/>
                <w:szCs w:val="20"/>
                <w:color w:val="auto"/>
              </w:rPr>
            </w:pPr>
            <w:r>
              <w:rPr>
                <w:rFonts w:ascii="Arial" w:cs="Arial" w:eastAsia="Arial" w:hAnsi="Arial"/>
                <w:sz w:val="14"/>
                <w:szCs w:val="14"/>
                <w:b w:val="1"/>
                <w:bCs w:val="1"/>
                <w:color w:val="auto"/>
                <w:w w:val="96"/>
              </w:rPr>
              <w:t>June 30,</w:t>
            </w:r>
          </w:p>
        </w:tc>
        <w:tc>
          <w:tcPr>
            <w:tcW w:w="400" w:type="dxa"/>
            <w:vAlign w:val="bottom"/>
          </w:tcPr>
          <w:p>
            <w:pPr>
              <w:spacing w:after="0"/>
              <w:rPr>
                <w:sz w:val="14"/>
                <w:szCs w:val="14"/>
                <w:color w:val="auto"/>
              </w:rPr>
            </w:pPr>
          </w:p>
        </w:tc>
      </w:tr>
      <w:tr>
        <w:trPr>
          <w:trHeight w:val="184"/>
        </w:trPr>
        <w:tc>
          <w:tcPr>
            <w:tcW w:w="26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392"/>
              <w:spacing w:after="0"/>
              <w:rPr>
                <w:sz w:val="20"/>
                <w:szCs w:val="20"/>
                <w:color w:val="auto"/>
              </w:rPr>
            </w:pPr>
            <w:r>
              <w:rPr>
                <w:rFonts w:ascii="Arial" w:cs="Arial" w:eastAsia="Arial" w:hAnsi="Arial"/>
                <w:sz w:val="14"/>
                <w:szCs w:val="14"/>
                <w:b w:val="1"/>
                <w:bCs w:val="1"/>
                <w:color w:val="auto"/>
                <w:w w:val="83"/>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392"/>
              <w:spacing w:after="0"/>
              <w:rPr>
                <w:sz w:val="20"/>
                <w:szCs w:val="20"/>
                <w:color w:val="auto"/>
              </w:rPr>
            </w:pPr>
            <w:r>
              <w:rPr>
                <w:rFonts w:ascii="Arial" w:cs="Arial" w:eastAsia="Arial" w:hAnsi="Arial"/>
                <w:sz w:val="14"/>
                <w:szCs w:val="14"/>
                <w:b w:val="1"/>
                <w:bCs w:val="1"/>
                <w:color w:val="auto"/>
                <w:w w:val="89"/>
              </w:rPr>
              <w:t>2021</w:t>
            </w:r>
          </w:p>
        </w:tc>
        <w:tc>
          <w:tcPr>
            <w:tcW w:w="400" w:type="dxa"/>
            <w:vAlign w:val="bottom"/>
            <w:tcBorders>
              <w:bottom w:val="single" w:sz="8" w:color="auto"/>
            </w:tcBorders>
          </w:tcPr>
          <w:p>
            <w:pPr>
              <w:spacing w:after="0"/>
              <w:rPr>
                <w:sz w:val="16"/>
                <w:szCs w:val="16"/>
                <w:color w:val="auto"/>
              </w:rPr>
            </w:pPr>
          </w:p>
        </w:tc>
      </w:tr>
      <w:tr>
        <w:trPr>
          <w:trHeight w:val="219"/>
        </w:trPr>
        <w:tc>
          <w:tcPr>
            <w:tcW w:w="262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Finished goods</w:t>
            </w:r>
          </w:p>
        </w:tc>
        <w:tc>
          <w:tcPr>
            <w:tcW w:w="9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12,348</w:t>
            </w:r>
          </w:p>
        </w:tc>
        <w:tc>
          <w:tcPr>
            <w:tcW w:w="17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75.9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17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75.7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6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Raw materials</w:t>
            </w:r>
          </w:p>
        </w:tc>
        <w:tc>
          <w:tcPr>
            <w:tcW w:w="9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24.1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24.3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2620" w:type="dxa"/>
            <w:vAlign w:val="bottom"/>
            <w:shd w:val="clear" w:color="auto" w:fill="CCEEFF"/>
          </w:tcPr>
          <w:p>
            <w:pPr>
              <w:ind w:left="900"/>
              <w:spacing w:after="0" w:line="204" w:lineRule="exact"/>
              <w:rPr>
                <w:sz w:val="20"/>
                <w:szCs w:val="20"/>
                <w:color w:val="auto"/>
              </w:rPr>
            </w:pPr>
            <w:r>
              <w:rPr>
                <w:rFonts w:ascii="Arial" w:cs="Arial" w:eastAsia="Arial" w:hAnsi="Arial"/>
                <w:sz w:val="18"/>
                <w:szCs w:val="18"/>
                <w:color w:val="auto"/>
              </w:rPr>
              <w:t>Total inventory</w:t>
            </w:r>
          </w:p>
        </w:tc>
        <w:tc>
          <w:tcPr>
            <w:tcW w:w="9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16,276</w:t>
            </w:r>
          </w:p>
        </w:tc>
        <w:tc>
          <w:tcPr>
            <w:tcW w:w="17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16,145</w:t>
            </w:r>
          </w:p>
        </w:tc>
        <w:tc>
          <w:tcPr>
            <w:tcW w:w="17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right="200" w:firstLine="397"/>
        <w:spacing w:after="0" w:line="293" w:lineRule="auto"/>
        <w:rPr>
          <w:sz w:val="20"/>
          <w:szCs w:val="20"/>
          <w:color w:val="auto"/>
        </w:rPr>
      </w:pPr>
      <w:r>
        <w:rPr>
          <w:rFonts w:ascii="Arial" w:cs="Arial" w:eastAsia="Arial" w:hAnsi="Arial"/>
          <w:sz w:val="17"/>
          <w:szCs w:val="17"/>
          <w:color w:val="auto"/>
        </w:rPr>
        <w:t>Inventories are carried at the lower of cost or net realizable value, using the first-in, first-out method, which includes a reduction in inventory values of $1.0 million and $0.5 million at March 31, 2022 and June 30, 2021, respectively, related to obsolete and slow-moving inventory.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56" w:lineRule="exact"/>
        <w:rPr>
          <w:sz w:val="20"/>
          <w:szCs w:val="20"/>
          <w:color w:val="auto"/>
        </w:rPr>
      </w:pPr>
    </w:p>
    <w:p>
      <w:pPr>
        <w:ind w:firstLine="397"/>
        <w:spacing w:after="0" w:line="270" w:lineRule="auto"/>
        <w:rPr>
          <w:sz w:val="20"/>
          <w:szCs w:val="20"/>
          <w:color w:val="auto"/>
        </w:rPr>
      </w:pPr>
      <w:r>
        <w:rPr>
          <w:rFonts w:ascii="Arial" w:cs="Arial" w:eastAsia="Arial" w:hAnsi="Arial"/>
          <w:sz w:val="17"/>
          <w:szCs w:val="17"/>
          <w:color w:val="auto"/>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1" w:name="page12"/>
    <w:bookmarkEnd w:id="11"/>
    <w:p>
      <w:pPr>
        <w:ind w:left="640" w:hanging="31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36" w:lineRule="exact"/>
        <w:rPr>
          <w:rFonts w:ascii="Arial" w:cs="Arial" w:eastAsia="Arial" w:hAnsi="Arial"/>
          <w:sz w:val="18"/>
          <w:szCs w:val="18"/>
          <w:color w:val="auto"/>
        </w:rPr>
      </w:pPr>
    </w:p>
    <w:p>
      <w:pPr>
        <w:ind w:left="640" w:right="60" w:hanging="317"/>
        <w:spacing w:after="0" w:line="293"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91" w:lineRule="exact"/>
        <w:rPr>
          <w:rFonts w:ascii="Arial" w:cs="Arial" w:eastAsia="Arial" w:hAnsi="Arial"/>
          <w:sz w:val="17"/>
          <w:szCs w:val="17"/>
          <w:color w:val="auto"/>
        </w:rPr>
      </w:pPr>
    </w:p>
    <w:p>
      <w:pPr>
        <w:ind w:left="640" w:hanging="317"/>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p>
    <w:p>
      <w:pPr>
        <w:spacing w:after="0" w:line="161" w:lineRule="exact"/>
        <w:rPr>
          <w:sz w:val="20"/>
          <w:szCs w:val="20"/>
          <w:color w:val="auto"/>
        </w:rPr>
      </w:pPr>
    </w:p>
    <w:p>
      <w:pPr>
        <w:jc w:val="both"/>
        <w:ind w:right="80" w:firstLine="397"/>
        <w:spacing w:after="0" w:line="254" w:lineRule="auto"/>
        <w:rPr>
          <w:sz w:val="20"/>
          <w:szCs w:val="20"/>
          <w:color w:val="auto"/>
        </w:rPr>
      </w:pPr>
      <w:r>
        <w:rPr>
          <w:rFonts w:ascii="Arial" w:cs="Arial" w:eastAsia="Arial" w:hAnsi="Arial"/>
          <w:sz w:val="18"/>
          <w:szCs w:val="18"/>
          <w:color w:val="auto"/>
        </w:rPr>
        <w:t>Equity securities held by the Company are measured at fair value on a nonrecurring basis; that is, the assets are not measured at fair value on an ongoing basis, but are subject to fair value adjustments using fair value measurements with unobservable inputs (level 3), in certain circumstances (e.g., when there is evidence of impairment).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56" w:lineRule="exact"/>
        <w:rPr>
          <w:sz w:val="20"/>
          <w:szCs w:val="20"/>
          <w:color w:val="auto"/>
        </w:rPr>
      </w:pPr>
    </w:p>
    <w:p>
      <w:pPr>
        <w:ind w:right="60" w:firstLine="397"/>
        <w:spacing w:after="0" w:line="254"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the Company expects to be entitled to in exchange for those goods or services. Sales, value-added, and other taxes the Company collects concurrent with revenue-producing activities are excluded from revenue.</w:t>
      </w:r>
    </w:p>
    <w:p>
      <w:pPr>
        <w:spacing w:after="0" w:line="116" w:lineRule="exact"/>
        <w:rPr>
          <w:sz w:val="20"/>
          <w:szCs w:val="20"/>
          <w:color w:val="auto"/>
        </w:rPr>
      </w:pPr>
    </w:p>
    <w:p>
      <w:pPr>
        <w:ind w:right="20" w:firstLine="317"/>
        <w:spacing w:after="0" w:line="241" w:lineRule="auto"/>
        <w:rPr>
          <w:sz w:val="20"/>
          <w:szCs w:val="20"/>
          <w:color w:val="auto"/>
        </w:rPr>
      </w:pPr>
      <w:r>
        <w:rPr>
          <w:rFonts w:ascii="Arial" w:cs="Arial" w:eastAsia="Arial" w:hAnsi="Arial"/>
          <w:sz w:val="17"/>
          <w:szCs w:val="17"/>
          <w:color w:val="auto"/>
        </w:rPr>
        <w:t>The Company generates the majority of its revenue through product sales to customers. These products include the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line of dietary supplements, LifeVantage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Omega+</w:t>
      </w:r>
      <w:r>
        <w:rPr>
          <w:rFonts w:ascii="Arial" w:cs="Arial" w:eastAsia="Arial" w:hAnsi="Arial"/>
          <w:sz w:val="21"/>
          <w:szCs w:val="21"/>
          <w:color w:val="auto"/>
          <w:vertAlign w:val="superscript"/>
        </w:rPr>
        <w:t>™</w:t>
      </w:r>
      <w:r>
        <w:rPr>
          <w:rFonts w:ascii="Arial" w:cs="Arial" w:eastAsia="Arial" w:hAnsi="Arial"/>
          <w:sz w:val="17"/>
          <w:szCs w:val="17"/>
          <w:color w:val="auto"/>
        </w:rPr>
        <w:t>, ProBio</w:t>
      </w:r>
      <w:r>
        <w:rPr>
          <w:rFonts w:ascii="Arial" w:cs="Arial" w:eastAsia="Arial" w:hAnsi="Arial"/>
          <w:sz w:val="21"/>
          <w:szCs w:val="21"/>
          <w:color w:val="auto"/>
          <w:vertAlign w:val="superscript"/>
        </w:rPr>
        <w:t>™</w:t>
      </w:r>
      <w:r>
        <w:rPr>
          <w:rFonts w:ascii="Arial" w:cs="Arial" w:eastAsia="Arial" w:hAnsi="Arial"/>
          <w:sz w:val="17"/>
          <w:szCs w:val="17"/>
          <w:color w:val="auto"/>
        </w:rPr>
        <w:t>, IC Bright</w:t>
      </w:r>
      <w:r>
        <w:rPr>
          <w:rFonts w:ascii="Arial" w:cs="Arial" w:eastAsia="Arial" w:hAnsi="Arial"/>
          <w:sz w:val="21"/>
          <w:szCs w:val="21"/>
          <w:color w:val="auto"/>
          <w:vertAlign w:val="superscript"/>
        </w:rPr>
        <w:t>™</w:t>
      </w:r>
      <w:r>
        <w:rPr>
          <w:rFonts w:ascii="Arial" w:cs="Arial" w:eastAsia="Arial" w:hAnsi="Arial"/>
          <w:sz w:val="17"/>
          <w:szCs w:val="17"/>
          <w:color w:val="auto"/>
        </w:rPr>
        <w:t>, and Daily Wellness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dietary supplements, TrueScience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skin, hair, bath &amp; body and targeted relief, Petandim</w:t>
      </w:r>
      <w:r>
        <w:rPr>
          <w:rFonts w:ascii="Arial" w:cs="Arial" w:eastAsia="Arial" w:hAnsi="Arial"/>
          <w:sz w:val="21"/>
          <w:szCs w:val="21"/>
          <w:color w:val="auto"/>
          <w:vertAlign w:val="superscript"/>
        </w:rPr>
        <w:t>®</w:t>
      </w:r>
      <w:r>
        <w:rPr>
          <w:rFonts w:ascii="Arial" w:cs="Arial" w:eastAsia="Arial" w:hAnsi="Arial"/>
          <w:sz w:val="17"/>
          <w:szCs w:val="17"/>
          <w:color w:val="auto"/>
        </w:rPr>
        <w:t>, Axio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nootropic energy drink mixes, and the PhysIQ</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spacing w:after="0" w:line="122" w:lineRule="exact"/>
        <w:rPr>
          <w:sz w:val="20"/>
          <w:szCs w:val="20"/>
          <w:color w:val="auto"/>
        </w:rPr>
      </w:pPr>
    </w:p>
    <w:p>
      <w:pPr>
        <w:ind w:firstLine="397"/>
        <w:spacing w:after="0" w:line="251" w:lineRule="auto"/>
        <w:rPr>
          <w:sz w:val="20"/>
          <w:szCs w:val="20"/>
          <w:color w:val="auto"/>
        </w:rPr>
      </w:pPr>
      <w:r>
        <w:rPr>
          <w:rFonts w:ascii="Arial" w:cs="Arial" w:eastAsia="Arial" w:hAnsi="Arial"/>
          <w:sz w:val="18"/>
          <w:szCs w:val="18"/>
          <w:color w:val="auto"/>
        </w:rPr>
        <w:t>The Company also charges independent distributors to attend certain events that it holds. Tickets to events are sold as standalone items or included within packs. For event tickets sold in packs, the Company allocates a portion of the transaction price to the ticket on a relative standalone selling price basis.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126" w:lineRule="exact"/>
        <w:rPr>
          <w:sz w:val="20"/>
          <w:szCs w:val="20"/>
          <w:color w:val="auto"/>
        </w:rPr>
      </w:pPr>
    </w:p>
    <w:p>
      <w:pPr>
        <w:ind w:firstLine="397"/>
        <w:spacing w:after="0" w:line="248" w:lineRule="auto"/>
        <w:rPr>
          <w:sz w:val="20"/>
          <w:szCs w:val="20"/>
          <w:color w:val="auto"/>
        </w:rPr>
      </w:pPr>
      <w:r>
        <w:rPr>
          <w:rFonts w:ascii="Arial" w:cs="Arial" w:eastAsia="Arial" w:hAnsi="Arial"/>
          <w:sz w:val="18"/>
          <w:szCs w:val="18"/>
          <w:color w:val="auto"/>
        </w:rPr>
        <w:t>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March 31, 2022 and June 30, 2021, the returns liability reserve, net was $0.1 million and $0.2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Shipping and handling costs associated with inbound freight and freight out to customers and independent distributors are included in cost of sales.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fees charged to customers and independent distributors are included in revenue.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56" w:lineRule="exact"/>
        <w:rPr>
          <w:sz w:val="20"/>
          <w:szCs w:val="20"/>
          <w:color w:val="auto"/>
        </w:rPr>
      </w:pPr>
    </w:p>
    <w:p>
      <w:pPr>
        <w:jc w:val="both"/>
        <w:ind w:right="220" w:firstLine="397"/>
        <w:spacing w:after="0" w:line="254" w:lineRule="auto"/>
        <w:rPr>
          <w:sz w:val="20"/>
          <w:szCs w:val="20"/>
          <w:color w:val="auto"/>
        </w:rPr>
      </w:pPr>
      <w:r>
        <w:rPr>
          <w:rFonts w:ascii="Arial" w:cs="Arial" w:eastAsia="Arial" w:hAnsi="Arial"/>
          <w:sz w:val="18"/>
          <w:szCs w:val="18"/>
          <w:color w:val="auto"/>
        </w:rPr>
        <w:t>The Company expenses all costs related to research and development activities, as incurred. Research and development expenses for the three months ended March 31, 2022 and 2021 were $0.1 million and $0.2 million, respectively. Research and development expenses for the nine months ended March 31, 2022 and 2021 were $0.6 million and $0.6 million,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56" w:lineRule="exact"/>
        <w:rPr>
          <w:sz w:val="20"/>
          <w:szCs w:val="20"/>
          <w:color w:val="auto"/>
        </w:rPr>
      </w:pPr>
    </w:p>
    <w:p>
      <w:pPr>
        <w:ind w:right="360" w:firstLine="397"/>
        <w:spacing w:after="0" w:line="276" w:lineRule="auto"/>
        <w:rPr>
          <w:sz w:val="20"/>
          <w:szCs w:val="20"/>
          <w:color w:val="auto"/>
        </w:rPr>
      </w:pPr>
      <w:r>
        <w:rPr>
          <w:rFonts w:ascii="Arial" w:cs="Arial" w:eastAsia="Arial" w:hAnsi="Arial"/>
          <w:sz w:val="17"/>
          <w:szCs w:val="17"/>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spacing w:after="0" w:line="106" w:lineRule="exact"/>
        <w:rPr>
          <w:sz w:val="20"/>
          <w:szCs w:val="20"/>
          <w:color w:val="auto"/>
        </w:rPr>
      </w:pPr>
    </w:p>
    <w:p>
      <w:pPr>
        <w:ind w:right="360" w:firstLine="397"/>
        <w:spacing w:after="0" w:line="254" w:lineRule="auto"/>
        <w:rPr>
          <w:sz w:val="20"/>
          <w:szCs w:val="20"/>
          <w:color w:val="auto"/>
        </w:rPr>
      </w:pPr>
      <w:r>
        <w:rPr>
          <w:rFonts w:ascii="Arial" w:cs="Arial" w:eastAsia="Arial" w:hAnsi="Arial"/>
          <w:sz w:val="18"/>
          <w:szCs w:val="18"/>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2" w:name="page13"/>
    <w:bookmarkEnd w:id="12"/>
    <w:p>
      <w:pPr>
        <w:ind w:right="20"/>
        <w:spacing w:after="0" w:line="268" w:lineRule="auto"/>
        <w:rPr>
          <w:sz w:val="20"/>
          <w:szCs w:val="20"/>
          <w:color w:val="auto"/>
        </w:rPr>
      </w:pPr>
      <w:r>
        <w:rPr>
          <w:rFonts w:ascii="Arial" w:cs="Arial" w:eastAsia="Arial" w:hAnsi="Arial"/>
          <w:sz w:val="17"/>
          <w:szCs w:val="17"/>
          <w:color w:val="auto"/>
        </w:rPr>
        <w:t>Company uses its estimated incremental borrowing rate based on the information available at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98" w:lineRule="exact"/>
        <w:rPr>
          <w:sz w:val="20"/>
          <w:szCs w:val="20"/>
          <w:color w:val="auto"/>
        </w:rPr>
      </w:pPr>
    </w:p>
    <w:p>
      <w:pPr>
        <w:jc w:val="both"/>
        <w:ind w:right="540" w:firstLine="397"/>
        <w:spacing w:after="0" w:line="276" w:lineRule="auto"/>
        <w:rPr>
          <w:sz w:val="20"/>
          <w:szCs w:val="20"/>
          <w:color w:val="auto"/>
        </w:rPr>
      </w:pPr>
      <w:r>
        <w:rPr>
          <w:rFonts w:ascii="Arial" w:cs="Arial" w:eastAsia="Arial" w:hAnsi="Arial"/>
          <w:sz w:val="17"/>
          <w:szCs w:val="17"/>
          <w:color w:val="auto"/>
        </w:rPr>
        <w:t>The pandemic caused by coronavirus (“COVID-19”) has resulted in disruptions which had forced the Company's corporate workforce to a remote working environment. On September 1, 2020, the Company abandoned the ROU asset related to the Corporate office lease in Sandy, Utah, as this lease terminated in February 2021. A new Corporate office was opened in Lehi, Utah in January 2021.</w:t>
      </w:r>
    </w:p>
    <w:p>
      <w:pPr>
        <w:spacing w:after="0" w:line="106" w:lineRule="exact"/>
        <w:rPr>
          <w:sz w:val="20"/>
          <w:szCs w:val="20"/>
          <w:color w:val="auto"/>
        </w:rPr>
      </w:pPr>
    </w:p>
    <w:p>
      <w:pPr>
        <w:jc w:val="both"/>
        <w:ind w:right="40" w:firstLine="397"/>
        <w:spacing w:after="0" w:line="251" w:lineRule="auto"/>
        <w:rPr>
          <w:sz w:val="20"/>
          <w:szCs w:val="20"/>
          <w:color w:val="auto"/>
        </w:rPr>
      </w:pPr>
      <w:r>
        <w:rPr>
          <w:rFonts w:ascii="Arial" w:cs="Arial" w:eastAsia="Arial" w:hAnsi="Arial"/>
          <w:sz w:val="18"/>
          <w:szCs w:val="18"/>
          <w:color w:val="auto"/>
        </w:rPr>
        <w:t>As a result of the abandonment of the Sandy, Utah office, operating lease expenses related to the ROU asset, along with the remaining leasehold assets in the office, have been reduced to their salvage values, which the Company has determined to be zero. The total expense related to the abandonment of the ROU asset for the nine months ended March 31, 2021 was $0.8 million and is included in selling, general, and administrative expenses. There is no remaining lease liability for the Sandy, Utah office at March 31,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3" w:lineRule="exact"/>
        <w:rPr>
          <w:sz w:val="20"/>
          <w:szCs w:val="20"/>
          <w:color w:val="auto"/>
        </w:rPr>
      </w:pPr>
    </w:p>
    <w:p>
      <w:pPr>
        <w:ind w:right="200" w:firstLine="397"/>
        <w:spacing w:after="0" w:line="317" w:lineRule="auto"/>
        <w:rPr>
          <w:sz w:val="20"/>
          <w:szCs w:val="20"/>
          <w:color w:val="auto"/>
        </w:rPr>
      </w:pPr>
      <w:r>
        <w:rPr>
          <w:rFonts w:ascii="Arial" w:cs="Arial" w:eastAsia="Arial" w:hAnsi="Arial"/>
          <w:sz w:val="15"/>
          <w:szCs w:val="15"/>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80"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129" w:lineRule="exact"/>
        <w:rPr>
          <w:sz w:val="20"/>
          <w:szCs w:val="20"/>
          <w:color w:val="auto"/>
        </w:rPr>
      </w:pPr>
    </w:p>
    <w:p>
      <w:pPr>
        <w:ind w:right="60" w:firstLine="397"/>
        <w:spacing w:after="0" w:line="304" w:lineRule="auto"/>
        <w:rPr>
          <w:sz w:val="20"/>
          <w:szCs w:val="20"/>
          <w:color w:val="auto"/>
        </w:rPr>
      </w:pPr>
      <w:r>
        <w:rPr>
          <w:rFonts w:ascii="Arial" w:cs="Arial" w:eastAsia="Arial" w:hAnsi="Arial"/>
          <w:sz w:val="15"/>
          <w:szCs w:val="15"/>
          <w:color w:val="auto"/>
        </w:rPr>
        <w:t>The fair value of restricted stock grants is based on the closing market price of the Company's stock on the date of grant less the Company's expected dividend yield. The fair value of performance restricted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56" w:lineRule="exact"/>
        <w:rPr>
          <w:sz w:val="20"/>
          <w:szCs w:val="20"/>
          <w:color w:val="auto"/>
        </w:rPr>
      </w:pPr>
    </w:p>
    <w:p>
      <w:pPr>
        <w:ind w:right="120" w:firstLine="397"/>
        <w:spacing w:after="0" w:line="264"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117" w:lineRule="exact"/>
        <w:rPr>
          <w:sz w:val="20"/>
          <w:szCs w:val="20"/>
          <w:color w:val="auto"/>
        </w:rPr>
      </w:pPr>
    </w:p>
    <w:p>
      <w:pPr>
        <w:ind w:right="60" w:firstLine="397"/>
        <w:spacing w:after="0" w:line="254" w:lineRule="auto"/>
        <w:rPr>
          <w:sz w:val="20"/>
          <w:szCs w:val="20"/>
          <w:color w:val="auto"/>
        </w:rPr>
      </w:pPr>
      <w:r>
        <w:rPr>
          <w:rFonts w:ascii="Arial" w:cs="Arial" w:eastAsia="Arial" w:hAnsi="Arial"/>
          <w:sz w:val="18"/>
          <w:szCs w:val="18"/>
          <w:color w:val="auto"/>
        </w:rPr>
        <w:t>For the nine months ended March 31, 2022 and 2021, the Company recognized income tax expense of $1.1 million and $2.8 million, respectively, which is reflective of the Company’s current estimated federal, state and foreign effective tax rate. Realization of deferred tax assets is dependent upon future earnings in specific tax jurisdictions, the timing and amount of which are uncertain.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Income Per Share</w:t>
      </w:r>
    </w:p>
    <w:p>
      <w:pPr>
        <w:spacing w:after="0" w:line="143" w:lineRule="exact"/>
        <w:rPr>
          <w:sz w:val="20"/>
          <w:szCs w:val="20"/>
          <w:color w:val="auto"/>
        </w:rPr>
      </w:pPr>
    </w:p>
    <w:p>
      <w:pPr>
        <w:ind w:right="80" w:firstLine="397"/>
        <w:spacing w:after="0" w:line="254" w:lineRule="auto"/>
        <w:rPr>
          <w:sz w:val="20"/>
          <w:szCs w:val="20"/>
          <w:color w:val="auto"/>
        </w:rPr>
      </w:pPr>
      <w:r>
        <w:rPr>
          <w:rFonts w:ascii="Arial" w:cs="Arial" w:eastAsia="Arial" w:hAnsi="Arial"/>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123" w:lineRule="exact"/>
        <w:rPr>
          <w:sz w:val="20"/>
          <w:szCs w:val="20"/>
          <w:color w:val="auto"/>
        </w:rPr>
      </w:pPr>
    </w:p>
    <w:p>
      <w:pPr>
        <w:ind w:right="60" w:firstLine="397"/>
        <w:spacing w:after="0" w:line="270" w:lineRule="auto"/>
        <w:rPr>
          <w:sz w:val="20"/>
          <w:szCs w:val="20"/>
          <w:color w:val="auto"/>
        </w:rPr>
      </w:pPr>
      <w:r>
        <w:rPr>
          <w:rFonts w:ascii="Arial" w:cs="Arial" w:eastAsia="Arial" w:hAnsi="Arial"/>
          <w:sz w:val="17"/>
          <w:szCs w:val="17"/>
          <w:color w:val="auto"/>
        </w:rPr>
        <w:t>For the three months ended March 31, 2022 and 2021, the effects of approximately 0.1 million and 0.1 million common shares, respectively, issuable upon exercise of options and non-vested shares of restricted stock are not included in computations as their effect was anti-dilutive. For the nine months ended March 31, 2022 and 2021, the effects of approximately 0.2 million and 0.1 million common shares, respectively, issuable upon exercise of options and non-vested shares of restricted stock are not included in computations as their effect was anti-dilutive.</w:t>
      </w:r>
    </w:p>
    <w:p>
      <w:pPr>
        <w:spacing w:after="0" w:line="112" w:lineRule="exact"/>
        <w:rPr>
          <w:sz w:val="20"/>
          <w:szCs w:val="20"/>
          <w:color w:val="auto"/>
        </w:rPr>
      </w:pPr>
    </w:p>
    <w:p>
      <w:pPr>
        <w:ind w:right="360" w:firstLine="397"/>
        <w:spacing w:after="0" w:line="262" w:lineRule="auto"/>
        <w:rPr>
          <w:sz w:val="20"/>
          <w:szCs w:val="20"/>
          <w:color w:val="auto"/>
        </w:rPr>
      </w:pPr>
      <w:r>
        <w:rPr>
          <w:rFonts w:ascii="Arial" w:cs="Arial" w:eastAsia="Arial" w:hAnsi="Arial"/>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Pr>
          <w:p>
            <w:pPr>
              <w:spacing w:after="0"/>
              <w:rPr>
                <w:sz w:val="16"/>
                <w:szCs w:val="16"/>
                <w:color w:val="auto"/>
              </w:rPr>
            </w:pPr>
          </w:p>
        </w:tc>
        <w:tc>
          <w:tcPr>
            <w:tcW w:w="280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83"/>
        </w:trPr>
        <w:tc>
          <w:tcPr>
            <w:tcW w:w="414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5"/>
        </w:trPr>
        <w:tc>
          <w:tcPr>
            <w:tcW w:w="414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Numerator:</w:t>
            </w:r>
          </w:p>
        </w:tc>
        <w:tc>
          <w:tcPr>
            <w:tcW w:w="7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40" w:type="dxa"/>
            <w:vAlign w:val="bottom"/>
          </w:tcPr>
          <w:p>
            <w:pPr>
              <w:ind w:left="740"/>
              <w:spacing w:after="0"/>
              <w:rPr>
                <w:sz w:val="20"/>
                <w:szCs w:val="20"/>
                <w:color w:val="auto"/>
              </w:rPr>
            </w:pPr>
            <w:r>
              <w:rPr>
                <w:rFonts w:ascii="Arial" w:cs="Arial" w:eastAsia="Arial" w:hAnsi="Arial"/>
                <w:sz w:val="18"/>
                <w:szCs w:val="18"/>
                <w:color w:val="auto"/>
              </w:rPr>
              <w:t>Net income</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9"/>
                <w:szCs w:val="19"/>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Denominator:</w:t>
            </w:r>
          </w:p>
        </w:tc>
        <w:tc>
          <w:tcPr>
            <w:tcW w:w="7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140" w:type="dxa"/>
            <w:vAlign w:val="bottom"/>
          </w:tcPr>
          <w:p>
            <w:pPr>
              <w:ind w:left="740"/>
              <w:spacing w:after="0" w:line="173" w:lineRule="exact"/>
              <w:rPr>
                <w:sz w:val="20"/>
                <w:szCs w:val="20"/>
                <w:color w:val="auto"/>
              </w:rPr>
            </w:pPr>
            <w:r>
              <w:rPr>
                <w:rFonts w:ascii="Arial" w:cs="Arial" w:eastAsia="Arial" w:hAnsi="Arial"/>
                <w:sz w:val="18"/>
                <w:szCs w:val="18"/>
                <w:color w:val="auto"/>
              </w:rPr>
              <w:t>Basic weighted-average common shares</w:t>
            </w:r>
          </w:p>
        </w:tc>
        <w:tc>
          <w:tcPr>
            <w:tcW w:w="7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13,195</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14,071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13,261</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14,175</w:t>
            </w:r>
          </w:p>
        </w:tc>
        <w:tc>
          <w:tcPr>
            <w:tcW w:w="0" w:type="dxa"/>
            <w:vAlign w:val="bottom"/>
          </w:tcPr>
          <w:p>
            <w:pPr>
              <w:spacing w:after="0"/>
              <w:rPr>
                <w:sz w:val="1"/>
                <w:szCs w:val="1"/>
                <w:color w:val="auto"/>
              </w:rPr>
            </w:pPr>
          </w:p>
        </w:tc>
      </w:tr>
      <w:tr>
        <w:trPr>
          <w:trHeight w:val="223"/>
        </w:trPr>
        <w:tc>
          <w:tcPr>
            <w:tcW w:w="414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7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dilutive securities:</w:t>
            </w:r>
          </w:p>
        </w:tc>
        <w:tc>
          <w:tcPr>
            <w:tcW w:w="7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4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Stock awards and options</w:t>
            </w: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53"/>
        </w:trPr>
        <w:tc>
          <w:tcPr>
            <w:tcW w:w="4140" w:type="dxa"/>
            <w:vAlign w:val="bottom"/>
            <w:shd w:val="clear" w:color="auto" w:fill="CCEEFF"/>
          </w:tcPr>
          <w:p>
            <w:pPr>
              <w:ind w:left="420"/>
              <w:spacing w:after="0" w:line="154" w:lineRule="exact"/>
              <w:rPr>
                <w:sz w:val="20"/>
                <w:szCs w:val="20"/>
                <w:color w:val="auto"/>
              </w:rPr>
            </w:pPr>
            <w:r>
              <w:rPr>
                <w:rFonts w:ascii="Arial" w:cs="Arial" w:eastAsia="Arial" w:hAnsi="Arial"/>
                <w:sz w:val="17"/>
                <w:szCs w:val="17"/>
                <w:color w:val="auto"/>
              </w:rPr>
              <w:t>Diluted weighted-average common shares</w:t>
            </w:r>
          </w:p>
        </w:tc>
        <w:tc>
          <w:tcPr>
            <w:tcW w:w="7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13,257</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14,212</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13,312</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14,420</w:t>
            </w:r>
          </w:p>
        </w:tc>
        <w:tc>
          <w:tcPr>
            <w:tcW w:w="0" w:type="dxa"/>
            <w:vAlign w:val="bottom"/>
          </w:tcPr>
          <w:p>
            <w:pPr>
              <w:spacing w:after="0"/>
              <w:rPr>
                <w:sz w:val="1"/>
                <w:szCs w:val="1"/>
                <w:color w:val="auto"/>
              </w:rPr>
            </w:pPr>
          </w:p>
        </w:tc>
      </w:tr>
      <w:tr>
        <w:trPr>
          <w:trHeight w:val="217"/>
        </w:trPr>
        <w:tc>
          <w:tcPr>
            <w:tcW w:w="414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outstanding</w:t>
            </w:r>
          </w:p>
        </w:tc>
        <w:tc>
          <w:tcPr>
            <w:tcW w:w="7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740"/>
              <w:spacing w:after="0"/>
              <w:rPr>
                <w:sz w:val="20"/>
                <w:szCs w:val="20"/>
                <w:color w:val="auto"/>
              </w:rPr>
            </w:pPr>
            <w:r>
              <w:rPr>
                <w:rFonts w:ascii="Arial" w:cs="Arial" w:eastAsia="Arial" w:hAnsi="Arial"/>
                <w:sz w:val="18"/>
                <w:szCs w:val="18"/>
                <w:color w:val="auto"/>
              </w:rPr>
              <w:t>Net income per share, basic</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vMerge w:val="continue"/>
          </w:tcPr>
          <w:p>
            <w:pPr>
              <w:spacing w:after="0"/>
              <w:rPr>
                <w:sz w:val="17"/>
                <w:szCs w:val="17"/>
                <w:color w:val="auto"/>
              </w:rPr>
            </w:pPr>
          </w:p>
        </w:tc>
        <w:tc>
          <w:tcPr>
            <w:tcW w:w="700" w:type="dxa"/>
            <w:vAlign w:val="bottom"/>
            <w:tcBorders>
              <w:bottom w:val="single" w:sz="8" w:color="auto"/>
            </w:tcBorders>
          </w:tcPr>
          <w:p>
            <w:pPr>
              <w:jc w:val="right"/>
              <w:ind w:right="112"/>
              <w:spacing w:after="0" w:line="197"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0.09</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112"/>
              <w:spacing w:after="0" w:line="197"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0.12</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132"/>
              <w:spacing w:after="0" w:line="197"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0.34</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ind w:right="112"/>
              <w:spacing w:after="0" w:line="197"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140" w:type="dxa"/>
            <w:vAlign w:val="bottom"/>
            <w:tcBorders>
              <w:bottom w:val="single" w:sz="8" w:color="CCEEFF"/>
            </w:tcBorders>
            <w:shd w:val="clear" w:color="auto" w:fill="CCEEFF"/>
          </w:tcPr>
          <w:p>
            <w:pPr>
              <w:ind w:left="740"/>
              <w:spacing w:after="0" w:line="203" w:lineRule="exact"/>
              <w:rPr>
                <w:sz w:val="20"/>
                <w:szCs w:val="20"/>
                <w:color w:val="auto"/>
              </w:rPr>
            </w:pPr>
            <w:r>
              <w:rPr>
                <w:rFonts w:ascii="Arial" w:cs="Arial" w:eastAsia="Arial" w:hAnsi="Arial"/>
                <w:sz w:val="18"/>
                <w:szCs w:val="18"/>
                <w:color w:val="auto"/>
              </w:rPr>
              <w:t>Net income per share, diluted</w:t>
            </w: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56" w:lineRule="exact"/>
        <w:rPr>
          <w:sz w:val="20"/>
          <w:szCs w:val="20"/>
          <w:color w:val="auto"/>
        </w:rPr>
      </w:pPr>
    </w:p>
    <w:p>
      <w:pPr>
        <w:ind w:right="100" w:firstLine="397"/>
        <w:spacing w:after="0" w:line="317" w:lineRule="auto"/>
        <w:rPr>
          <w:sz w:val="20"/>
          <w:szCs w:val="20"/>
          <w:color w:val="auto"/>
        </w:rPr>
      </w:pPr>
      <w:r>
        <w:rPr>
          <w:rFonts w:ascii="Arial" w:cs="Arial" w:eastAsia="Arial" w:hAnsi="Arial"/>
          <w:sz w:val="15"/>
          <w:szCs w:val="15"/>
          <w:color w:val="auto"/>
        </w:rPr>
        <w:t>The Company operates in a single operating segment by selling products directly to customers and through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disaggregates revenue in two geographic regions: the Americas region and the Asia/Pacific &amp; Europe region.</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Company's revenue disaggregated by these two geographic regions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Pr>
          <w:p>
            <w:pPr>
              <w:spacing w:after="0"/>
              <w:rPr>
                <w:sz w:val="16"/>
                <w:szCs w:val="16"/>
                <w:color w:val="auto"/>
              </w:rPr>
            </w:pPr>
          </w:p>
        </w:tc>
        <w:tc>
          <w:tcPr>
            <w:tcW w:w="288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rPr>
              <w:t>Nine Months Ended March 31,</w:t>
            </w:r>
          </w:p>
        </w:tc>
      </w:tr>
      <w:tr>
        <w:trPr>
          <w:trHeight w:val="183"/>
        </w:trPr>
        <w:tc>
          <w:tcPr>
            <w:tcW w:w="400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r>
      <w:tr>
        <w:trPr>
          <w:trHeight w:val="219"/>
        </w:trPr>
        <w:tc>
          <w:tcPr>
            <w:tcW w:w="400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Americas</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116,979</w:t>
            </w:r>
          </w:p>
        </w:tc>
      </w:tr>
      <w:tr>
        <w:trPr>
          <w:trHeight w:val="224"/>
        </w:trPr>
        <w:tc>
          <w:tcPr>
            <w:tcW w:w="40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Asia/Pacific &amp; Europe</w:t>
            </w:r>
          </w:p>
        </w:tc>
        <w:tc>
          <w:tcPr>
            <w:tcW w:w="7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16,560</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48,426</w:t>
            </w:r>
          </w:p>
        </w:tc>
      </w:tr>
      <w:tr>
        <w:trPr>
          <w:trHeight w:val="243"/>
        </w:trPr>
        <w:tc>
          <w:tcPr>
            <w:tcW w:w="4000" w:type="dxa"/>
            <w:vAlign w:val="bottom"/>
            <w:tcBorders>
              <w:bottom w:val="single" w:sz="8" w:color="CCEEFF"/>
            </w:tcBorders>
            <w:shd w:val="clear" w:color="auto" w:fill="CCEEFF"/>
          </w:tcPr>
          <w:p>
            <w:pPr>
              <w:ind w:left="740"/>
              <w:spacing w:after="0" w:line="204" w:lineRule="exact"/>
              <w:rPr>
                <w:sz w:val="20"/>
                <w:szCs w:val="20"/>
                <w:color w:val="auto"/>
              </w:rPr>
            </w:pPr>
            <w:r>
              <w:rPr>
                <w:rFonts w:ascii="Arial" w:cs="Arial" w:eastAsia="Arial" w:hAnsi="Arial"/>
                <w:sz w:val="18"/>
                <w:szCs w:val="18"/>
                <w:color w:val="auto"/>
              </w:rPr>
              <w:t>Total revenue</w:t>
            </w: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50,004</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155,418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165,405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Additional information as to the Company’s revenue from operations in the most significant geographical areas is set forth below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4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Pr>
          <w:p>
            <w:pPr>
              <w:spacing w:after="0"/>
              <w:rPr>
                <w:sz w:val="16"/>
                <w:szCs w:val="16"/>
                <w:color w:val="auto"/>
              </w:rPr>
            </w:pPr>
          </w:p>
        </w:tc>
        <w:tc>
          <w:tcPr>
            <w:tcW w:w="2920" w:type="dxa"/>
            <w:vAlign w:val="bottom"/>
            <w:gridSpan w:val="8"/>
          </w:tcPr>
          <w:p>
            <w:pPr>
              <w:ind w:left="400"/>
              <w:spacing w:after="0"/>
              <w:rPr>
                <w:sz w:val="20"/>
                <w:szCs w:val="20"/>
                <w:color w:val="auto"/>
              </w:rPr>
            </w:pPr>
            <w:r>
              <w:rPr>
                <w:rFonts w:ascii="Arial" w:cs="Arial" w:eastAsia="Arial" w:hAnsi="Arial"/>
                <w:sz w:val="14"/>
                <w:szCs w:val="14"/>
                <w:b w:val="1"/>
                <w:bCs w:val="1"/>
                <w:color w:val="auto"/>
              </w:rPr>
              <w:t>Nine Months Ended March 31,</w:t>
            </w:r>
          </w:p>
        </w:tc>
      </w:tr>
      <w:tr>
        <w:trPr>
          <w:trHeight w:val="183"/>
        </w:trPr>
        <w:tc>
          <w:tcPr>
            <w:tcW w:w="402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5"/>
                <w:szCs w:val="15"/>
                <w:color w:val="auto"/>
              </w:rPr>
            </w:pPr>
          </w:p>
        </w:tc>
      </w:tr>
      <w:tr>
        <w:trPr>
          <w:trHeight w:val="219"/>
        </w:trPr>
        <w:tc>
          <w:tcPr>
            <w:tcW w:w="402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United States</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34,068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98,868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109,593</w:t>
            </w:r>
          </w:p>
        </w:tc>
        <w:tc>
          <w:tcPr>
            <w:tcW w:w="20" w:type="dxa"/>
            <w:vAlign w:val="bottom"/>
            <w:shd w:val="clear" w:color="auto" w:fill="CCEEFF"/>
          </w:tcPr>
          <w:p>
            <w:pPr>
              <w:spacing w:after="0"/>
              <w:rPr>
                <w:sz w:val="19"/>
                <w:szCs w:val="19"/>
                <w:color w:val="auto"/>
              </w:rPr>
            </w:pPr>
          </w:p>
        </w:tc>
      </w:tr>
      <w:tr>
        <w:trPr>
          <w:trHeight w:val="224"/>
        </w:trPr>
        <w:tc>
          <w:tcPr>
            <w:tcW w:w="4020" w:type="dxa"/>
            <w:vAlign w:val="bottom"/>
          </w:tcPr>
          <w:p>
            <w:pPr>
              <w:ind w:left="420"/>
              <w:spacing w:after="0"/>
              <w:rPr>
                <w:sz w:val="20"/>
                <w:szCs w:val="20"/>
                <w:color w:val="auto"/>
              </w:rPr>
            </w:pPr>
            <w:r>
              <w:rPr>
                <w:rFonts w:ascii="Arial" w:cs="Arial" w:eastAsia="Arial" w:hAnsi="Arial"/>
                <w:sz w:val="18"/>
                <w:szCs w:val="18"/>
                <w:color w:val="auto"/>
              </w:rPr>
              <w:t>Japan</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8,724</w:t>
            </w:r>
          </w:p>
        </w:tc>
        <w:tc>
          <w:tcPr>
            <w:tcW w:w="12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19"/>
                <w:szCs w:val="19"/>
                <w:color w:val="auto"/>
              </w:rPr>
            </w:pPr>
          </w:p>
        </w:tc>
        <w:tc>
          <w:tcPr>
            <w:tcW w:w="660" w:type="dxa"/>
            <w:vAlign w:val="bottom"/>
          </w:tcPr>
          <w:p>
            <w:pPr>
              <w:jc w:val="right"/>
              <w:ind w:right="81"/>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28,558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31,172</w:t>
            </w:r>
          </w:p>
        </w:tc>
        <w:tc>
          <w:tcPr>
            <w:tcW w:w="20" w:type="dxa"/>
            <w:vAlign w:val="bottom"/>
          </w:tcPr>
          <w:p>
            <w:pPr>
              <w:spacing w:after="0"/>
              <w:rPr>
                <w:sz w:val="19"/>
                <w:szCs w:val="19"/>
                <w:color w:val="auto"/>
              </w:rPr>
            </w:pPr>
          </w:p>
        </w:tc>
      </w:tr>
      <w:tr>
        <w:trPr>
          <w:trHeight w:val="436"/>
        </w:trPr>
        <w:tc>
          <w:tcPr>
            <w:tcW w:w="9480" w:type="dxa"/>
            <w:vAlign w:val="bottom"/>
            <w:gridSpan w:val="13"/>
          </w:tcPr>
          <w:p>
            <w:pPr>
              <w:ind w:left="400"/>
              <w:spacing w:after="0"/>
              <w:rPr>
                <w:sz w:val="20"/>
                <w:szCs w:val="20"/>
                <w:color w:val="auto"/>
              </w:rPr>
            </w:pPr>
            <w:r>
              <w:rPr>
                <w:rFonts w:ascii="Arial" w:cs="Arial" w:eastAsia="Arial" w:hAnsi="Arial"/>
                <w:sz w:val="18"/>
                <w:szCs w:val="18"/>
                <w:color w:val="auto"/>
                <w:w w:val="95"/>
              </w:rPr>
              <w:t>The following table presents the Company's long-lived assets for its most significant geographic markets (in thousands):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4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5"/>
          </w:tcPr>
          <w:p>
            <w:pPr>
              <w:ind w:left="200"/>
              <w:spacing w:after="0" w:line="159"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20"/>
              <w:spacing w:after="0" w:line="159" w:lineRule="exact"/>
              <w:rPr>
                <w:sz w:val="20"/>
                <w:szCs w:val="20"/>
                <w:color w:val="auto"/>
              </w:rPr>
            </w:pPr>
            <w:r>
              <w:rPr>
                <w:rFonts w:ascii="Arial" w:cs="Arial" w:eastAsia="Arial" w:hAnsi="Arial"/>
                <w:sz w:val="14"/>
                <w:szCs w:val="14"/>
                <w:b w:val="1"/>
                <w:bCs w:val="1"/>
                <w:color w:val="auto"/>
              </w:rPr>
              <w:t>June 30,</w:t>
            </w:r>
          </w:p>
        </w:tc>
      </w:tr>
      <w:tr>
        <w:trPr>
          <w:trHeight w:val="184"/>
        </w:trPr>
        <w:tc>
          <w:tcPr>
            <w:tcW w:w="40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r>
      <w:tr>
        <w:trPr>
          <w:trHeight w:val="219"/>
        </w:trPr>
        <w:tc>
          <w:tcPr>
            <w:tcW w:w="402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United States</w:t>
            </w: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22,696</w:t>
            </w:r>
          </w:p>
        </w:tc>
        <w:tc>
          <w:tcPr>
            <w:tcW w:w="20" w:type="dxa"/>
            <w:vAlign w:val="bottom"/>
          </w:tcPr>
          <w:p>
            <w:pPr>
              <w:spacing w:after="0"/>
              <w:rPr>
                <w:sz w:val="19"/>
                <w:szCs w:val="19"/>
                <w:color w:val="auto"/>
              </w:rPr>
            </w:pPr>
          </w:p>
        </w:tc>
      </w:tr>
      <w:tr>
        <w:trPr>
          <w:trHeight w:val="224"/>
        </w:trPr>
        <w:tc>
          <w:tcPr>
            <w:tcW w:w="4020" w:type="dxa"/>
            <w:vAlign w:val="bottom"/>
          </w:tcPr>
          <w:p>
            <w:pPr>
              <w:ind w:left="420"/>
              <w:spacing w:after="0"/>
              <w:rPr>
                <w:sz w:val="20"/>
                <w:szCs w:val="20"/>
                <w:color w:val="auto"/>
              </w:rPr>
            </w:pPr>
            <w:r>
              <w:rPr>
                <w:rFonts w:ascii="Arial" w:cs="Arial" w:eastAsia="Arial" w:hAnsi="Arial"/>
                <w:sz w:val="18"/>
                <w:szCs w:val="18"/>
                <w:color w:val="auto"/>
              </w:rPr>
              <w:t>Japan</w:t>
            </w: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3,363</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3 — Gig Economy Group Investment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Receivable</w:t>
      </w:r>
    </w:p>
    <w:p>
      <w:pPr>
        <w:spacing w:after="0" w:line="150" w:lineRule="exact"/>
        <w:rPr>
          <w:sz w:val="20"/>
          <w:szCs w:val="20"/>
          <w:color w:val="auto"/>
        </w:rPr>
      </w:pPr>
    </w:p>
    <w:p>
      <w:pPr>
        <w:ind w:firstLine="397"/>
        <w:spacing w:after="0" w:line="306" w:lineRule="auto"/>
        <w:rPr>
          <w:sz w:val="20"/>
          <w:szCs w:val="20"/>
          <w:color w:val="auto"/>
        </w:rPr>
      </w:pPr>
      <w:r>
        <w:rPr>
          <w:rFonts w:ascii="Arial" w:cs="Arial" w:eastAsia="Arial" w:hAnsi="Arial"/>
          <w:sz w:val="15"/>
          <w:szCs w:val="15"/>
          <w:color w:val="auto"/>
        </w:rPr>
        <w:t>The Company entered into a convertible promissory note agreement with Gig Economy Group, Inc. ("GEG") pursuant to which the Company agreed to loan to GEG up to an aggregate of $2.0 million in a series of loan installments, evidenced by a convertible promissory note having a maturity date of May 31, 2019 ("Convertible Note"). The Convertible Note accrued interest at a rate of 8% per annum, compounded annually. On May 17, 2019, the Company and GEG entered into an amendment agreement to extend the maturity date of the Convertible Note to December 31, 2019. In all other aspects, the Convertible Note remained unchanged from the original agreement. Pursuant to a Common Stock Purchase Agreement between the Company and GEG dated December 16, 2019, GEG issued to the Company 1,000,000 shares of GEG’s common stock in consideration for conversion and cancellation of all principal, interest and other amounts due under the Convertible Note (representing $2.2 million in aggregate consideration).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Securities under ASC 321</w:t>
      </w:r>
    </w:p>
    <w:p>
      <w:pPr>
        <w:spacing w:after="0" w:line="137" w:lineRule="exact"/>
        <w:rPr>
          <w:sz w:val="20"/>
          <w:szCs w:val="20"/>
          <w:color w:val="auto"/>
        </w:rPr>
      </w:pPr>
    </w:p>
    <w:p>
      <w:pPr>
        <w:ind w:right="100" w:firstLine="397"/>
        <w:spacing w:after="0" w:line="263" w:lineRule="auto"/>
        <w:rPr>
          <w:sz w:val="20"/>
          <w:szCs w:val="20"/>
          <w:color w:val="auto"/>
        </w:rPr>
      </w:pPr>
      <w:r>
        <w:rPr>
          <w:rFonts w:ascii="Arial" w:cs="Arial" w:eastAsia="Arial" w:hAnsi="Arial"/>
          <w:sz w:val="17"/>
          <w:szCs w:val="17"/>
          <w:color w:val="auto"/>
        </w:rPr>
        <w:t xml:space="preserve">Upon conversion of the convertible promissory note receivable with GEG, the Company held a minority interest (less than 20%) in GEG, accounted for under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xml:space="preserve"> ("ASC 321"), which is included in equity securities in the condensed consolidated balance sheets. Dividends received are reported in earnings if and when received. The Company reviews securities individually for impairment by evaluating if events or circumstances have occurred that may indicate the fair value of the investment is less than its carrying value. If such events or circumstances have occurred, the Company estimates the fair value of the investment and recognizes an impairment loss in other expense, net on the condensed consolidated statements of operations and comprehensive income equal to the difference between the fair value of the investment and its carrying value. In such cases, the estimated fair value of the investment is determined using unobservable inputs including assumptions by GEG's management and quantitative information such as lower valuations in recently completed or proposed financings. These inputs are classified as Level 3. Because GEG is in the early startup stage, GEG is subject to potential changes in cash flows and valuation, and may be unable to raise additional capital necessary to support its ongoing operations, which may result in future impairment.</w:t>
      </w:r>
    </w:p>
    <w:p>
      <w:pPr>
        <w:spacing w:after="0" w:line="118" w:lineRule="exact"/>
        <w:rPr>
          <w:sz w:val="20"/>
          <w:szCs w:val="20"/>
          <w:color w:val="auto"/>
        </w:rPr>
      </w:pPr>
    </w:p>
    <w:p>
      <w:pPr>
        <w:ind w:right="200" w:firstLine="397"/>
        <w:spacing w:after="0" w:line="317" w:lineRule="auto"/>
        <w:rPr>
          <w:sz w:val="20"/>
          <w:szCs w:val="20"/>
          <w:color w:val="auto"/>
        </w:rPr>
      </w:pPr>
      <w:r>
        <w:rPr>
          <w:rFonts w:ascii="Arial" w:cs="Arial" w:eastAsia="Arial" w:hAnsi="Arial"/>
          <w:sz w:val="15"/>
          <w:szCs w:val="15"/>
          <w:color w:val="auto"/>
        </w:rPr>
        <w:t>Equity securities held by the Company lack readily determinable fair values and therefore the securities are measured at cost minus impairment, if any, plus or minus changes resulting from observable price changes in orderly transactions for the identical or similar equity securities of the same issuer. The carrying amount of equity securities held by the Company without readily determinable fair values was $2.2 million at March 31, 2022 and June 30, 2021, respectively. During the three and nine months ended March 31, 2022 and 2021, there were no price changes or impairments recognized.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43" w:lineRule="exact"/>
        <w:rPr>
          <w:sz w:val="20"/>
          <w:szCs w:val="20"/>
          <w:color w:val="auto"/>
        </w:rPr>
      </w:pPr>
    </w:p>
    <w:p>
      <w:pPr>
        <w:jc w:val="both"/>
        <w:ind w:right="220" w:firstLine="397"/>
        <w:spacing w:after="0" w:line="254" w:lineRule="auto"/>
        <w:rPr>
          <w:sz w:val="20"/>
          <w:szCs w:val="20"/>
          <w:color w:val="auto"/>
        </w:rPr>
      </w:pPr>
      <w:r>
        <w:rPr>
          <w:rFonts w:ascii="Arial" w:cs="Arial" w:eastAsia="Arial" w:hAnsi="Arial"/>
          <w:sz w:val="18"/>
          <w:szCs w:val="18"/>
          <w:color w:val="auto"/>
        </w:rPr>
        <w:t>The Company has operating leases for current corporate offices and certain equipment. These leases have remaining terms of approximately one to ten years. As of March 31, 2022, the weighted average remaining lease term and weighted average discount rate for operating leases was 8.49 years and 3.30%, respectively.</w:t>
      </w:r>
    </w:p>
    <w:p>
      <w:pPr>
        <w:spacing w:after="0" w:line="123" w:lineRule="exact"/>
        <w:rPr>
          <w:sz w:val="20"/>
          <w:szCs w:val="20"/>
          <w:color w:val="auto"/>
        </w:rPr>
      </w:pPr>
    </w:p>
    <w:p>
      <w:pPr>
        <w:ind w:right="440" w:firstLine="397"/>
        <w:spacing w:after="0" w:line="263" w:lineRule="auto"/>
        <w:rPr>
          <w:sz w:val="20"/>
          <w:szCs w:val="20"/>
          <w:color w:val="auto"/>
        </w:rPr>
      </w:pPr>
      <w:r>
        <w:rPr>
          <w:rFonts w:ascii="Arial" w:cs="Arial" w:eastAsia="Arial" w:hAnsi="Arial"/>
          <w:sz w:val="18"/>
          <w:szCs w:val="18"/>
          <w:color w:val="auto"/>
        </w:rPr>
        <w:t>For the three months ended March 31, 2022 and 2021, operating lease expense was $0.8 million and $0.8 million, respectively. For the nine months ended March 31, 2022 and 2021, operating lease expense was $2.5 million and $2.8 million, respectively.</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Pr>
          <w:p>
            <w:pPr>
              <w:spacing w:after="0"/>
              <w:rPr>
                <w:sz w:val="16"/>
                <w:szCs w:val="16"/>
                <w:color w:val="auto"/>
              </w:rPr>
            </w:pPr>
          </w:p>
        </w:tc>
        <w:tc>
          <w:tcPr>
            <w:tcW w:w="2840" w:type="dxa"/>
            <w:vAlign w:val="bottom"/>
            <w:gridSpan w:val="4"/>
          </w:tcPr>
          <w:p>
            <w:pPr>
              <w:jc w:val="right"/>
              <w:ind w:right="558"/>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Operating cash outflows from operating leases</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173"/>
        </w:trPr>
        <w:tc>
          <w:tcPr>
            <w:tcW w:w="4120" w:type="dxa"/>
            <w:vAlign w:val="bottom"/>
          </w:tcPr>
          <w:p>
            <w:pPr>
              <w:ind w:left="420"/>
              <w:spacing w:after="0" w:line="173" w:lineRule="exact"/>
              <w:rPr>
                <w:sz w:val="20"/>
                <w:szCs w:val="20"/>
                <w:color w:val="auto"/>
              </w:rPr>
            </w:pPr>
            <w:r>
              <w:rPr>
                <w:rFonts w:ascii="Arial" w:cs="Arial" w:eastAsia="Arial" w:hAnsi="Arial"/>
                <w:sz w:val="18"/>
                <w:szCs w:val="18"/>
                <w:color w:val="auto"/>
                <w:w w:val="90"/>
              </w:rPr>
              <w:t>Right-of-use assets obtained in exchange for lease</w:t>
            </w: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5"/>
                <w:szCs w:val="15"/>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15,013</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obligations</w:t>
            </w:r>
          </w:p>
        </w:tc>
        <w:tc>
          <w:tcPr>
            <w:tcW w:w="70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5" w:name="page16"/>
    <w:bookmarkEnd w:id="15"/>
    <w:p>
      <w:pPr>
        <w:ind w:left="400"/>
        <w:spacing w:after="0"/>
        <w:rPr>
          <w:sz w:val="20"/>
          <w:szCs w:val="20"/>
          <w:color w:val="auto"/>
        </w:rPr>
      </w:pPr>
      <w:r>
        <w:rPr>
          <w:rFonts w:ascii="Arial" w:cs="Arial" w:eastAsia="Arial" w:hAnsi="Arial"/>
          <w:sz w:val="18"/>
          <w:szCs w:val="18"/>
          <w:color w:val="auto"/>
        </w:rPr>
        <w:t>Maturity of lease liabilities at March 31, 2022 are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Year ended June 30,</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2022 (remaining three months ending June 30, 2022)</w:t>
            </w:r>
          </w:p>
        </w:tc>
        <w:tc>
          <w:tcPr>
            <w:tcW w:w="7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24"/>
        </w:trPr>
        <w:tc>
          <w:tcPr>
            <w:tcW w:w="9020" w:type="dxa"/>
            <w:vAlign w:val="bottom"/>
          </w:tcPr>
          <w:p>
            <w:pPr>
              <w:ind w:left="4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3,197</w:t>
            </w:r>
          </w:p>
        </w:tc>
      </w:tr>
      <w:tr>
        <w:trPr>
          <w:trHeight w:val="225"/>
        </w:trPr>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24"/>
        </w:trPr>
        <w:tc>
          <w:tcPr>
            <w:tcW w:w="9020" w:type="dxa"/>
            <w:vAlign w:val="bottom"/>
          </w:tcPr>
          <w:p>
            <w:pPr>
              <w:ind w:left="4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25"/>
        </w:trPr>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24"/>
        </w:trPr>
        <w:tc>
          <w:tcPr>
            <w:tcW w:w="91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9,810</w:t>
            </w:r>
          </w:p>
        </w:tc>
      </w:tr>
      <w:tr>
        <w:trPr>
          <w:trHeight w:val="218"/>
        </w:trPr>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19,060</w:t>
            </w:r>
          </w:p>
        </w:tc>
      </w:tr>
      <w:tr>
        <w:trPr>
          <w:trHeight w:val="224"/>
        </w:trPr>
        <w:tc>
          <w:tcPr>
            <w:tcW w:w="91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Less: imputed interest</w:t>
            </w: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r>
      <w:tr>
        <w:trPr>
          <w:trHeight w:val="243"/>
        </w:trPr>
        <w:tc>
          <w:tcPr>
            <w:tcW w:w="9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Present value of lease liabilities</w:t>
            </w:r>
          </w:p>
        </w:tc>
        <w:tc>
          <w:tcPr>
            <w:tcW w:w="7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16,564</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 March 30, 2016, the Company entered into a loan agreement (the “2016 Loan Agreement”) to refinance its outstanding debt. In connection with the</w:t>
      </w:r>
    </w:p>
    <w:p>
      <w:pPr>
        <w:spacing w:after="0" w:line="5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18" w:lineRule="exact"/>
        <w:rPr>
          <w:sz w:val="20"/>
          <w:szCs w:val="20"/>
          <w:color w:val="auto"/>
        </w:rPr>
      </w:pPr>
    </w:p>
    <w:p>
      <w:pPr>
        <w:ind w:right="20" w:firstLine="397"/>
        <w:spacing w:after="0" w:line="254"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123" w:lineRule="exact"/>
        <w:rPr>
          <w:sz w:val="20"/>
          <w:szCs w:val="20"/>
          <w:color w:val="auto"/>
        </w:rPr>
      </w:pPr>
    </w:p>
    <w:p>
      <w:pPr>
        <w:ind w:right="80" w:firstLine="397"/>
        <w:spacing w:after="0" w:line="248" w:lineRule="auto"/>
        <w:rPr>
          <w:sz w:val="20"/>
          <w:szCs w:val="20"/>
          <w:color w:val="auto"/>
        </w:rPr>
      </w:pPr>
      <w:r>
        <w:rPr>
          <w:rFonts w:ascii="Arial" w:cs="Arial" w:eastAsia="Arial" w:hAnsi="Arial"/>
          <w:sz w:val="18"/>
          <w:szCs w:val="18"/>
          <w:color w:val="auto"/>
        </w:rPr>
        <w:t>On May 4, 2018, the Company entered into a loan modification agreement, which amended the 2016 Credit Facility (“Amendment No. 1”). Amendment No. 1 revised the maturity date from March 30, 2019 to March 31, 2021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29" w:lineRule="exact"/>
        <w:rPr>
          <w:sz w:val="20"/>
          <w:szCs w:val="20"/>
          <w:color w:val="auto"/>
        </w:rPr>
      </w:pPr>
    </w:p>
    <w:p>
      <w:pPr>
        <w:ind w:right="240" w:firstLine="397"/>
        <w:spacing w:after="0" w:line="317" w:lineRule="auto"/>
        <w:rPr>
          <w:sz w:val="20"/>
          <w:szCs w:val="20"/>
          <w:color w:val="auto"/>
        </w:rPr>
      </w:pPr>
      <w:r>
        <w:rPr>
          <w:rFonts w:ascii="Arial" w:cs="Arial" w:eastAsia="Arial" w:hAnsi="Arial"/>
          <w:sz w:val="15"/>
          <w:szCs w:val="15"/>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 Revolving Loan exceeds $2.0 million, the Company must prepay an amount equal to such excess. Any principal amount of the 2016 Term Loan which is prepaid or repaid may not be re-borrowed.</w:t>
      </w:r>
    </w:p>
    <w:p>
      <w:pPr>
        <w:spacing w:after="0" w:line="67" w:lineRule="exact"/>
        <w:rPr>
          <w:sz w:val="20"/>
          <w:szCs w:val="20"/>
          <w:color w:val="auto"/>
        </w:rPr>
      </w:pPr>
    </w:p>
    <w:p>
      <w:pPr>
        <w:ind w:right="140" w:firstLine="397"/>
        <w:spacing w:after="0" w:line="249" w:lineRule="auto"/>
        <w:rPr>
          <w:sz w:val="20"/>
          <w:szCs w:val="20"/>
          <w:color w:val="auto"/>
        </w:rPr>
      </w:pPr>
      <w:r>
        <w:rPr>
          <w:rFonts w:ascii="Arial" w:cs="Arial" w:eastAsia="Arial" w:hAnsi="Arial"/>
          <w:sz w:val="18"/>
          <w:szCs w:val="18"/>
          <w:color w:val="auto"/>
        </w:rPr>
        <w:t>On February 1, 2019, the Company entered into a loan modification agreement, which further amended the 2016 Credit Facility ("Amendment No. 2"). Under Amendment No. 2, the Company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29" w:lineRule="exact"/>
        <w:rPr>
          <w:sz w:val="20"/>
          <w:szCs w:val="20"/>
          <w:color w:val="auto"/>
        </w:rPr>
      </w:pPr>
    </w:p>
    <w:p>
      <w:pPr>
        <w:ind w:right="80" w:firstLine="397"/>
        <w:spacing w:after="0" w:line="308" w:lineRule="auto"/>
        <w:rPr>
          <w:sz w:val="20"/>
          <w:szCs w:val="20"/>
          <w:color w:val="auto"/>
        </w:rPr>
      </w:pPr>
      <w:r>
        <w:rPr>
          <w:rFonts w:ascii="Arial" w:cs="Arial" w:eastAsia="Arial" w:hAnsi="Arial"/>
          <w:sz w:val="15"/>
          <w:szCs w:val="15"/>
          <w:color w:val="auto"/>
        </w:rPr>
        <w:t>On April 1, 2021, the Company entered into a loan modification agreement ("Amendment No. 3"), which amended the 2016 Credit Facility, as previously amended. Amendment No. 3 revised the maturity date from March 31, 2021 to March 31, 2024 and modified the variable interest rate based on the one-month United States Treasury Rate, plus a margin of 3.00%, with an interest rate floor of 4.00%.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 There were no other changes to the covenants or revolving loan facility as set forth in Amendment No. 2.</w:t>
      </w:r>
    </w:p>
    <w:p>
      <w:pPr>
        <w:spacing w:after="0" w:line="86" w:lineRule="exact"/>
        <w:rPr>
          <w:sz w:val="20"/>
          <w:szCs w:val="20"/>
          <w:color w:val="auto"/>
        </w:rPr>
      </w:pPr>
    </w:p>
    <w:p>
      <w:pPr>
        <w:jc w:val="both"/>
        <w:ind w:right="140" w:firstLine="397"/>
        <w:spacing w:after="0" w:line="254" w:lineRule="auto"/>
        <w:rPr>
          <w:sz w:val="20"/>
          <w:szCs w:val="20"/>
          <w:color w:val="auto"/>
        </w:rPr>
      </w:pPr>
      <w:r>
        <w:rPr>
          <w:rFonts w:ascii="Arial" w:cs="Arial" w:eastAsia="Arial" w:hAnsi="Arial"/>
          <w:sz w:val="18"/>
          <w:szCs w:val="18"/>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6" w:name="page17"/>
    <w:bookmarkEnd w:id="16"/>
    <w:p>
      <w:pPr>
        <w:ind w:right="40"/>
        <w:spacing w:after="0" w:line="248" w:lineRule="auto"/>
        <w:rPr>
          <w:sz w:val="20"/>
          <w:szCs w:val="20"/>
          <w:color w:val="auto"/>
        </w:rPr>
      </w:pPr>
      <w:r>
        <w:rPr>
          <w:rFonts w:ascii="Arial" w:cs="Arial" w:eastAsia="Arial" w:hAnsi="Arial"/>
          <w:sz w:val="18"/>
          <w:szCs w:val="18"/>
          <w:color w:val="auto"/>
        </w:rPr>
        <w:t>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As of March 31, 2022, the Company was in compliance with all applicable covenants under the 2016 Credit Facility, as amended.</w:t>
      </w:r>
    </w:p>
    <w:p>
      <w:pPr>
        <w:spacing w:after="0" w:line="116" w:lineRule="exact"/>
        <w:rPr>
          <w:sz w:val="20"/>
          <w:szCs w:val="20"/>
          <w:color w:val="auto"/>
        </w:rPr>
      </w:pPr>
    </w:p>
    <w:p>
      <w:pPr>
        <w:ind w:right="600" w:firstLine="397"/>
        <w:spacing w:after="0" w:line="364" w:lineRule="auto"/>
        <w:rPr>
          <w:sz w:val="20"/>
          <w:szCs w:val="20"/>
          <w:color w:val="auto"/>
        </w:rPr>
      </w:pPr>
      <w:r>
        <w:rPr>
          <w:rFonts w:ascii="Arial" w:cs="Arial" w:eastAsia="Arial" w:hAnsi="Arial"/>
          <w:sz w:val="15"/>
          <w:szCs w:val="15"/>
          <w:color w:val="auto"/>
        </w:rPr>
        <w:t>The Company’s book value for the 2016 Credit Facility, as amended, approximates the fair value. During the fiscal year ended June 30, 2020, the Company repaid, in full, the remaining balance of the 2016 Term Loan in accordance with the terms of the 2016 Credit Facility, as amended.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156" w:lineRule="exact"/>
        <w:rPr>
          <w:sz w:val="20"/>
          <w:szCs w:val="20"/>
          <w:color w:val="auto"/>
        </w:rPr>
      </w:pPr>
    </w:p>
    <w:p>
      <w:pPr>
        <w:ind w:right="80" w:firstLine="397"/>
        <w:spacing w:after="0" w:line="311" w:lineRule="auto"/>
        <w:rPr>
          <w:sz w:val="20"/>
          <w:szCs w:val="20"/>
          <w:color w:val="auto"/>
        </w:rPr>
      </w:pPr>
      <w:r>
        <w:rPr>
          <w:rFonts w:ascii="Arial" w:cs="Arial" w:eastAsia="Arial" w:hAnsi="Arial"/>
          <w:sz w:val="15"/>
          <w:szCs w:val="15"/>
          <w:color w:val="auto"/>
        </w:rPr>
        <w:t>During the three months ended March 31, 2022 and 2021, the Company issued no shares of common stock upon the exercise of options. During the nine months ended March 31, 2022 and 2021, the company issued 30,000 shares and 0.2 million shares, respectively, of common stock upon the exercise of options. During the three months ended March 31, 2022 and 2021, approximately 5,000 shares and 14,000 shares, respectively, of restricted stock were canceled or surrendered as payment of tax withholding upon vesting. During the nine months ended March 31, 2022 and 2021, approximately 29,000 shares and 0.1 million shares, respectively, of restricted stock were canceled or surrendered as payment of tax withholding upon vesting.</w:t>
      </w:r>
    </w:p>
    <w:p>
      <w:pPr>
        <w:spacing w:after="0" w:line="72" w:lineRule="exact"/>
        <w:rPr>
          <w:sz w:val="20"/>
          <w:szCs w:val="20"/>
          <w:color w:val="auto"/>
        </w:rPr>
      </w:pPr>
    </w:p>
    <w:p>
      <w:pPr>
        <w:ind w:firstLine="397"/>
        <w:spacing w:after="0" w:line="300" w:lineRule="auto"/>
        <w:rPr>
          <w:sz w:val="20"/>
          <w:szCs w:val="20"/>
          <w:color w:val="auto"/>
        </w:rPr>
      </w:pPr>
      <w:r>
        <w:rPr>
          <w:rFonts w:ascii="Arial" w:cs="Arial" w:eastAsia="Arial" w:hAnsi="Arial"/>
          <w:sz w:val="15"/>
          <w:szCs w:val="15"/>
          <w:color w:val="auto"/>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has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On February 1, 2019, the Board of Directors approved an amendment to the share repurchase program to increase the authorized share repurchase amount from $5 million to $15 million. On August 27, 2020, the Board of Directors approved an amendment to the share repurchase program to increase the authorized share repurchase amount from $15 million to $35 million and to extend the duration of the program through November 30, 2023 and, on February 17, 2022, the Board of Directors approved an amendment to the share repurchase program to increase the authorized share repurchase amount from $35 million to $60 million. During the three months ended March 31, 2022 and 2021, the Company purchased 0.3 million shares and 0.2 million shares, respectively, of common stock at an aggregate price of $1.7 million and $2.0 million under this repurchase program. During the nine months ended March 31, 2022 and 2021, the Company purchased 1.2 million shares and 0.7 million shares, respectively, of common stock at an aggregate price of $8.4 million and $8.0 million under this repurchase program. At March 31, 2022, there is $28.1 million remaining under this repurchase program.</w:t>
      </w:r>
    </w:p>
    <w:p>
      <w:pPr>
        <w:spacing w:after="0" w:line="304" w:lineRule="exact"/>
        <w:rPr>
          <w:sz w:val="20"/>
          <w:szCs w:val="20"/>
          <w:color w:val="auto"/>
        </w:rPr>
      </w:pPr>
    </w:p>
    <w:p>
      <w:pPr>
        <w:ind w:right="120" w:firstLine="397"/>
        <w:spacing w:after="0" w:line="263" w:lineRule="auto"/>
        <w:rPr>
          <w:sz w:val="20"/>
          <w:szCs w:val="20"/>
          <w:color w:val="auto"/>
        </w:rPr>
      </w:pPr>
      <w:r>
        <w:rPr>
          <w:rFonts w:ascii="Arial" w:cs="Arial" w:eastAsia="Arial" w:hAnsi="Arial"/>
          <w:sz w:val="18"/>
          <w:szCs w:val="18"/>
          <w:color w:val="auto"/>
        </w:rPr>
        <w:t>The Company’s Certificate of Incorporation authorizes the issuance of preferred stock. However, as of March 31, 2022, none have been issued nor have any rights or preferences been assigned to the preferred stock by the Company’s board of directors.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Long-Term Incentive Plans</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Equity-Settled Plans</w:t>
      </w:r>
    </w:p>
    <w:p>
      <w:pPr>
        <w:spacing w:after="0" w:line="156" w:lineRule="exact"/>
        <w:rPr>
          <w:sz w:val="20"/>
          <w:szCs w:val="20"/>
          <w:color w:val="auto"/>
        </w:rPr>
      </w:pPr>
    </w:p>
    <w:p>
      <w:pPr>
        <w:jc w:val="both"/>
        <w:ind w:right="160" w:firstLine="397"/>
        <w:spacing w:after="0" w:line="251" w:lineRule="auto"/>
        <w:rPr>
          <w:sz w:val="20"/>
          <w:szCs w:val="20"/>
          <w:color w:val="auto"/>
        </w:rPr>
      </w:pPr>
      <w:r>
        <w:rPr>
          <w:rFonts w:ascii="Arial" w:cs="Arial" w:eastAsia="Arial" w:hAnsi="Arial"/>
          <w:sz w:val="18"/>
          <w:szCs w:val="18"/>
          <w:color w:val="auto"/>
        </w:rPr>
        <w:t>The Company adopted, and the stockholders approved, the 2007 Long-Term Incentive Plan (the “2007 Plan”), effective November 21, 2006, to provide incentives to eligible employees, directors and consultants. A maximum of 1.4 million shares of the Company's common stock can be issued under the 2007 Plan in connection with the grant of awards. Effective November 21, 2016, no new awards can be granted under the 2007 Plan. As of March 31, 2022, there were no stock option awards outstanding under the 2007 Plan.</w:t>
      </w:r>
    </w:p>
    <w:p>
      <w:pPr>
        <w:spacing w:after="0" w:line="112" w:lineRule="exact"/>
        <w:rPr>
          <w:sz w:val="20"/>
          <w:szCs w:val="20"/>
          <w:color w:val="auto"/>
        </w:rPr>
      </w:pPr>
    </w:p>
    <w:p>
      <w:pPr>
        <w:ind w:right="40" w:firstLine="397"/>
        <w:spacing w:after="0" w:line="311" w:lineRule="auto"/>
        <w:rPr>
          <w:sz w:val="20"/>
          <w:szCs w:val="20"/>
          <w:color w:val="auto"/>
        </w:rPr>
      </w:pPr>
      <w:r>
        <w:rPr>
          <w:rFonts w:ascii="Arial" w:cs="Arial" w:eastAsia="Arial" w:hAnsi="Arial"/>
          <w:sz w:val="15"/>
          <w:szCs w:val="15"/>
          <w:color w:val="auto"/>
        </w:rPr>
        <w:t>The Company adopted, and the stockholders approved, the 2010 Long-Term Incentive Plan (the “2010 Plan”), effective September 27, 2010, as amended on August 21, 2014, to provide incentives to certain employees, directors and consultants. A maximum of 1.0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$9.31 and $19.74 per share, and vest over one to four year vesting periods. Awards expire in accordance with the terms of each award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7" w:name="page18"/>
    <w:bookmarkEnd w:id="17"/>
    <w:p>
      <w:pPr>
        <w:ind w:right="220"/>
        <w:spacing w:after="0" w:line="251" w:lineRule="auto"/>
        <w:rPr>
          <w:sz w:val="20"/>
          <w:szCs w:val="20"/>
          <w:color w:val="auto"/>
        </w:rPr>
      </w:pPr>
      <w:r>
        <w:rPr>
          <w:rFonts w:ascii="Arial" w:cs="Arial" w:eastAsia="Arial" w:hAnsi="Arial"/>
          <w:sz w:val="18"/>
          <w:szCs w:val="18"/>
          <w:color w:val="auto"/>
        </w:rPr>
        <w:t>and, upon expiration of the award, the shares subject to the award will be added to the 2017 Plan pool as described below. The contractual term of stock options granted is generally ten years. No new awards will be granted under the 2010 Plan and forfeited or terminated shares may be added to the 2017 Plan pool as described below. As of March 31, 2022, under the 2010 Plan, there were stock option awards outstanding, net of awards expired, for an aggregate of approximately 20,000 shares of the Company's common stock.</w:t>
      </w:r>
    </w:p>
    <w:p>
      <w:pPr>
        <w:spacing w:after="0" w:line="112" w:lineRule="exact"/>
        <w:rPr>
          <w:sz w:val="20"/>
          <w:szCs w:val="20"/>
          <w:color w:val="auto"/>
        </w:rPr>
      </w:pPr>
    </w:p>
    <w:p>
      <w:pPr>
        <w:ind w:right="60" w:firstLine="397"/>
        <w:spacing w:after="0" w:line="302" w:lineRule="auto"/>
        <w:rPr>
          <w:sz w:val="20"/>
          <w:szCs w:val="20"/>
          <w:color w:val="auto"/>
        </w:rPr>
      </w:pPr>
      <w:r>
        <w:rPr>
          <w:rFonts w:ascii="Arial" w:cs="Arial" w:eastAsia="Arial" w:hAnsi="Arial"/>
          <w:sz w:val="15"/>
          <w:szCs w:val="15"/>
          <w:color w:val="auto"/>
        </w:rPr>
        <w:t>The Company adopted, and the stockholders approved, the 2017 Long-Term Incentive Plan (the “2017 Plan”), effective February 16, 2017, to provide incentives to eligible employees, directors and consultants. On February 2, 2018, November 15, 2018, and November 12, 2020, the stockholders approved amendments to the 2017 Plan to increase by 425,000 shares, 715,000 shares and 650,000 shares, respectively, the number of shares of the Company's common stock that are available for issuance under the 2017 Plan. As of March 31, 2022, a maximum of 2.9 million shares of the Company's common stock can be issued under the 2017 Plan in connection with the grant of awards which is calculated as the sum of (i) 2,440,000 shares and (ii) up to 475,000 shares previously reserved for issuance under the 2010 Plan, including shares returned upon cancellation, termination or forfeiture of awards that were previously granted under that plan. Outstanding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are substantially the same as described above for the 2010 Plan. As of March 31, 2022, under the 2017 Plan, there were stock option awards outstanding, net of awards expired, for an aggregate of 0.1 million shares of the Company's common stock.</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Cash-Settled Plans</w:t>
      </w:r>
    </w:p>
    <w:p>
      <w:pPr>
        <w:spacing w:after="0" w:line="156" w:lineRule="exact"/>
        <w:rPr>
          <w:sz w:val="20"/>
          <w:szCs w:val="20"/>
          <w:color w:val="auto"/>
        </w:rPr>
      </w:pPr>
    </w:p>
    <w:p>
      <w:pPr>
        <w:ind w:firstLine="397"/>
        <w:spacing w:after="0" w:line="302" w:lineRule="auto"/>
        <w:rPr>
          <w:sz w:val="20"/>
          <w:szCs w:val="20"/>
          <w:color w:val="auto"/>
        </w:rPr>
      </w:pPr>
      <w:r>
        <w:rPr>
          <w:rFonts w:ascii="Arial" w:cs="Arial" w:eastAsia="Arial" w:hAnsi="Arial"/>
          <w:sz w:val="15"/>
          <w:szCs w:val="15"/>
          <w:color w:val="auto"/>
        </w:rPr>
        <w:t>The Company adopted a performance incentive plan effective July 1, 2017 (the "Fiscal 2018 Performance Plan"). The Fiscal 2018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2018 Performance Plan seeks to achieve this purpose by providing for awards in the form of performance share units (the “Units”). No shares will be issued under the Fiscal 2018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Employee Stock Purchase Plan</w:t>
      </w:r>
    </w:p>
    <w:p>
      <w:pPr>
        <w:spacing w:after="0" w:line="156" w:lineRule="exact"/>
        <w:rPr>
          <w:sz w:val="20"/>
          <w:szCs w:val="20"/>
          <w:color w:val="auto"/>
        </w:rPr>
      </w:pPr>
    </w:p>
    <w:p>
      <w:pPr>
        <w:ind w:right="260" w:firstLine="397"/>
        <w:spacing w:after="0" w:line="293"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Company's 2019 Employee Stock Purchase Plan ("ESPP") was adopted by the board of directors in September 2018 and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approved it in November 2018. The ESPP is intended to qualify under Section 423 of the Internal Revenue Code.</w:t>
      </w:r>
    </w:p>
    <w:p>
      <w:pPr>
        <w:spacing w:after="0" w:line="91" w:lineRule="exact"/>
        <w:rPr>
          <w:sz w:val="20"/>
          <w:szCs w:val="20"/>
          <w:color w:val="auto"/>
        </w:rPr>
      </w:pPr>
    </w:p>
    <w:p>
      <w:pPr>
        <w:ind w:right="40" w:firstLine="397"/>
        <w:spacing w:after="0" w:line="254"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Company has reserved 0.4 million shares of its common stock for issuance under the ESPP. As of March 31, 2022, 0.2 million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were available for issuance. The number of shares reserved under the ESPP will automatically be adjusted in the event of a stock split, stock dividend or a reverse stock split (including an adjustment to the per-purchase period share limit).</w:t>
      </w:r>
    </w:p>
    <w:p>
      <w:pPr>
        <w:spacing w:after="0" w:line="110" w:lineRule="exact"/>
        <w:rPr>
          <w:sz w:val="20"/>
          <w:szCs w:val="20"/>
          <w:color w:val="auto"/>
        </w:rPr>
      </w:pPr>
    </w:p>
    <w:p>
      <w:pPr>
        <w:ind w:right="40" w:firstLine="397"/>
        <w:spacing w:after="0" w:line="268" w:lineRule="auto"/>
        <w:rPr>
          <w:sz w:val="20"/>
          <w:szCs w:val="20"/>
          <w:color w:val="auto"/>
        </w:rPr>
      </w:pPr>
      <w:r>
        <w:rPr>
          <w:rFonts w:ascii="Arial" w:cs="Arial" w:eastAsia="Arial" w:hAnsi="Arial"/>
          <w:sz w:val="17"/>
          <w:szCs w:val="17"/>
          <w:i w:val="1"/>
          <w:iCs w:val="1"/>
          <w:color w:val="auto"/>
        </w:rPr>
        <w:t xml:space="preserve">Purchase Price. </w:t>
      </w:r>
      <w:r>
        <w:rPr>
          <w:rFonts w:ascii="Arial" w:cs="Arial" w:eastAsia="Arial" w:hAnsi="Arial"/>
          <w:sz w:val="17"/>
          <w:szCs w:val="17"/>
          <w:color w:val="auto"/>
        </w:rPr>
        <w:t>Employees may purchase each share of common stock under the ESPP at a price equal to 85% of the lower of the fair market values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stock as of the beginning or the end of the six-month offering periods. An employee's contributions to the ESPP are limited to 15% of their regular hourly or salary compensation, and up to a maximum of 3,000 shares may be purchased during any offering period. A participant shall not be granted an option under the ESPP if such option would permit the participant's rights to purchase stock to accrue at a rate exceeding $25,000 grant date fair market value of stock for each calendar year in which such option is outstanding at any time.</w:t>
      </w:r>
    </w:p>
    <w:p>
      <w:pPr>
        <w:spacing w:after="0" w:line="112" w:lineRule="exact"/>
        <w:rPr>
          <w:sz w:val="20"/>
          <w:szCs w:val="20"/>
          <w:color w:val="auto"/>
        </w:rPr>
      </w:pPr>
    </w:p>
    <w:p>
      <w:pPr>
        <w:ind w:right="400" w:firstLine="397"/>
        <w:spacing w:after="0" w:line="263"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Unless otherwise determined by the compensation committee, the ESPP will be operated through a series of successive six-month</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periods, which will begin each year on March 1 and September 1.</w:t>
      </w:r>
    </w:p>
    <w:p>
      <w:pPr>
        <w:spacing w:after="0" w:line="11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During the three and nine months ended March 31, 2022, approximately 41,000 and 0.1 million shares of common stock were issued under the ESPP, respectively. During the three and nine months ended March 31, 2021, approximately 36,000 and 0.1 million shares of common stock were issued under the ESPP.</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u w:val="single" w:color="auto"/>
          <w:color w:val="auto"/>
        </w:rPr>
        <w:t>Stock-Based Compensation</w:t>
      </w:r>
    </w:p>
    <w:p>
      <w:pPr>
        <w:spacing w:after="0" w:line="137" w:lineRule="exact"/>
        <w:rPr>
          <w:sz w:val="20"/>
          <w:szCs w:val="20"/>
          <w:color w:val="auto"/>
        </w:rPr>
      </w:pPr>
    </w:p>
    <w:p>
      <w:pPr>
        <w:ind w:firstLine="397"/>
        <w:spacing w:after="0" w:line="308" w:lineRule="auto"/>
        <w:rPr>
          <w:sz w:val="20"/>
          <w:szCs w:val="20"/>
          <w:color w:val="auto"/>
        </w:rPr>
      </w:pPr>
      <w:r>
        <w:rPr>
          <w:rFonts w:ascii="Arial" w:cs="Arial" w:eastAsia="Arial" w:hAnsi="Arial"/>
          <w:sz w:val="15"/>
          <w:szCs w:val="15"/>
          <w:color w:val="auto"/>
        </w:rPr>
        <w:t>In accordance with accounting guidance for stock-based compensation, payments in equity instruments for goods or services are accounted for by the fair value method. For the three months ended March 31, 2022, a decrease to additional paid-in capital of $38,000, all of which was employee related, was recognized due to changes in estimates in performance stock unit performance measures and reductions in headcount. For the nine months ended March 31, 2022, compensation of $1.4 million was reflected as an increase to additional paid-in capital, all of which was employee related. For the three and nine months ended March 31, 2021, stock-based compensation of $0.7 million and $2.2 million, respectively, was reflected as an increase to additional paid-in capital and a decrease of 17,000 and $0.1 million, respectively, was included in other accrued expenses, all of which was employee related.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24" w:lineRule="exact"/>
        <w:rPr>
          <w:sz w:val="20"/>
          <w:szCs w:val="20"/>
          <w:color w:val="auto"/>
        </w:rPr>
      </w:pPr>
    </w:p>
    <w:p>
      <w:pPr>
        <w:ind w:right="60" w:firstLine="397"/>
        <w:spacing w:after="0" w:line="267" w:lineRule="auto"/>
        <w:rPr>
          <w:sz w:val="20"/>
          <w:szCs w:val="20"/>
          <w:color w:val="auto"/>
        </w:rPr>
      </w:pPr>
      <w:r>
        <w:rPr>
          <w:rFonts w:ascii="Arial" w:cs="Arial" w:eastAsia="Arial" w:hAnsi="Arial"/>
          <w:sz w:val="15"/>
          <w:szCs w:val="15"/>
          <w:color w:val="auto"/>
        </w:rPr>
        <w:t>The Company accounts for contingent liabilities in accordance with ASC 450, Contingencies.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March 31, 2022, and based on the assessment, there are no probable loss contingencies requiring accrual or disclosures within its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Accruals</w:t>
      </w:r>
    </w:p>
    <w:p>
      <w:pPr>
        <w:spacing w:after="0" w:line="150" w:lineRule="exact"/>
        <w:rPr>
          <w:sz w:val="20"/>
          <w:szCs w:val="20"/>
          <w:color w:val="auto"/>
        </w:rPr>
      </w:pPr>
    </w:p>
    <w:p>
      <w:pPr>
        <w:ind w:right="20" w:firstLine="397"/>
        <w:spacing w:after="0" w:line="299" w:lineRule="auto"/>
        <w:rPr>
          <w:sz w:val="20"/>
          <w:szCs w:val="20"/>
          <w:color w:val="auto"/>
        </w:rPr>
      </w:pPr>
      <w:r>
        <w:rPr>
          <w:rFonts w:ascii="Arial" w:cs="Arial" w:eastAsia="Arial" w:hAnsi="Arial"/>
          <w:sz w:val="15"/>
          <w:szCs w:val="15"/>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spacing w:after="0" w:line="287" w:lineRule="exact"/>
        <w:rPr>
          <w:sz w:val="20"/>
          <w:szCs w:val="20"/>
          <w:color w:val="auto"/>
        </w:rPr>
      </w:pPr>
    </w:p>
    <w:p>
      <w:pPr>
        <w:ind w:right="40" w:firstLine="397"/>
        <w:spacing w:after="0" w:line="263" w:lineRule="auto"/>
        <w:rPr>
          <w:sz w:val="20"/>
          <w:szCs w:val="20"/>
          <w:color w:val="auto"/>
        </w:rPr>
      </w:pPr>
      <w:r>
        <w:rPr>
          <w:rFonts w:ascii="Arial" w:cs="Arial" w:eastAsia="Arial" w:hAnsi="Arial"/>
          <w:sz w:val="17"/>
          <w:szCs w:val="17"/>
          <w:b w:val="1"/>
          <w:bCs w:val="1"/>
          <w:color w:val="auto"/>
        </w:rPr>
        <w:t>Class Action Lawsuit (</w:t>
      </w:r>
      <w:r>
        <w:rPr>
          <w:rFonts w:ascii="Arial" w:cs="Arial" w:eastAsia="Arial" w:hAnsi="Arial"/>
          <w:sz w:val="17"/>
          <w:szCs w:val="17"/>
          <w:b w:val="1"/>
          <w:bCs w:val="1"/>
          <w:i w:val="1"/>
          <w:iCs w:val="1"/>
          <w:color w:val="auto"/>
        </w:rPr>
        <w:t>Smith v. LifeVantage Corp</w:t>
      </w:r>
      <w:r>
        <w:rPr>
          <w:rFonts w:ascii="Arial" w:cs="Arial" w:eastAsia="Arial" w:hAnsi="Arial"/>
          <w:sz w:val="17"/>
          <w:szCs w:val="17"/>
          <w:b w:val="1"/>
          <w:bCs w:val="1"/>
          <w:color w:val="auto"/>
        </w:rPr>
        <w:t xml:space="preserve">.): </w:t>
      </w:r>
      <w:r>
        <w:rPr>
          <w:rFonts w:ascii="Arial" w:cs="Arial" w:eastAsia="Arial" w:hAnsi="Arial"/>
          <w:sz w:val="17"/>
          <w:szCs w:val="17"/>
          <w:color w:val="auto"/>
        </w:rPr>
        <w:t>On January 24, 2018, a purported class action was filed in the United States District Court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District of Connecticut, entitled Smith v. LifeVantage Corp., Case No. 3:18-cv-a35 (D. Connecticut filed Jan. 24, 2018). In this action, Plaintiffs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 defendants (the former Chief Executive Officer remains a defendant in the case). The Plaintiffs' amended complaint added an antitrust claim, alleging that the Company fraudulently obtained patents for its products and is attempting to use those patents in an anti-competitive manner. The Company filed a Motion to Dismiss the amended complaint on November 5, 2018, Plaintiffs filed a response to the Company’s Motion to Dismiss on December 17, 2018, and the Company filed a reply brief on January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9" w:name="page20"/>
    <w:bookmarkEnd w:id="19"/>
    <w:p>
      <w:pPr>
        <w:ind w:right="20"/>
        <w:spacing w:after="0" w:line="299" w:lineRule="auto"/>
        <w:rPr>
          <w:sz w:val="20"/>
          <w:szCs w:val="20"/>
          <w:color w:val="auto"/>
        </w:rPr>
      </w:pPr>
      <w:r>
        <w:rPr>
          <w:rFonts w:ascii="Arial" w:cs="Arial" w:eastAsia="Arial" w:hAnsi="Arial"/>
          <w:sz w:val="15"/>
          <w:szCs w:val="15"/>
          <w:color w:val="auto"/>
        </w:rPr>
        <w:t>10, 2019. The Court ruled on the motion on December 5, 2019, dismissing three of the Plaintiff's four claims, including the antitrust claim, unjust enrichment claim, and the securities claim for the sale of unregistered securities. On December 19, 2019, Plaintiffs filed a second amended complaint which included three causes of action, including a 10(b)(5) securities fraud claim, and renewed claims relating to the sale of unregistered securities and unjust enrichment. LifeVantage filed a Motion to Dismiss the Second Amended Complaint on January 28, 2020, and with the Motion fully briefed by the parties as of March 17, 2020, the Court decided the matter on the parties’ briefs only on November 25, 2020. In its decision, the Court dismissed with prejudice the Plaintiffs’ Section 12(1) claim (sale of an unregistered security), because the Court concluded the claim is time barred. The Court also dismissed the Plaintiffs’ claim for unjust enrichment against LifeVantage without prejudice, and the Plaintiffs did not amend their complaint following the Court’s order to re-plead unjust enrichment. The court found that the Plaintiffs had sufficiently pled their claim under Section 12(2) (offer to sell a security that misstates or omits a material fact by means of a prospectus or oral communication). LifeVantage filed its Answer to the Second Amended Complaint on December 23, 2020, responding to the Plaintiffs’ remaining securities claims. On February 2, 2021, the Court issued an amended scheduling order that reflects the parties’ agreement on a schedule for discovery and other litigation matters. On June 15, 2021, the plaintiffs filed their motion for class certification, and on July 13, 2021, the defendants, including LifeVantage Corporation, filed their opposition brief that opposed class certification. On July 27, 2021, the Plaintiffs filed their reply to LifeVantage’s opposition brief. The court held a hearing for the motion for class certification on March 28, 2022. On April 19, 2022, the court issued an order denying the Plaintiff’s motion for class certification.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287" w:lineRule="exact"/>
        <w:rPr>
          <w:sz w:val="20"/>
          <w:szCs w:val="20"/>
          <w:color w:val="auto"/>
        </w:rPr>
      </w:pPr>
    </w:p>
    <w:p>
      <w:pPr>
        <w:ind w:right="100" w:firstLine="397"/>
        <w:spacing w:after="0" w:line="320" w:lineRule="auto"/>
        <w:rPr>
          <w:sz w:val="20"/>
          <w:szCs w:val="20"/>
          <w:color w:val="auto"/>
        </w:rPr>
      </w:pPr>
      <w:r>
        <w:rPr>
          <w:rFonts w:ascii="Arial" w:cs="Arial" w:eastAsia="Arial" w:hAnsi="Arial"/>
          <w:sz w:val="15"/>
          <w:szCs w:val="15"/>
          <w:b w:val="1"/>
          <w:bCs w:val="1"/>
          <w:color w:val="auto"/>
        </w:rPr>
        <w:t xml:space="preserve">Other Matters. </w:t>
      </w:r>
      <w:r>
        <w:rPr>
          <w:rFonts w:ascii="Arial" w:cs="Arial" w:eastAsia="Arial" w:hAnsi="Arial"/>
          <w:sz w:val="15"/>
          <w:szCs w:val="15"/>
          <w:color w:val="auto"/>
        </w:rPr>
        <w:t>In addition to the matters described above, the Company also may become involved in other litigation and regulatory matters incidental</w:t>
      </w:r>
      <w:r>
        <w:rPr>
          <w:rFonts w:ascii="Arial" w:cs="Arial" w:eastAsia="Arial" w:hAnsi="Arial"/>
          <w:sz w:val="15"/>
          <w:szCs w:val="15"/>
          <w:b w:val="1"/>
          <w:bCs w:val="1"/>
          <w:color w:val="auto"/>
        </w:rPr>
        <w:t xml:space="preserve"> </w:t>
      </w:r>
      <w:r>
        <w:rPr>
          <w:rFonts w:ascii="Arial" w:cs="Arial" w:eastAsia="Arial" w:hAnsi="Arial"/>
          <w:sz w:val="15"/>
          <w:szCs w:val="15"/>
          <w:color w:val="auto"/>
        </w:rPr>
        <w:t>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156" w:lineRule="exact"/>
        <w:rPr>
          <w:sz w:val="20"/>
          <w:szCs w:val="20"/>
          <w:color w:val="auto"/>
        </w:rPr>
      </w:pPr>
    </w:p>
    <w:p>
      <w:pPr>
        <w:ind w:right="20" w:firstLine="397"/>
        <w:spacing w:after="0" w:line="251" w:lineRule="auto"/>
        <w:rPr>
          <w:sz w:val="20"/>
          <w:szCs w:val="20"/>
          <w:color w:val="auto"/>
        </w:rPr>
      </w:pPr>
      <w:r>
        <w:rPr>
          <w:rFonts w:ascii="Arial" w:cs="Arial" w:eastAsia="Arial" w:hAnsi="Arial"/>
          <w:sz w:val="18"/>
          <w:szCs w:val="18"/>
          <w:color w:val="auto"/>
        </w:rPr>
        <w:t>The Company has entered into a series of agreements with GEG for outsourced software application development services. The Company and GEG have also entered into a common stock purchase agreement. For discussion related to the common stock purchase agreement, see Note 3. Two members of the Company's board of directors serve on the GEG board of directors. No payments were made to GEG for software and application development service during the three and nine months ended March 31, 2022 and 2021.</w:t>
      </w:r>
    </w:p>
    <w:p>
      <w:pPr>
        <w:spacing w:after="0" w:line="106" w:lineRule="exact"/>
        <w:rPr>
          <w:sz w:val="20"/>
          <w:szCs w:val="20"/>
          <w:color w:val="auto"/>
        </w:rPr>
      </w:pPr>
    </w:p>
    <w:p>
      <w:pPr>
        <w:ind w:right="3980"/>
        <w:spacing w:after="0" w:line="41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ind w:right="100" w:firstLine="397"/>
        <w:spacing w:after="0" w:line="308" w:lineRule="auto"/>
        <w:rPr>
          <w:sz w:val="20"/>
          <w:szCs w:val="20"/>
          <w:color w:val="auto"/>
        </w:rPr>
      </w:pPr>
      <w:r>
        <w:rPr>
          <w:rFonts w:ascii="Arial" w:cs="Arial" w:eastAsia="Arial" w:hAnsi="Arial"/>
          <w:sz w:val="15"/>
          <w:szCs w:val="15"/>
          <w:color w:val="auto"/>
        </w:rPr>
        <w:t>We are a company focused on nutrigenomics, the study of how nutrition and naturally occurring compounds affect human genes to support good health. We are dedicated to helping people achieve their health, wellness and financial goals. We provide quality, scientifically-validated products to customers and independent distributors as well as a financially rewarding commission-based direct sales opportunity to our independent distributors. We engage in the identification, research, development, formulation and sale of advanced nutrigenomic activators, dietary supplements, nootropics, pre- and pro-biotics, weight management, skin and hair care, bath &amp; body, and targeted relief products. We currently sell our products to customers and independent distributors in two geographic regions that we have classified as the Americas region and the Asia/Pacific &amp; Europe region.</w:t>
      </w:r>
    </w:p>
    <w:p>
      <w:pPr>
        <w:spacing w:after="0" w:line="73" w:lineRule="exact"/>
        <w:rPr>
          <w:sz w:val="20"/>
          <w:szCs w:val="20"/>
          <w:color w:val="auto"/>
        </w:rPr>
      </w:pPr>
    </w:p>
    <w:p>
      <w:pPr>
        <w:jc w:val="both"/>
        <w:ind w:right="120" w:firstLine="406"/>
        <w:spacing w:after="0" w:line="254" w:lineRule="auto"/>
        <w:rPr>
          <w:sz w:val="20"/>
          <w:szCs w:val="20"/>
          <w:color w:val="auto"/>
        </w:rPr>
      </w:pPr>
      <w:r>
        <w:rPr>
          <w:rFonts w:ascii="Arial" w:cs="Arial" w:eastAsia="Arial" w:hAnsi="Arial"/>
          <w:sz w:val="18"/>
          <w:szCs w:val="18"/>
          <w:color w:val="auto"/>
        </w:rPr>
        <w:t>The success and growth of our business is primarily based on the effectiveness of our independent distributors to attract and retain customers in order to sell our products and our ability to attract and retain independent distributors. When we are successful in attracting and retaining independent distributors and customers, it is largely because of:</w:t>
      </w:r>
    </w:p>
    <w:p>
      <w:pPr>
        <w:spacing w:after="0" w:line="116" w:lineRule="exact"/>
        <w:rPr>
          <w:sz w:val="20"/>
          <w:szCs w:val="20"/>
          <w:color w:val="auto"/>
        </w:rPr>
      </w:pPr>
    </w:p>
    <w:p>
      <w:pPr>
        <w:ind w:left="640" w:hanging="238"/>
        <w:spacing w:after="0" w:line="205"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products, including our flagship Protandim</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family of scientifically-validated dietary supplements, LifeVantage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Omega+</w:t>
      </w:r>
      <w:r>
        <w:rPr>
          <w:rFonts w:ascii="Arial" w:cs="Arial" w:eastAsia="Arial" w:hAnsi="Arial"/>
          <w:sz w:val="22"/>
          <w:szCs w:val="22"/>
          <w:color w:val="auto"/>
          <w:vertAlign w:val="superscript"/>
        </w:rPr>
        <w:t>™</w:t>
      </w:r>
      <w:r>
        <w:rPr>
          <w:rFonts w:ascii="Arial" w:cs="Arial" w:eastAsia="Arial" w:hAnsi="Arial"/>
          <w:sz w:val="18"/>
          <w:szCs w:val="18"/>
          <w:color w:val="auto"/>
        </w:rPr>
        <w:t>, ProBio</w:t>
      </w:r>
      <w:r>
        <w:rPr>
          <w:rFonts w:ascii="Arial" w:cs="Arial" w:eastAsia="Arial" w:hAnsi="Arial"/>
          <w:sz w:val="22"/>
          <w:szCs w:val="22"/>
          <w:color w:val="auto"/>
          <w:vertAlign w:val="superscript"/>
        </w:rPr>
        <w:t>™</w:t>
      </w:r>
      <w:r>
        <w:rPr>
          <w:rFonts w:ascii="Arial" w:cs="Arial" w:eastAsia="Arial" w:hAnsi="Arial"/>
          <w:sz w:val="18"/>
          <w:szCs w:val="18"/>
          <w:color w:val="auto"/>
        </w:rPr>
        <w:t>, IC Bright</w:t>
      </w:r>
      <w:r>
        <w:rPr>
          <w:rFonts w:ascii="Arial" w:cs="Arial" w:eastAsia="Arial" w:hAnsi="Arial"/>
          <w:sz w:val="22"/>
          <w:szCs w:val="22"/>
          <w:color w:val="auto"/>
          <w:vertAlign w:val="superscript"/>
        </w:rPr>
        <w:t>™</w:t>
      </w:r>
      <w:r>
        <w:rPr>
          <w:rFonts w:ascii="Arial" w:cs="Arial" w:eastAsia="Arial" w:hAnsi="Arial"/>
          <w:sz w:val="18"/>
          <w:szCs w:val="18"/>
          <w:color w:val="auto"/>
        </w:rPr>
        <w:t>, and Daily Wellness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dietary supplements, our line of Nrf2 enhanced TrueScience® skin, hair, bath &amp; body, and targeted relief products, Petandim</w:t>
      </w:r>
      <w:r>
        <w:rPr>
          <w:rFonts w:ascii="Arial" w:cs="Arial" w:eastAsia="Arial" w:hAnsi="Arial"/>
          <w:sz w:val="22"/>
          <w:szCs w:val="22"/>
          <w:color w:val="auto"/>
          <w:vertAlign w:val="superscript"/>
        </w:rPr>
        <w:t>®</w:t>
      </w:r>
      <w:r>
        <w:rPr>
          <w:rFonts w:ascii="Arial" w:cs="Arial" w:eastAsia="Arial" w:hAnsi="Arial"/>
          <w:sz w:val="18"/>
          <w:szCs w:val="18"/>
          <w:color w:val="auto"/>
        </w:rPr>
        <w:t>, our companion pet supplement formulated to combat oxidative stress in dogs, Axio</w:t>
      </w:r>
      <w:r>
        <w:rPr>
          <w:rFonts w:ascii="Arial" w:cs="Arial" w:eastAsia="Arial" w:hAnsi="Arial"/>
          <w:sz w:val="22"/>
          <w:szCs w:val="22"/>
          <w:color w:val="auto"/>
          <w:vertAlign w:val="superscript"/>
        </w:rPr>
        <w:t>®</w:t>
      </w:r>
      <w:r>
        <w:rPr>
          <w:rFonts w:ascii="Arial" w:cs="Arial" w:eastAsia="Arial" w:hAnsi="Arial"/>
          <w:sz w:val="18"/>
          <w:szCs w:val="18"/>
          <w:color w:val="auto"/>
        </w:rPr>
        <w:t>, our nootropic energy drink mixes, and PhysIQ</w:t>
      </w:r>
      <w:r>
        <w:rPr>
          <w:rFonts w:ascii="Arial" w:cs="Arial" w:eastAsia="Arial" w:hAnsi="Arial"/>
          <w:sz w:val="22"/>
          <w:szCs w:val="22"/>
          <w:color w:val="auto"/>
          <w:vertAlign w:val="superscript"/>
        </w:rPr>
        <w:t>™</w:t>
      </w:r>
      <w:r>
        <w:rPr>
          <w:rFonts w:ascii="Arial" w:cs="Arial" w:eastAsia="Arial" w:hAnsi="Arial"/>
          <w:sz w:val="18"/>
          <w:szCs w:val="18"/>
          <w:color w:val="auto"/>
        </w:rPr>
        <w:t>, our smart weight management system.;</w:t>
      </w:r>
    </w:p>
    <w:p>
      <w:pPr>
        <w:spacing w:after="0" w:line="134" w:lineRule="exact"/>
        <w:rPr>
          <w:rFonts w:ascii="Arial" w:cs="Arial" w:eastAsia="Arial" w:hAnsi="Arial"/>
          <w:sz w:val="18"/>
          <w:szCs w:val="18"/>
          <w:color w:val="auto"/>
        </w:rPr>
      </w:pPr>
    </w:p>
    <w:p>
      <w:pPr>
        <w:ind w:left="640" w:hanging="23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sales compensation plan and other sales initiatives and incentives; and</w:t>
      </w:r>
    </w:p>
    <w:p>
      <w:pPr>
        <w:spacing w:after="0" w:line="136" w:lineRule="exact"/>
        <w:rPr>
          <w:rFonts w:ascii="Arial" w:cs="Arial" w:eastAsia="Arial" w:hAnsi="Arial"/>
          <w:sz w:val="18"/>
          <w:szCs w:val="18"/>
          <w:color w:val="auto"/>
        </w:rPr>
      </w:pPr>
    </w:p>
    <w:p>
      <w:pPr>
        <w:ind w:left="640" w:hanging="23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delivery of superior customer service.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0" w:name="page21"/>
    <w:bookmarkEnd w:id="20"/>
    <w:p>
      <w:pPr>
        <w:ind w:right="100" w:firstLine="397"/>
        <w:spacing w:after="0" w:line="308" w:lineRule="auto"/>
        <w:rPr>
          <w:sz w:val="20"/>
          <w:szCs w:val="20"/>
          <w:color w:val="auto"/>
        </w:rPr>
      </w:pPr>
      <w:r>
        <w:rPr>
          <w:rFonts w:ascii="Arial" w:cs="Arial" w:eastAsia="Arial" w:hAnsi="Arial"/>
          <w:sz w:val="15"/>
          <w:szCs w:val="15"/>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Mexico, Japan, Australia, Hong Kong, Canada, Thailand, the United Kingdom, the Netherlands, Germany, Taiwan, Austria, Spain, Ireland, Belgium, New Zealand, Singapore, and the Philippines. In addition, we sell our products in a number of countries to customers for personal consumption only and in China through a China approved cross-border e-commerce business model. Entering a new market requires a considerable amount of time, resources and continued support. If we are unable to properly support an existing or new market, our revenue growth may be negatively impacted.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56" w:lineRule="exact"/>
        <w:rPr>
          <w:sz w:val="20"/>
          <w:szCs w:val="20"/>
          <w:color w:val="auto"/>
        </w:rPr>
      </w:pPr>
    </w:p>
    <w:p>
      <w:pPr>
        <w:ind w:right="20" w:firstLine="397"/>
        <w:spacing w:after="0" w:line="298" w:lineRule="auto"/>
        <w:rPr>
          <w:sz w:val="20"/>
          <w:szCs w:val="20"/>
          <w:color w:val="auto"/>
        </w:rPr>
      </w:pPr>
      <w:r>
        <w:rPr>
          <w:rFonts w:ascii="Arial" w:cs="Arial" w:eastAsia="Arial" w:hAnsi="Arial"/>
          <w:sz w:val="15"/>
          <w:szCs w:val="15"/>
          <w:color w:val="auto"/>
        </w:rPr>
        <w:t>The pandemic caused by an outbreak of a new strain of coronavirus (“COVID-19”) has resulted, and is likely to continue to result, in significant national and global economic disruption and may adversely affect our business. Uncertainty exists concerning the magnitude of the impact and duration of the COVID-19 pandemic. As of the date of this filing, we have experienced moderate disruptions at the corporate level as we have transitioned our corporate workforce to a hybrid working environment, temporarily closed some of our showrooms and will call locations in international markets and cancelled multiple planned events in order to comply with group meeting restrictions. Our independent distributors have also experienced disruptions. Specifically, in Japan, independent distributors are required to provide a hard-copy introductory packet (gaiyoshomen) in person to each person they approach to sponsor as an independent distributor before presenting our products and business opportunity. This requirement inhibits independent distributors from connecting with potential new independent distributors virtually or through social media. Accordingly, quarantines, avoidance of public places and general concerns about physical distancing related to COVID-19 or otherwise can significantly reduce the ability for independent distributors to meet people in person and commence the enrollment process. Elsewhere, our independent distributors have begun to adapt their approach for customer outreach and enrollment, including transitioning to a stronger social media presence, in an effort to sustain their sales volume. Our business may, in the future, experience additional disruptions and be negatively impacted by the COVID-19 pandemic, including as a result of limitations on the ability of our suppliers to manufacture, or procure from manufacturers, the products we sell or any of the raw materials or components required in the production process, or to meet delivery requirements and commitments; limitations on the ability of our employees to perform their work due to illness caused by the pandemic or local, state, or federal orders requiring employees to remain at home; limitations on the ability of carriers to deliver our products to customers; limitations on the ability of our independent distributors to conduct their businesses and purchase our products; and limitations on the ability of our independent distributors or customers to continue to purchase our products due to decreased disposable income.</w:t>
      </w:r>
    </w:p>
    <w:p>
      <w:pPr>
        <w:spacing w:after="0" w:line="314" w:lineRule="exact"/>
        <w:rPr>
          <w:sz w:val="20"/>
          <w:szCs w:val="20"/>
          <w:color w:val="auto"/>
        </w:rPr>
      </w:pPr>
    </w:p>
    <w:p>
      <w:pPr>
        <w:ind w:firstLine="397"/>
        <w:spacing w:after="0" w:line="248" w:lineRule="auto"/>
        <w:rPr>
          <w:sz w:val="20"/>
          <w:szCs w:val="20"/>
          <w:color w:val="auto"/>
        </w:rPr>
      </w:pPr>
      <w:r>
        <w:rPr>
          <w:rFonts w:ascii="Arial" w:cs="Arial" w:eastAsia="Arial" w:hAnsi="Arial"/>
          <w:sz w:val="18"/>
          <w:szCs w:val="18"/>
          <w:color w:val="auto"/>
        </w:rPr>
        <w:t>We have made modifications, and are evaluating additional potential modifications that may be needed, to protect our supply chain and preserve adequate liquidity to ensure that our business can continue to operate during this uncertain time. Some states have issued executive orders requiring all workers to remain at home, unless their work is critical, essential, or life-sustaining. Near the end of fiscal 2020 we transitioned all of our corporate employees to a work from home model and beginning July 2021 we transitioned our workforce to a hybrid model whereby employees work certain days of the week in the office and other days have the option to work from home or in the office. To date, our employees are performing and adapting well with the evolving environment. With respect to liquidity, we are evaluating and taking actions to ensure that we continue to responsibly manage expenses across our organization.</w:t>
      </w:r>
    </w:p>
    <w:p>
      <w:pPr>
        <w:spacing w:after="0" w:line="116" w:lineRule="exact"/>
        <w:rPr>
          <w:sz w:val="20"/>
          <w:szCs w:val="20"/>
          <w:color w:val="auto"/>
        </w:rPr>
      </w:pPr>
    </w:p>
    <w:p>
      <w:pPr>
        <w:ind w:right="160" w:firstLine="397"/>
        <w:spacing w:after="0" w:line="251" w:lineRule="auto"/>
        <w:rPr>
          <w:sz w:val="20"/>
          <w:szCs w:val="20"/>
          <w:color w:val="auto"/>
        </w:rPr>
      </w:pPr>
      <w:r>
        <w:rPr>
          <w:rFonts w:ascii="Arial" w:cs="Arial" w:eastAsia="Arial" w:hAnsi="Arial"/>
          <w:sz w:val="18"/>
          <w:szCs w:val="18"/>
          <w:color w:val="auto"/>
        </w:rPr>
        <w:t>While we are unable to determine or predict the nature, duration or scope of the overall impact that the COVID-19 pandemic will have on our business, results of operations, liquidity or capital resources, we will continue to actively monitor the situation and may take further actions that alter our business operations as may be required by federal, state or local authorities or that we determine are in the best interests of our employees, independent distributors, customers, and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49" w:lineRule="exact"/>
        <w:rPr>
          <w:sz w:val="20"/>
          <w:szCs w:val="20"/>
          <w:color w:val="auto"/>
        </w:rPr>
      </w:pPr>
    </w:p>
    <w:p>
      <w:pPr>
        <w:ind w:firstLine="397"/>
        <w:spacing w:after="0" w:line="236" w:lineRule="auto"/>
        <w:rPr>
          <w:sz w:val="20"/>
          <w:szCs w:val="20"/>
          <w:color w:val="auto"/>
        </w:rPr>
      </w:pPr>
      <w:r>
        <w:rPr>
          <w:rFonts w:ascii="Arial" w:cs="Arial" w:eastAsia="Arial" w:hAnsi="Arial"/>
          <w:sz w:val="16"/>
          <w:szCs w:val="16"/>
          <w:color w:val="auto"/>
        </w:rPr>
        <w:t>Our products include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line of scientifically-validated dietary supplements,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Omega+</w:t>
      </w:r>
      <w:r>
        <w:rPr>
          <w:rFonts w:ascii="Arial" w:cs="Arial" w:eastAsia="Arial" w:hAnsi="Arial"/>
          <w:sz w:val="20"/>
          <w:szCs w:val="20"/>
          <w:color w:val="auto"/>
          <w:vertAlign w:val="superscript"/>
        </w:rPr>
        <w:t>™</w:t>
      </w:r>
      <w:r>
        <w:rPr>
          <w:rFonts w:ascii="Arial" w:cs="Arial" w:eastAsia="Arial" w:hAnsi="Arial"/>
          <w:sz w:val="16"/>
          <w:szCs w:val="16"/>
          <w:color w:val="auto"/>
        </w:rPr>
        <w:t>, ProBio</w:t>
      </w:r>
      <w:r>
        <w:rPr>
          <w:rFonts w:ascii="Arial" w:cs="Arial" w:eastAsia="Arial" w:hAnsi="Arial"/>
          <w:sz w:val="20"/>
          <w:szCs w:val="20"/>
          <w:color w:val="auto"/>
          <w:vertAlign w:val="superscript"/>
        </w:rPr>
        <w:t>™</w:t>
      </w:r>
      <w:r>
        <w:rPr>
          <w:rFonts w:ascii="Arial" w:cs="Arial" w:eastAsia="Arial" w:hAnsi="Arial"/>
          <w:sz w:val="16"/>
          <w:szCs w:val="16"/>
          <w:color w:val="auto"/>
        </w:rPr>
        <w:t>, IC Bright</w:t>
      </w:r>
      <w:r>
        <w:rPr>
          <w:rFonts w:ascii="Arial" w:cs="Arial" w:eastAsia="Arial" w:hAnsi="Arial"/>
          <w:sz w:val="20"/>
          <w:szCs w:val="20"/>
          <w:color w:val="auto"/>
          <w:vertAlign w:val="superscript"/>
        </w:rPr>
        <w:t>™</w:t>
      </w:r>
      <w:r>
        <w:rPr>
          <w:rFonts w:ascii="Arial" w:cs="Arial" w:eastAsia="Arial" w:hAnsi="Arial"/>
          <w:sz w:val="16"/>
          <w:szCs w:val="16"/>
          <w:color w:val="auto"/>
        </w:rPr>
        <w:t>, and Daily Wellness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dietary supplements, TrueScience</w:t>
      </w:r>
      <w:r>
        <w:rPr>
          <w:rFonts w:ascii="Arial" w:cs="Arial" w:eastAsia="Arial" w:hAnsi="Arial"/>
          <w:sz w:val="20"/>
          <w:szCs w:val="20"/>
          <w:color w:val="auto"/>
          <w:vertAlign w:val="superscript"/>
        </w:rPr>
        <w:t>®</w:t>
      </w:r>
      <w:r>
        <w:rPr>
          <w:rFonts w:ascii="Arial" w:cs="Arial" w:eastAsia="Arial" w:hAnsi="Arial"/>
          <w:sz w:val="16"/>
          <w:szCs w:val="16"/>
          <w:color w:val="auto"/>
        </w:rPr>
        <w:t>, our line of skin, bath &amp; body, target relief, and hair care products, Petandim</w:t>
      </w:r>
      <w:r>
        <w:rPr>
          <w:rFonts w:ascii="Arial" w:cs="Arial" w:eastAsia="Arial" w:hAnsi="Arial"/>
          <w:sz w:val="20"/>
          <w:szCs w:val="20"/>
          <w:color w:val="auto"/>
          <w:vertAlign w:val="superscript"/>
        </w:rPr>
        <w:t>®</w:t>
      </w:r>
      <w:r>
        <w:rPr>
          <w:rFonts w:ascii="Arial" w:cs="Arial" w:eastAsia="Arial" w:hAnsi="Arial"/>
          <w:sz w:val="16"/>
          <w:szCs w:val="16"/>
          <w:color w:val="auto"/>
        </w:rPr>
        <w:t>, our companion pet supplement formulated to combat oxidative stress in dogs, Axio</w:t>
      </w:r>
      <w:r>
        <w:rPr>
          <w:rFonts w:ascii="Arial" w:cs="Arial" w:eastAsia="Arial" w:hAnsi="Arial"/>
          <w:sz w:val="20"/>
          <w:szCs w:val="20"/>
          <w:color w:val="auto"/>
          <w:vertAlign w:val="superscript"/>
        </w:rPr>
        <w:t>®</w:t>
      </w:r>
      <w:r>
        <w:rPr>
          <w:rFonts w:ascii="Arial" w:cs="Arial" w:eastAsia="Arial" w:hAnsi="Arial"/>
          <w:sz w:val="16"/>
          <w:szCs w:val="16"/>
          <w:color w:val="auto"/>
        </w:rPr>
        <w:t>, our nootropic energy drink mixes, and PhysIQ</w:t>
      </w:r>
      <w:r>
        <w:rPr>
          <w:rFonts w:ascii="Arial" w:cs="Arial" w:eastAsia="Arial" w:hAnsi="Arial"/>
          <w:sz w:val="20"/>
          <w:szCs w:val="20"/>
          <w:color w:val="auto"/>
          <w:vertAlign w:val="superscript"/>
        </w:rPr>
        <w:t>™</w:t>
      </w:r>
      <w:r>
        <w:rPr>
          <w:rFonts w:ascii="Arial" w:cs="Arial" w:eastAsia="Arial" w:hAnsi="Arial"/>
          <w:sz w:val="16"/>
          <w:szCs w:val="16"/>
          <w:color w:val="auto"/>
        </w:rPr>
        <w:t>, our smart weight management system.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 line includes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NRF1 Synergizer</w:t>
      </w:r>
      <w:r>
        <w:rPr>
          <w:rFonts w:ascii="Arial" w:cs="Arial" w:eastAsia="Arial" w:hAnsi="Arial"/>
          <w:sz w:val="20"/>
          <w:szCs w:val="20"/>
          <w:color w:val="auto"/>
          <w:vertAlign w:val="superscript"/>
        </w:rPr>
        <w:t>®</w:t>
      </w:r>
      <w:r>
        <w:rPr>
          <w:rFonts w:ascii="Arial" w:cs="Arial" w:eastAsia="Arial" w:hAnsi="Arial"/>
          <w:sz w:val="16"/>
          <w:szCs w:val="16"/>
          <w:color w:val="auto"/>
        </w:rPr>
        <w:t>,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Nrf2 Synergizer</w:t>
      </w:r>
      <w:r>
        <w:rPr>
          <w:rFonts w:ascii="Arial" w:cs="Arial" w:eastAsia="Arial" w:hAnsi="Arial"/>
          <w:sz w:val="20"/>
          <w:szCs w:val="20"/>
          <w:color w:val="auto"/>
          <w:vertAlign w:val="superscript"/>
        </w:rPr>
        <w:t>®</w:t>
      </w:r>
      <w:r>
        <w:rPr>
          <w:rFonts w:ascii="Arial" w:cs="Arial" w:eastAsia="Arial" w:hAnsi="Arial"/>
          <w:sz w:val="16"/>
          <w:szCs w:val="16"/>
          <w:color w:val="auto"/>
        </w:rPr>
        <w:t>, and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NAD Synergizer</w:t>
      </w:r>
      <w:r>
        <w:rPr>
          <w:rFonts w:ascii="Arial" w:cs="Arial" w:eastAsia="Arial" w:hAnsi="Arial"/>
          <w:sz w:val="20"/>
          <w:szCs w:val="20"/>
          <w:color w:val="auto"/>
          <w:vertAlign w:val="superscript"/>
        </w:rPr>
        <w:t>®</w:t>
      </w:r>
      <w:r>
        <w:rPr>
          <w:rFonts w:ascii="Arial" w:cs="Arial" w:eastAsia="Arial" w:hAnsi="Arial"/>
          <w:sz w:val="16"/>
          <w:szCs w:val="16"/>
          <w:color w:val="auto"/>
        </w:rPr>
        <w:t>.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NRF1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formulated to increase cellular energy and performance by boosting mitochondria production to improve cellular repair and slow cellular aging.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Nrf2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NAD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was specifically formulated to target cell signaling pathways involved in the synthesis and recycling of a specific molecule called NAD (nicotinamide adenine dinucleotide), and has been shown to double sirtuin activity, supporting increased health, focus, energy, mental clarity and mood. Use of the three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1" w:name="page22"/>
    <w:bookmarkEnd w:id="21"/>
    <w:p>
      <w:pPr>
        <w:jc w:val="both"/>
        <w:ind w:right="20"/>
        <w:spacing w:after="0"/>
        <w:rPr>
          <w:sz w:val="20"/>
          <w:szCs w:val="20"/>
          <w:color w:val="auto"/>
        </w:rPr>
      </w:pPr>
      <w:r>
        <w:rPr>
          <w:rFonts w:ascii="Arial" w:cs="Arial" w:eastAsia="Arial" w:hAnsi="Arial"/>
          <w:sz w:val="16"/>
          <w:szCs w:val="16"/>
          <w:color w:val="auto"/>
        </w:rPr>
        <w:t>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together has been shown to produce synergistic benefits greater than using the single products on their own.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Omega+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 dietary supplement that combines DHA and EPA Omega-3 fatty acids, Omega-7 fatty acids, and Vitamin D3 to support cognitive health, cardiovascular health, skin health, and the immune system.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ProBio is a dietary supplement designed to support optimal digestion and immune system function.</w:t>
      </w:r>
    </w:p>
    <w:p>
      <w:pPr>
        <w:spacing w:after="0" w:line="1" w:lineRule="exact"/>
        <w:rPr>
          <w:sz w:val="20"/>
          <w:szCs w:val="20"/>
          <w:color w:val="auto"/>
        </w:rPr>
      </w:pPr>
    </w:p>
    <w:p>
      <w:pPr>
        <w:ind w:right="160"/>
        <w:spacing w:after="0" w:line="243" w:lineRule="auto"/>
        <w:rPr>
          <w:sz w:val="20"/>
          <w:szCs w:val="20"/>
          <w:color w:val="auto"/>
        </w:rPr>
      </w:pPr>
      <w:r>
        <w:rPr>
          <w:rFonts w:ascii="Arial" w:cs="Arial" w:eastAsia="Arial" w:hAnsi="Arial"/>
          <w:sz w:val="15"/>
          <w:szCs w:val="15"/>
          <w:color w:val="auto"/>
        </w:rPr>
        <w:t>LifeVantage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IC Bright</w:t>
      </w:r>
      <w:r>
        <w:rPr>
          <w:rFonts w:ascii="Arial" w:cs="Arial" w:eastAsia="Arial" w:hAnsi="Arial"/>
          <w:sz w:val="19"/>
          <w:szCs w:val="19"/>
          <w:color w:val="auto"/>
          <w:vertAlign w:val="superscript"/>
        </w:rPr>
        <w:t>™</w:t>
      </w:r>
      <w:r>
        <w:rPr>
          <w:rFonts w:ascii="Arial" w:cs="Arial" w:eastAsia="Arial" w:hAnsi="Arial"/>
          <w:sz w:val="15"/>
          <w:szCs w:val="15"/>
          <w:color w:val="auto"/>
        </w:rPr>
        <w:t xml:space="preserve"> combines macular carotenoids with vitamins and key ingredients that effectively support eye and brain health. LifeVantage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Daily Wellness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is a dietary supplement designed to support and strengthen immune health. Our TrueScience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line of anti-aging skin and hair care, and CBD Nrf2 enhanced, bath &amp; body, targeted relief products includes TrueScience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Facial Cleanser, TrueScience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Perfecting Lotion, TrueScience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Eye Serum, TrueScience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Anti-Aging Cream, TrueScience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Beauty Serum, TrueScience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Hand Cream, TrueScience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Invigorating Shampoo, TrueScience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Nourishing Conditioner, TrueScience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Scalp Serum, TrueScience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Body Lotion, TrueScience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Body Wash, TrueScience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Body Butter, TrueScience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Deodorant, TrueScience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Soothing Balm, and TrueScience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Body Rub. Petandim</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is a supplement specially formulated to combat oxidative stress in dogs through Nrf2 activation. Axio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is our line of our nootropic energy drink mixes formulated to promote alertness and support mental performance. PhysIQ</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is our smart weight management system, which includes PhysIQ</w:t>
      </w:r>
      <w:r>
        <w:rPr>
          <w:rFonts w:ascii="Arial" w:cs="Arial" w:eastAsia="Arial" w:hAnsi="Arial"/>
          <w:sz w:val="19"/>
          <w:szCs w:val="19"/>
          <w:color w:val="auto"/>
          <w:vertAlign w:val="superscript"/>
        </w:rPr>
        <w:t>™</w:t>
      </w:r>
      <w:r>
        <w:rPr>
          <w:rFonts w:ascii="Arial" w:cs="Arial" w:eastAsia="Arial" w:hAnsi="Arial"/>
          <w:sz w:val="15"/>
          <w:szCs w:val="15"/>
          <w:color w:val="auto"/>
        </w:rPr>
        <w:t xml:space="preserve"> Fat Burn, PhysIQ</w:t>
      </w:r>
      <w:r>
        <w:rPr>
          <w:rFonts w:ascii="Arial" w:cs="Arial" w:eastAsia="Arial" w:hAnsi="Arial"/>
          <w:sz w:val="19"/>
          <w:szCs w:val="19"/>
          <w:color w:val="auto"/>
          <w:vertAlign w:val="superscript"/>
        </w:rPr>
        <w:t>™</w:t>
      </w:r>
      <w:r>
        <w:rPr>
          <w:rFonts w:ascii="Arial" w:cs="Arial" w:eastAsia="Arial" w:hAnsi="Arial"/>
          <w:sz w:val="15"/>
          <w:szCs w:val="15"/>
          <w:color w:val="auto"/>
        </w:rPr>
        <w:t xml:space="preserve"> Prebiotic and PhysIQ</w:t>
      </w:r>
      <w:r>
        <w:rPr>
          <w:rFonts w:ascii="Arial" w:cs="Arial" w:eastAsia="Arial" w:hAnsi="Arial"/>
          <w:sz w:val="19"/>
          <w:szCs w:val="19"/>
          <w:color w:val="auto"/>
          <w:vertAlign w:val="superscript"/>
        </w:rPr>
        <w:t>™</w:t>
      </w:r>
      <w:r>
        <w:rPr>
          <w:rFonts w:ascii="Arial" w:cs="Arial" w:eastAsia="Arial" w:hAnsi="Arial"/>
          <w:sz w:val="15"/>
          <w:szCs w:val="15"/>
          <w:color w:val="auto"/>
        </w:rPr>
        <w:t xml:space="preserve"> Whey Protein, all formulated to aid in weight management.</w:t>
      </w:r>
    </w:p>
    <w:p>
      <w:pPr>
        <w:spacing w:after="0" w:line="52" w:lineRule="exact"/>
        <w:rPr>
          <w:sz w:val="20"/>
          <w:szCs w:val="20"/>
          <w:color w:val="auto"/>
        </w:rPr>
      </w:pPr>
    </w:p>
    <w:p>
      <w:pPr>
        <w:ind w:firstLine="397"/>
        <w:spacing w:after="0" w:line="231" w:lineRule="auto"/>
        <w:rPr>
          <w:sz w:val="20"/>
          <w:szCs w:val="20"/>
          <w:color w:val="auto"/>
        </w:rPr>
      </w:pPr>
      <w:r>
        <w:rPr>
          <w:rFonts w:ascii="Arial" w:cs="Arial" w:eastAsia="Arial" w:hAnsi="Arial"/>
          <w:sz w:val="17"/>
          <w:szCs w:val="17"/>
          <w:color w:val="auto"/>
        </w:rPr>
        <w:t>We sell our products both individually and in stacks. A stack consists of multiple products bundled together that are designed to achieve a specific result. By studying the effects of nutrients and natural compounds, we have developed scientifically-backed nutrigenomics products that promote healthy aging on the cellular level. By stacking these products together, we have created a foundation for synergy from nutrigenomic products to promote a healthier life. The Vitality Stack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includes four of our nutrigenomics products —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1"/>
          <w:szCs w:val="21"/>
          <w:color w:val="auto"/>
          <w:vertAlign w:val="superscript"/>
        </w:rPr>
        <w:t>®</w:t>
      </w:r>
      <w:r>
        <w:rPr>
          <w:rFonts w:ascii="Arial" w:cs="Arial" w:eastAsia="Arial" w:hAnsi="Arial"/>
          <w:sz w:val="17"/>
          <w:szCs w:val="17"/>
          <w:color w:val="auto"/>
        </w:rPr>
        <w:t>,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1"/>
          <w:szCs w:val="21"/>
          <w:color w:val="auto"/>
          <w:vertAlign w:val="superscript"/>
        </w:rPr>
        <w:t>®</w:t>
      </w:r>
      <w:r>
        <w:rPr>
          <w:rFonts w:ascii="Arial" w:cs="Arial" w:eastAsia="Arial" w:hAnsi="Arial"/>
          <w:sz w:val="17"/>
          <w:szCs w:val="17"/>
          <w:color w:val="auto"/>
        </w:rPr>
        <w:t>, LifeVantage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Omega+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LifeVantage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ProBio. This product stack was designed to provide a foundation for wellness, supporting healthy organs, including the brain, heart, eyes, and other vitals. With the Ultimate Stack</w:t>
      </w:r>
      <w:r>
        <w:rPr>
          <w:rFonts w:ascii="Arial" w:cs="Arial" w:eastAsia="Arial" w:hAnsi="Arial"/>
          <w:sz w:val="21"/>
          <w:szCs w:val="21"/>
          <w:color w:val="auto"/>
          <w:vertAlign w:val="superscript"/>
        </w:rPr>
        <w:t>™</w:t>
      </w:r>
      <w:r>
        <w:rPr>
          <w:rFonts w:ascii="Arial" w:cs="Arial" w:eastAsia="Arial" w:hAnsi="Arial"/>
          <w:sz w:val="17"/>
          <w:szCs w:val="17"/>
          <w:color w:val="auto"/>
        </w:rPr>
        <w:t>, we added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NAD Synergizer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PhysIQ</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Prebiotic to our Vitality Stack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to support gut health and increase sirtuin activity, supporting increased health, focus, energy, mental clarity and mood. The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Tri-Synergizer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consists of our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1"/>
          <w:szCs w:val="21"/>
          <w:color w:val="auto"/>
          <w:vertAlign w:val="superscript"/>
        </w:rPr>
        <w:t>®</w:t>
      </w:r>
      <w:r>
        <w:rPr>
          <w:rFonts w:ascii="Arial" w:cs="Arial" w:eastAsia="Arial" w:hAnsi="Arial"/>
          <w:sz w:val="17"/>
          <w:szCs w:val="17"/>
          <w:color w:val="auto"/>
        </w:rPr>
        <w:t>,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NAD Synergizer</w:t>
      </w:r>
      <w:r>
        <w:rPr>
          <w:rFonts w:ascii="Arial" w:cs="Arial" w:eastAsia="Arial" w:hAnsi="Arial"/>
          <w:sz w:val="21"/>
          <w:szCs w:val="21"/>
          <w:color w:val="auto"/>
          <w:vertAlign w:val="superscript"/>
        </w:rPr>
        <w:t>®</w:t>
      </w:r>
      <w:r>
        <w:rPr>
          <w:rFonts w:ascii="Arial" w:cs="Arial" w:eastAsia="Arial" w:hAnsi="Arial"/>
          <w:sz w:val="17"/>
          <w:szCs w:val="17"/>
          <w:color w:val="auto"/>
        </w:rPr>
        <w:t>, and was designed to effectively and synergistically reduce oxidative stress, support mitochondria function, increase sirtuin activity, and target cell signaling pathways to fight the effects of aging. We also offer stacks that directly support the following consumer needs: immune support, heart health, energy, well-being, eye health, cognition and memory, metabolism, gut health, skin care, and hair care.</w:t>
      </w:r>
    </w:p>
    <w:p>
      <w:pPr>
        <w:spacing w:after="0" w:line="137" w:lineRule="exact"/>
        <w:rPr>
          <w:sz w:val="20"/>
          <w:szCs w:val="20"/>
          <w:color w:val="auto"/>
        </w:rPr>
      </w:pPr>
    </w:p>
    <w:p>
      <w:pPr>
        <w:ind w:right="80" w:firstLine="397"/>
        <w:spacing w:after="0" w:line="293" w:lineRule="auto"/>
        <w:rPr>
          <w:sz w:val="20"/>
          <w:szCs w:val="20"/>
          <w:color w:val="auto"/>
        </w:rPr>
      </w:pPr>
      <w:r>
        <w:rPr>
          <w:rFonts w:ascii="Arial" w:cs="Arial" w:eastAsia="Arial" w:hAnsi="Arial"/>
          <w:sz w:val="17"/>
          <w:szCs w:val="17"/>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w:t>
      </w:r>
    </w:p>
    <w:p>
      <w:pPr>
        <w:spacing w:after="0" w:line="143" w:lineRule="exact"/>
        <w:rPr>
          <w:sz w:val="20"/>
          <w:szCs w:val="20"/>
          <w:color w:val="auto"/>
        </w:rPr>
      </w:pPr>
    </w:p>
    <w:p>
      <w:pPr>
        <w:ind w:right="160" w:firstLine="397"/>
        <w:spacing w:after="0" w:line="249" w:lineRule="auto"/>
        <w:rPr>
          <w:sz w:val="20"/>
          <w:szCs w:val="20"/>
          <w:color w:val="auto"/>
        </w:rPr>
      </w:pPr>
      <w:r>
        <w:rPr>
          <w:rFonts w:ascii="Arial" w:cs="Arial" w:eastAsia="Arial" w:hAnsi="Arial"/>
          <w:sz w:val="18"/>
          <w:szCs w:val="18"/>
          <w:color w:val="auto"/>
        </w:rPr>
        <w:t>Because we utilize a direct selling model for the distribution of a majority of our products, the success and growth of our business is primarily based on the effectiveness of our independent distributors to attract customers and sell our products and our ability to attract new and retain existing independent distributors. Changes in our product sales typically are the result of variations in product sales volume relating to fluctuations in the number of active independent distributors and customers purchasing our products. The number of active independent distributors and customers is, therefore, used by management as a key non-financial measure.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2" w:name="page23"/>
    <w:bookmarkEnd w:id="22"/>
    <w:p>
      <w:pPr>
        <w:ind w:right="20" w:firstLine="397"/>
        <w:spacing w:after="0" w:line="271" w:lineRule="auto"/>
        <w:rPr>
          <w:sz w:val="20"/>
          <w:szCs w:val="20"/>
          <w:color w:val="auto"/>
        </w:rPr>
      </w:pPr>
      <w:r>
        <w:rPr>
          <w:rFonts w:ascii="Arial" w:cs="Arial" w:eastAsia="Arial" w:hAnsi="Arial"/>
          <w:sz w:val="17"/>
          <w:szCs w:val="17"/>
          <w:color w:val="auto"/>
        </w:rPr>
        <w:t>The following tables summarize the changes in our active accounts base by geographic region. These numbers have been rounded to the nearest thousand as of the dates indicated. For purposes of this report, we define “Active Accounts” as only those independent distributors and customers who have purchased from us at any time during the most recent three-month period, either for personal use or for resale.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As of March 31,</w:t>
            </w:r>
          </w:p>
        </w:tc>
        <w:tc>
          <w:tcPr>
            <w:tcW w:w="1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0"/>
                <w:szCs w:val="10"/>
                <w:color w:val="auto"/>
              </w:rPr>
            </w:pPr>
          </w:p>
        </w:tc>
        <w:tc>
          <w:tcPr>
            <w:tcW w:w="158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24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from Prior Year</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480" w:type="dxa"/>
            <w:vAlign w:val="bottom"/>
            <w:shd w:val="clear" w:color="auto" w:fill="CCEEFF"/>
          </w:tcPr>
          <w:p>
            <w:pPr>
              <w:ind w:left="420"/>
              <w:spacing w:after="0" w:line="154" w:lineRule="exact"/>
              <w:rPr>
                <w:sz w:val="20"/>
                <w:szCs w:val="20"/>
                <w:color w:val="auto"/>
              </w:rPr>
            </w:pPr>
            <w:r>
              <w:rPr>
                <w:rFonts w:ascii="Arial" w:cs="Arial" w:eastAsia="Arial" w:hAnsi="Arial"/>
                <w:sz w:val="17"/>
                <w:szCs w:val="17"/>
                <w:color w:val="auto"/>
              </w:rPr>
              <w:t>Active Independent</w:t>
            </w: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Distributors</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80" w:type="dxa"/>
            <w:vAlign w:val="bottom"/>
          </w:tcPr>
          <w:p>
            <w:pPr>
              <w:ind w:left="580"/>
              <w:spacing w:after="0"/>
              <w:rPr>
                <w:sz w:val="20"/>
                <w:szCs w:val="20"/>
                <w:color w:val="auto"/>
              </w:rPr>
            </w:pPr>
            <w:r>
              <w:rPr>
                <w:rFonts w:ascii="Arial" w:cs="Arial" w:eastAsia="Arial" w:hAnsi="Arial"/>
                <w:sz w:val="18"/>
                <w:szCs w:val="18"/>
                <w:color w:val="auto"/>
              </w:rPr>
              <w:t>Americas</w:t>
            </w:r>
          </w:p>
        </w:tc>
        <w:tc>
          <w:tcPr>
            <w:tcW w:w="1140" w:type="dxa"/>
            <w:vAlign w:val="bottom"/>
          </w:tcPr>
          <w:p>
            <w:pPr>
              <w:jc w:val="right"/>
              <w:spacing w:after="0"/>
              <w:rPr>
                <w:sz w:val="20"/>
                <w:szCs w:val="20"/>
                <w:color w:val="auto"/>
              </w:rPr>
            </w:pPr>
            <w:r>
              <w:rPr>
                <w:rFonts w:ascii="Arial" w:cs="Arial" w:eastAsia="Arial" w:hAnsi="Arial"/>
                <w:sz w:val="18"/>
                <w:szCs w:val="18"/>
                <w:color w:val="auto"/>
              </w:rPr>
              <w:t>38,000</w:t>
            </w:r>
          </w:p>
        </w:tc>
        <w:tc>
          <w:tcPr>
            <w:tcW w:w="80" w:type="dxa"/>
            <w:vAlign w:val="bottom"/>
          </w:tcPr>
          <w:p>
            <w:pPr>
              <w:spacing w:after="0"/>
              <w:rPr>
                <w:sz w:val="19"/>
                <w:szCs w:val="19"/>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61.3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42,000</w:t>
            </w:r>
          </w:p>
        </w:tc>
        <w:tc>
          <w:tcPr>
            <w:tcW w:w="10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66.7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(9.5)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Asia/Pacific &amp; Europe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38.7</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33.3</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3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14.3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3"/>
        </w:trPr>
        <w:tc>
          <w:tcPr>
            <w:tcW w:w="2480" w:type="dxa"/>
            <w:vAlign w:val="bottom"/>
          </w:tcPr>
          <w:p>
            <w:pPr>
              <w:ind w:left="760"/>
              <w:spacing w:after="0" w:line="153" w:lineRule="exact"/>
              <w:rPr>
                <w:sz w:val="20"/>
                <w:szCs w:val="20"/>
                <w:color w:val="auto"/>
              </w:rPr>
            </w:pPr>
            <w:r>
              <w:rPr>
                <w:rFonts w:ascii="Arial" w:cs="Arial" w:eastAsia="Arial" w:hAnsi="Arial"/>
                <w:sz w:val="17"/>
                <w:szCs w:val="17"/>
                <w:color w:val="auto"/>
              </w:rPr>
              <w:t>Total Active</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62,000</w:t>
            </w:r>
          </w:p>
        </w:tc>
        <w:tc>
          <w:tcPr>
            <w:tcW w:w="80" w:type="dxa"/>
            <w:vAlign w:val="bottom"/>
          </w:tcPr>
          <w:p>
            <w:pPr>
              <w:spacing w:after="0"/>
              <w:rPr>
                <w:sz w:val="13"/>
                <w:szCs w:val="13"/>
                <w:color w:val="auto"/>
              </w:rPr>
            </w:pPr>
          </w:p>
        </w:tc>
        <w:tc>
          <w:tcPr>
            <w:tcW w:w="1160" w:type="dxa"/>
            <w:vAlign w:val="bottom"/>
            <w:vMerge w:val="restart"/>
          </w:tcPr>
          <w:p>
            <w:pPr>
              <w:jc w:val="right"/>
              <w:ind w:right="94"/>
              <w:spacing w:after="0"/>
              <w:rPr>
                <w:sz w:val="20"/>
                <w:szCs w:val="20"/>
                <w:color w:val="auto"/>
              </w:rPr>
            </w:pPr>
            <w:r>
              <w:rPr>
                <w:rFonts w:ascii="Arial" w:cs="Arial" w:eastAsia="Arial" w:hAnsi="Arial"/>
                <w:sz w:val="18"/>
                <w:szCs w:val="18"/>
                <w:color w:val="auto"/>
              </w:rPr>
              <w:t>100.0</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63,000</w:t>
            </w:r>
          </w:p>
        </w:tc>
        <w:tc>
          <w:tcPr>
            <w:tcW w:w="100" w:type="dxa"/>
            <w:vAlign w:val="bottom"/>
          </w:tcPr>
          <w:p>
            <w:pPr>
              <w:spacing w:after="0"/>
              <w:rPr>
                <w:sz w:val="13"/>
                <w:szCs w:val="13"/>
                <w:color w:val="auto"/>
              </w:rPr>
            </w:pPr>
          </w:p>
        </w:tc>
        <w:tc>
          <w:tcPr>
            <w:tcW w:w="1200" w:type="dxa"/>
            <w:vAlign w:val="bottom"/>
            <w:vMerge w:val="restart"/>
          </w:tcPr>
          <w:p>
            <w:pPr>
              <w:jc w:val="right"/>
              <w:ind w:right="154"/>
              <w:spacing w:after="0"/>
              <w:rPr>
                <w:sz w:val="20"/>
                <w:szCs w:val="20"/>
                <w:color w:val="auto"/>
              </w:rPr>
            </w:pPr>
            <w:r>
              <w:rPr>
                <w:rFonts w:ascii="Arial" w:cs="Arial" w:eastAsia="Arial" w:hAnsi="Arial"/>
                <w:sz w:val="18"/>
                <w:szCs w:val="18"/>
                <w:color w:val="auto"/>
              </w:rPr>
              <w:t>100.0</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134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(1.6)</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80" w:type="dxa"/>
            <w:vAlign w:val="bottom"/>
          </w:tcPr>
          <w:p>
            <w:pPr>
              <w:ind w:left="20"/>
              <w:spacing w:after="0" w:line="197" w:lineRule="exact"/>
              <w:rPr>
                <w:sz w:val="20"/>
                <w:szCs w:val="20"/>
                <w:color w:val="auto"/>
              </w:rPr>
            </w:pPr>
            <w:r>
              <w:rPr>
                <w:rFonts w:ascii="Arial" w:cs="Arial" w:eastAsia="Arial" w:hAnsi="Arial"/>
                <w:sz w:val="18"/>
                <w:szCs w:val="18"/>
                <w:color w:val="auto"/>
              </w:rPr>
              <w:t>Independent Distributors</w:t>
            </w:r>
          </w:p>
        </w:tc>
        <w:tc>
          <w:tcPr>
            <w:tcW w:w="11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4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480" w:type="dxa"/>
            <w:vAlign w:val="bottom"/>
          </w:tcPr>
          <w:p>
            <w:pPr>
              <w:ind w:left="420"/>
              <w:spacing w:after="0"/>
              <w:rPr>
                <w:sz w:val="20"/>
                <w:szCs w:val="20"/>
                <w:color w:val="auto"/>
              </w:rPr>
            </w:pPr>
            <w:r>
              <w:rPr>
                <w:rFonts w:ascii="Arial" w:cs="Arial" w:eastAsia="Arial" w:hAnsi="Arial"/>
                <w:sz w:val="18"/>
                <w:szCs w:val="18"/>
                <w:color w:val="auto"/>
              </w:rPr>
              <w:t>Active Customers</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Americas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73.7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75.2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48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Asia/Pacific &amp; Europe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26.3</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24.8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34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(3.8)</w:t>
            </w: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91"/>
              </w:rPr>
              <w:t>Total Active Customers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100.0</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Active Accounts</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80" w:type="dxa"/>
            <w:vAlign w:val="bottom"/>
          </w:tcPr>
          <w:p>
            <w:pPr>
              <w:ind w:left="580"/>
              <w:spacing w:after="0"/>
              <w:rPr>
                <w:sz w:val="20"/>
                <w:szCs w:val="20"/>
                <w:color w:val="auto"/>
              </w:rPr>
            </w:pPr>
            <w:r>
              <w:rPr>
                <w:rFonts w:ascii="Arial" w:cs="Arial" w:eastAsia="Arial" w:hAnsi="Arial"/>
                <w:sz w:val="18"/>
                <w:szCs w:val="18"/>
                <w:color w:val="auto"/>
              </w:rPr>
              <w:t>Americas</w:t>
            </w:r>
          </w:p>
        </w:tc>
        <w:tc>
          <w:tcPr>
            <w:tcW w:w="1140" w:type="dxa"/>
            <w:vAlign w:val="bottom"/>
          </w:tcPr>
          <w:p>
            <w:pPr>
              <w:jc w:val="right"/>
              <w:spacing w:after="0"/>
              <w:rPr>
                <w:sz w:val="20"/>
                <w:szCs w:val="20"/>
                <w:color w:val="auto"/>
              </w:rPr>
            </w:pPr>
            <w:r>
              <w:rPr>
                <w:rFonts w:ascii="Arial" w:cs="Arial" w:eastAsia="Arial" w:hAnsi="Arial"/>
                <w:sz w:val="18"/>
                <w:szCs w:val="18"/>
                <w:color w:val="auto"/>
              </w:rPr>
              <w:t>108,000</w:t>
            </w:r>
          </w:p>
        </w:tc>
        <w:tc>
          <w:tcPr>
            <w:tcW w:w="80" w:type="dxa"/>
            <w:vAlign w:val="bottom"/>
          </w:tcPr>
          <w:p>
            <w:pPr>
              <w:spacing w:after="0"/>
              <w:rPr>
                <w:sz w:val="19"/>
                <w:szCs w:val="19"/>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68.8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121,000</w:t>
            </w:r>
          </w:p>
        </w:tc>
        <w:tc>
          <w:tcPr>
            <w:tcW w:w="10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72.0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(13,000)</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(10.7)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Asia/Pacific &amp; Europe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31.2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28.0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3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480" w:type="dxa"/>
            <w:vAlign w:val="bottom"/>
          </w:tcPr>
          <w:p>
            <w:pPr>
              <w:ind w:left="760"/>
              <w:spacing w:after="0"/>
              <w:rPr>
                <w:sz w:val="20"/>
                <w:szCs w:val="20"/>
                <w:color w:val="auto"/>
              </w:rPr>
            </w:pPr>
            <w:r>
              <w:rPr>
                <w:rFonts w:ascii="Arial" w:cs="Arial" w:eastAsia="Arial" w:hAnsi="Arial"/>
                <w:sz w:val="18"/>
                <w:szCs w:val="18"/>
                <w:color w:val="auto"/>
                <w:w w:val="98"/>
              </w:rPr>
              <w:t>Total Active Accounts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157,000</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100.0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168,000</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(6.5)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and Nine Months ended March 31, 2022 and 2021</w:t>
      </w:r>
    </w:p>
    <w:p>
      <w:pPr>
        <w:spacing w:after="0" w:line="150" w:lineRule="exact"/>
        <w:rPr>
          <w:sz w:val="20"/>
          <w:szCs w:val="20"/>
          <w:color w:val="auto"/>
        </w:rPr>
      </w:pPr>
    </w:p>
    <w:p>
      <w:pPr>
        <w:ind w:right="560" w:firstLine="397"/>
        <w:spacing w:after="0" w:line="251"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generated net revenue of $50.0 million and $51.6 million during the three months ended March 31, 2022 and 2021, respectively.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net revenue of $155.4 million and $165.4 million during the nine months ended March 31, 2022 and 2021, respectively. Foreign currency fluctuations negatively impacted our revenue $1.2 million or 2.4% and $2.4 million or 1.4% during the three and nine months ended March 31, 2022, respectively.</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5"/>
          <w:szCs w:val="15"/>
          <w:u w:val="single" w:color="auto"/>
          <w:color w:val="auto"/>
        </w:rPr>
        <w:t>Americas</w:t>
      </w:r>
      <w:r>
        <w:rPr>
          <w:rFonts w:ascii="Arial" w:cs="Arial" w:eastAsia="Arial" w:hAnsi="Arial"/>
          <w:sz w:val="15"/>
          <w:szCs w:val="15"/>
          <w:color w:val="auto"/>
        </w:rPr>
        <w:t>. The following table sets forth revenue for the three and nine months ended March 31, 2022 and 2021 for the Americas region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w w:val="98"/>
              </w:rPr>
              <w:t>Three Months Ended March 31,</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Nine Months Ended March 31,</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7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78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United States</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34,068</w:t>
            </w:r>
          </w:p>
        </w:tc>
        <w:tc>
          <w:tcPr>
            <w:tcW w:w="13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109,593</w:t>
            </w:r>
          </w:p>
        </w:tc>
        <w:tc>
          <w:tcPr>
            <w:tcW w:w="13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4"/>
        </w:trPr>
        <w:tc>
          <w:tcPr>
            <w:tcW w:w="1780" w:type="dxa"/>
            <w:vAlign w:val="bottom"/>
            <w:tcBorders>
              <w:bottom w:val="single" w:sz="8" w:color="CCEEFF"/>
            </w:tcBorders>
          </w:tcPr>
          <w:p>
            <w:pPr>
              <w:jc w:val="right"/>
              <w:ind w:right="873"/>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1360" w:type="dxa"/>
            <w:vAlign w:val="bottom"/>
            <w:tcBorders>
              <w:bottom w:val="single" w:sz="8" w:color="CCEEFF"/>
            </w:tcBorders>
            <w:gridSpan w:val="2"/>
          </w:tcPr>
          <w:p>
            <w:pPr>
              <w:jc w:val="right"/>
              <w:ind w:right="330"/>
              <w:spacing w:after="0"/>
              <w:rPr>
                <w:sz w:val="20"/>
                <w:szCs w:val="20"/>
                <w:color w:val="auto"/>
              </w:rPr>
            </w:pPr>
            <w:r>
              <w:rPr>
                <w:rFonts w:ascii="Arial" w:cs="Arial" w:eastAsia="Arial" w:hAnsi="Arial"/>
                <w:sz w:val="18"/>
                <w:szCs w:val="18"/>
                <w:color w:val="auto"/>
              </w:rPr>
              <w:t>(24.8)</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7,386</w:t>
            </w:r>
          </w:p>
        </w:tc>
        <w:tc>
          <w:tcPr>
            <w:tcW w:w="1380" w:type="dxa"/>
            <w:vAlign w:val="bottom"/>
            <w:tcBorders>
              <w:bottom w:val="single" w:sz="8" w:color="CCEEFF"/>
            </w:tcBorders>
            <w:gridSpan w:val="2"/>
          </w:tcPr>
          <w:p>
            <w:pPr>
              <w:jc w:val="right"/>
              <w:ind w:right="310"/>
              <w:spacing w:after="0"/>
              <w:rPr>
                <w:sz w:val="20"/>
                <w:szCs w:val="20"/>
                <w:color w:val="auto"/>
              </w:rPr>
            </w:pPr>
            <w:r>
              <w:rPr>
                <w:rFonts w:ascii="Arial" w:cs="Arial" w:eastAsia="Arial" w:hAnsi="Arial"/>
                <w:sz w:val="18"/>
                <w:szCs w:val="18"/>
                <w:color w:val="auto"/>
              </w:rPr>
              <w:t>(22.4)</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53"/>
        </w:trPr>
        <w:tc>
          <w:tcPr>
            <w:tcW w:w="1780" w:type="dxa"/>
            <w:vAlign w:val="bottom"/>
            <w:shd w:val="clear" w:color="auto" w:fill="CCEEFF"/>
          </w:tcPr>
          <w:p>
            <w:pPr>
              <w:jc w:val="right"/>
              <w:ind w:right="153"/>
              <w:spacing w:after="0" w:line="154" w:lineRule="exact"/>
              <w:rPr>
                <w:sz w:val="20"/>
                <w:szCs w:val="20"/>
                <w:color w:val="auto"/>
              </w:rPr>
            </w:pPr>
            <w:r>
              <w:rPr>
                <w:rFonts w:ascii="Arial" w:cs="Arial" w:eastAsia="Arial" w:hAnsi="Arial"/>
                <w:sz w:val="17"/>
                <w:szCs w:val="17"/>
                <w:color w:val="auto"/>
              </w:rPr>
              <w:t>Americas</w:t>
            </w:r>
          </w:p>
        </w:tc>
        <w:tc>
          <w:tcPr>
            <w:tcW w:w="6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33,444</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36,421</w:t>
            </w:r>
          </w:p>
        </w:tc>
        <w:tc>
          <w:tcPr>
            <w:tcW w:w="1360" w:type="dxa"/>
            <w:vAlign w:val="bottom"/>
            <w:gridSpan w:val="2"/>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(8.2)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104,600</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116,979</w:t>
            </w:r>
          </w:p>
        </w:tc>
        <w:tc>
          <w:tcPr>
            <w:tcW w:w="1380" w:type="dxa"/>
            <w:vAlign w:val="bottom"/>
            <w:gridSpan w:val="2"/>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(10.6)</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7"/>
        </w:trPr>
        <w:tc>
          <w:tcPr>
            <w:tcW w:w="1780" w:type="dxa"/>
            <w:vAlign w:val="bottom"/>
            <w:tcBorders>
              <w:bottom w:val="single" w:sz="8" w:color="CCEEFF"/>
            </w:tcBorders>
            <w:shd w:val="clear" w:color="auto" w:fill="CCEEFF"/>
          </w:tcPr>
          <w:p>
            <w:pPr>
              <w:jc w:val="right"/>
              <w:ind w:right="873"/>
              <w:spacing w:after="0" w:line="197" w:lineRule="exact"/>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right="60" w:firstLine="397"/>
        <w:spacing w:after="0" w:line="248" w:lineRule="auto"/>
        <w:rPr>
          <w:sz w:val="20"/>
          <w:szCs w:val="20"/>
          <w:color w:val="auto"/>
        </w:rPr>
      </w:pPr>
      <w:r>
        <w:rPr>
          <w:rFonts w:ascii="Arial" w:cs="Arial" w:eastAsia="Arial" w:hAnsi="Arial"/>
          <w:sz w:val="18"/>
          <w:szCs w:val="18"/>
          <w:color w:val="auto"/>
        </w:rPr>
        <w:t>Revenue in the Americas region for the three and nine months ended March 31, 2022 and 2021, decreased $3.0 million or 8.2% and $12.4 million or 10.6%, respectively, from the prior year periods. Total Active Accounts decreased by 10.7% in the region compared to the prior year period which drove the decrease in revenue. Our Independent Distributors have been forced to continually adapt to the changing business and social environments due to the COVID-19 pandemic. We remain committed to providing digital tools and support to our distributors to help them grow their businesses despite difficulties with in person meetings and events and are rolling out new hybrid in person and virtual meeting opportunities to provide better training and business support to our distributors.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3" w:name="page24"/>
    <w:bookmarkEnd w:id="23"/>
    <w:p>
      <w:pPr>
        <w:ind w:left="400"/>
        <w:spacing w:after="0"/>
        <w:rPr>
          <w:sz w:val="20"/>
          <w:szCs w:val="20"/>
          <w:color w:val="auto"/>
        </w:rPr>
      </w:pPr>
      <w:r>
        <w:rPr>
          <w:rFonts w:ascii="Arial" w:cs="Arial" w:eastAsia="Arial" w:hAnsi="Arial"/>
          <w:sz w:val="15"/>
          <w:szCs w:val="15"/>
          <w:u w:val="single" w:color="auto"/>
          <w:color w:val="auto"/>
        </w:rPr>
        <w:t>Asia/Pacific &amp; Europe</w:t>
      </w:r>
      <w:r>
        <w:rPr>
          <w:rFonts w:ascii="Arial" w:cs="Arial" w:eastAsia="Arial" w:hAnsi="Arial"/>
          <w:sz w:val="15"/>
          <w:szCs w:val="15"/>
          <w:color w:val="auto"/>
        </w:rPr>
        <w:t>. The following table sets forth revenue for the three and nine months ended March 31, 2022 and 2021 for the Asia/Pacific &amp;</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Europe region and its principal markets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w w:val="98"/>
              </w:rPr>
              <w:t>Three Months Ended March 31,</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w w:val="99"/>
              </w:rPr>
              <w:t>Nine Months Ended March 31,</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9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Japan</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13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31,172</w:t>
            </w:r>
          </w:p>
        </w:tc>
        <w:tc>
          <w:tcPr>
            <w:tcW w:w="13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3"/>
        </w:trPr>
        <w:tc>
          <w:tcPr>
            <w:tcW w:w="1980" w:type="dxa"/>
            <w:vAlign w:val="bottom"/>
          </w:tcPr>
          <w:p>
            <w:pPr>
              <w:ind w:left="420"/>
              <w:spacing w:after="0" w:line="173" w:lineRule="exact"/>
              <w:rPr>
                <w:sz w:val="20"/>
                <w:szCs w:val="20"/>
                <w:color w:val="auto"/>
              </w:rPr>
            </w:pPr>
            <w:r>
              <w:rPr>
                <w:rFonts w:ascii="Arial" w:cs="Arial" w:eastAsia="Arial" w:hAnsi="Arial"/>
                <w:sz w:val="18"/>
                <w:szCs w:val="18"/>
                <w:color w:val="auto"/>
              </w:rPr>
              <w:t>Australia &amp; New</w:t>
            </w:r>
          </w:p>
        </w:tc>
        <w:tc>
          <w:tcPr>
            <w:tcW w:w="6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2,941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2,808</w:t>
            </w:r>
          </w:p>
        </w:tc>
        <w:tc>
          <w:tcPr>
            <w:tcW w:w="1380" w:type="dxa"/>
            <w:vAlign w:val="bottom"/>
            <w:gridSpan w:val="2"/>
            <w:vMerge w:val="restart"/>
          </w:tcPr>
          <w:p>
            <w:pPr>
              <w:jc w:val="right"/>
              <w:ind w:right="350"/>
              <w:spacing w:after="0"/>
              <w:rPr>
                <w:sz w:val="20"/>
                <w:szCs w:val="20"/>
                <w:color w:val="auto"/>
              </w:rPr>
            </w:pPr>
            <w:r>
              <w:rPr>
                <w:rFonts w:ascii="Arial" w:cs="Arial" w:eastAsia="Arial" w:hAnsi="Arial"/>
                <w:sz w:val="18"/>
                <w:szCs w:val="18"/>
                <w:color w:val="auto"/>
              </w:rPr>
              <w:t>4.7</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9,840</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7,791</w:t>
            </w:r>
          </w:p>
        </w:tc>
        <w:tc>
          <w:tcPr>
            <w:tcW w:w="1320" w:type="dxa"/>
            <w:vAlign w:val="bottom"/>
            <w:gridSpan w:val="2"/>
            <w:vMerge w:val="restart"/>
          </w:tcPr>
          <w:p>
            <w:pPr>
              <w:jc w:val="right"/>
              <w:ind w:right="370"/>
              <w:spacing w:after="0"/>
              <w:rPr>
                <w:sz w:val="20"/>
                <w:szCs w:val="20"/>
                <w:color w:val="auto"/>
              </w:rPr>
            </w:pPr>
            <w:r>
              <w:rPr>
                <w:rFonts w:ascii="Arial" w:cs="Arial" w:eastAsia="Arial" w:hAnsi="Arial"/>
                <w:sz w:val="18"/>
                <w:szCs w:val="18"/>
                <w:color w:val="auto"/>
              </w:rPr>
              <w:t>26.3</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3"/>
        </w:trPr>
        <w:tc>
          <w:tcPr>
            <w:tcW w:w="1980" w:type="dxa"/>
            <w:vAlign w:val="bottom"/>
          </w:tcPr>
          <w:p>
            <w:pPr>
              <w:ind w:left="20"/>
              <w:spacing w:after="0"/>
              <w:rPr>
                <w:sz w:val="20"/>
                <w:szCs w:val="20"/>
                <w:color w:val="auto"/>
              </w:rPr>
            </w:pPr>
            <w:r>
              <w:rPr>
                <w:rFonts w:ascii="Arial" w:cs="Arial" w:eastAsia="Arial" w:hAnsi="Arial"/>
                <w:sz w:val="18"/>
                <w:szCs w:val="18"/>
                <w:color w:val="auto"/>
              </w:rPr>
              <w:t>Zealand</w:t>
            </w:r>
          </w:p>
        </w:tc>
        <w:tc>
          <w:tcPr>
            <w:tcW w:w="6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Greater China</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3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3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4"/>
        </w:trPr>
        <w:tc>
          <w:tcPr>
            <w:tcW w:w="19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1380" w:type="dxa"/>
            <w:vAlign w:val="bottom"/>
            <w:tcBorders>
              <w:bottom w:val="single" w:sz="8" w:color="CCEEFF"/>
            </w:tcBorders>
            <w:gridSpan w:val="2"/>
          </w:tcPr>
          <w:p>
            <w:pPr>
              <w:jc w:val="right"/>
              <w:ind w:right="350"/>
              <w:spacing w:after="0"/>
              <w:rPr>
                <w:sz w:val="20"/>
                <w:szCs w:val="20"/>
                <w:color w:val="auto"/>
              </w:rPr>
            </w:pPr>
            <w:r>
              <w:rPr>
                <w:rFonts w:ascii="Arial" w:cs="Arial" w:eastAsia="Arial" w:hAnsi="Arial"/>
                <w:sz w:val="18"/>
                <w:szCs w:val="18"/>
                <w:color w:val="auto"/>
              </w:rPr>
              <w:t>106.5</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8,526</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6,285</w:t>
            </w:r>
          </w:p>
        </w:tc>
        <w:tc>
          <w:tcPr>
            <w:tcW w:w="1320" w:type="dxa"/>
            <w:vAlign w:val="bottom"/>
            <w:tcBorders>
              <w:bottom w:val="single" w:sz="8" w:color="CCEEFF"/>
            </w:tcBorders>
            <w:gridSpan w:val="2"/>
          </w:tcPr>
          <w:p>
            <w:pPr>
              <w:jc w:val="right"/>
              <w:ind w:right="370"/>
              <w:spacing w:after="0"/>
              <w:rPr>
                <w:sz w:val="20"/>
                <w:szCs w:val="20"/>
                <w:color w:val="auto"/>
              </w:rPr>
            </w:pPr>
            <w:r>
              <w:rPr>
                <w:rFonts w:ascii="Arial" w:cs="Arial" w:eastAsia="Arial" w:hAnsi="Arial"/>
                <w:sz w:val="18"/>
                <w:szCs w:val="18"/>
                <w:color w:val="auto"/>
              </w:rPr>
              <w:t>35.7</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53"/>
        </w:trPr>
        <w:tc>
          <w:tcPr>
            <w:tcW w:w="1980" w:type="dxa"/>
            <w:vAlign w:val="bottom"/>
            <w:shd w:val="clear" w:color="auto" w:fill="CCEEFF"/>
          </w:tcPr>
          <w:p>
            <w:pPr>
              <w:ind w:left="860"/>
              <w:spacing w:after="0" w:line="154" w:lineRule="exact"/>
              <w:rPr>
                <w:sz w:val="20"/>
                <w:szCs w:val="20"/>
                <w:color w:val="auto"/>
              </w:rPr>
            </w:pPr>
            <w:r>
              <w:rPr>
                <w:rFonts w:ascii="Arial" w:cs="Arial" w:eastAsia="Arial" w:hAnsi="Arial"/>
                <w:sz w:val="17"/>
                <w:szCs w:val="17"/>
                <w:color w:val="auto"/>
              </w:rPr>
              <w:t>Asia/Pacific &amp;</w:t>
            </w:r>
          </w:p>
        </w:tc>
        <w:tc>
          <w:tcPr>
            <w:tcW w:w="6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16,560</w:t>
            </w:r>
          </w:p>
        </w:tc>
        <w:tc>
          <w:tcPr>
            <w:tcW w:w="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15,149</w:t>
            </w:r>
          </w:p>
        </w:tc>
        <w:tc>
          <w:tcPr>
            <w:tcW w:w="1380" w:type="dxa"/>
            <w:vAlign w:val="bottom"/>
            <w:gridSpan w:val="2"/>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9.3</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50,818</w:t>
            </w:r>
          </w:p>
        </w:tc>
        <w:tc>
          <w:tcPr>
            <w:tcW w:w="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48,426</w:t>
            </w:r>
          </w:p>
        </w:tc>
        <w:tc>
          <w:tcPr>
            <w:tcW w:w="1320" w:type="dxa"/>
            <w:vAlign w:val="bottom"/>
            <w:gridSpan w:val="2"/>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4.9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7"/>
        </w:trPr>
        <w:tc>
          <w:tcPr>
            <w:tcW w:w="1980" w:type="dxa"/>
            <w:vAlign w:val="bottom"/>
            <w:tcBorders>
              <w:bottom w:val="single" w:sz="8" w:color="CCEEFF"/>
            </w:tcBorders>
            <w:shd w:val="clear" w:color="auto" w:fill="CCEEFF"/>
          </w:tcPr>
          <w:p>
            <w:pPr>
              <w:ind w:left="460"/>
              <w:spacing w:after="0" w:line="197" w:lineRule="exact"/>
              <w:rPr>
                <w:sz w:val="20"/>
                <w:szCs w:val="20"/>
                <w:color w:val="auto"/>
              </w:rPr>
            </w:pPr>
            <w:r>
              <w:rPr>
                <w:rFonts w:ascii="Arial" w:cs="Arial" w:eastAsia="Arial" w:hAnsi="Arial"/>
                <w:sz w:val="18"/>
                <w:szCs w:val="18"/>
                <w:color w:val="auto"/>
              </w:rPr>
              <w:t>Europe Total</w:t>
            </w: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CCEEFF"/>
            </w:tcBorders>
            <w:gridSpan w:val="2"/>
            <w:vMerge w:val="continue"/>
            <w:shd w:val="clear" w:color="auto" w:fill="CCEEFF"/>
          </w:tcPr>
          <w:p>
            <w:pPr>
              <w:spacing w:after="0"/>
              <w:rPr>
                <w:sz w:val="18"/>
                <w:szCs w:val="18"/>
                <w:color w:val="auto"/>
              </w:rPr>
            </w:pP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Revenue in the Asia/Pacific &amp; Europe region increased $1.4 million or 9.3% and $2.4 million or 4.9% for the three and nine months ended March 31,</w:t>
      </w:r>
    </w:p>
    <w:p>
      <w:pPr>
        <w:spacing w:after="0" w:line="51"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2022 and 2021, respectively, as compared to the prior year periods. Active Accounts in the region increased 4.3% compared to the prior year period. We continue to be encouraged by the results we are seeing in our Australia and New Zealand region due to continued distributor leadership development and advancement within the region. The launch of Philippines has also shown encouraging results. Japan revenues continue to be down as compared to the prior year period due to continued restrictions in place for in person meetings and recruiting due to the COVID-19 pandemic and impacts from foreign currency exchange rate fluctuations.</w:t>
      </w:r>
    </w:p>
    <w:p>
      <w:pPr>
        <w:spacing w:after="0" w:line="131" w:lineRule="exact"/>
        <w:rPr>
          <w:sz w:val="20"/>
          <w:szCs w:val="20"/>
          <w:color w:val="auto"/>
        </w:rPr>
      </w:pPr>
    </w:p>
    <w:p>
      <w:pPr>
        <w:ind w:right="60" w:firstLine="397"/>
        <w:spacing w:after="0" w:line="308" w:lineRule="auto"/>
        <w:rPr>
          <w:sz w:val="20"/>
          <w:szCs w:val="20"/>
          <w:color w:val="auto"/>
        </w:rPr>
      </w:pPr>
      <w:r>
        <w:rPr>
          <w:rFonts w:ascii="Arial" w:cs="Arial" w:eastAsia="Arial" w:hAnsi="Arial"/>
          <w:sz w:val="15"/>
          <w:szCs w:val="15"/>
          <w:color w:val="auto"/>
        </w:rPr>
        <w:t>Overall, revenue in the Asia/Pacific &amp; Europe region was negatively impacted by foreign currency exchange rate fluctuations in the amount of approximately $1.2 million or 8.1% and $2.5 million or 5.3% during the three and nine months ended March 31, 2022, respectively, as compared to the prior year periods, mainly due to currency fluctuations in Japan, partially offset by currency benefits in other markets within the region. Revenue in Japan was negatively impacted by foreign exchange rate fluctuations in the amount of approximately $0.8 million or 8.8% and $2.1 million or 6.8%, during the three and nine months ended March 31, 2022, respectively, as compared to the prior year periods. On a constant currency basis, revenue in Japan increased 0.1% and decreased 0.3% for the three and nine months ended March 31, 2022 and 2021, respectively, as compared to the prior year periods.</w:t>
      </w:r>
    </w:p>
    <w:p>
      <w:pPr>
        <w:spacing w:after="0" w:line="60" w:lineRule="exact"/>
        <w:rPr>
          <w:sz w:val="20"/>
          <w:szCs w:val="20"/>
          <w:color w:val="auto"/>
        </w:rPr>
      </w:pPr>
    </w:p>
    <w:p>
      <w:pPr>
        <w:ind w:right="200" w:firstLine="397"/>
        <w:spacing w:after="0" w:line="239" w:lineRule="auto"/>
        <w:rPr>
          <w:sz w:val="20"/>
          <w:szCs w:val="20"/>
          <w:color w:val="auto"/>
        </w:rPr>
      </w:pPr>
      <w:r>
        <w:rPr>
          <w:rFonts w:ascii="Arial" w:cs="Arial" w:eastAsia="Arial" w:hAnsi="Arial"/>
          <w:sz w:val="16"/>
          <w:szCs w:val="16"/>
          <w:color w:val="auto"/>
        </w:rPr>
        <w:t>Globally, our sales and marketing efforts continue to be directed toward strengthening our core business through our fiscal year initiatives and building our worldwide revenue. In October 2021, we held our first major event with both in person and virtual attendance options since the start of the COVID-19 global pandemic and we plan to hold additional in person meetings throughout the year as we are able. During our October 2021 global convention, we launched our new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IC Bright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eye health product and have plans for both continued product expansion and future market expansion during the remaining fiscal 2022. We expect this launch and other continued expansion will drive revenue growth globally through increased average order size and increased ability to attract and retain new independent distributors and customers with a compelling product lineup.</w:t>
      </w:r>
    </w:p>
    <w:p>
      <w:pPr>
        <w:spacing w:after="0" w:line="124" w:lineRule="exact"/>
        <w:rPr>
          <w:sz w:val="20"/>
          <w:szCs w:val="20"/>
          <w:color w:val="auto"/>
        </w:rPr>
      </w:pPr>
    </w:p>
    <w:p>
      <w:pPr>
        <w:ind w:firstLine="397"/>
        <w:spacing w:after="0" w:line="251"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profit percentage for the three months ended March 31, 2022 and 2021 was 80.7% and 82.9%, respectively. Our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for the nine months ended March 31, 2022 and 2021 was 81.5% and 82.8%, respectively. The decrease in gross margins, as compared to the prior year periods, is primarily due to increased inventory obsolescence expenses and increased shipping to customer expenses during the current year period as well as shifts in geographic and product sales mix.</w:t>
      </w:r>
    </w:p>
    <w:p>
      <w:pPr>
        <w:spacing w:after="0" w:line="126" w:lineRule="exact"/>
        <w:rPr>
          <w:sz w:val="20"/>
          <w:szCs w:val="20"/>
          <w:color w:val="auto"/>
        </w:rPr>
      </w:pPr>
    </w:p>
    <w:p>
      <w:pPr>
        <w:ind w:right="100" w:firstLine="397"/>
        <w:spacing w:after="0" w:line="308" w:lineRule="auto"/>
        <w:rPr>
          <w:sz w:val="20"/>
          <w:szCs w:val="20"/>
          <w:color w:val="auto"/>
        </w:rPr>
      </w:pPr>
      <w:r>
        <w:rPr>
          <w:rFonts w:ascii="Arial" w:cs="Arial" w:eastAsia="Arial" w:hAnsi="Arial"/>
          <w:sz w:val="15"/>
          <w:szCs w:val="15"/>
          <w:i w:val="1"/>
          <w:iCs w:val="1"/>
          <w:color w:val="auto"/>
        </w:rPr>
        <w:t xml:space="preserve">Commissions and Incentives. </w:t>
      </w:r>
      <w:r>
        <w:rPr>
          <w:rFonts w:ascii="Arial" w:cs="Arial" w:eastAsia="Arial" w:hAnsi="Arial"/>
          <w:sz w:val="15"/>
          <w:szCs w:val="15"/>
          <w:color w:val="auto"/>
        </w:rPr>
        <w:t>Commissions and incentives expenses during the three months ended March 31, 2022 were $23.2 million or 46.4% of</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as compared to $25.2 million or 48.8% of revenue for the three months ended March 31, 2021. Commissions and incentives expenses during the nine months ended March 31, 2022 were $72.8 million or 46.8% of revenue as compared to $77.9 million or 47.1% of revenue for the nine months ended March 31, 2021. The decrease in commissions and incentives expenses as a percentage of revenue as compared to the prior periods is due mainly to the timing and magnitude of our various promotional and incentive programs. Commissions and incentives expenses, as a percentage of revenue, may fluctuate in future periods based on ability to hold incentive trips and events and the timing and magnitude of compensation, incentive and promotional programs.</w:t>
      </w:r>
    </w:p>
    <w:p>
      <w:pPr>
        <w:spacing w:after="0" w:line="73" w:lineRule="exact"/>
        <w:rPr>
          <w:sz w:val="20"/>
          <w:szCs w:val="20"/>
          <w:color w:val="auto"/>
        </w:rPr>
      </w:pPr>
    </w:p>
    <w:p>
      <w:pPr>
        <w:ind w:right="80" w:firstLine="397"/>
        <w:spacing w:after="0" w:line="311" w:lineRule="auto"/>
        <w:rPr>
          <w:sz w:val="20"/>
          <w:szCs w:val="20"/>
          <w:color w:val="auto"/>
        </w:rPr>
      </w:pPr>
      <w:r>
        <w:rPr>
          <w:rFonts w:ascii="Arial" w:cs="Arial" w:eastAsia="Arial" w:hAnsi="Arial"/>
          <w:sz w:val="15"/>
          <w:szCs w:val="15"/>
          <w:i w:val="1"/>
          <w:iCs w:val="1"/>
          <w:color w:val="auto"/>
        </w:rPr>
        <w:t xml:space="preserve">Selling, General and Administrative. </w:t>
      </w:r>
      <w:r>
        <w:rPr>
          <w:rFonts w:ascii="Arial" w:cs="Arial" w:eastAsia="Arial" w:hAnsi="Arial"/>
          <w:sz w:val="15"/>
          <w:szCs w:val="15"/>
          <w:color w:val="auto"/>
        </w:rPr>
        <w:t>Selling, general and administrative expenses during the three months ended March 31, 2022 were $15.3 million or</w:t>
      </w:r>
      <w:r>
        <w:rPr>
          <w:rFonts w:ascii="Arial" w:cs="Arial" w:eastAsia="Arial" w:hAnsi="Arial"/>
          <w:sz w:val="15"/>
          <w:szCs w:val="15"/>
          <w:i w:val="1"/>
          <w:iCs w:val="1"/>
          <w:color w:val="auto"/>
        </w:rPr>
        <w:t xml:space="preserve"> </w:t>
      </w:r>
      <w:r>
        <w:rPr>
          <w:rFonts w:ascii="Arial" w:cs="Arial" w:eastAsia="Arial" w:hAnsi="Arial"/>
          <w:sz w:val="15"/>
          <w:szCs w:val="15"/>
          <w:color w:val="auto"/>
        </w:rPr>
        <w:t>30.6% of revenue as compared to $15.5 million or 30.1% of revenue for the three months ended March 31, 2021. Selling, general and administrative expenses during the nine months ended March 31, 2022 were $47.8 million or 30.8% of revenue as compared to $48.0 million or 29.0% of revenue for the nine months ended March 31, 2021. The increase in selling, general and administrative expenses as a percentage of revenue during the three and nine months ended March 31, 2022 compared to the prior year periods is primarily due to increased event and travel expenses as restrictions related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4" w:name="page25"/>
    <w:bookmarkEnd w:id="24"/>
    <w:p>
      <w:pPr>
        <w:spacing w:after="0" w:line="263" w:lineRule="auto"/>
        <w:rPr>
          <w:sz w:val="20"/>
          <w:szCs w:val="20"/>
          <w:color w:val="auto"/>
        </w:rPr>
      </w:pPr>
      <w:r>
        <w:rPr>
          <w:rFonts w:ascii="Arial" w:cs="Arial" w:eastAsia="Arial" w:hAnsi="Arial"/>
          <w:sz w:val="18"/>
          <w:szCs w:val="18"/>
          <w:color w:val="auto"/>
        </w:rPr>
        <w:t>to the COVID-19 pandemic have begun to ease as well as increased legal expenses. These increases were offset slightly by decreases in salaries and wages and other employee related expenses.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expect selling, general and administrative expenses, as a percent of revenue, to remain steady during the remainder of the fiscal year.</w:t>
      </w:r>
    </w:p>
    <w:p>
      <w:pPr>
        <w:spacing w:after="0" w:line="161" w:lineRule="exact"/>
        <w:rPr>
          <w:sz w:val="20"/>
          <w:szCs w:val="20"/>
          <w:color w:val="auto"/>
        </w:rPr>
      </w:pPr>
    </w:p>
    <w:p>
      <w:pPr>
        <w:ind w:firstLine="397"/>
        <w:spacing w:after="0" w:line="251" w:lineRule="auto"/>
        <w:rPr>
          <w:sz w:val="20"/>
          <w:szCs w:val="20"/>
          <w:color w:val="auto"/>
        </w:rPr>
      </w:pPr>
      <w:r>
        <w:rPr>
          <w:rFonts w:ascii="Arial" w:cs="Arial" w:eastAsia="Arial" w:hAnsi="Arial"/>
          <w:sz w:val="18"/>
          <w:szCs w:val="18"/>
          <w:i w:val="1"/>
          <w:iCs w:val="1"/>
          <w:color w:val="auto"/>
        </w:rPr>
        <w:t xml:space="preserve">Total Other Expense. </w:t>
      </w:r>
      <w:r>
        <w:rPr>
          <w:rFonts w:ascii="Arial" w:cs="Arial" w:eastAsia="Arial" w:hAnsi="Arial"/>
          <w:sz w:val="18"/>
          <w:szCs w:val="18"/>
          <w:color w:val="auto"/>
        </w:rPr>
        <w:t>During the three months ended March 31, 2022 we recognized total net other expense of $0.1 million as compared to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2021. During the nine months ended March 31, 2022, we recognized total net other expense of $0.4 million as compared to $0.3 million for the nine months ended March 31, 2021.Total net other expense for the three and nine months ended March 31, 2022 and 2021 consisted primarily of foreign currency losses and interest expense.</w:t>
      </w:r>
    </w:p>
    <w:p>
      <w:pPr>
        <w:spacing w:after="0" w:line="126" w:lineRule="exact"/>
        <w:rPr>
          <w:sz w:val="20"/>
          <w:szCs w:val="20"/>
          <w:color w:val="auto"/>
        </w:rPr>
      </w:pPr>
    </w:p>
    <w:p>
      <w:pPr>
        <w:ind w:right="180" w:firstLine="397"/>
        <w:spacing w:after="0" w:line="364" w:lineRule="auto"/>
        <w:rPr>
          <w:sz w:val="20"/>
          <w:szCs w:val="20"/>
          <w:color w:val="auto"/>
        </w:rPr>
      </w:pPr>
      <w:r>
        <w:rPr>
          <w:rFonts w:ascii="Arial" w:cs="Arial" w:eastAsia="Arial" w:hAnsi="Arial"/>
          <w:sz w:val="15"/>
          <w:szCs w:val="15"/>
          <w:i w:val="1"/>
          <w:iCs w:val="1"/>
          <w:color w:val="auto"/>
        </w:rPr>
        <w:t>Income Tax Expense</w:t>
      </w:r>
      <w:r>
        <w:rPr>
          <w:rFonts w:ascii="Arial" w:cs="Arial" w:eastAsia="Arial" w:hAnsi="Arial"/>
          <w:sz w:val="15"/>
          <w:szCs w:val="15"/>
          <w:color w:val="auto"/>
        </w:rPr>
        <w:t>. We recognized income tax expense of $0.6 million and $1.1 million, respectively, for the three and nine months ended March 31,</w:t>
      </w:r>
      <w:r>
        <w:rPr>
          <w:rFonts w:ascii="Arial" w:cs="Arial" w:eastAsia="Arial" w:hAnsi="Arial"/>
          <w:sz w:val="15"/>
          <w:szCs w:val="15"/>
          <w:i w:val="1"/>
          <w:iCs w:val="1"/>
          <w:color w:val="auto"/>
        </w:rPr>
        <w:t xml:space="preserve"> </w:t>
      </w:r>
      <w:r>
        <w:rPr>
          <w:rFonts w:ascii="Arial" w:cs="Arial" w:eastAsia="Arial" w:hAnsi="Arial"/>
          <w:sz w:val="15"/>
          <w:szCs w:val="15"/>
          <w:color w:val="auto"/>
        </w:rPr>
        <w:t>2022, as compared to income tax expense of $0.1 million and $2.8 million, respectively, for the three and nine months ended March 31, 2021.</w:t>
      </w:r>
    </w:p>
    <w:p>
      <w:pPr>
        <w:spacing w:after="0" w:line="19" w:lineRule="exact"/>
        <w:rPr>
          <w:sz w:val="20"/>
          <w:szCs w:val="20"/>
          <w:color w:val="auto"/>
        </w:rPr>
      </w:pPr>
    </w:p>
    <w:p>
      <w:pPr>
        <w:ind w:right="340" w:firstLine="397"/>
        <w:spacing w:after="0" w:line="225" w:lineRule="auto"/>
        <w:rPr>
          <w:sz w:val="20"/>
          <w:szCs w:val="20"/>
          <w:color w:val="auto"/>
        </w:rPr>
      </w:pPr>
      <w:r>
        <w:rPr>
          <w:rFonts w:ascii="Arial" w:cs="Arial" w:eastAsia="Arial" w:hAnsi="Arial"/>
          <w:sz w:val="18"/>
          <w:szCs w:val="18"/>
          <w:color w:val="auto"/>
        </w:rPr>
        <w:t>The effective tax rate was 20.2% of pre-tax income during the nine months ended March 31, 2022, compared to 25.7% for the prior year period. The change in the tax rate for the nine months ended March 31, 2022 was mainly due to a change in estimate in our calculations of foreign-derived intangible income (“FDII”) and foreign tax credits (“FTC”). The specific allocation of costs attributable foreign and domestic income led to an increase in the FDII deduction as well as the FTC limitation.</w:t>
      </w:r>
    </w:p>
    <w:p>
      <w:pPr>
        <w:spacing w:after="0" w:line="123" w:lineRule="exact"/>
        <w:rPr>
          <w:sz w:val="20"/>
          <w:szCs w:val="20"/>
          <w:color w:val="auto"/>
        </w:rPr>
      </w:pPr>
    </w:p>
    <w:p>
      <w:pPr>
        <w:ind w:right="280" w:firstLine="397"/>
        <w:spacing w:after="0" w:line="254" w:lineRule="auto"/>
        <w:rPr>
          <w:sz w:val="20"/>
          <w:szCs w:val="20"/>
          <w:color w:val="auto"/>
        </w:rPr>
      </w:pPr>
      <w:r>
        <w:rPr>
          <w:rFonts w:ascii="Arial" w:cs="Arial" w:eastAsia="Arial" w:hAnsi="Arial"/>
          <w:sz w:val="18"/>
          <w:szCs w:val="18"/>
          <w:color w:val="auto"/>
        </w:rPr>
        <w:t>We expect that our effective tax rate will fluctuate slightly during the remainder of fiscal 2022 as the impact of discrete items and other permanent differences are recognized during the year; however, our tax rate can be impacted by various book to tax differences and fluctuations in our stock price that occur during the year which are difficult to forecast.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50" w:lineRule="exact"/>
        <w:rPr>
          <w:sz w:val="20"/>
          <w:szCs w:val="20"/>
          <w:color w:val="auto"/>
        </w:rPr>
      </w:pPr>
    </w:p>
    <w:p>
      <w:pPr>
        <w:ind w:firstLine="397"/>
        <w:spacing w:after="0" w:line="251" w:lineRule="auto"/>
        <w:rPr>
          <w:sz w:val="20"/>
          <w:szCs w:val="20"/>
          <w:color w:val="auto"/>
        </w:rPr>
      </w:pPr>
      <w:r>
        <w:rPr>
          <w:rFonts w:ascii="Arial" w:cs="Arial" w:eastAsia="Arial" w:hAnsi="Arial"/>
          <w:sz w:val="18"/>
          <w:szCs w:val="18"/>
          <w:color w:val="auto"/>
        </w:rPr>
        <w:t>Our primary liquidity and capital resource requirements are to finance the cost of our planned operating expenses and working capital (principally inventory purchases), fund capital expenditures, and service our debt, which includes any outstanding balances under the 2016 Credit Facility. We have generally relied on cash flow from operations to fund operating activities and we have, at times, incurred long-term debt in order to fund stock repurchases and strategic transactions.</w:t>
      </w:r>
    </w:p>
    <w:p>
      <w:pPr>
        <w:spacing w:after="0" w:line="126" w:lineRule="exact"/>
        <w:rPr>
          <w:sz w:val="20"/>
          <w:szCs w:val="20"/>
          <w:color w:val="auto"/>
        </w:rPr>
      </w:pPr>
    </w:p>
    <w:p>
      <w:pPr>
        <w:ind w:right="240" w:firstLine="397"/>
        <w:spacing w:after="0" w:line="263" w:lineRule="auto"/>
        <w:rPr>
          <w:sz w:val="20"/>
          <w:szCs w:val="20"/>
          <w:color w:val="auto"/>
        </w:rPr>
      </w:pPr>
      <w:r>
        <w:rPr>
          <w:rFonts w:ascii="Arial" w:cs="Arial" w:eastAsia="Arial" w:hAnsi="Arial"/>
          <w:sz w:val="18"/>
          <w:szCs w:val="18"/>
          <w:color w:val="auto"/>
        </w:rPr>
        <w:t>As of March 31, 2022, our available liquidity was $17.8 million, which consisted of available cash and cash equivalents. This represents a decrease of $5.4 million from the $23.2 million in cash and cash equivalents as of June 30, 2021.</w:t>
      </w:r>
    </w:p>
    <w:p>
      <w:pPr>
        <w:spacing w:after="0" w:line="102" w:lineRule="exact"/>
        <w:rPr>
          <w:sz w:val="20"/>
          <w:szCs w:val="20"/>
          <w:color w:val="auto"/>
        </w:rPr>
      </w:pPr>
    </w:p>
    <w:p>
      <w:pPr>
        <w:ind w:right="180" w:firstLine="397"/>
        <w:spacing w:after="0" w:line="263" w:lineRule="auto"/>
        <w:rPr>
          <w:sz w:val="20"/>
          <w:szCs w:val="20"/>
          <w:color w:val="auto"/>
        </w:rPr>
      </w:pPr>
      <w:r>
        <w:rPr>
          <w:rFonts w:ascii="Arial" w:cs="Arial" w:eastAsia="Arial" w:hAnsi="Arial"/>
          <w:sz w:val="18"/>
          <w:szCs w:val="18"/>
          <w:color w:val="auto"/>
        </w:rPr>
        <w:t>During the nine months ended March 31, 2022, our net cash provided by operating activities was $5.2 million as compared to our net cash provided by operating activities of $7.9 million during the nine months ended March 31, 2021.</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During the nine months ended March 31, 2022, our net cash used in investing activities was $1.3 million, as a result of the purchase of fixed assets.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March 31, 2021, our net cash used in investing activities was $3.3 million, as a result of the purchase of fixed assets.</w:t>
      </w:r>
    </w:p>
    <w:p>
      <w:pPr>
        <w:spacing w:after="0" w:line="150" w:lineRule="exact"/>
        <w:rPr>
          <w:sz w:val="20"/>
          <w:szCs w:val="20"/>
          <w:color w:val="auto"/>
        </w:rPr>
      </w:pPr>
    </w:p>
    <w:p>
      <w:pPr>
        <w:ind w:right="220" w:firstLine="397"/>
        <w:spacing w:after="0" w:line="268" w:lineRule="auto"/>
        <w:rPr>
          <w:sz w:val="20"/>
          <w:szCs w:val="20"/>
          <w:color w:val="auto"/>
        </w:rPr>
      </w:pPr>
      <w:r>
        <w:rPr>
          <w:rFonts w:ascii="Arial" w:cs="Arial" w:eastAsia="Arial" w:hAnsi="Arial"/>
          <w:sz w:val="17"/>
          <w:szCs w:val="17"/>
          <w:color w:val="auto"/>
        </w:rPr>
        <w:t>Cash used in financing activities during the nine months ended March 31, 2022 was $8.1 million as a result of our repurchase of common stock and shares purchased as payment of tax withholding upon vesting of equity awards, partially offset by proceeds from stock issued under our employee stock purchase plan and stock option exercises. Cash used in financing activities during the nine months ended March 31, 2021 was $7.8 million as a result of our repurchase of common stock, and shares purchased as payment of tax withholding upon vesting of equity awards, partially offset by proceeds from stock issued under our employee stock purchase plan and stock option exercises.</w:t>
      </w:r>
    </w:p>
    <w:p>
      <w:pPr>
        <w:spacing w:after="0" w:line="98" w:lineRule="exact"/>
        <w:rPr>
          <w:sz w:val="20"/>
          <w:szCs w:val="20"/>
          <w:color w:val="auto"/>
        </w:rPr>
      </w:pPr>
    </w:p>
    <w:p>
      <w:pPr>
        <w:jc w:val="both"/>
        <w:ind w:right="220" w:firstLine="397"/>
        <w:spacing w:after="0" w:line="329" w:lineRule="auto"/>
        <w:rPr>
          <w:sz w:val="20"/>
          <w:szCs w:val="20"/>
          <w:color w:val="auto"/>
        </w:rPr>
      </w:pPr>
      <w:r>
        <w:rPr>
          <w:rFonts w:ascii="Arial" w:cs="Arial" w:eastAsia="Arial" w:hAnsi="Arial"/>
          <w:sz w:val="15"/>
          <w:szCs w:val="15"/>
          <w:color w:val="auto"/>
        </w:rPr>
        <w:t>At March 31, 2022 and June 30, 2021, the total amount of our foreign subsidiary cash was $8.9 million and $8.8 million, respectively. The federal tax reform legislation that was passed into law during December 2017 enacted a 100% dividend deduction for &gt; 10% owned foreign corporations. Therefore, in the future, if needed, we expect to be able to repatriate cash from foreign subsidiaries without paying additional U.S. taxes.</w:t>
      </w:r>
    </w:p>
    <w:p>
      <w:pPr>
        <w:spacing w:after="0" w:line="71" w:lineRule="exact"/>
        <w:rPr>
          <w:sz w:val="20"/>
          <w:szCs w:val="20"/>
          <w:color w:val="auto"/>
        </w:rPr>
      </w:pPr>
    </w:p>
    <w:p>
      <w:pPr>
        <w:ind w:right="20" w:firstLine="397"/>
        <w:spacing w:after="0" w:line="266" w:lineRule="auto"/>
        <w:rPr>
          <w:sz w:val="20"/>
          <w:szCs w:val="20"/>
          <w:color w:val="auto"/>
        </w:rPr>
      </w:pPr>
      <w:r>
        <w:rPr>
          <w:rFonts w:ascii="Arial" w:cs="Arial" w:eastAsia="Arial" w:hAnsi="Arial"/>
          <w:sz w:val="17"/>
          <w:szCs w:val="17"/>
          <w:color w:val="auto"/>
        </w:rPr>
        <w:t>At March 31, 2022, we had working capital (current assets minus current liabilities) of $21.5 million, compared to working capital of $22.9 million at June 30, 2021.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25" w:name="page26"/>
    <w:bookmarkEnd w:id="25"/>
    <w:p>
      <w:pPr>
        <w:ind w:right="40"/>
        <w:spacing w:after="0" w:line="254" w:lineRule="auto"/>
        <w:rPr>
          <w:sz w:val="20"/>
          <w:szCs w:val="20"/>
          <w:color w:val="auto"/>
        </w:rPr>
      </w:pPr>
      <w:r>
        <w:rPr>
          <w:rFonts w:ascii="Arial" w:cs="Arial" w:eastAsia="Arial" w:hAnsi="Arial"/>
          <w:sz w:val="18"/>
          <w:szCs w:val="18"/>
          <w:color w:val="auto"/>
        </w:rPr>
        <w:t>debt markets and repurchase our equity securities without prior approval from the lender. Additionally, our credit facility, as amended, provides for a revolving loan facility in an aggregate principal amount up to $5.0 million. We would also consider realigning our strategic plans including a reduction in capital spending and expenses.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50"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On March 24, 2020, we filed a shelf registration statement (the "Shelf Registration") on Form S-3 with the SEC that was declared effective April 3, 2020, which permits us to offer up to $75 million of common stock, preferred stock, debt securities and warrants in one or more offerings and in any combination, including in units from time to time. Our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Credit Facility</w:t>
      </w:r>
    </w:p>
    <w:p>
      <w:pPr>
        <w:spacing w:after="0" w:line="150" w:lineRule="exact"/>
        <w:rPr>
          <w:sz w:val="20"/>
          <w:szCs w:val="20"/>
          <w:color w:val="auto"/>
        </w:rPr>
      </w:pPr>
    </w:p>
    <w:p>
      <w:pPr>
        <w:ind w:right="20" w:firstLine="397"/>
        <w:spacing w:after="0" w:line="317" w:lineRule="auto"/>
        <w:rPr>
          <w:sz w:val="20"/>
          <w:szCs w:val="20"/>
          <w:color w:val="auto"/>
        </w:rPr>
      </w:pPr>
      <w:r>
        <w:rPr>
          <w:rFonts w:ascii="Arial" w:cs="Arial" w:eastAsia="Arial" w:hAnsi="Arial"/>
          <w:sz w:val="15"/>
          <w:szCs w:val="15"/>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80" w:lineRule="exact"/>
        <w:rPr>
          <w:sz w:val="20"/>
          <w:szCs w:val="20"/>
          <w:color w:val="auto"/>
        </w:rPr>
      </w:pPr>
    </w:p>
    <w:p>
      <w:pPr>
        <w:ind w:right="280" w:firstLine="397"/>
        <w:spacing w:after="0" w:line="254" w:lineRule="auto"/>
        <w:rPr>
          <w:sz w:val="20"/>
          <w:szCs w:val="20"/>
          <w:color w:val="auto"/>
        </w:rPr>
      </w:pPr>
      <w:r>
        <w:rPr>
          <w:rFonts w:ascii="Arial" w:cs="Arial" w:eastAsia="Arial" w:hAnsi="Arial"/>
          <w:sz w:val="18"/>
          <w:szCs w:val="18"/>
          <w:color w:val="auto"/>
        </w:rPr>
        <w:t>The principal amount of the 2016 Term Loan was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 May 4, 2018, we entered into a loan modification agreement, which amended the 2016 Credit Facility (“Amendment No. 1”). Amendment No. 1</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revised the maturity date from March 30, 2019 to March 31, 2021 and increased the fixed interest rate for the term loan from 4.93% to 5.68%. Amendment</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No. 1 also revised certain financial covenants. The minimum fixed charge coverage ratio (as defined in Amendment No. 1) was revised from a minimum of</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1.50 to 1.00 to 1.25 to 1.00, measured on a trailing twelve-month basis, at the end of each fiscal quarter. The minimum working capital was increased from</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$5.0 million to $8.0 million. The funded debt to EBITDA ratio was replaced with the total liabilities to tangible net worth ratio (as defined in Amendment No.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1) of not greater than 3.00 to 1.00 at the end of each quarter. The minimum tangible net worth measure was removed from the financial covenants.</w:t>
      </w:r>
    </w:p>
    <w:p>
      <w:pPr>
        <w:spacing w:after="0" w:line="150" w:lineRule="exact"/>
        <w:rPr>
          <w:sz w:val="20"/>
          <w:szCs w:val="20"/>
          <w:color w:val="auto"/>
        </w:rPr>
      </w:pPr>
    </w:p>
    <w:p>
      <w:pPr>
        <w:ind w:right="20" w:firstLine="397"/>
        <w:spacing w:after="0" w:line="249" w:lineRule="auto"/>
        <w:rPr>
          <w:sz w:val="20"/>
          <w:szCs w:val="20"/>
          <w:color w:val="auto"/>
        </w:rPr>
      </w:pPr>
      <w:r>
        <w:rPr>
          <w:rFonts w:ascii="Arial" w:cs="Arial" w:eastAsia="Arial" w:hAnsi="Arial"/>
          <w:sz w:val="18"/>
          <w:szCs w:val="18"/>
          <w:color w:val="auto"/>
        </w:rPr>
        <w:t>On February 1, 2019, we entered into a loan modification agreement, which further amended the 2016 Credit Facility ("Amendment No. 2"). Under Amendment No. 2, we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29" w:lineRule="exact"/>
        <w:rPr>
          <w:sz w:val="20"/>
          <w:szCs w:val="20"/>
          <w:color w:val="auto"/>
        </w:rPr>
      </w:pPr>
    </w:p>
    <w:p>
      <w:pPr>
        <w:ind w:firstLine="397"/>
        <w:spacing w:after="0" w:line="266" w:lineRule="auto"/>
        <w:rPr>
          <w:sz w:val="20"/>
          <w:szCs w:val="20"/>
          <w:color w:val="auto"/>
        </w:rPr>
      </w:pPr>
      <w:r>
        <w:rPr>
          <w:rFonts w:ascii="Arial" w:cs="Arial" w:eastAsia="Arial" w:hAnsi="Arial"/>
          <w:sz w:val="17"/>
          <w:szCs w:val="17"/>
          <w:color w:val="auto"/>
        </w:rPr>
        <w:t>On April 1, 2021, we entered into a loan modification agreement ("Amendment No. 3"), which amended the 2016 Credit Facility, as previously amended. Amendment No. 3 revised the maturity date from March 31, 2021 to March 31, 2024 and modified the variable interest rate based on the one-month United States Treasury Rate, plus a margin of 3.00%, with an interest rate floor of 4.00%. Amendment No. 3 also revised the debt (total liabilities) to tangible net worth ratio (as defined in Amendment No. 3) covenant to require that we maintain this ratio not in excess of 2.00 to 1.00, measured as of the end of each fiscal quarter, and revised the definition and calculation of the minimum fixed charge coverage ratio (as defined in Amendment No. 3). There were no other changes to the covenants or revolving loan facility amount as set forth in Amendment No. 2.</w:t>
      </w:r>
    </w:p>
    <w:p>
      <w:pPr>
        <w:spacing w:after="0" w:line="101" w:lineRule="exact"/>
        <w:rPr>
          <w:sz w:val="20"/>
          <w:szCs w:val="20"/>
          <w:color w:val="auto"/>
        </w:rPr>
      </w:pPr>
    </w:p>
    <w:p>
      <w:pPr>
        <w:ind w:right="40" w:firstLine="397"/>
        <w:spacing w:after="0" w:line="268" w:lineRule="auto"/>
        <w:rPr>
          <w:sz w:val="20"/>
          <w:szCs w:val="20"/>
          <w:color w:val="auto"/>
        </w:rPr>
      </w:pPr>
      <w:r>
        <w:rPr>
          <w:rFonts w:ascii="Arial" w:cs="Arial" w:eastAsia="Arial" w:hAnsi="Arial"/>
          <w:sz w:val="17"/>
          <w:szCs w:val="17"/>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March 31, 2022, we were in compliance with all applicable non-financial and restrictive covenants under the 2016 Credit Facility, as amended.</w:t>
      </w:r>
    </w:p>
    <w:p>
      <w:pPr>
        <w:spacing w:after="0" w:line="112" w:lineRule="exact"/>
        <w:rPr>
          <w:sz w:val="20"/>
          <w:szCs w:val="20"/>
          <w:color w:val="auto"/>
        </w:rPr>
      </w:pPr>
    </w:p>
    <w:p>
      <w:pPr>
        <w:ind w:right="40" w:firstLine="397"/>
        <w:spacing w:after="0" w:line="263" w:lineRule="auto"/>
        <w:rPr>
          <w:sz w:val="20"/>
          <w:szCs w:val="20"/>
          <w:color w:val="auto"/>
        </w:rPr>
      </w:pPr>
      <w:r>
        <w:rPr>
          <w:rFonts w:ascii="Arial" w:cs="Arial" w:eastAsia="Arial" w:hAnsi="Arial"/>
          <w:sz w:val="18"/>
          <w:szCs w:val="18"/>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6" w:name="page27"/>
    <w:bookmarkEnd w:id="26"/>
    <w:p>
      <w:pPr>
        <w:ind w:left="640" w:right="340" w:hanging="238"/>
        <w:spacing w:after="0" w:line="263"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 minimum fixed charge coverage ratio (as defined in the 2016 Loan Agreement, as amended) of at least 1.10 to 1.00 at the end of each fiscal quarter, measured on a trailing twelve month basis;</w:t>
      </w:r>
    </w:p>
    <w:p>
      <w:pPr>
        <w:spacing w:after="0" w:line="101" w:lineRule="exact"/>
        <w:rPr>
          <w:rFonts w:ascii="Arial" w:cs="Arial" w:eastAsia="Arial" w:hAnsi="Arial"/>
          <w:sz w:val="18"/>
          <w:szCs w:val="18"/>
          <w:color w:val="auto"/>
        </w:rPr>
      </w:pPr>
    </w:p>
    <w:p>
      <w:pPr>
        <w:ind w:left="640" w:right="280" w:hanging="238"/>
        <w:spacing w:after="0" w:line="263"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minimum consolidated working capital (as defined in the 2016 Loan Agreement, as amended) at the end of each fiscal quarter of at least $6.0 million; and</w:t>
      </w:r>
    </w:p>
    <w:p>
      <w:pPr>
        <w:spacing w:after="0" w:line="114" w:lineRule="exact"/>
        <w:rPr>
          <w:rFonts w:ascii="Arial" w:cs="Arial" w:eastAsia="Arial" w:hAnsi="Arial"/>
          <w:sz w:val="18"/>
          <w:szCs w:val="18"/>
          <w:color w:val="auto"/>
        </w:rPr>
      </w:pPr>
    </w:p>
    <w:p>
      <w:pPr>
        <w:ind w:left="640" w:right="120" w:hanging="238"/>
        <w:spacing w:after="0" w:line="263"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 ratio of debt (total liabilities) to tangible net worth (as defined in the 2016 Loan Agreement, as amended) of not greater than 2.00 to 1.00 at the end of each quarter, measured on a trailing twelve month basis.</w:t>
      </w:r>
    </w:p>
    <w:p>
      <w:pPr>
        <w:spacing w:after="0" w:line="115" w:lineRule="exact"/>
        <w:rPr>
          <w:sz w:val="20"/>
          <w:szCs w:val="20"/>
          <w:color w:val="auto"/>
        </w:rPr>
      </w:pPr>
    </w:p>
    <w:p>
      <w:pPr>
        <w:ind w:right="700" w:firstLine="397"/>
        <w:spacing w:after="0" w:line="364" w:lineRule="auto"/>
        <w:rPr>
          <w:sz w:val="20"/>
          <w:szCs w:val="20"/>
          <w:color w:val="auto"/>
        </w:rPr>
      </w:pPr>
      <w:r>
        <w:rPr>
          <w:rFonts w:ascii="Arial" w:cs="Arial" w:eastAsia="Arial" w:hAnsi="Arial"/>
          <w:sz w:val="15"/>
          <w:szCs w:val="15"/>
          <w:color w:val="auto"/>
        </w:rPr>
        <w:t>As of March 31, 2022, we were in compliance with all applicable financial covenants under the 2016 Credit Facility, as amended. Additionally, management anticipates that in the normal course of operations we will be in compliance with the financial covenants during the ensuing year.</w:t>
      </w:r>
    </w:p>
    <w:p>
      <w:pPr>
        <w:spacing w:after="0" w:line="32" w:lineRule="exact"/>
        <w:rPr>
          <w:sz w:val="20"/>
          <w:szCs w:val="20"/>
          <w:color w:val="auto"/>
        </w:rPr>
      </w:pPr>
    </w:p>
    <w:p>
      <w:pPr>
        <w:ind w:right="260" w:firstLine="397"/>
        <w:spacing w:after="0" w:line="263" w:lineRule="auto"/>
        <w:rPr>
          <w:sz w:val="20"/>
          <w:szCs w:val="20"/>
          <w:color w:val="auto"/>
        </w:rPr>
      </w:pPr>
      <w:r>
        <w:rPr>
          <w:rFonts w:ascii="Arial" w:cs="Arial" w:eastAsia="Arial" w:hAnsi="Arial"/>
          <w:sz w:val="18"/>
          <w:szCs w:val="18"/>
          <w:color w:val="auto"/>
        </w:rPr>
        <w:t>During the fiscal year ended June 30, 2020, we repaid, in full, the remaining balance of the 2016 Term Loan in accordance with the terms of the 2016 Credit Facility, as amended.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Obligations</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contractual payment obligations and commitments as of March 31, 2022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Payments due by period</w:t>
            </w: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vMerge w:val="restart"/>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tcPr>
          <w:p>
            <w:pPr>
              <w:ind w:left="140"/>
              <w:spacing w:after="0" w:line="131" w:lineRule="exact"/>
              <w:rPr>
                <w:sz w:val="20"/>
                <w:szCs w:val="20"/>
                <w:color w:val="auto"/>
              </w:rPr>
            </w:pPr>
            <w:r>
              <w:rPr>
                <w:rFonts w:ascii="Arial" w:cs="Arial" w:eastAsia="Arial" w:hAnsi="Arial"/>
                <w:sz w:val="14"/>
                <w:szCs w:val="14"/>
                <w:b w:val="1"/>
                <w:bCs w:val="1"/>
                <w:color w:val="auto"/>
              </w:rPr>
              <w:t>Less than</w:t>
            </w:r>
          </w:p>
        </w:tc>
        <w:tc>
          <w:tcPr>
            <w:tcW w:w="580" w:type="dxa"/>
            <w:vAlign w:val="bottom"/>
          </w:tcPr>
          <w:p>
            <w:pPr>
              <w:spacing w:after="0"/>
              <w:rPr>
                <w:sz w:val="11"/>
                <w:szCs w:val="11"/>
                <w:color w:val="auto"/>
              </w:rPr>
            </w:pPr>
          </w:p>
        </w:tc>
        <w:tc>
          <w:tcPr>
            <w:tcW w:w="9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84"/>
        </w:trPr>
        <w:tc>
          <w:tcPr>
            <w:tcW w:w="3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98"/>
              </w:rPr>
              <w:t>1 year</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lease obligations</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0" w:type="dxa"/>
            <w:vAlign w:val="bottom"/>
          </w:tcPr>
          <w:p>
            <w:pPr>
              <w:spacing w:after="0"/>
              <w:rPr>
                <w:sz w:val="1"/>
                <w:szCs w:val="1"/>
                <w:color w:val="auto"/>
              </w:rPr>
            </w:pPr>
          </w:p>
        </w:tc>
      </w:tr>
      <w:tr>
        <w:trPr>
          <w:trHeight w:val="225"/>
        </w:trPr>
        <w:tc>
          <w:tcPr>
            <w:tcW w:w="3140" w:type="dxa"/>
            <w:vAlign w:val="bottom"/>
            <w:gridSpan w:val="2"/>
          </w:tcPr>
          <w:p>
            <w:pPr>
              <w:ind w:left="420"/>
              <w:spacing w:after="0" w:line="225" w:lineRule="exact"/>
              <w:rPr>
                <w:sz w:val="20"/>
                <w:szCs w:val="20"/>
                <w:color w:val="auto"/>
              </w:rPr>
            </w:pPr>
            <w:r>
              <w:rPr>
                <w:rFonts w:ascii="Arial" w:cs="Arial" w:eastAsia="Arial" w:hAnsi="Arial"/>
                <w:sz w:val="18"/>
                <w:szCs w:val="18"/>
                <w:color w:val="auto"/>
              </w:rPr>
              <w:t xml:space="preserve">Other operating obligations </w:t>
            </w:r>
            <w:r>
              <w:rPr>
                <w:rFonts w:ascii="Arial" w:cs="Arial" w:eastAsia="Arial" w:hAnsi="Arial"/>
                <w:sz w:val="22"/>
                <w:szCs w:val="22"/>
                <w:color w:val="auto"/>
                <w:vertAlign w:val="superscript"/>
              </w:rPr>
              <w:t>(1)</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19,370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40" w:type="dxa"/>
            <w:vAlign w:val="bottom"/>
            <w:tcBorders>
              <w:top w:val="single" w:sz="8" w:color="CCEEFF"/>
              <w:bottom w:val="single" w:sz="8" w:color="CCEEFF"/>
            </w:tcBorders>
            <w:gridSpan w:val="2"/>
            <w:shd w:val="clear" w:color="auto" w:fill="CCEEFF"/>
          </w:tcPr>
          <w:p>
            <w:pPr>
              <w:ind w:left="420"/>
              <w:spacing w:after="0" w:line="204" w:lineRule="exact"/>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(1) Other operating obligations represent contractual obligations primarily related to marketing and sponsorship commitments and purchases of inventory.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March 31, 2022, we did not have any off-balance sheet arrangements.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56" w:lineRule="exact"/>
        <w:rPr>
          <w:sz w:val="20"/>
          <w:szCs w:val="20"/>
          <w:color w:val="auto"/>
        </w:rPr>
      </w:pPr>
    </w:p>
    <w:p>
      <w:pPr>
        <w:ind w:right="60" w:firstLine="397"/>
        <w:spacing w:after="0" w:line="304" w:lineRule="auto"/>
        <w:rPr>
          <w:sz w:val="20"/>
          <w:szCs w:val="20"/>
          <w:color w:val="auto"/>
        </w:rPr>
      </w:pPr>
      <w:r>
        <w:rPr>
          <w:rFonts w:ascii="Arial" w:cs="Arial" w:eastAsia="Arial" w:hAnsi="Arial"/>
          <w:sz w:val="15"/>
          <w:szCs w:val="15"/>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unaudited condensed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76" w:lineRule="exact"/>
        <w:rPr>
          <w:sz w:val="20"/>
          <w:szCs w:val="20"/>
          <w:color w:val="auto"/>
        </w:rPr>
      </w:pPr>
    </w:p>
    <w:p>
      <w:pPr>
        <w:ind w:right="120" w:firstLine="397"/>
        <w:spacing w:after="0" w:line="276" w:lineRule="auto"/>
        <w:rPr>
          <w:sz w:val="20"/>
          <w:szCs w:val="20"/>
          <w:color w:val="auto"/>
        </w:rPr>
      </w:pPr>
      <w:r>
        <w:rPr>
          <w:rFonts w:ascii="Arial" w:cs="Arial" w:eastAsia="Arial" w:hAnsi="Arial"/>
          <w:sz w:val="17"/>
          <w:szCs w:val="17"/>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Allowances for Product Returns</w:t>
      </w:r>
    </w:p>
    <w:p>
      <w:pPr>
        <w:spacing w:after="0" w:line="150"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We record allowances for product returns at the time we ship the product based on estimated return rates. Subject to some exceptions based on local regulations, our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As of March 31, 2022, our shipments of products sold totaling approximately $17.6 million were subject to the return policy.</w:t>
      </w:r>
    </w:p>
    <w:p>
      <w:pPr>
        <w:spacing w:after="0" w:line="116" w:lineRule="exact"/>
        <w:rPr>
          <w:sz w:val="20"/>
          <w:szCs w:val="20"/>
          <w:color w:val="auto"/>
        </w:rPr>
      </w:pPr>
    </w:p>
    <w:p>
      <w:pPr>
        <w:ind w:right="80" w:firstLine="397"/>
        <w:spacing w:after="0" w:line="263" w:lineRule="auto"/>
        <w:rPr>
          <w:sz w:val="20"/>
          <w:szCs w:val="20"/>
          <w:color w:val="auto"/>
        </w:rPr>
      </w:pPr>
      <w:r>
        <w:rPr>
          <w:rFonts w:ascii="Arial" w:cs="Arial" w:eastAsia="Arial" w:hAnsi="Arial"/>
          <w:sz w:val="18"/>
          <w:szCs w:val="18"/>
          <w:color w:val="auto"/>
        </w:rPr>
        <w:t>We monitor our product returns estimate on an ongoing basis and revise the allowances to reflect our experience. Our allowance for product returns was $0.1 million at March 31, 2022, compared with $0.2 million at June 30, 2021. To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27" w:name="page28"/>
    <w:bookmarkEnd w:id="27"/>
    <w:p>
      <w:pPr>
        <w:ind w:right="60"/>
        <w:spacing w:after="0" w:line="263" w:lineRule="auto"/>
        <w:rPr>
          <w:sz w:val="20"/>
          <w:szCs w:val="20"/>
          <w:color w:val="auto"/>
        </w:rPr>
      </w:pPr>
      <w:r>
        <w:rPr>
          <w:rFonts w:ascii="Arial" w:cs="Arial" w:eastAsia="Arial" w:hAnsi="Arial"/>
          <w:sz w:val="18"/>
          <w:szCs w:val="18"/>
          <w:color w:val="auto"/>
        </w:rPr>
        <w:t>product expiration dates have not played any role in product returns, and we do not expect that they will in the future as it is unlikely that we will ship product with an expiration date earlier than the latest allowable product return date.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w:t>
      </w:r>
    </w:p>
    <w:p>
      <w:pPr>
        <w:spacing w:after="0" w:line="150" w:lineRule="exact"/>
        <w:rPr>
          <w:sz w:val="20"/>
          <w:szCs w:val="20"/>
          <w:color w:val="auto"/>
        </w:rPr>
      </w:pPr>
    </w:p>
    <w:p>
      <w:pPr>
        <w:ind w:right="20" w:firstLine="397"/>
        <w:spacing w:after="0" w:line="317" w:lineRule="auto"/>
        <w:rPr>
          <w:sz w:val="20"/>
          <w:szCs w:val="20"/>
          <w:color w:val="auto"/>
        </w:rPr>
      </w:pPr>
      <w:r>
        <w:rPr>
          <w:rFonts w:ascii="Arial" w:cs="Arial" w:eastAsia="Arial" w:hAnsi="Arial"/>
          <w:sz w:val="15"/>
          <w:szCs w:val="15"/>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net realizable value. Factors utilized in the determination of net realizable value include: (i) current sales data and historical return rates, (ii) estimates of future demand, (iii) competitive pricing pressures, (iv) new production introductions, (v) product expiration dates, and (vi) component and packaging obsolescence.</w:t>
      </w:r>
    </w:p>
    <w:p>
      <w:pPr>
        <w:spacing w:after="0" w:line="80" w:lineRule="exact"/>
        <w:rPr>
          <w:sz w:val="20"/>
          <w:szCs w:val="20"/>
          <w:color w:val="auto"/>
        </w:rPr>
      </w:pPr>
    </w:p>
    <w:p>
      <w:pPr>
        <w:jc w:val="both"/>
        <w:ind w:right="120" w:firstLine="397"/>
        <w:spacing w:after="0" w:line="254" w:lineRule="auto"/>
        <w:rPr>
          <w:sz w:val="20"/>
          <w:szCs w:val="20"/>
          <w:color w:val="auto"/>
        </w:rPr>
      </w:pPr>
      <w:r>
        <w:rPr>
          <w:rFonts w:ascii="Arial" w:cs="Arial" w:eastAsia="Arial" w:hAnsi="Arial"/>
          <w:sz w:val="18"/>
          <w:szCs w:val="18"/>
          <w:color w:val="auto"/>
        </w:rPr>
        <w:t>During the three months ended March 31, 2022 and 2021, we recognized expenses of approximately $0.5 million and $0.2 million, respectively, related to obsolete and slow-moving inventory. During the nine months ended March 31, 2022 and 2021, we recognized expenses of approximately $1.0 million and $0.3 million, respectively, related to obsolete and slow-moving inventory.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50" w:lineRule="exact"/>
        <w:rPr>
          <w:sz w:val="20"/>
          <w:szCs w:val="20"/>
          <w:color w:val="auto"/>
        </w:rPr>
      </w:pPr>
    </w:p>
    <w:p>
      <w:pPr>
        <w:ind w:right="260" w:firstLine="397"/>
        <w:spacing w:after="0" w:line="254"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we expect to be entitled to in exchange for those goods or services. Sales, value-added, and other taxes that we collect concurrent with revenue-producing activities are excluded from revenue.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37"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expense all of our costs related to research and development activities as incurred.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Accruals</w:t>
      </w:r>
    </w:p>
    <w:p>
      <w:pPr>
        <w:spacing w:after="0" w:line="150" w:lineRule="exact"/>
        <w:rPr>
          <w:sz w:val="20"/>
          <w:szCs w:val="20"/>
          <w:color w:val="auto"/>
        </w:rPr>
      </w:pPr>
    </w:p>
    <w:p>
      <w:pPr>
        <w:ind w:right="160" w:firstLine="397"/>
        <w:spacing w:after="0" w:line="251" w:lineRule="auto"/>
        <w:rPr>
          <w:sz w:val="20"/>
          <w:szCs w:val="20"/>
          <w:color w:val="auto"/>
        </w:rPr>
      </w:pPr>
      <w:r>
        <w:rPr>
          <w:rFonts w:ascii="Arial" w:cs="Arial" w:eastAsia="Arial" w:hAnsi="Arial"/>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3" w:lineRule="exact"/>
        <w:rPr>
          <w:sz w:val="20"/>
          <w:szCs w:val="20"/>
          <w:color w:val="auto"/>
        </w:rPr>
      </w:pPr>
    </w:p>
    <w:p>
      <w:pPr>
        <w:ind w:right="100" w:firstLine="397"/>
        <w:spacing w:after="0" w:line="268" w:lineRule="auto"/>
        <w:rPr>
          <w:sz w:val="20"/>
          <w:szCs w:val="20"/>
          <w:color w:val="auto"/>
        </w:rPr>
      </w:pPr>
      <w:r>
        <w:rPr>
          <w:rFonts w:ascii="Arial" w:cs="Arial" w:eastAsia="Arial" w:hAnsi="Arial"/>
          <w:sz w:val="17"/>
          <w:szCs w:val="17"/>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56" w:lineRule="exact"/>
        <w:rPr>
          <w:sz w:val="20"/>
          <w:szCs w:val="20"/>
          <w:color w:val="auto"/>
        </w:rPr>
      </w:pPr>
    </w:p>
    <w:p>
      <w:pPr>
        <w:ind w:right="160" w:firstLine="397"/>
        <w:spacing w:after="0" w:line="264" w:lineRule="auto"/>
        <w:rPr>
          <w:sz w:val="20"/>
          <w:szCs w:val="20"/>
          <w:color w:val="auto"/>
        </w:rPr>
      </w:pPr>
      <w:r>
        <w:rPr>
          <w:rFonts w:ascii="Arial" w:cs="Arial" w:eastAsia="Arial" w:hAnsi="Arial"/>
          <w:sz w:val="17"/>
          <w:szCs w:val="17"/>
          <w:color w:val="auto"/>
        </w:rPr>
        <w:t>During the nine months ended March 31, 2022, approximately 36% of our net revenue was realized outside of the United States. The local currency of each international subsidiary is generally the functional currency. All revenue and expenses are translated at weighted-average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28" w:name="page29"/>
    <w:bookmarkEnd w:id="28"/>
    <w:p>
      <w:pPr>
        <w:spacing w:after="0" w:line="268" w:lineRule="auto"/>
        <w:rPr>
          <w:sz w:val="20"/>
          <w:szCs w:val="20"/>
          <w:color w:val="auto"/>
        </w:rPr>
      </w:pPr>
      <w:r>
        <w:rPr>
          <w:rFonts w:ascii="Arial" w:cs="Arial" w:eastAsia="Arial" w:hAnsi="Arial"/>
          <w:sz w:val="17"/>
          <w:szCs w:val="17"/>
          <w:color w:val="auto"/>
        </w:rPr>
        <w:t>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March 31, 2022, we did not have any derivative instruments. A 10% strengthening of the U.S. dollar compared to all of the foreign currencies in which we transact business would have resulted in a 3.3% decrease of our nine months ended March 31, 2022 revenue, in the amount of $5.1 million.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56" w:lineRule="exact"/>
        <w:rPr>
          <w:sz w:val="20"/>
          <w:szCs w:val="20"/>
          <w:color w:val="auto"/>
        </w:rPr>
      </w:pPr>
    </w:p>
    <w:p>
      <w:pPr>
        <w:ind w:right="80" w:firstLine="397"/>
        <w:spacing w:after="0" w:line="304" w:lineRule="auto"/>
        <w:rPr>
          <w:sz w:val="20"/>
          <w:szCs w:val="20"/>
          <w:color w:val="auto"/>
        </w:rPr>
      </w:pPr>
      <w:r>
        <w:rPr>
          <w:rFonts w:ascii="Arial" w:cs="Arial" w:eastAsia="Arial" w:hAnsi="Arial"/>
          <w:sz w:val="15"/>
          <w:szCs w:val="15"/>
          <w:color w:val="auto"/>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March 31,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6" w:lineRule="exact"/>
        <w:rPr>
          <w:sz w:val="20"/>
          <w:szCs w:val="20"/>
          <w:color w:val="auto"/>
        </w:rPr>
      </w:pPr>
    </w:p>
    <w:p>
      <w:pPr>
        <w:ind w:right="420" w:firstLine="397"/>
        <w:spacing w:after="0" w:line="263" w:lineRule="auto"/>
        <w:rPr>
          <w:sz w:val="20"/>
          <w:szCs w:val="20"/>
          <w:color w:val="auto"/>
        </w:rPr>
      </w:pPr>
      <w:r>
        <w:rPr>
          <w:rFonts w:ascii="Arial" w:cs="Arial" w:eastAsia="Arial" w:hAnsi="Arial"/>
          <w:sz w:val="18"/>
          <w:szCs w:val="18"/>
          <w:color w:val="auto"/>
        </w:rPr>
        <w:t>There were no changes in our internal controls over financial reporting during the quarter ended March 31, 2022 that have materially affected or are reasonably likely to materially affect our internal controls over financial reporting.</w:t>
      </w:r>
    </w:p>
    <w:p>
      <w:pPr>
        <w:spacing w:after="0" w:line="115" w:lineRule="exact"/>
        <w:rPr>
          <w:sz w:val="20"/>
          <w:szCs w:val="20"/>
          <w:color w:val="auto"/>
        </w:rPr>
      </w:pPr>
    </w:p>
    <w:p>
      <w:pPr>
        <w:ind w:right="200" w:firstLine="397"/>
        <w:spacing w:after="0" w:line="249" w:lineRule="auto"/>
        <w:rPr>
          <w:sz w:val="20"/>
          <w:szCs w:val="20"/>
          <w:color w:val="auto"/>
        </w:rPr>
      </w:pPr>
      <w:r>
        <w:rPr>
          <w:rFonts w:ascii="Arial" w:cs="Arial" w:eastAsia="Arial" w:hAnsi="Arial"/>
          <w:sz w:val="18"/>
          <w:szCs w:val="18"/>
          <w:color w:val="auto"/>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March 31, 2022 that have materially affected, or are reasonably likely to materially affect, our internal control over financial reporting.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Internal Control Over Financial Reporting</w:t>
      </w:r>
    </w:p>
    <w:p>
      <w:pPr>
        <w:spacing w:after="0" w:line="156" w:lineRule="exact"/>
        <w:rPr>
          <w:sz w:val="20"/>
          <w:szCs w:val="20"/>
          <w:color w:val="auto"/>
        </w:rPr>
      </w:pPr>
    </w:p>
    <w:p>
      <w:pPr>
        <w:ind w:right="40" w:firstLine="397"/>
        <w:spacing w:after="0" w:line="270"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6" w:lineRule="exact"/>
        <w:rPr>
          <w:sz w:val="20"/>
          <w:szCs w:val="20"/>
          <w:color w:val="auto"/>
        </w:rPr>
      </w:pPr>
    </w:p>
    <w:p>
      <w:pPr>
        <w:ind w:right="360" w:firstLine="397"/>
        <w:spacing w:after="0" w:line="263" w:lineRule="auto"/>
        <w:rPr>
          <w:sz w:val="20"/>
          <w:szCs w:val="20"/>
          <w:color w:val="auto"/>
        </w:rPr>
      </w:pPr>
      <w:r>
        <w:rPr>
          <w:rFonts w:ascii="Arial" w:cs="Arial" w:eastAsia="Arial" w:hAnsi="Arial"/>
          <w:sz w:val="18"/>
          <w:szCs w:val="18"/>
          <w:color w:val="auto"/>
        </w:rPr>
        <w:t>See Note 8 to our unaudited condensed consolidated financial statements contained within this quarterly report on Form 10-Q for a discussion of our legal proceedings.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3" w:lineRule="exact"/>
        <w:rPr>
          <w:sz w:val="20"/>
          <w:szCs w:val="20"/>
          <w:color w:val="auto"/>
        </w:rPr>
      </w:pPr>
    </w:p>
    <w:p>
      <w:pPr>
        <w:ind w:right="20" w:firstLine="397"/>
        <w:spacing w:after="0" w:line="249"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 Risk Factors” in our annual report on Form 10-K for the fiscal year ended June 30, 2021, filed on August 19, 2021.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6" w:lineRule="exact"/>
        <w:rPr>
          <w:sz w:val="20"/>
          <w:szCs w:val="20"/>
          <w:color w:val="auto"/>
        </w:rPr>
      </w:pPr>
    </w:p>
    <w:p>
      <w:pPr>
        <w:ind w:right="120" w:firstLine="397"/>
        <w:spacing w:after="0" w:line="251" w:lineRule="auto"/>
        <w:rPr>
          <w:sz w:val="20"/>
          <w:szCs w:val="20"/>
          <w:color w:val="auto"/>
        </w:rPr>
      </w:pPr>
      <w:r>
        <w:rPr>
          <w:rFonts w:ascii="Arial" w:cs="Arial" w:eastAsia="Arial" w:hAnsi="Arial"/>
          <w:sz w:val="18"/>
          <w:szCs w:val="18"/>
          <w:color w:val="auto"/>
        </w:rPr>
        <w:t>On November 27, 2017, our Board of Directors approved a stock repurchase plan, as amended on February 1, 2019, August 27, 2020, and February 17, 2022. Under the plan, we are authorized to repurchase up to $60.0 million of our outstanding shares through November 30, 2023. The repurchase program permits us to purchase shares from time to time through a variety of methods, including in the open market, through privately negotiated transactions or other means as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9" w:name="page30"/>
    <w:bookmarkEnd w:id="29"/>
    <w:p>
      <w:pPr>
        <w:spacing w:after="0" w:line="311" w:lineRule="auto"/>
        <w:rPr>
          <w:sz w:val="20"/>
          <w:szCs w:val="20"/>
          <w:color w:val="auto"/>
        </w:rPr>
      </w:pPr>
      <w:r>
        <w:rPr>
          <w:rFonts w:ascii="Arial" w:cs="Arial" w:eastAsia="Arial" w:hAnsi="Arial"/>
          <w:sz w:val="15"/>
          <w:szCs w:val="15"/>
          <w:color w:val="auto"/>
        </w:rPr>
        <w:t>determined by our management, in accordance with applicable securities laws. As part of the repurchase program, we have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During the three months ended March 31, 2022, we repurchased 0.3 million shares of our common stock on the open market at an aggregate purchase price of $1.7 million under this repurchase program.</w:t>
      </w:r>
    </w:p>
    <w:p>
      <w:pPr>
        <w:spacing w:after="0" w:line="72" w:lineRule="exact"/>
        <w:rPr>
          <w:sz w:val="20"/>
          <w:szCs w:val="20"/>
          <w:color w:val="auto"/>
        </w:rPr>
      </w:pPr>
    </w:p>
    <w:p>
      <w:pPr>
        <w:ind w:right="480" w:firstLine="397"/>
        <w:spacing w:after="0" w:line="263" w:lineRule="auto"/>
        <w:rPr>
          <w:sz w:val="20"/>
          <w:szCs w:val="20"/>
          <w:color w:val="auto"/>
        </w:rPr>
      </w:pPr>
      <w:r>
        <w:rPr>
          <w:rFonts w:ascii="Arial" w:cs="Arial" w:eastAsia="Arial" w:hAnsi="Arial"/>
          <w:sz w:val="18"/>
          <w:szCs w:val="18"/>
          <w:color w:val="auto"/>
        </w:rPr>
        <w:t>The following table provides information with respect to all purchases made by the Company during the three months ended March 31, 2022. All purchases listed below were made in the open market at prevailing market prices.</w:t>
      </w:r>
    </w:p>
    <w:tbl>
      <w:tblPr>
        <w:tblLayout w:type="fixed"/>
        <w:tblInd w:w="0" w:type="dxa"/>
        <w:tblCellMar>
          <w:top w:w="0" w:type="dxa"/>
          <w:left w:w="0" w:type="dxa"/>
          <w:bottom w:w="0" w:type="dxa"/>
          <w:right w:w="0" w:type="dxa"/>
        </w:tblCellMar>
      </w:tblPr>
      <w:tr>
        <w:trPr>
          <w:trHeight w:val="180"/>
        </w:trPr>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right"/>
              <w:ind w:right="32"/>
              <w:spacing w:after="0" w:line="180" w:lineRule="exact"/>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5"/>
                <w:szCs w:val="15"/>
                <w:color w:val="auto"/>
              </w:rPr>
            </w:pPr>
          </w:p>
        </w:tc>
        <w:tc>
          <w:tcPr>
            <w:tcW w:w="23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Maximum Dollar Value</w:t>
            </w: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4"/>
              </w:rPr>
              <w:t>Shares Purchased as</w:t>
            </w:r>
          </w:p>
        </w:tc>
        <w:tc>
          <w:tcPr>
            <w:tcW w:w="100" w:type="dxa"/>
            <w:vAlign w:val="bottom"/>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4"/>
                <w:szCs w:val="14"/>
                <w:color w:val="auto"/>
              </w:rPr>
            </w:pPr>
          </w:p>
        </w:tc>
        <w:tc>
          <w:tcPr>
            <w:tcW w:w="234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w w:val="94"/>
              </w:rPr>
              <w:t>Average Price Paid Per</w:t>
            </w:r>
          </w:p>
        </w:tc>
        <w:tc>
          <w:tcPr>
            <w:tcW w:w="190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0"/>
              </w:rPr>
              <w:t>Part of Publicly</w:t>
            </w:r>
          </w:p>
        </w:tc>
        <w:tc>
          <w:tcPr>
            <w:tcW w:w="100" w:type="dxa"/>
            <w:vAlign w:val="bottom"/>
          </w:tcPr>
          <w:p>
            <w:pPr>
              <w:spacing w:after="0"/>
              <w:rPr>
                <w:sz w:val="14"/>
                <w:szCs w:val="14"/>
                <w:color w:val="auto"/>
              </w:rPr>
            </w:pPr>
          </w:p>
        </w:tc>
        <w:tc>
          <w:tcPr>
            <w:tcW w:w="2320" w:type="dxa"/>
            <w:vAlign w:val="bottom"/>
            <w:gridSpan w:val="2"/>
          </w:tcPr>
          <w:p>
            <w:pPr>
              <w:jc w:val="center"/>
              <w:spacing w:after="0" w:line="172" w:lineRule="exact"/>
              <w:rPr>
                <w:sz w:val="20"/>
                <w:szCs w:val="20"/>
                <w:color w:val="auto"/>
              </w:rPr>
            </w:pPr>
            <w:r>
              <w:rPr>
                <w:rFonts w:ascii="Arial" w:cs="Arial" w:eastAsia="Arial" w:hAnsi="Arial"/>
                <w:sz w:val="18"/>
                <w:szCs w:val="18"/>
                <w:b w:val="1"/>
                <w:bCs w:val="1"/>
                <w:color w:val="auto"/>
                <w:w w:val="88"/>
              </w:rPr>
              <w:t>of Shares that May Yet Be</w:t>
            </w:r>
          </w:p>
        </w:tc>
        <w:tc>
          <w:tcPr>
            <w:tcW w:w="0" w:type="dxa"/>
            <w:vAlign w:val="bottom"/>
          </w:tcPr>
          <w:p>
            <w:pPr>
              <w:spacing w:after="0"/>
              <w:rPr>
                <w:sz w:val="1"/>
                <w:szCs w:val="1"/>
                <w:color w:val="auto"/>
              </w:rPr>
            </w:pPr>
          </w:p>
        </w:tc>
      </w:tr>
      <w:tr>
        <w:trPr>
          <w:trHeight w:val="172"/>
        </w:trPr>
        <w:tc>
          <w:tcPr>
            <w:tcW w:w="240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Period</w:t>
            </w:r>
          </w:p>
        </w:tc>
        <w:tc>
          <w:tcPr>
            <w:tcW w:w="100" w:type="dxa"/>
            <w:vAlign w:val="bottom"/>
            <w:vMerge w:val="restart"/>
          </w:tcPr>
          <w:p>
            <w:pPr>
              <w:spacing w:after="0"/>
              <w:rPr>
                <w:sz w:val="14"/>
                <w:szCs w:val="14"/>
                <w:color w:val="auto"/>
              </w:rPr>
            </w:pPr>
          </w:p>
        </w:tc>
        <w:tc>
          <w:tcPr>
            <w:tcW w:w="1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3"/>
            <w:vMerge w:val="continue"/>
          </w:tcPr>
          <w:p>
            <w:pPr>
              <w:spacing w:after="0"/>
              <w:rPr>
                <w:sz w:val="14"/>
                <w:szCs w:val="14"/>
                <w:color w:val="auto"/>
              </w:rPr>
            </w:pPr>
          </w:p>
        </w:tc>
        <w:tc>
          <w:tcPr>
            <w:tcW w:w="190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7"/>
              </w:rPr>
              <w:t>Announced Plans or</w:t>
            </w:r>
          </w:p>
        </w:tc>
        <w:tc>
          <w:tcPr>
            <w:tcW w:w="100" w:type="dxa"/>
            <w:vAlign w:val="bottom"/>
          </w:tcPr>
          <w:p>
            <w:pPr>
              <w:spacing w:after="0"/>
              <w:rPr>
                <w:sz w:val="14"/>
                <w:szCs w:val="14"/>
                <w:color w:val="auto"/>
              </w:rPr>
            </w:pPr>
          </w:p>
        </w:tc>
        <w:tc>
          <w:tcPr>
            <w:tcW w:w="2320" w:type="dxa"/>
            <w:vAlign w:val="bottom"/>
            <w:gridSpan w:val="2"/>
          </w:tcPr>
          <w:p>
            <w:pPr>
              <w:jc w:val="center"/>
              <w:spacing w:after="0" w:line="172" w:lineRule="exact"/>
              <w:rPr>
                <w:sz w:val="20"/>
                <w:szCs w:val="20"/>
                <w:color w:val="auto"/>
              </w:rPr>
            </w:pPr>
            <w:r>
              <w:rPr>
                <w:rFonts w:ascii="Arial" w:cs="Arial" w:eastAsia="Arial" w:hAnsi="Arial"/>
                <w:sz w:val="18"/>
                <w:szCs w:val="18"/>
                <w:b w:val="1"/>
                <w:bCs w:val="1"/>
                <w:color w:val="auto"/>
                <w:w w:val="87"/>
              </w:rPr>
              <w:t>Purchased Under the Plans or</w:t>
            </w:r>
          </w:p>
        </w:tc>
        <w:tc>
          <w:tcPr>
            <w:tcW w:w="0" w:type="dxa"/>
            <w:vAlign w:val="bottom"/>
          </w:tcPr>
          <w:p>
            <w:pPr>
              <w:spacing w:after="0"/>
              <w:rPr>
                <w:sz w:val="1"/>
                <w:szCs w:val="1"/>
                <w:color w:val="auto"/>
              </w:rPr>
            </w:pPr>
          </w:p>
        </w:tc>
      </w:tr>
      <w:tr>
        <w:trPr>
          <w:trHeight w:val="225"/>
        </w:trPr>
        <w:tc>
          <w:tcPr>
            <w:tcW w:w="24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b w:val="1"/>
                <w:bCs w:val="1"/>
                <w:color w:val="auto"/>
              </w:rPr>
              <w:t>Share</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512"/>
              <w:spacing w:after="0" w:line="225" w:lineRule="exact"/>
              <w:rPr>
                <w:sz w:val="20"/>
                <w:szCs w:val="20"/>
                <w:color w:val="auto"/>
              </w:rPr>
            </w:pPr>
            <w:r>
              <w:rPr>
                <w:rFonts w:ascii="Arial" w:cs="Arial" w:eastAsia="Arial" w:hAnsi="Arial"/>
                <w:sz w:val="18"/>
                <w:szCs w:val="18"/>
                <w:b w:val="1"/>
                <w:bCs w:val="1"/>
                <w:color w:val="auto"/>
                <w:w w:val="85"/>
              </w:rPr>
              <w:t xml:space="preserve">Programs </w:t>
            </w:r>
            <w:r>
              <w:rPr>
                <w:rFonts w:ascii="Arial" w:cs="Arial" w:eastAsia="Arial" w:hAnsi="Arial"/>
                <w:sz w:val="22"/>
                <w:szCs w:val="22"/>
                <w:b w:val="1"/>
                <w:bCs w:val="1"/>
                <w:color w:val="auto"/>
                <w:w w:val="85"/>
                <w:vertAlign w:val="superscript"/>
              </w:rPr>
              <w:t>(1)</w:t>
            </w:r>
          </w:p>
        </w:tc>
        <w:tc>
          <w:tcPr>
            <w:tcW w:w="0" w:type="dxa"/>
            <w:vAlign w:val="bottom"/>
          </w:tcPr>
          <w:p>
            <w:pPr>
              <w:spacing w:after="0"/>
              <w:rPr>
                <w:sz w:val="1"/>
                <w:szCs w:val="1"/>
                <w:color w:val="auto"/>
              </w:rPr>
            </w:pPr>
          </w:p>
        </w:tc>
      </w:tr>
      <w:tr>
        <w:trPr>
          <w:trHeight w:val="218"/>
        </w:trPr>
        <w:tc>
          <w:tcPr>
            <w:tcW w:w="2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January 1 - January 31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29,861,972</w:t>
            </w:r>
          </w:p>
        </w:tc>
        <w:tc>
          <w:tcPr>
            <w:tcW w:w="0" w:type="dxa"/>
            <w:vAlign w:val="bottom"/>
          </w:tcPr>
          <w:p>
            <w:pPr>
              <w:spacing w:after="0"/>
              <w:rPr>
                <w:sz w:val="1"/>
                <w:szCs w:val="1"/>
                <w:color w:val="auto"/>
              </w:rPr>
            </w:pPr>
          </w:p>
        </w:tc>
      </w:tr>
      <w:tr>
        <w:trPr>
          <w:trHeight w:val="224"/>
        </w:trPr>
        <w:tc>
          <w:tcPr>
            <w:tcW w:w="2500" w:type="dxa"/>
            <w:vAlign w:val="bottom"/>
            <w:gridSpan w:val="2"/>
          </w:tcPr>
          <w:p>
            <w:pPr>
              <w:ind w:left="420"/>
              <w:spacing w:after="0"/>
              <w:rPr>
                <w:sz w:val="20"/>
                <w:szCs w:val="20"/>
                <w:color w:val="auto"/>
              </w:rPr>
            </w:pPr>
            <w:r>
              <w:rPr>
                <w:rFonts w:ascii="Arial" w:cs="Arial" w:eastAsia="Arial" w:hAnsi="Arial"/>
                <w:sz w:val="18"/>
                <w:szCs w:val="18"/>
                <w:color w:val="auto"/>
              </w:rPr>
              <w:t>February 1 - February 28</w:t>
            </w:r>
          </w:p>
        </w:tc>
        <w:tc>
          <w:tcPr>
            <w:tcW w:w="1880" w:type="dxa"/>
            <w:vAlign w:val="bottom"/>
          </w:tcPr>
          <w:p>
            <w:pPr>
              <w:jc w:val="right"/>
              <w:spacing w:after="0"/>
              <w:rPr>
                <w:sz w:val="20"/>
                <w:szCs w:val="20"/>
                <w:color w:val="auto"/>
              </w:rPr>
            </w:pPr>
            <w:r>
              <w:rPr>
                <w:rFonts w:ascii="Arial" w:cs="Arial" w:eastAsia="Arial" w:hAnsi="Arial"/>
                <w:sz w:val="18"/>
                <w:szCs w:val="18"/>
                <w:color w:val="auto"/>
              </w:rPr>
              <w:t>295,148</w:t>
            </w:r>
          </w:p>
        </w:tc>
        <w:tc>
          <w:tcPr>
            <w:tcW w:w="8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295,148</w:t>
            </w: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28,314,733</w:t>
            </w:r>
          </w:p>
        </w:tc>
        <w:tc>
          <w:tcPr>
            <w:tcW w:w="0" w:type="dxa"/>
            <w:vAlign w:val="bottom"/>
          </w:tcPr>
          <w:p>
            <w:pPr>
              <w:spacing w:after="0"/>
              <w:rPr>
                <w:sz w:val="1"/>
                <w:szCs w:val="1"/>
                <w:color w:val="auto"/>
              </w:rPr>
            </w:pPr>
          </w:p>
        </w:tc>
      </w:tr>
      <w:tr>
        <w:trPr>
          <w:trHeight w:val="225"/>
        </w:trPr>
        <w:tc>
          <w:tcPr>
            <w:tcW w:w="2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March 1 - March 31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31,140</w:t>
            </w:r>
          </w:p>
        </w:tc>
        <w:tc>
          <w:tcPr>
            <w:tcW w:w="8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31,140</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28,133,664</w:t>
            </w:r>
          </w:p>
        </w:tc>
        <w:tc>
          <w:tcPr>
            <w:tcW w:w="0" w:type="dxa"/>
            <w:vAlign w:val="bottom"/>
          </w:tcPr>
          <w:p>
            <w:pPr>
              <w:spacing w:after="0"/>
              <w:rPr>
                <w:sz w:val="1"/>
                <w:szCs w:val="1"/>
                <w:color w:val="auto"/>
              </w:rPr>
            </w:pPr>
          </w:p>
        </w:tc>
      </w:tr>
      <w:tr>
        <w:trPr>
          <w:trHeight w:val="218"/>
        </w:trPr>
        <w:tc>
          <w:tcPr>
            <w:tcW w:w="250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326,288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326,288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840" w:firstLine="317"/>
        <w:spacing w:after="0" w:line="398" w:lineRule="auto"/>
        <w:rPr>
          <w:sz w:val="20"/>
          <w:szCs w:val="20"/>
          <w:color w:val="auto"/>
        </w:rPr>
      </w:pPr>
      <w:r>
        <w:rPr>
          <w:rFonts w:ascii="Arial" w:cs="Arial" w:eastAsia="Arial" w:hAnsi="Arial"/>
          <w:sz w:val="18"/>
          <w:szCs w:val="18"/>
          <w:color w:val="auto"/>
        </w:rPr>
        <w:t xml:space="preserve">(1) Adjusted to account for the increase in the authorized share repurchase amount approved by our Board of Directors on February 17, 2022. </w:t>
      </w:r>
      <w:r>
        <w:rPr>
          <w:rFonts w:ascii="Arial" w:cs="Arial" w:eastAsia="Arial" w:hAnsi="Arial"/>
          <w:sz w:val="18"/>
          <w:szCs w:val="18"/>
          <w:b w:val="1"/>
          <w:bCs w:val="1"/>
          <w:color w:val="auto"/>
        </w:rPr>
        <w:t>Item 3. Defaults Upon Senior Securities</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026"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Document Description</w:t>
            </w:r>
          </w:p>
        </w:tc>
        <w:tc>
          <w:tcPr>
            <w:tcW w:w="100" w:type="dxa"/>
            <w:vAlign w:val="bottom"/>
          </w:tcPr>
          <w:p>
            <w:pPr>
              <w:spacing w:after="0"/>
              <w:rPr>
                <w:sz w:val="16"/>
                <w:szCs w:val="16"/>
                <w:color w:val="auto"/>
              </w:rPr>
            </w:pPr>
          </w:p>
        </w:tc>
        <w:tc>
          <w:tcPr>
            <w:tcW w:w="44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Filed Herewith or Incorporate by Reference From</w:t>
            </w:r>
          </w:p>
        </w:tc>
      </w:tr>
      <w:tr>
        <w:trPr>
          <w:trHeight w:val="276"/>
        </w:trPr>
        <w:tc>
          <w:tcPr>
            <w:tcW w:w="9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w w:val="96"/>
              </w:rPr>
            </w:pPr>
            <w:hyperlink r:id="rId49">
              <w:r>
                <w:rPr>
                  <w:rFonts w:ascii="Arial" w:cs="Arial" w:eastAsia="Arial" w:hAnsi="Arial"/>
                  <w:sz w:val="18"/>
                  <w:szCs w:val="18"/>
                  <w:color w:val="0000FF"/>
                  <w:w w:val="96"/>
                </w:rPr>
                <w:t>Certificate of Incorporation, as filed with the Delaware Secretary of</w:t>
              </w:r>
            </w:hyperlink>
          </w:p>
        </w:tc>
        <w:tc>
          <w:tcPr>
            <w:tcW w:w="4440" w:type="dxa"/>
            <w:vAlign w:val="bottom"/>
          </w:tcPr>
          <w:p>
            <w:pPr>
              <w:ind w:left="20"/>
              <w:spacing w:after="0"/>
              <w:rPr>
                <w:sz w:val="20"/>
                <w:szCs w:val="20"/>
                <w:color w:val="auto"/>
              </w:rPr>
            </w:pPr>
            <w:r>
              <w:rPr>
                <w:rFonts w:ascii="Arial" w:cs="Arial" w:eastAsia="Arial" w:hAnsi="Arial"/>
                <w:sz w:val="18"/>
                <w:szCs w:val="18"/>
                <w:color w:val="auto"/>
                <w:w w:val="91"/>
              </w:rPr>
              <w:t>Exhibit 3.1 to the Current Report on Form 8-K filed on March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2"/>
              </w:rPr>
            </w:pPr>
            <w:hyperlink r:id="rId49">
              <w:r>
                <w:rPr>
                  <w:rFonts w:ascii="Arial" w:cs="Arial" w:eastAsia="Arial" w:hAnsi="Arial"/>
                  <w:sz w:val="17"/>
                  <w:szCs w:val="17"/>
                  <w:color w:val="0000FF"/>
                  <w:w w:val="92"/>
                </w:rPr>
                <w:t>State on March 9, 2018</w:t>
              </w:r>
            </w:hyperlink>
          </w:p>
        </w:tc>
        <w:tc>
          <w:tcPr>
            <w:tcW w:w="312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ind w:left="20"/>
              <w:spacing w:after="0" w:line="152" w:lineRule="exact"/>
              <w:rPr>
                <w:sz w:val="20"/>
                <w:szCs w:val="20"/>
                <w:color w:val="auto"/>
              </w:rPr>
            </w:pPr>
            <w:r>
              <w:rPr>
                <w:rFonts w:ascii="Arial" w:cs="Arial" w:eastAsia="Arial" w:hAnsi="Arial"/>
                <w:sz w:val="17"/>
                <w:szCs w:val="17"/>
                <w:color w:val="auto"/>
              </w:rPr>
              <w:t>13, 2018.</w:t>
            </w:r>
          </w:p>
        </w:tc>
      </w:tr>
      <w:tr>
        <w:trPr>
          <w:trHeight w:val="310"/>
        </w:trPr>
        <w:tc>
          <w:tcPr>
            <w:tcW w:w="9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rPr>
            </w:pPr>
            <w:hyperlink r:id="rId50">
              <w:r>
                <w:rPr>
                  <w:rFonts w:ascii="Arial" w:cs="Arial" w:eastAsia="Arial" w:hAnsi="Arial"/>
                  <w:sz w:val="18"/>
                  <w:szCs w:val="18"/>
                  <w:color w:val="0000FF"/>
                </w:rPr>
                <w:t>Amended and Restated Bylaws, August 9, 2019</w:t>
              </w:r>
            </w:hyperlink>
          </w:p>
        </w:tc>
        <w:tc>
          <w:tcPr>
            <w:tcW w:w="4440" w:type="dxa"/>
            <w:vAlign w:val="bottom"/>
          </w:tcPr>
          <w:p>
            <w:pPr>
              <w:ind w:left="20"/>
              <w:spacing w:after="0"/>
              <w:rPr>
                <w:sz w:val="20"/>
                <w:szCs w:val="20"/>
                <w:color w:val="auto"/>
              </w:rPr>
            </w:pPr>
            <w:r>
              <w:rPr>
                <w:rFonts w:ascii="Arial" w:cs="Arial" w:eastAsia="Arial" w:hAnsi="Arial"/>
                <w:sz w:val="18"/>
                <w:szCs w:val="18"/>
                <w:color w:val="auto"/>
              </w:rPr>
              <w:t>Exhibit 3.1 to the Current Report on Form 8-K filed on</w:t>
            </w: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Pr>
          <w:p>
            <w:pPr>
              <w:ind w:left="20"/>
              <w:spacing w:after="0" w:line="203" w:lineRule="exact"/>
              <w:rPr>
                <w:sz w:val="20"/>
                <w:szCs w:val="20"/>
                <w:color w:val="auto"/>
              </w:rPr>
            </w:pPr>
            <w:r>
              <w:rPr>
                <w:rFonts w:ascii="Arial" w:cs="Arial" w:eastAsia="Arial" w:hAnsi="Arial"/>
                <w:sz w:val="18"/>
                <w:szCs w:val="18"/>
                <w:color w:val="auto"/>
              </w:rPr>
              <w:t>August 15, 2019</w:t>
            </w:r>
          </w:p>
        </w:tc>
      </w:tr>
      <w:tr>
        <w:trPr>
          <w:trHeight w:val="279"/>
        </w:trPr>
        <w:tc>
          <w:tcPr>
            <w:tcW w:w="98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Certification of principal executive officer pursuant to Rule 13a-</w:t>
              </w:r>
            </w:hyperlink>
          </w:p>
        </w:tc>
        <w:tc>
          <w:tcPr>
            <w:tcW w:w="44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0000FF"/>
            </w:tcBorders>
            <w:gridSpan w:val="5"/>
          </w:tcPr>
          <w:p>
            <w:pPr>
              <w:spacing w:after="0" w:line="152" w:lineRule="exact"/>
              <w:rPr>
                <w:rFonts w:ascii="Arial" w:cs="Arial" w:eastAsia="Arial" w:hAnsi="Arial"/>
                <w:sz w:val="17"/>
                <w:szCs w:val="17"/>
                <w:color w:val="0000FF"/>
              </w:rPr>
            </w:pPr>
            <w:hyperlink w:anchor="page33">
              <w:r>
                <w:rPr>
                  <w:rFonts w:ascii="Arial" w:cs="Arial" w:eastAsia="Arial" w:hAnsi="Arial"/>
                  <w:sz w:val="17"/>
                  <w:szCs w:val="17"/>
                  <w:color w:val="0000FF"/>
                </w:rPr>
                <w:t>14(a)/15d-14(a)</w:t>
              </w:r>
            </w:hyperlink>
          </w:p>
        </w:tc>
        <w:tc>
          <w:tcPr>
            <w:tcW w:w="3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10"/>
        </w:trPr>
        <w:tc>
          <w:tcPr>
            <w:tcW w:w="98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Certification of principal financial officer pursuant to Rule 13a-</w:t>
              </w:r>
            </w:hyperlink>
          </w:p>
        </w:tc>
        <w:tc>
          <w:tcPr>
            <w:tcW w:w="44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4"/>
          </w:tcPr>
          <w:p>
            <w:pPr>
              <w:spacing w:after="0" w:line="152" w:lineRule="exact"/>
              <w:rPr>
                <w:rFonts w:ascii="Arial" w:cs="Arial" w:eastAsia="Arial" w:hAnsi="Arial"/>
                <w:sz w:val="17"/>
                <w:szCs w:val="17"/>
                <w:color w:val="0000FF"/>
              </w:rPr>
            </w:pPr>
            <w:hyperlink w:anchor="page34">
              <w:r>
                <w:rPr>
                  <w:rFonts w:ascii="Arial" w:cs="Arial" w:eastAsia="Arial" w:hAnsi="Arial"/>
                  <w:sz w:val="17"/>
                  <w:szCs w:val="17"/>
                  <w:color w:val="0000FF"/>
                </w:rPr>
                <w:t>14(a)/15d-14(a)</w:t>
              </w:r>
            </w:hyperlink>
          </w:p>
        </w:tc>
        <w:tc>
          <w:tcPr>
            <w:tcW w:w="4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10"/>
        </w:trPr>
        <w:tc>
          <w:tcPr>
            <w:tcW w:w="98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w w:val="93"/>
              </w:rPr>
            </w:pPr>
            <w:hyperlink w:anchor="page35">
              <w:r>
                <w:rPr>
                  <w:rFonts w:ascii="Arial" w:cs="Arial" w:eastAsia="Arial" w:hAnsi="Arial"/>
                  <w:sz w:val="18"/>
                  <w:szCs w:val="18"/>
                  <w:color w:val="0000FF"/>
                  <w:w w:val="93"/>
                </w:rPr>
                <w:t>Certification of principal executive officer pursuant to 18 U.S.C. 1350,</w:t>
              </w:r>
            </w:hyperlink>
          </w:p>
        </w:tc>
        <w:tc>
          <w:tcPr>
            <w:tcW w:w="444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8"/>
          </w:tcPr>
          <w:p>
            <w:pPr>
              <w:spacing w:after="0" w:line="152" w:lineRule="exact"/>
              <w:rPr>
                <w:rFonts w:ascii="Arial" w:cs="Arial" w:eastAsia="Arial" w:hAnsi="Arial"/>
                <w:sz w:val="17"/>
                <w:szCs w:val="17"/>
                <w:color w:val="0000FF"/>
                <w:w w:val="93"/>
              </w:rPr>
            </w:pPr>
            <w:hyperlink w:anchor="page35">
              <w:r>
                <w:rPr>
                  <w:rFonts w:ascii="Arial" w:cs="Arial" w:eastAsia="Arial" w:hAnsi="Arial"/>
                  <w:sz w:val="17"/>
                  <w:szCs w:val="17"/>
                  <w:color w:val="0000FF"/>
                  <w:w w:val="93"/>
                </w:rPr>
                <w:t>as adopted pursuant to Section 906 of the Sarbanes-Oxley Act of 2002</w:t>
              </w:r>
            </w:hyperlink>
          </w:p>
        </w:tc>
        <w:tc>
          <w:tcPr>
            <w:tcW w:w="20" w:type="dxa"/>
            <w:vAlign w:val="bottom"/>
            <w:tcBorders>
              <w:top w:val="single" w:sz="8" w:color="0000FF"/>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310"/>
        </w:trPr>
        <w:tc>
          <w:tcPr>
            <w:tcW w:w="98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w w:val="94"/>
              </w:rPr>
            </w:pPr>
            <w:hyperlink w:anchor="page36">
              <w:r>
                <w:rPr>
                  <w:rFonts w:ascii="Arial" w:cs="Arial" w:eastAsia="Arial" w:hAnsi="Arial"/>
                  <w:sz w:val="18"/>
                  <w:szCs w:val="18"/>
                  <w:color w:val="0000FF"/>
                  <w:w w:val="94"/>
                </w:rPr>
                <w:t>Certification of principal financial officer pursuant to 18 U.S.C. 1350,</w:t>
              </w:r>
            </w:hyperlink>
          </w:p>
        </w:tc>
        <w:tc>
          <w:tcPr>
            <w:tcW w:w="444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2"/>
              </w:rPr>
            </w:pPr>
            <w:hyperlink w:anchor="page36">
              <w:r>
                <w:rPr>
                  <w:rFonts w:ascii="Arial" w:cs="Arial" w:eastAsia="Arial" w:hAnsi="Arial"/>
                  <w:sz w:val="17"/>
                  <w:szCs w:val="17"/>
                  <w:color w:val="0000FF"/>
                  <w:w w:val="92"/>
                </w:rPr>
                <w:t>as adopted pursuant to Section 906 of the Sarbanes-Oxley Act of 2002</w:t>
              </w:r>
            </w:hyperlink>
          </w:p>
        </w:tc>
        <w:tc>
          <w:tcPr>
            <w:tcW w:w="40" w:type="dxa"/>
            <w:vAlign w:val="bottom"/>
            <w:tcBorders>
              <w:bottom w:val="single" w:sz="8" w:color="0000FF"/>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4440" w:type="dxa"/>
            <w:vAlign w:val="bottom"/>
          </w:tcPr>
          <w:p>
            <w:pPr>
              <w:spacing w:after="0"/>
              <w:rPr>
                <w:sz w:val="13"/>
                <w:szCs w:val="13"/>
                <w:color w:val="auto"/>
              </w:rPr>
            </w:pPr>
          </w:p>
        </w:tc>
      </w:tr>
      <w:tr>
        <w:trPr>
          <w:trHeight w:val="298"/>
        </w:trPr>
        <w:tc>
          <w:tcPr>
            <w:tcW w:w="98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w w:val="99"/>
              </w:rPr>
              <w:t>The following financial information from the Company’s quarterly</w:t>
            </w:r>
          </w:p>
        </w:tc>
        <w:tc>
          <w:tcPr>
            <w:tcW w:w="44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3"/>
              </w:rPr>
              <w:t>report on Form 10-Q for the quarter ended March 31, 2022 formatted</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rPr>
              <w:t>in Inline XBRL (extensible Business Reporting Language): (i)</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89"/>
              </w:rPr>
              <w:t>Unaudited Condensed Consolidated Balance Sheets at March 31, 2022</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89"/>
              </w:rPr>
              <w:t>and June 30, 2021; (ii) Unaudited Condensed Consolidated Statements</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0"/>
              </w:rPr>
              <w:t>of Operations and Other Comprehensive Income for the three and nine</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4"/>
              </w:rPr>
              <w:t>months ended March 31, 2022 and 2021; (iii) Unaudited Condensed</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2"/>
              </w:rPr>
              <w:t>Consolidated Statement of Stockholders’ Equity for the three and nine</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4"/>
              </w:rPr>
              <w:t>months ended March 31, 2022 and 2022; (iv) Unaudited Condensed</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5"/>
              </w:rPr>
              <w:t>Consolidated Statements of Cash Flows for the nine months ended</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7"/>
              </w:rPr>
              <w:t>March 31, 2022 and 2021; and (v) Notes to Unaudited Condensed</w:t>
            </w:r>
          </w:p>
        </w:tc>
        <w:tc>
          <w:tcPr>
            <w:tcW w:w="4440" w:type="dxa"/>
            <w:vAlign w:val="bottom"/>
          </w:tcPr>
          <w:p>
            <w:pPr>
              <w:spacing w:after="0"/>
              <w:rPr>
                <w:sz w:val="14"/>
                <w:szCs w:val="1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rPr>
              <w:t>Consolidated Financial Statements, tagged as blocks of text</w:t>
            </w:r>
          </w:p>
        </w:tc>
        <w:tc>
          <w:tcPr>
            <w:tcW w:w="4440" w:type="dxa"/>
            <w:vAlign w:val="bottom"/>
          </w:tcPr>
          <w:p>
            <w:pPr>
              <w:spacing w:after="0"/>
              <w:rPr>
                <w:sz w:val="19"/>
                <w:szCs w:val="19"/>
                <w:color w:val="auto"/>
              </w:rPr>
            </w:pPr>
          </w:p>
        </w:tc>
      </w:tr>
      <w:tr>
        <w:trPr>
          <w:trHeight w:val="174"/>
        </w:trPr>
        <w:tc>
          <w:tcPr>
            <w:tcW w:w="980" w:type="dxa"/>
            <w:vAlign w:val="bottom"/>
          </w:tcPr>
          <w:p>
            <w:pPr>
              <w:jc w:val="center"/>
              <w:spacing w:after="0" w:line="174" w:lineRule="exact"/>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1"/>
          </w:tcPr>
          <w:p>
            <w:pPr>
              <w:spacing w:after="0" w:line="174" w:lineRule="exact"/>
              <w:rPr>
                <w:sz w:val="20"/>
                <w:szCs w:val="20"/>
                <w:color w:val="auto"/>
              </w:rPr>
            </w:pPr>
            <w:r>
              <w:rPr>
                <w:rFonts w:ascii="Arial" w:cs="Arial" w:eastAsia="Arial" w:hAnsi="Arial"/>
                <w:sz w:val="18"/>
                <w:szCs w:val="18"/>
                <w:color w:val="auto"/>
              </w:rPr>
              <w:t>Cover Page Interactive Data File (formatted as Inline XBRL and</w:t>
            </w:r>
          </w:p>
        </w:tc>
        <w:tc>
          <w:tcPr>
            <w:tcW w:w="4440" w:type="dxa"/>
            <w:vAlign w:val="bottom"/>
          </w:tcPr>
          <w:p>
            <w:pPr>
              <w:ind w:left="20"/>
              <w:spacing w:after="0" w:line="174" w:lineRule="exact"/>
              <w:rPr>
                <w:sz w:val="20"/>
                <w:szCs w:val="20"/>
                <w:color w:val="auto"/>
              </w:rPr>
            </w:pPr>
            <w:r>
              <w:rPr>
                <w:rFonts w:ascii="Arial" w:cs="Arial" w:eastAsia="Arial" w:hAnsi="Arial"/>
                <w:sz w:val="18"/>
                <w:szCs w:val="18"/>
                <w:color w:val="auto"/>
              </w:rPr>
              <w:t>Filed herewith</w:t>
            </w: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rPr>
              <w:t>contained in Exhibit 101</w:t>
            </w:r>
          </w:p>
        </w:tc>
        <w:tc>
          <w:tcPr>
            <w:tcW w:w="44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340"/>
          </w:cols>
          <w:pgMar w:left="320" w:top="1020" w:right="239" w:bottom="1440" w:gutter="0" w:footer="0" w:header="0"/>
        </w:sectPr>
      </w:pPr>
    </w:p>
    <w:p>
      <w:pPr>
        <w:spacing w:after="0" w:line="5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both"/>
        <w:ind w:firstLine="436"/>
        <w:spacing w:after="0" w:line="219" w:lineRule="auto"/>
        <w:rPr>
          <w:sz w:val="20"/>
          <w:szCs w:val="20"/>
          <w:color w:val="auto"/>
        </w:rPr>
      </w:pPr>
      <w:r>
        <w:rPr>
          <w:rFonts w:ascii="Arial" w:cs="Arial" w:eastAsia="Arial" w:hAnsi="Arial"/>
          <w:sz w:val="18"/>
          <w:szCs w:val="18"/>
          <w:color w:val="auto"/>
        </w:rPr>
        <w:t>This certification is being furnished solely to accompany this report pursuant to 18 U.S.C. 1350, and is not being filed for purposes o Section 18 of the Exchange Act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ectPr>
          <w:pgSz w:w="11900" w:h="16838" w:orient="portrait"/>
          <w:cols w:equalWidth="0" w:num="2">
            <w:col w:w="1200" w:space="360"/>
            <w:col w:w="9780"/>
          </w:cols>
          <w:pgMar w:left="320" w:top="102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86995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020" w:right="239" w:bottom="1440" w:gutter="0" w:footer="0" w:header="0"/>
          <w:type w:val="continuous"/>
        </w:sectPr>
      </w:pPr>
    </w:p>
    <w:bookmarkStart w:id="31" w:name="page32"/>
    <w:bookmarkEnd w:id="31"/>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LIFEVANTAGE CORPORATION</w:t>
      </w:r>
    </w:p>
    <w:p>
      <w:pPr>
        <w:spacing w:after="0" w:line="282" w:lineRule="exact"/>
        <w:rPr>
          <w:sz w:val="20"/>
          <w:szCs w:val="20"/>
          <w:color w:val="auto"/>
        </w:rPr>
      </w:pPr>
    </w:p>
    <w:p>
      <w:pPr>
        <w:ind w:left="20"/>
        <w:spacing w:after="0"/>
        <w:tabs>
          <w:tab w:leader="none" w:pos="640" w:val="left"/>
          <w:tab w:leader="none" w:pos="5500" w:val="left"/>
        </w:tabs>
        <w:rPr>
          <w:sz w:val="20"/>
          <w:szCs w:val="20"/>
          <w:color w:val="auto"/>
        </w:rPr>
      </w:pPr>
      <w:r>
        <w:rPr>
          <w:rFonts w:ascii="Arial" w:cs="Arial" w:eastAsia="Arial" w:hAnsi="Arial"/>
          <w:sz w:val="18"/>
          <w:szCs w:val="18"/>
          <w:color w:val="auto"/>
        </w:rPr>
        <w:t>Date:</w:t>
        <w:tab/>
        <w:t>May 3, 2022</w:t>
      </w:r>
      <w:r>
        <w:rPr>
          <w:sz w:val="20"/>
          <w:szCs w:val="20"/>
          <w:color w:val="auto"/>
        </w:rPr>
        <w:tab/>
      </w:r>
      <w:r>
        <w:rPr>
          <w:rFonts w:ascii="Arial" w:cs="Arial" w:eastAsia="Arial" w:hAnsi="Arial"/>
          <w:sz w:val="15"/>
          <w:szCs w:val="15"/>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8"/>
          <w:szCs w:val="18"/>
          <w:color w:val="auto"/>
        </w:rPr>
        <w:t>Steven R. Fife</w:t>
      </w:r>
    </w:p>
    <w:p>
      <w:pPr>
        <w:ind w:left="5520"/>
        <w:spacing w:after="0" w:line="199" w:lineRule="auto"/>
        <w:rPr>
          <w:sz w:val="20"/>
          <w:szCs w:val="20"/>
          <w:color w:val="auto"/>
        </w:rPr>
      </w:pPr>
      <w:r>
        <w:rPr>
          <w:rFonts w:ascii="Arial" w:cs="Arial" w:eastAsia="Arial" w:hAnsi="Arial"/>
          <w:sz w:val="18"/>
          <w:szCs w:val="18"/>
          <w:color w:val="auto"/>
        </w:rPr>
        <w:t>President and Chief Executive Officer</w:t>
      </w:r>
    </w:p>
    <w:p>
      <w:pPr>
        <w:ind w:left="5520"/>
        <w:spacing w:after="0"/>
        <w:rPr>
          <w:sz w:val="20"/>
          <w:szCs w:val="20"/>
          <w:color w:val="auto"/>
        </w:rPr>
      </w:pPr>
      <w:r>
        <w:rPr>
          <w:rFonts w:ascii="Arial" w:cs="Arial" w:eastAsia="Arial" w:hAnsi="Arial"/>
          <w:sz w:val="18"/>
          <w:szCs w:val="18"/>
          <w:color w:val="auto"/>
        </w:rPr>
        <w:t>(Principal Executive Officer)</w:t>
      </w:r>
    </w:p>
    <w:p>
      <w:pPr>
        <w:spacing w:after="0" w:line="268" w:lineRule="exact"/>
        <w:rPr>
          <w:sz w:val="20"/>
          <w:szCs w:val="20"/>
          <w:color w:val="auto"/>
        </w:rPr>
      </w:pPr>
    </w:p>
    <w:p>
      <w:pPr>
        <w:ind w:left="20"/>
        <w:spacing w:after="0"/>
        <w:tabs>
          <w:tab w:leader="none" w:pos="640" w:val="left"/>
          <w:tab w:leader="none" w:pos="5500" w:val="left"/>
        </w:tabs>
        <w:rPr>
          <w:sz w:val="20"/>
          <w:szCs w:val="20"/>
          <w:color w:val="auto"/>
        </w:rPr>
      </w:pPr>
      <w:r>
        <w:rPr>
          <w:rFonts w:ascii="Arial" w:cs="Arial" w:eastAsia="Arial" w:hAnsi="Arial"/>
          <w:sz w:val="18"/>
          <w:szCs w:val="18"/>
          <w:color w:val="auto"/>
        </w:rPr>
        <w:t>Date:</w:t>
        <w:tab/>
        <w:t>May 3, 2022</w:t>
      </w:r>
      <w:r>
        <w:rPr>
          <w:sz w:val="20"/>
          <w:szCs w:val="20"/>
          <w:color w:val="auto"/>
        </w:rPr>
        <w:tab/>
      </w:r>
      <w:r>
        <w:rPr>
          <w:rFonts w:ascii="Arial" w:cs="Arial" w:eastAsia="Arial" w:hAnsi="Arial"/>
          <w:sz w:val="15"/>
          <w:szCs w:val="15"/>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8"/>
          <w:szCs w:val="18"/>
          <w:color w:val="auto"/>
        </w:rPr>
        <w:t>Carl A. Aure</w:t>
      </w:r>
    </w:p>
    <w:p>
      <w:pPr>
        <w:ind w:left="5520"/>
        <w:spacing w:after="0" w:line="199" w:lineRule="auto"/>
        <w:rPr>
          <w:sz w:val="20"/>
          <w:szCs w:val="20"/>
          <w:color w:val="auto"/>
        </w:rPr>
      </w:pPr>
      <w:r>
        <w:rPr>
          <w:rFonts w:ascii="Arial" w:cs="Arial" w:eastAsia="Arial" w:hAnsi="Arial"/>
          <w:sz w:val="18"/>
          <w:szCs w:val="18"/>
          <w:color w:val="auto"/>
        </w:rPr>
        <w:t>Chief Financial Officer</w:t>
      </w:r>
    </w:p>
    <w:p>
      <w:pPr>
        <w:ind w:left="55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320" w:top="1020" w:right="5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Steven R. Fife, certify that:</w:t>
      </w:r>
    </w:p>
    <w:p>
      <w:pPr>
        <w:spacing w:after="0" w:line="150" w:lineRule="exact"/>
        <w:rPr>
          <w:sz w:val="20"/>
          <w:szCs w:val="20"/>
          <w:color w:val="auto"/>
        </w:rPr>
      </w:pPr>
    </w:p>
    <w:p>
      <w:pPr>
        <w:ind w:left="400" w:hanging="39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9" w:lineRule="exact"/>
        <w:rPr>
          <w:rFonts w:ascii="Arial" w:cs="Arial" w:eastAsia="Arial" w:hAnsi="Arial"/>
          <w:sz w:val="18"/>
          <w:szCs w:val="18"/>
          <w:color w:val="auto"/>
        </w:rPr>
      </w:pPr>
    </w:p>
    <w:p>
      <w:pPr>
        <w:ind w:left="400" w:right="100" w:hanging="394"/>
        <w:spacing w:after="0" w:line="364" w:lineRule="auto"/>
        <w:tabs>
          <w:tab w:leader="none" w:pos="40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5"/>
          <w:szCs w:val="15"/>
          <w:color w:val="auto"/>
        </w:rPr>
      </w:pPr>
    </w:p>
    <w:p>
      <w:pPr>
        <w:ind w:left="400" w:right="560" w:hanging="394"/>
        <w:spacing w:after="0" w:line="293" w:lineRule="auto"/>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7"/>
          <w:szCs w:val="17"/>
          <w:color w:val="auto"/>
        </w:rPr>
      </w:pPr>
    </w:p>
    <w:p>
      <w:pPr>
        <w:ind w:left="400" w:right="40" w:hanging="394"/>
        <w:spacing w:after="0" w:line="254"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800" w:right="460" w:hanging="398"/>
        <w:spacing w:after="0" w:line="254" w:lineRule="auto"/>
        <w:tabs>
          <w:tab w:leader="none" w:pos="79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800" w:right="140" w:hanging="398"/>
        <w:spacing w:after="0" w:line="254" w:lineRule="auto"/>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00" w:right="920" w:hanging="398"/>
        <w:spacing w:after="0" w:line="364" w:lineRule="auto"/>
        <w:tabs>
          <w:tab w:leader="none" w:pos="790" w:val="left"/>
        </w:tabs>
        <w:numPr>
          <w:ilvl w:val="1"/>
          <w:numId w:val="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5"/>
          <w:szCs w:val="15"/>
          <w:color w:val="auto"/>
        </w:rPr>
      </w:pPr>
    </w:p>
    <w:p>
      <w:pPr>
        <w:ind w:left="800" w:right="20" w:hanging="398"/>
        <w:spacing w:after="0" w:line="254" w:lineRule="auto"/>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400" w:right="480" w:hanging="394"/>
        <w:spacing w:after="0" w:line="364" w:lineRule="auto"/>
        <w:tabs>
          <w:tab w:leader="none" w:pos="40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Arial" w:cs="Arial" w:eastAsia="Arial" w:hAnsi="Arial"/>
          <w:sz w:val="15"/>
          <w:szCs w:val="15"/>
          <w:color w:val="auto"/>
        </w:rPr>
      </w:pPr>
    </w:p>
    <w:p>
      <w:pPr>
        <w:ind w:left="800" w:right="360" w:hanging="398"/>
        <w:spacing w:after="0" w:line="293" w:lineRule="auto"/>
        <w:tabs>
          <w:tab w:leader="none" w:pos="79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7"/>
          <w:szCs w:val="17"/>
          <w:color w:val="auto"/>
        </w:rPr>
      </w:pPr>
    </w:p>
    <w:p>
      <w:pPr>
        <w:ind w:left="800" w:right="300" w:hanging="398"/>
        <w:spacing w:after="0" w:line="263" w:lineRule="auto"/>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10795</wp:posOffset>
            </wp:positionV>
            <wp:extent cx="29718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Steven R. Fife</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President and Chief Executive Officer</w:t>
      </w:r>
    </w:p>
    <w:p>
      <w:pPr>
        <w:spacing w:after="0" w:line="206" w:lineRule="auto"/>
        <w:rPr>
          <w:sz w:val="20"/>
          <w:szCs w:val="20"/>
          <w:color w:val="auto"/>
        </w:rPr>
      </w:pPr>
      <w:r>
        <w:rPr>
          <w:rFonts w:ascii="Arial" w:cs="Arial" w:eastAsia="Arial" w:hAnsi="Arial"/>
          <w:sz w:val="35"/>
          <w:szCs w:val="35"/>
          <w:color w:val="auto"/>
          <w:vertAlign w:val="subscript"/>
        </w:rPr>
        <w:t>Date: May 3, 2022</w:t>
      </w:r>
      <w:r>
        <w:rPr>
          <w:rFonts w:ascii="Arial" w:cs="Arial" w:eastAsia="Arial" w:hAnsi="Arial"/>
          <w:sz w:val="18"/>
          <w:szCs w:val="18"/>
          <w:color w:val="auto"/>
        </w:rPr>
        <w:t>(Principal Executive Officer)</w:t>
      </w:r>
    </w:p>
    <w:p>
      <w:pPr>
        <w:sectPr>
          <w:pgSz w:w="11900" w:h="16838" w:orient="portrait"/>
          <w:cols w:equalWidth="0" w:num="1">
            <w:col w:w="11240"/>
          </w:cols>
          <w:pgMar w:left="320" w:top="87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Carl A. Aure, certify that:</w:t>
      </w:r>
    </w:p>
    <w:p>
      <w:pPr>
        <w:spacing w:after="0" w:line="150" w:lineRule="exact"/>
        <w:rPr>
          <w:sz w:val="20"/>
          <w:szCs w:val="20"/>
          <w:color w:val="auto"/>
        </w:rPr>
      </w:pPr>
    </w:p>
    <w:p>
      <w:pPr>
        <w:ind w:left="400" w:hanging="394"/>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9" w:lineRule="exact"/>
        <w:rPr>
          <w:rFonts w:ascii="Arial" w:cs="Arial" w:eastAsia="Arial" w:hAnsi="Arial"/>
          <w:sz w:val="18"/>
          <w:szCs w:val="18"/>
          <w:color w:val="auto"/>
        </w:rPr>
      </w:pPr>
    </w:p>
    <w:p>
      <w:pPr>
        <w:ind w:left="400" w:right="100" w:hanging="394"/>
        <w:spacing w:after="0" w:line="364" w:lineRule="auto"/>
        <w:tabs>
          <w:tab w:leader="none" w:pos="40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5"/>
          <w:szCs w:val="15"/>
          <w:color w:val="auto"/>
        </w:rPr>
      </w:pPr>
    </w:p>
    <w:p>
      <w:pPr>
        <w:ind w:left="400" w:right="560" w:hanging="394"/>
        <w:spacing w:after="0" w:line="293" w:lineRule="auto"/>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7"/>
          <w:szCs w:val="17"/>
          <w:color w:val="auto"/>
        </w:rPr>
      </w:pPr>
    </w:p>
    <w:p>
      <w:pPr>
        <w:ind w:left="400" w:right="40" w:hanging="394"/>
        <w:spacing w:after="0" w:line="254"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800" w:right="460" w:hanging="398"/>
        <w:spacing w:after="0" w:line="254" w:lineRule="auto"/>
        <w:tabs>
          <w:tab w:leader="none" w:pos="79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800" w:right="140" w:hanging="398"/>
        <w:spacing w:after="0" w:line="254" w:lineRule="auto"/>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00" w:right="920" w:hanging="398"/>
        <w:spacing w:after="0" w:line="364" w:lineRule="auto"/>
        <w:tabs>
          <w:tab w:leader="none" w:pos="790" w:val="left"/>
        </w:tabs>
        <w:numPr>
          <w:ilvl w:val="1"/>
          <w:numId w:val="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5"/>
          <w:szCs w:val="15"/>
          <w:color w:val="auto"/>
        </w:rPr>
      </w:pPr>
    </w:p>
    <w:p>
      <w:pPr>
        <w:ind w:left="800" w:right="20" w:hanging="398"/>
        <w:spacing w:after="0" w:line="254" w:lineRule="auto"/>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400" w:right="480" w:hanging="394"/>
        <w:spacing w:after="0" w:line="364" w:lineRule="auto"/>
        <w:tabs>
          <w:tab w:leader="none" w:pos="4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Arial" w:cs="Arial" w:eastAsia="Arial" w:hAnsi="Arial"/>
          <w:sz w:val="15"/>
          <w:szCs w:val="15"/>
          <w:color w:val="auto"/>
        </w:rPr>
      </w:pPr>
    </w:p>
    <w:p>
      <w:pPr>
        <w:ind w:left="800" w:right="360" w:hanging="398"/>
        <w:spacing w:after="0" w:line="293" w:lineRule="auto"/>
        <w:tabs>
          <w:tab w:leader="none" w:pos="79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7"/>
          <w:szCs w:val="17"/>
          <w:color w:val="auto"/>
        </w:rPr>
      </w:pPr>
    </w:p>
    <w:p>
      <w:pPr>
        <w:ind w:left="800" w:right="300" w:hanging="398"/>
        <w:spacing w:after="0" w:line="263" w:lineRule="auto"/>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10795</wp:posOffset>
            </wp:positionV>
            <wp:extent cx="29718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Carl A. Aure</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Chief Financial Officer</w:t>
      </w:r>
    </w:p>
    <w:p>
      <w:pPr>
        <w:spacing w:after="0" w:line="206" w:lineRule="auto"/>
        <w:rPr>
          <w:sz w:val="20"/>
          <w:szCs w:val="20"/>
          <w:color w:val="auto"/>
        </w:rPr>
      </w:pPr>
      <w:r>
        <w:rPr>
          <w:rFonts w:ascii="Arial" w:cs="Arial" w:eastAsia="Arial" w:hAnsi="Arial"/>
          <w:sz w:val="35"/>
          <w:szCs w:val="35"/>
          <w:color w:val="auto"/>
          <w:vertAlign w:val="subscript"/>
        </w:rPr>
        <w:t>Date: May 3, 2022</w:t>
      </w:r>
      <w:r>
        <w:rPr>
          <w:rFonts w:ascii="Arial" w:cs="Arial" w:eastAsia="Arial" w:hAnsi="Arial"/>
          <w:sz w:val="18"/>
          <w:szCs w:val="18"/>
          <w:color w:val="auto"/>
        </w:rPr>
        <w:t>(Principal Financial Officer)</w:t>
      </w:r>
    </w:p>
    <w:p>
      <w:pPr>
        <w:sectPr>
          <w:pgSz w:w="11900" w:h="16838" w:orient="portrait"/>
          <w:cols w:equalWidth="0" w:num="1">
            <w:col w:w="11240"/>
          </w:cols>
          <w:pgMar w:left="320" w:top="87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5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1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25" w:lineRule="exact"/>
        <w:rPr>
          <w:sz w:val="20"/>
          <w:szCs w:val="20"/>
          <w:color w:val="auto"/>
        </w:rPr>
      </w:pPr>
    </w:p>
    <w:p>
      <w:pPr>
        <w:ind w:right="180" w:firstLine="436"/>
        <w:spacing w:after="0" w:line="27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March 31, 2022, with the Securities and Exchange Commission on the date hereof (the “report”), I, Steven R. Fife, Principal Executive Officer of the Company, certify, pursuant to 18 U.S.C. Section 1350, as adopted pursuant to Section 906 of the Sarbanes-Oxley Act of 2002, that:</w:t>
      </w:r>
    </w:p>
    <w:p>
      <w:pPr>
        <w:spacing w:after="0" w:line="106" w:lineRule="exact"/>
        <w:rPr>
          <w:sz w:val="20"/>
          <w:szCs w:val="20"/>
          <w:color w:val="auto"/>
        </w:rPr>
      </w:pPr>
    </w:p>
    <w:p>
      <w:pPr>
        <w:ind w:left="780" w:hanging="378"/>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9" w:lineRule="exact"/>
        <w:rPr>
          <w:rFonts w:ascii="Arial" w:cs="Arial" w:eastAsia="Arial" w:hAnsi="Arial"/>
          <w:sz w:val="18"/>
          <w:szCs w:val="18"/>
          <w:color w:val="auto"/>
        </w:rPr>
      </w:pPr>
    </w:p>
    <w:p>
      <w:pPr>
        <w:ind w:left="780" w:hanging="378"/>
        <w:spacing w:after="0"/>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200" w:firstLine="436"/>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10795</wp:posOffset>
            </wp:positionV>
            <wp:extent cx="29718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Steven R. Fife</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President and Chief Executive Officer</w:t>
      </w:r>
    </w:p>
    <w:p>
      <w:pPr>
        <w:spacing w:after="0" w:line="206" w:lineRule="auto"/>
        <w:rPr>
          <w:sz w:val="20"/>
          <w:szCs w:val="20"/>
          <w:color w:val="auto"/>
        </w:rPr>
      </w:pPr>
      <w:r>
        <w:rPr>
          <w:rFonts w:ascii="Arial" w:cs="Arial" w:eastAsia="Arial" w:hAnsi="Arial"/>
          <w:sz w:val="35"/>
          <w:szCs w:val="35"/>
          <w:color w:val="auto"/>
          <w:vertAlign w:val="subscript"/>
        </w:rPr>
        <w:t>Date: May 3, 2022</w:t>
      </w:r>
      <w:r>
        <w:rPr>
          <w:rFonts w:ascii="Arial" w:cs="Arial" w:eastAsia="Arial" w:hAnsi="Arial"/>
          <w:sz w:val="18"/>
          <w:szCs w:val="18"/>
          <w:color w:val="auto"/>
        </w:rPr>
        <w:t>(Principal Executive Officer)</w:t>
      </w:r>
    </w:p>
    <w:p>
      <w:pPr>
        <w:spacing w:after="0" w:line="12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15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1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25" w:lineRule="exact"/>
        <w:rPr>
          <w:sz w:val="20"/>
          <w:szCs w:val="20"/>
          <w:color w:val="auto"/>
        </w:rPr>
      </w:pPr>
    </w:p>
    <w:p>
      <w:pPr>
        <w:jc w:val="both"/>
        <w:ind w:right="120" w:firstLine="436"/>
        <w:spacing w:after="0" w:line="254" w:lineRule="auto"/>
        <w:rPr>
          <w:sz w:val="20"/>
          <w:szCs w:val="20"/>
          <w:color w:val="auto"/>
        </w:rPr>
      </w:pPr>
      <w:r>
        <w:rPr>
          <w:rFonts w:ascii="Arial" w:cs="Arial" w:eastAsia="Arial" w:hAnsi="Arial"/>
          <w:sz w:val="18"/>
          <w:szCs w:val="18"/>
          <w:color w:val="auto"/>
        </w:rPr>
        <w:t>In connection with the filing of this quarterly report on Form 10-Q of LifeVantage Corporation (the “Company”) for the period ended March 31, 2022, with the Securities and Exchange Commission on the date hereof (the “report”), I, Carl A. Aure, Principal Financial Officer of the Company, certify, pursuant to 18 U.S.C. Section 1350, as adopted pursuant to Section 906 of the Sarbanes-Oxley Act of 2002, that:</w:t>
      </w:r>
    </w:p>
    <w:p>
      <w:pPr>
        <w:spacing w:after="0" w:line="123" w:lineRule="exact"/>
        <w:rPr>
          <w:sz w:val="20"/>
          <w:szCs w:val="20"/>
          <w:color w:val="auto"/>
        </w:rPr>
      </w:pPr>
    </w:p>
    <w:p>
      <w:pPr>
        <w:ind w:left="780" w:hanging="378"/>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9" w:lineRule="exact"/>
        <w:rPr>
          <w:rFonts w:ascii="Arial" w:cs="Arial" w:eastAsia="Arial" w:hAnsi="Arial"/>
          <w:sz w:val="18"/>
          <w:szCs w:val="18"/>
          <w:color w:val="auto"/>
        </w:rPr>
      </w:pPr>
    </w:p>
    <w:p>
      <w:pPr>
        <w:ind w:left="780" w:hanging="378"/>
        <w:spacing w:after="0"/>
        <w:tabs>
          <w:tab w:leader="none" w:pos="7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200" w:firstLine="436"/>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10795</wp:posOffset>
            </wp:positionV>
            <wp:extent cx="29718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Carl A. Aure</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Chief Financial Officer</w:t>
      </w:r>
    </w:p>
    <w:p>
      <w:pPr>
        <w:spacing w:after="0" w:line="206" w:lineRule="auto"/>
        <w:rPr>
          <w:sz w:val="20"/>
          <w:szCs w:val="20"/>
          <w:color w:val="auto"/>
        </w:rPr>
      </w:pPr>
      <w:r>
        <w:rPr>
          <w:rFonts w:ascii="Arial" w:cs="Arial" w:eastAsia="Arial" w:hAnsi="Arial"/>
          <w:sz w:val="35"/>
          <w:szCs w:val="35"/>
          <w:color w:val="auto"/>
          <w:vertAlign w:val="subscript"/>
        </w:rPr>
        <w:t>Date: May 3, 2022</w:t>
      </w:r>
      <w:r>
        <w:rPr>
          <w:rFonts w:ascii="Arial" w:cs="Arial" w:eastAsia="Arial" w:hAnsi="Arial"/>
          <w:sz w:val="18"/>
          <w:szCs w:val="18"/>
          <w:color w:val="auto"/>
        </w:rPr>
        <w:t>(Principal Financial Officer)</w:t>
      </w:r>
    </w:p>
    <w:p>
      <w:pPr>
        <w:spacing w:after="0" w:line="12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49" Type="http://schemas.openxmlformats.org/officeDocument/2006/relationships/hyperlink" Target="http://www.sec.gov/Archives/edgar/data/849146/000084914618000046/ex31-certificateofincorpor.htm" TargetMode="External"/><Relationship Id="rId50" Type="http://schemas.openxmlformats.org/officeDocument/2006/relationships/hyperlink" Target="http://www.sec.gov/Archives/edgar/data/849146/000084914619000066/lifevantage-amendedandre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2022-05-03T15:26:43Z</dcterms:created>
  <dcterms:modified xsi:type="dcterms:W3CDTF">2022-05-03T15:26:43Z</dcterms:modified>
</cp:coreProperties>
</file>