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4" w:lineRule="exact"/>
        <w:rPr>
          <w:sz w:val="24"/>
          <w:szCs w:val="24"/>
          <w:color w:val="auto"/>
        </w:rPr>
      </w:pP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379" w:lineRule="exact"/>
        <w:rPr>
          <w:sz w:val="24"/>
          <w:szCs w:val="24"/>
          <w:color w:val="auto"/>
        </w:rPr>
      </w:pPr>
    </w:p>
    <w:p>
      <w:pPr>
        <w:ind w:left="720" w:hanging="694"/>
        <w:spacing w:after="0"/>
        <w:tabs>
          <w:tab w:leader="none" w:pos="72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UNDER SECTION 13 OR 15 (d) OF THE SECURITIES EXCHANGE ACT OF 1934</w:t>
      </w:r>
    </w:p>
    <w:p>
      <w:pPr>
        <w:spacing w:after="0" w:line="152" w:lineRule="exact"/>
        <w:rPr>
          <w:rFonts w:ascii="MS PGothic" w:cs="MS PGothic" w:eastAsia="MS PGothic" w:hAnsi="MS PGothic"/>
          <w:sz w:val="20"/>
          <w:szCs w:val="20"/>
          <w:color w:val="auto"/>
        </w:rPr>
      </w:pPr>
    </w:p>
    <w:p>
      <w:pPr>
        <w:ind w:left="3100"/>
        <w:spacing w:after="0"/>
        <w:rPr>
          <w:rFonts w:ascii="MS PGothic" w:cs="MS PGothic" w:eastAsia="MS PGothic" w:hAnsi="MS PGothic"/>
          <w:sz w:val="20"/>
          <w:szCs w:val="20"/>
          <w:color w:val="auto"/>
        </w:rPr>
      </w:pPr>
      <w:r>
        <w:rPr>
          <w:rFonts w:ascii="Arial" w:cs="Arial" w:eastAsia="Arial" w:hAnsi="Arial"/>
          <w:sz w:val="18"/>
          <w:szCs w:val="18"/>
          <w:b w:val="1"/>
          <w:bCs w:val="1"/>
          <w:color w:val="auto"/>
        </w:rPr>
        <w:t>FOR THE QUARTERLY PERIOD ENDED SEPTEMBER 30, 2019</w:t>
      </w:r>
    </w:p>
    <w:p>
      <w:pPr>
        <w:spacing w:after="0" w:line="167" w:lineRule="exact"/>
        <w:rPr>
          <w:sz w:val="24"/>
          <w:szCs w:val="24"/>
          <w:color w:val="auto"/>
        </w:rPr>
      </w:pPr>
    </w:p>
    <w:p>
      <w:pPr>
        <w:ind w:left="720" w:hanging="694"/>
        <w:spacing w:after="0"/>
        <w:tabs>
          <w:tab w:leader="none" w:pos="72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 (d) OF THE SECURITIES EXCHANGE ACT OF 1934</w:t>
      </w:r>
    </w:p>
    <w:p>
      <w:pPr>
        <w:spacing w:after="0" w:line="153" w:lineRule="exact"/>
        <w:rPr>
          <w:sz w:val="24"/>
          <w:szCs w:val="24"/>
          <w:color w:val="auto"/>
        </w:rPr>
      </w:pPr>
    </w:p>
    <w:p>
      <w:pPr>
        <w:ind w:left="2960"/>
        <w:spacing w:after="0"/>
        <w:tabs>
          <w:tab w:leader="none" w:pos="7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4018280</wp:posOffset>
            </wp:positionH>
            <wp:positionV relativeFrom="paragraph">
              <wp:posOffset>-7620</wp:posOffset>
            </wp:positionV>
            <wp:extent cx="13633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001-35647</w:t>
      </w:r>
    </w:p>
    <w:p>
      <w:pPr>
        <w:spacing w:after="0" w:line="26" w:lineRule="exact"/>
        <w:rPr>
          <w:sz w:val="24"/>
          <w:szCs w:val="24"/>
          <w:color w:val="auto"/>
        </w:rPr>
      </w:pP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LIFEVANTAGE CORPORATION</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41" w:lineRule="exact"/>
        <w:rPr>
          <w:sz w:val="24"/>
          <w:szCs w:val="24"/>
          <w:color w:val="auto"/>
        </w:rPr>
      </w:pP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288"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3740" w:type="dxa"/>
            <w:vAlign w:val="bottom"/>
          </w:tcPr>
          <w:p>
            <w:pPr>
              <w:jc w:val="center"/>
              <w:ind w:left="1799"/>
              <w:spacing w:after="0"/>
              <w:rPr>
                <w:sz w:val="20"/>
                <w:szCs w:val="20"/>
                <w:color w:val="auto"/>
              </w:rPr>
            </w:pPr>
            <w:r>
              <w:rPr>
                <w:rFonts w:ascii="Arial" w:cs="Arial" w:eastAsia="Arial" w:hAnsi="Arial"/>
                <w:sz w:val="18"/>
                <w:szCs w:val="18"/>
                <w:b w:val="1"/>
                <w:bCs w:val="1"/>
                <w:color w:val="auto"/>
                <w:w w:val="93"/>
              </w:rPr>
              <w:t>Delaware</w:t>
            </w:r>
          </w:p>
        </w:tc>
        <w:tc>
          <w:tcPr>
            <w:tcW w:w="1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60" w:type="dxa"/>
            <w:vAlign w:val="bottom"/>
          </w:tcPr>
          <w:p>
            <w:pPr>
              <w:ind w:left="220"/>
              <w:spacing w:after="0"/>
              <w:rPr>
                <w:sz w:val="20"/>
                <w:szCs w:val="20"/>
                <w:color w:val="auto"/>
              </w:rPr>
            </w:pPr>
            <w:r>
              <w:rPr>
                <w:rFonts w:ascii="Arial" w:cs="Arial" w:eastAsia="Arial" w:hAnsi="Arial"/>
                <w:sz w:val="18"/>
                <w:szCs w:val="18"/>
                <w:b w:val="1"/>
                <w:bCs w:val="1"/>
                <w:color w:val="auto"/>
              </w:rPr>
              <w:t>90-0224471</w:t>
            </w:r>
          </w:p>
        </w:tc>
      </w:tr>
      <w:tr>
        <w:trPr>
          <w:trHeight w:val="184"/>
        </w:trPr>
        <w:tc>
          <w:tcPr>
            <w:tcW w:w="3740" w:type="dxa"/>
            <w:vAlign w:val="bottom"/>
          </w:tcPr>
          <w:p>
            <w:pPr>
              <w:jc w:val="center"/>
              <w:ind w:left="1799"/>
              <w:spacing w:after="0"/>
              <w:rPr>
                <w:sz w:val="20"/>
                <w:szCs w:val="20"/>
                <w:color w:val="auto"/>
              </w:rPr>
            </w:pPr>
            <w:r>
              <w:rPr>
                <w:rFonts w:ascii="Arial" w:cs="Arial" w:eastAsia="Arial" w:hAnsi="Arial"/>
                <w:sz w:val="14"/>
                <w:szCs w:val="14"/>
                <w:color w:val="auto"/>
                <w:w w:val="94"/>
              </w:rPr>
              <w:t>(State or other jurisdiction of</w:t>
            </w:r>
          </w:p>
        </w:tc>
        <w:tc>
          <w:tcPr>
            <w:tcW w:w="1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60" w:type="dxa"/>
            <w:vAlign w:val="bottom"/>
          </w:tcPr>
          <w:p>
            <w:pPr>
              <w:ind w:left="220"/>
              <w:spacing w:after="0"/>
              <w:rPr>
                <w:sz w:val="20"/>
                <w:szCs w:val="20"/>
                <w:color w:val="auto"/>
              </w:rPr>
            </w:pPr>
            <w:r>
              <w:rPr>
                <w:rFonts w:ascii="Arial" w:cs="Arial" w:eastAsia="Arial" w:hAnsi="Arial"/>
                <w:sz w:val="14"/>
                <w:szCs w:val="14"/>
                <w:color w:val="auto"/>
              </w:rPr>
              <w:t>(IRS Employer</w:t>
            </w:r>
          </w:p>
        </w:tc>
      </w:tr>
      <w:tr>
        <w:trPr>
          <w:trHeight w:val="182"/>
        </w:trPr>
        <w:tc>
          <w:tcPr>
            <w:tcW w:w="3740" w:type="dxa"/>
            <w:vAlign w:val="bottom"/>
          </w:tcPr>
          <w:p>
            <w:pPr>
              <w:jc w:val="center"/>
              <w:ind w:left="1799"/>
              <w:spacing w:after="0"/>
              <w:rPr>
                <w:sz w:val="20"/>
                <w:szCs w:val="20"/>
                <w:color w:val="auto"/>
              </w:rPr>
            </w:pPr>
            <w:r>
              <w:rPr>
                <w:rFonts w:ascii="Arial" w:cs="Arial" w:eastAsia="Arial" w:hAnsi="Arial"/>
                <w:sz w:val="14"/>
                <w:szCs w:val="14"/>
                <w:color w:val="auto"/>
                <w:w w:val="95"/>
              </w:rPr>
              <w:t>incorporation or organization)</w:t>
            </w:r>
          </w:p>
        </w:tc>
        <w:tc>
          <w:tcPr>
            <w:tcW w:w="1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60" w:type="dxa"/>
            <w:vAlign w:val="bottom"/>
          </w:tcPr>
          <w:p>
            <w:pPr>
              <w:ind w:left="120"/>
              <w:spacing w:after="0"/>
              <w:rPr>
                <w:sz w:val="20"/>
                <w:szCs w:val="20"/>
                <w:color w:val="auto"/>
              </w:rPr>
            </w:pPr>
            <w:r>
              <w:rPr>
                <w:rFonts w:ascii="Arial" w:cs="Arial" w:eastAsia="Arial" w:hAnsi="Arial"/>
                <w:sz w:val="14"/>
                <w:szCs w:val="14"/>
                <w:color w:val="auto"/>
              </w:rPr>
              <w:t>Identification No.)</w:t>
            </w:r>
          </w:p>
        </w:tc>
      </w:tr>
      <w:tr>
        <w:trPr>
          <w:trHeight w:val="371"/>
        </w:trPr>
        <w:tc>
          <w:tcPr>
            <w:tcW w:w="3740" w:type="dxa"/>
            <w:vAlign w:val="bottom"/>
          </w:tcPr>
          <w:p>
            <w:pPr>
              <w:spacing w:after="0"/>
              <w:rPr>
                <w:sz w:val="24"/>
                <w:szCs w:val="24"/>
                <w:color w:val="auto"/>
              </w:rPr>
            </w:pPr>
          </w:p>
        </w:tc>
        <w:tc>
          <w:tcPr>
            <w:tcW w:w="428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0"/>
              </w:rPr>
              <w:t>9785 S. Monroe Street, Suite 400, Sandy, UT 84070</w:t>
            </w:r>
          </w:p>
        </w:tc>
        <w:tc>
          <w:tcPr>
            <w:tcW w:w="3360" w:type="dxa"/>
            <w:vAlign w:val="bottom"/>
          </w:tcPr>
          <w:p>
            <w:pPr>
              <w:spacing w:after="0"/>
              <w:rPr>
                <w:sz w:val="24"/>
                <w:szCs w:val="24"/>
                <w:color w:val="auto"/>
              </w:rPr>
            </w:pPr>
          </w:p>
        </w:tc>
      </w:tr>
      <w:tr>
        <w:trPr>
          <w:trHeight w:val="182"/>
        </w:trPr>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80" w:type="dxa"/>
            <w:vAlign w:val="bottom"/>
            <w:gridSpan w:val="3"/>
          </w:tcPr>
          <w:p>
            <w:pPr>
              <w:jc w:val="center"/>
              <w:ind w:right="480"/>
              <w:spacing w:after="0"/>
              <w:rPr>
                <w:sz w:val="20"/>
                <w:szCs w:val="20"/>
                <w:color w:val="auto"/>
              </w:rPr>
            </w:pPr>
            <w:r>
              <w:rPr>
                <w:rFonts w:ascii="Arial" w:cs="Arial" w:eastAsia="Arial" w:hAnsi="Arial"/>
                <w:sz w:val="14"/>
                <w:szCs w:val="14"/>
                <w:color w:val="auto"/>
                <w:w w:val="95"/>
              </w:rPr>
              <w:t>(Address of principal executive offices, including zip code)</w:t>
            </w:r>
          </w:p>
        </w:tc>
        <w:tc>
          <w:tcPr>
            <w:tcW w:w="3360" w:type="dxa"/>
            <w:vAlign w:val="bottom"/>
          </w:tcPr>
          <w:p>
            <w:pPr>
              <w:spacing w:after="0"/>
              <w:rPr>
                <w:sz w:val="15"/>
                <w:szCs w:val="15"/>
                <w:color w:val="auto"/>
              </w:rPr>
            </w:pPr>
          </w:p>
        </w:tc>
      </w:tr>
      <w:tr>
        <w:trPr>
          <w:trHeight w:val="358"/>
        </w:trPr>
        <w:tc>
          <w:tcPr>
            <w:tcW w:w="3740" w:type="dxa"/>
            <w:vAlign w:val="bottom"/>
          </w:tcPr>
          <w:p>
            <w:pPr>
              <w:spacing w:after="0"/>
              <w:rPr>
                <w:sz w:val="24"/>
                <w:szCs w:val="24"/>
                <w:color w:val="auto"/>
              </w:rPr>
            </w:pPr>
          </w:p>
        </w:tc>
        <w:tc>
          <w:tcPr>
            <w:tcW w:w="38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0"/>
              </w:rPr>
              <w:t>(801) 432-9000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182"/>
        </w:trPr>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80" w:type="dxa"/>
            <w:vAlign w:val="bottom"/>
            <w:gridSpan w:val="3"/>
          </w:tcPr>
          <w:p>
            <w:pPr>
              <w:jc w:val="center"/>
              <w:ind w:right="480"/>
              <w:spacing w:after="0"/>
              <w:rPr>
                <w:sz w:val="20"/>
                <w:szCs w:val="20"/>
                <w:color w:val="auto"/>
              </w:rPr>
            </w:pPr>
            <w:r>
              <w:rPr>
                <w:rFonts w:ascii="Arial" w:cs="Arial" w:eastAsia="Arial" w:hAnsi="Arial"/>
                <w:sz w:val="14"/>
                <w:szCs w:val="14"/>
                <w:color w:val="auto"/>
                <w:w w:val="92"/>
              </w:rPr>
              <w:t>(Registrant’s telephone number)</w:t>
            </w:r>
          </w:p>
        </w:tc>
        <w:tc>
          <w:tcPr>
            <w:tcW w:w="3360" w:type="dxa"/>
            <w:vAlign w:val="bottom"/>
          </w:tcPr>
          <w:p>
            <w:pPr>
              <w:spacing w:after="0"/>
              <w:rPr>
                <w:sz w:val="15"/>
                <w:szCs w:val="15"/>
                <w:color w:val="auto"/>
              </w:rPr>
            </w:pPr>
          </w:p>
        </w:tc>
      </w:tr>
      <w:tr>
        <w:trPr>
          <w:trHeight w:val="458"/>
        </w:trPr>
        <w:tc>
          <w:tcPr>
            <w:tcW w:w="8020" w:type="dxa"/>
            <w:vAlign w:val="bottom"/>
            <w:gridSpan w:val="5"/>
          </w:tcPr>
          <w:p>
            <w:pPr>
              <w:jc w:val="center"/>
              <w:ind w:left="3299"/>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360" w:type="dxa"/>
            <w:vAlign w:val="bottom"/>
          </w:tcPr>
          <w:p>
            <w:pPr>
              <w:spacing w:after="0"/>
              <w:rPr>
                <w:sz w:val="24"/>
                <w:szCs w:val="24"/>
                <w:color w:val="auto"/>
              </w:rPr>
            </w:pPr>
          </w:p>
        </w:tc>
      </w:tr>
      <w:tr>
        <w:trPr>
          <w:trHeight w:val="270"/>
        </w:trPr>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par value $0.0001</w:t>
            </w:r>
          </w:p>
        </w:tc>
        <w:tc>
          <w:tcPr>
            <w:tcW w:w="100" w:type="dxa"/>
            <w:vAlign w:val="bottom"/>
          </w:tcPr>
          <w:p>
            <w:pPr>
              <w:spacing w:after="0"/>
              <w:rPr>
                <w:sz w:val="23"/>
                <w:szCs w:val="23"/>
                <w:color w:val="auto"/>
              </w:rPr>
            </w:pPr>
          </w:p>
        </w:tc>
        <w:tc>
          <w:tcPr>
            <w:tcW w:w="418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rPr>
              <w:t>LFVN</w:t>
            </w:r>
          </w:p>
        </w:tc>
        <w:tc>
          <w:tcPr>
            <w:tcW w:w="3360" w:type="dxa"/>
            <w:vAlign w:val="bottom"/>
          </w:tcPr>
          <w:p>
            <w:pPr>
              <w:ind w:left="280"/>
              <w:spacing w:after="0"/>
              <w:rPr>
                <w:sz w:val="20"/>
                <w:szCs w:val="20"/>
                <w:color w:val="auto"/>
              </w:rPr>
            </w:pPr>
            <w:r>
              <w:rPr>
                <w:rFonts w:ascii="Arial" w:cs="Arial" w:eastAsia="Arial" w:hAnsi="Arial"/>
                <w:sz w:val="18"/>
                <w:szCs w:val="18"/>
                <w:b w:val="1"/>
                <w:bCs w:val="1"/>
                <w:color w:val="auto"/>
              </w:rPr>
              <w:t>The Nasdaq Stock Market LLC</w:t>
            </w:r>
          </w:p>
        </w:tc>
      </w:tr>
      <w:tr>
        <w:trPr>
          <w:trHeight w:val="27"/>
        </w:trPr>
        <w:tc>
          <w:tcPr>
            <w:tcW w:w="3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184"/>
        </w:trPr>
        <w:tc>
          <w:tcPr>
            <w:tcW w:w="3740" w:type="dxa"/>
            <w:vAlign w:val="bottom"/>
          </w:tcPr>
          <w:p>
            <w:pPr>
              <w:jc w:val="center"/>
              <w:spacing w:after="0"/>
              <w:rPr>
                <w:sz w:val="20"/>
                <w:szCs w:val="20"/>
                <w:color w:val="auto"/>
              </w:rPr>
            </w:pPr>
            <w:r>
              <w:rPr>
                <w:rFonts w:ascii="Arial" w:cs="Arial" w:eastAsia="Arial" w:hAnsi="Arial"/>
                <w:sz w:val="14"/>
                <w:szCs w:val="14"/>
                <w:color w:val="auto"/>
                <w:w w:val="92"/>
              </w:rPr>
              <w:t>Title of each class</w:t>
            </w:r>
          </w:p>
        </w:tc>
        <w:tc>
          <w:tcPr>
            <w:tcW w:w="100" w:type="dxa"/>
            <w:vAlign w:val="bottom"/>
          </w:tcPr>
          <w:p>
            <w:pPr>
              <w:spacing w:after="0"/>
              <w:rPr>
                <w:sz w:val="16"/>
                <w:szCs w:val="16"/>
                <w:color w:val="auto"/>
              </w:rPr>
            </w:pPr>
          </w:p>
        </w:tc>
        <w:tc>
          <w:tcPr>
            <w:tcW w:w="4180" w:type="dxa"/>
            <w:vAlign w:val="bottom"/>
            <w:gridSpan w:val="3"/>
          </w:tcPr>
          <w:p>
            <w:pPr>
              <w:jc w:val="center"/>
              <w:ind w:right="460"/>
              <w:spacing w:after="0"/>
              <w:rPr>
                <w:sz w:val="20"/>
                <w:szCs w:val="20"/>
                <w:color w:val="auto"/>
              </w:rPr>
            </w:pPr>
            <w:r>
              <w:rPr>
                <w:rFonts w:ascii="Arial" w:cs="Arial" w:eastAsia="Arial" w:hAnsi="Arial"/>
                <w:sz w:val="14"/>
                <w:szCs w:val="14"/>
                <w:color w:val="auto"/>
                <w:w w:val="94"/>
              </w:rPr>
              <w:t>Trading Symbol(s)</w:t>
            </w:r>
          </w:p>
        </w:tc>
        <w:tc>
          <w:tcPr>
            <w:tcW w:w="3360" w:type="dxa"/>
            <w:vAlign w:val="bottom"/>
          </w:tcPr>
          <w:p>
            <w:pPr>
              <w:ind w:left="220"/>
              <w:spacing w:after="0"/>
              <w:rPr>
                <w:sz w:val="20"/>
                <w:szCs w:val="20"/>
                <w:color w:val="auto"/>
              </w:rPr>
            </w:pPr>
            <w:r>
              <w:rPr>
                <w:rFonts w:ascii="Arial" w:cs="Arial" w:eastAsia="Arial" w:hAnsi="Arial"/>
                <w:sz w:val="14"/>
                <w:szCs w:val="14"/>
                <w:color w:val="auto"/>
              </w:rPr>
              <w:t>Name of each exchange on which registered</w:t>
            </w:r>
          </w:p>
        </w:tc>
      </w:tr>
    </w:tbl>
    <w:p>
      <w:pPr>
        <w:spacing w:after="0" w:line="106" w:lineRule="exact"/>
        <w:rPr>
          <w:sz w:val="24"/>
          <w:szCs w:val="24"/>
          <w:color w:val="auto"/>
        </w:rPr>
      </w:pP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153" w:lineRule="exact"/>
        <w:rPr>
          <w:sz w:val="24"/>
          <w:szCs w:val="24"/>
          <w:color w:val="auto"/>
        </w:rPr>
      </w:pPr>
    </w:p>
    <w:p>
      <w:pPr>
        <w:jc w:val="both"/>
        <w:ind w:right="160"/>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30" w:lineRule="exact"/>
        <w:rPr>
          <w:sz w:val="24"/>
          <w:szCs w:val="24"/>
          <w:color w:val="auto"/>
        </w:rPr>
      </w:pPr>
    </w:p>
    <w:p>
      <w:pPr>
        <w:ind w:right="400"/>
        <w:spacing w:after="0" w:line="220" w:lineRule="exact"/>
        <w:rPr>
          <w:sz w:val="20"/>
          <w:szCs w:val="20"/>
          <w:color w:val="auto"/>
        </w:rPr>
      </w:pPr>
      <w:r>
        <w:rPr>
          <w:rFonts w:ascii="Arial" w:cs="Arial" w:eastAsia="Arial" w:hAnsi="Arial"/>
          <w:sz w:val="15"/>
          <w:szCs w:val="15"/>
          <w:color w:val="auto"/>
        </w:rPr>
        <w:t xml:space="preserve">Indicate by check mark whether the registrant has submitted electronically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9" w:lineRule="exact"/>
        <w:rPr>
          <w:sz w:val="24"/>
          <w:szCs w:val="24"/>
          <w:color w:val="auto"/>
        </w:rPr>
      </w:pPr>
    </w:p>
    <w:p>
      <w:pPr>
        <w:ind w:right="140"/>
        <w:spacing w:after="0" w:line="25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36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5640" w:type="dxa"/>
            <w:vAlign w:val="bottom"/>
          </w:tcPr>
          <w:p>
            <w:pPr>
              <w:ind w:left="17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Accelerated filer</w:t>
            </w:r>
          </w:p>
        </w:tc>
        <w:tc>
          <w:tcPr>
            <w:tcW w:w="194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1"/>
        </w:trPr>
        <w:tc>
          <w:tcPr>
            <w:tcW w:w="3680" w:type="dxa"/>
            <w:vAlign w:val="bottom"/>
          </w:tcPr>
          <w:p>
            <w:pPr>
              <w:spacing w:after="0"/>
              <w:rPr>
                <w:sz w:val="20"/>
                <w:szCs w:val="20"/>
                <w:color w:val="auto"/>
              </w:rPr>
            </w:pPr>
            <w:r>
              <w:rPr>
                <w:rFonts w:ascii="Arial" w:cs="Arial" w:eastAsia="Arial" w:hAnsi="Arial"/>
                <w:sz w:val="17"/>
                <w:szCs w:val="17"/>
                <w:color w:val="auto"/>
              </w:rPr>
              <w:t>Non-accelerated filer</w:t>
            </w:r>
          </w:p>
        </w:tc>
        <w:tc>
          <w:tcPr>
            <w:tcW w:w="5640" w:type="dxa"/>
            <w:vAlign w:val="bottom"/>
          </w:tcPr>
          <w:p>
            <w:pPr>
              <w:ind w:left="17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Smaller reporting company</w:t>
            </w:r>
          </w:p>
        </w:tc>
        <w:tc>
          <w:tcPr>
            <w:tcW w:w="194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9"/>
        </w:trPr>
        <w:tc>
          <w:tcPr>
            <w:tcW w:w="368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5640" w:type="dxa"/>
            <w:vAlign w:val="bottom"/>
          </w:tcPr>
          <w:p>
            <w:pPr>
              <w:ind w:left="1720"/>
              <w:spacing w:after="0" w:line="171" w:lineRule="exact"/>
              <w:rPr>
                <w:sz w:val="20"/>
                <w:szCs w:val="20"/>
                <w:color w:val="auto"/>
              </w:rPr>
            </w:pPr>
            <w:r>
              <w:rPr>
                <w:rFonts w:ascii="MS PGothic" w:cs="MS PGothic" w:eastAsia="MS PGothic" w:hAnsi="MS PGothic"/>
                <w:sz w:val="17"/>
                <w:szCs w:val="17"/>
                <w:color w:val="auto"/>
              </w:rPr>
              <w:t>☐</w:t>
            </w:r>
          </w:p>
        </w:tc>
        <w:tc>
          <w:tcPr>
            <w:tcW w:w="1940" w:type="dxa"/>
            <w:vAlign w:val="bottom"/>
          </w:tcPr>
          <w:p>
            <w:pPr>
              <w:spacing w:after="0"/>
              <w:rPr>
                <w:sz w:val="23"/>
                <w:szCs w:val="23"/>
                <w:color w:val="auto"/>
              </w:rPr>
            </w:pPr>
          </w:p>
        </w:tc>
      </w:tr>
    </w:tbl>
    <w:p>
      <w:pPr>
        <w:spacing w:after="0" w:line="101" w:lineRule="exact"/>
        <w:rPr>
          <w:sz w:val="24"/>
          <w:szCs w:val="24"/>
          <w:color w:val="auto"/>
        </w:rPr>
      </w:pPr>
    </w:p>
    <w:p>
      <w:pPr>
        <w:ind w:right="160"/>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7" w:lineRule="exact"/>
        <w:rPr>
          <w:sz w:val="24"/>
          <w:szCs w:val="24"/>
          <w:color w:val="auto"/>
        </w:rPr>
      </w:pPr>
    </w:p>
    <w:p>
      <w:pPr>
        <w:ind w:right="2240"/>
        <w:spacing w:after="0" w:line="307"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number of shares outstanding of the issuer’s common stock, par value $0.0001 per share, as of October 25, 2019 was 13,979,254.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39" w:right="2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firstLine="446"/>
        <w:spacing w:after="0" w:line="289" w:lineRule="auto"/>
        <w:rPr>
          <w:sz w:val="20"/>
          <w:szCs w:val="20"/>
          <w:color w:val="auto"/>
        </w:rPr>
      </w:pPr>
      <w:r>
        <w:rPr>
          <w:rFonts w:ascii="Arial" w:cs="Arial" w:eastAsia="Arial" w:hAnsi="Arial"/>
          <w:sz w:val="16"/>
          <w:szCs w:val="16"/>
          <w:color w:val="auto"/>
        </w:rPr>
        <w:t>This quarterly report on Form 10-Q, in particular “Item 2. Management’s Discussion and Analysis of Financial Condition and Results of Operations,” and the information incorporated by reference herein contains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spacing w:after="0" w:line="99" w:lineRule="exact"/>
        <w:rPr>
          <w:sz w:val="20"/>
          <w:szCs w:val="20"/>
          <w:color w:val="auto"/>
        </w:rPr>
      </w:pPr>
    </w:p>
    <w:p>
      <w:pPr>
        <w:ind w:right="140" w:firstLine="446"/>
        <w:spacing w:after="0" w:line="257" w:lineRule="auto"/>
        <w:rPr>
          <w:sz w:val="20"/>
          <w:szCs w:val="20"/>
          <w:color w:val="auto"/>
        </w:rPr>
      </w:pPr>
      <w:r>
        <w:rPr>
          <w:rFonts w:ascii="Arial" w:cs="Arial" w:eastAsia="Arial" w:hAnsi="Arial"/>
          <w:sz w:val="18"/>
          <w:szCs w:val="18"/>
          <w:color w:val="auto"/>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44" w:lineRule="exact"/>
        <w:rPr>
          <w:sz w:val="20"/>
          <w:szCs w:val="20"/>
          <w:color w:val="auto"/>
        </w:rPr>
      </w:pPr>
    </w:p>
    <w:p>
      <w:pPr>
        <w:ind w:left="660" w:right="6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properly manage, motivate and retain our independent distributors or to attract new independent distributors and customers on an ongoing basis;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manage existing markets, open new international markets or expand our operations;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Non-compliance by our independent distributors with applicable legal requirements or our policies and procedures;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of new products and technological innovations to gain distributor or market acceptance;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execute our product launch process due to increased pressure on our supply chain, information systems and management;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appropriately manage our inventory;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adverse effects on our business and stock price due to ineffective internal controls;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our information technology systems;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protect against cyber security risks and to maintain the integrity of data;</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Inability to comply with financial covenants imposed by our credit facility and the impact of debt service obligations and restrictive debt covenants;</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 fluctuations;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or complete desired acquisitions;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upon a few products for revenue;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materials for our products may become difficult to obtain or expensive;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manufacture our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to the transportation channels used to distribute our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subject to a product recall;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publicity on our business or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direct selling program could be found to not be in compliance with current or newly adopted laws or regulations in various markets;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2" w:name="page3"/>
    <w:bookmarkEnd w:id="2"/>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proceedings may be expensive and time consuming;</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investigatory and enforcement action by the Federal Trade Commission;</w:t>
      </w:r>
    </w:p>
    <w:p>
      <w:pPr>
        <w:spacing w:after="0" w:line="144"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authorities may question our tax positions or transfer pricing policies or change their laws in a manner that could increase our effective tax rate or otherwise harm our business;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anti-corruption laws;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be held responsible for certain taxes or assessments and other obligations relating to the activity of our independent distributors;</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the dietary supplement market;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rights;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 party claims that we infringe on their intellectual property;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claims against us;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delisting of our common stock due to non-compliance with Nasdaq's continued listing requirements;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of the market price of our common stock;</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sales of shares may negatively impact the market price of our common stock; and</w:t>
      </w:r>
    </w:p>
    <w:p>
      <w:pPr>
        <w:spacing w:after="0" w:line="144"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Dilution of outstanding common shares may occur if holders of our existing options exercise their securities or upon future vesting of performance restricted stock units.</w:t>
      </w:r>
    </w:p>
    <w:p>
      <w:pPr>
        <w:spacing w:after="0" w:line="10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3" w:name="page4"/>
    <w:bookmarkEnd w:id="3"/>
    <w:p>
      <w:pPr>
        <w:jc w:val="center"/>
        <w:ind w:left="1420"/>
        <w:spacing w:after="0"/>
        <w:rPr>
          <w:sz w:val="20"/>
          <w:szCs w:val="20"/>
          <w:color w:val="auto"/>
        </w:rPr>
      </w:pPr>
      <w:r>
        <w:rPr>
          <w:rFonts w:ascii="Arial" w:cs="Arial" w:eastAsia="Arial" w:hAnsi="Arial"/>
          <w:sz w:val="18"/>
          <w:szCs w:val="18"/>
          <w:color w:val="auto"/>
        </w:rPr>
        <w:t>LIFEVANTAGE CORPORATION</w:t>
      </w:r>
    </w:p>
    <w:p>
      <w:pPr>
        <w:spacing w:after="0" w:line="171" w:lineRule="exact"/>
        <w:rPr>
          <w:sz w:val="20"/>
          <w:szCs w:val="20"/>
          <w:color w:val="auto"/>
        </w:rPr>
      </w:pPr>
    </w:p>
    <w:p>
      <w:pPr>
        <w:jc w:val="center"/>
        <w:ind w:left="1420"/>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PART I. Financial Information</w:t>
        </w:r>
      </w:hyperlink>
    </w:p>
    <w:p>
      <w:pPr>
        <w:spacing w:after="0" w:line="36" w:lineRule="exact"/>
        <w:rPr>
          <w:sz w:val="20"/>
          <w:szCs w:val="20"/>
          <w:color w:val="auto"/>
        </w:rPr>
      </w:pPr>
    </w:p>
    <w:p>
      <w:pPr>
        <w:spacing w:after="0"/>
        <w:tabs>
          <w:tab w:leader="none" w:pos="1180" w:val="left"/>
        </w:tabs>
        <w:rPr>
          <w:rFonts w:ascii="Arial" w:cs="Arial" w:eastAsia="Arial" w:hAnsi="Arial"/>
          <w:sz w:val="16"/>
          <w:szCs w:val="16"/>
          <w:u w:val="single" w:color="auto"/>
          <w:color w:val="0000FF"/>
        </w:rPr>
      </w:pPr>
      <w:r>
        <w:rPr>
          <w:rFonts w:ascii="Arial" w:cs="Arial" w:eastAsia="Arial" w:hAnsi="Arial"/>
          <w:sz w:val="18"/>
          <w:szCs w:val="18"/>
          <w:color w:val="auto"/>
        </w:rPr>
        <w:t>Item 1.</w:t>
      </w:r>
      <w:r>
        <w:rPr>
          <w:sz w:val="20"/>
          <w:szCs w:val="20"/>
          <w:color w:val="auto"/>
        </w:rPr>
        <w:tab/>
      </w:r>
      <w:hyperlink w:anchor="page5">
        <w:r>
          <w:rPr>
            <w:rFonts w:ascii="Arial" w:cs="Arial" w:eastAsia="Arial" w:hAnsi="Arial"/>
            <w:sz w:val="16"/>
            <w:szCs w:val="16"/>
            <w:u w:val="single" w:color="auto"/>
            <w:color w:val="0000FF"/>
          </w:rPr>
          <w:t>Financial Statements:</w:t>
        </w:r>
      </w:hyperlink>
    </w:p>
    <w:p>
      <w:pPr>
        <w:spacing w:after="0" w:line="63" w:lineRule="exact"/>
        <w:rPr>
          <w:sz w:val="20"/>
          <w:szCs w:val="20"/>
          <w:color w:val="auto"/>
        </w:rPr>
      </w:pPr>
    </w:p>
    <w:p>
      <w:pPr>
        <w:ind w:left="12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Balance Sheets (unaudited)</w:t>
        </w:r>
      </w:hyperlink>
    </w:p>
    <w:p>
      <w:pPr>
        <w:spacing w:after="0" w:line="23" w:lineRule="exact"/>
        <w:rPr>
          <w:sz w:val="20"/>
          <w:szCs w:val="20"/>
          <w:color w:val="auto"/>
        </w:rPr>
      </w:pPr>
    </w:p>
    <w:p>
      <w:pPr>
        <w:ind w:left="1200"/>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Condensed Consolidated Statements of Operations and Comprehensive Income (unaudited)</w:t>
        </w:r>
      </w:hyperlink>
    </w:p>
    <w:p>
      <w:pPr>
        <w:spacing w:after="0" w:line="46" w:lineRule="exact"/>
        <w:rPr>
          <w:sz w:val="20"/>
          <w:szCs w:val="20"/>
          <w:color w:val="auto"/>
        </w:rPr>
      </w:pPr>
    </w:p>
    <w:p>
      <w:pPr>
        <w:ind w:left="120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 of Stockholders’ Equity (unaudited)</w:t>
        </w:r>
      </w:hyperlink>
    </w:p>
    <w:p>
      <w:pPr>
        <w:spacing w:after="0" w:line="23" w:lineRule="exact"/>
        <w:rPr>
          <w:sz w:val="20"/>
          <w:szCs w:val="20"/>
          <w:color w:val="auto"/>
        </w:rPr>
      </w:pPr>
    </w:p>
    <w:p>
      <w:pPr>
        <w:ind w:left="120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Condensed Consolidated Statements of Cash Flows (unaudited)</w:t>
        </w:r>
      </w:hyperlink>
    </w:p>
    <w:p>
      <w:pPr>
        <w:spacing w:after="0" w:line="23" w:lineRule="exact"/>
        <w:rPr>
          <w:sz w:val="20"/>
          <w:szCs w:val="20"/>
          <w:color w:val="auto"/>
        </w:rPr>
      </w:pPr>
    </w:p>
    <w:p>
      <w:pPr>
        <w:ind w:left="120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Condensed Consolidated Financial Statements (unaudited)</w:t>
        </w:r>
      </w:hyperlink>
    </w:p>
    <w:p>
      <w:pPr>
        <w:spacing w:after="0" w:line="23" w:lineRule="exact"/>
        <w:rPr>
          <w:sz w:val="20"/>
          <w:szCs w:val="20"/>
          <w:color w:val="auto"/>
        </w:rPr>
      </w:pPr>
    </w:p>
    <w:p>
      <w:pPr>
        <w:spacing w:after="0"/>
        <w:tabs>
          <w:tab w:leader="none" w:pos="1180" w:val="left"/>
        </w:tabs>
        <w:rPr>
          <w:rFonts w:ascii="Arial" w:cs="Arial" w:eastAsia="Arial" w:hAnsi="Arial"/>
          <w:sz w:val="16"/>
          <w:szCs w:val="16"/>
          <w:u w:val="single" w:color="auto"/>
          <w:color w:val="0000FF"/>
        </w:rPr>
      </w:pPr>
      <w:r>
        <w:rPr>
          <w:rFonts w:ascii="Arial" w:cs="Arial" w:eastAsia="Arial" w:hAnsi="Arial"/>
          <w:sz w:val="18"/>
          <w:szCs w:val="18"/>
          <w:color w:val="auto"/>
        </w:rPr>
        <w:t>Item 2.</w:t>
      </w:r>
      <w:r>
        <w:rPr>
          <w:sz w:val="20"/>
          <w:szCs w:val="20"/>
          <w:color w:val="auto"/>
        </w:rPr>
        <w:tab/>
      </w:r>
      <w:hyperlink w:anchor="page18">
        <w:r>
          <w:rPr>
            <w:rFonts w:ascii="Arial" w:cs="Arial" w:eastAsia="Arial" w:hAnsi="Arial"/>
            <w:sz w:val="16"/>
            <w:szCs w:val="16"/>
            <w:u w:val="single" w:color="auto"/>
            <w:color w:val="0000FF"/>
          </w:rPr>
          <w:t>Management's Discussion and Analysis of Financial Condition and Results of Operations</w:t>
        </w:r>
      </w:hyperlink>
    </w:p>
    <w:p>
      <w:pPr>
        <w:spacing w:after="0" w:line="62" w:lineRule="exact"/>
        <w:rPr>
          <w:sz w:val="20"/>
          <w:szCs w:val="20"/>
          <w:color w:val="auto"/>
        </w:rPr>
      </w:pPr>
    </w:p>
    <w:p>
      <w:pPr>
        <w:spacing w:after="0"/>
        <w:tabs>
          <w:tab w:leader="none" w:pos="1180" w:val="left"/>
        </w:tabs>
        <w:rPr>
          <w:rFonts w:ascii="Arial" w:cs="Arial" w:eastAsia="Arial" w:hAnsi="Arial"/>
          <w:sz w:val="16"/>
          <w:szCs w:val="16"/>
          <w:u w:val="single" w:color="auto"/>
          <w:color w:val="0000FF"/>
        </w:rPr>
      </w:pPr>
      <w:r>
        <w:rPr>
          <w:rFonts w:ascii="Arial" w:cs="Arial" w:eastAsia="Arial" w:hAnsi="Arial"/>
          <w:sz w:val="18"/>
          <w:szCs w:val="18"/>
          <w:color w:val="auto"/>
        </w:rPr>
        <w:t>Item 3.</w:t>
      </w:r>
      <w:r>
        <w:rPr>
          <w:sz w:val="20"/>
          <w:szCs w:val="20"/>
          <w:color w:val="auto"/>
        </w:rPr>
        <w:tab/>
      </w:r>
      <w:hyperlink w:anchor="page25">
        <w:r>
          <w:rPr>
            <w:rFonts w:ascii="Arial" w:cs="Arial" w:eastAsia="Arial" w:hAnsi="Arial"/>
            <w:sz w:val="16"/>
            <w:szCs w:val="16"/>
            <w:u w:val="single" w:color="auto"/>
            <w:color w:val="0000FF"/>
          </w:rPr>
          <w:t>Quantitative and Qualitative Disclosures About Market Risk</w:t>
        </w:r>
      </w:hyperlink>
    </w:p>
    <w:p>
      <w:pPr>
        <w:spacing w:after="0" w:line="63" w:lineRule="exact"/>
        <w:rPr>
          <w:sz w:val="20"/>
          <w:szCs w:val="20"/>
          <w:color w:val="auto"/>
        </w:rPr>
      </w:pPr>
    </w:p>
    <w:p>
      <w:pPr>
        <w:spacing w:after="0"/>
        <w:tabs>
          <w:tab w:leader="none" w:pos="1180" w:val="left"/>
        </w:tabs>
        <w:rPr>
          <w:rFonts w:ascii="Arial" w:cs="Arial" w:eastAsia="Arial" w:hAnsi="Arial"/>
          <w:sz w:val="16"/>
          <w:szCs w:val="16"/>
          <w:u w:val="single" w:color="auto"/>
          <w:color w:val="0000FF"/>
        </w:rPr>
      </w:pPr>
      <w:r>
        <w:rPr>
          <w:rFonts w:ascii="Arial" w:cs="Arial" w:eastAsia="Arial" w:hAnsi="Arial"/>
          <w:sz w:val="18"/>
          <w:szCs w:val="18"/>
          <w:color w:val="auto"/>
        </w:rPr>
        <w:t>Item 4.</w:t>
      </w:r>
      <w:r>
        <w:rPr>
          <w:sz w:val="20"/>
          <w:szCs w:val="20"/>
          <w:color w:val="auto"/>
        </w:rPr>
        <w:tab/>
      </w:r>
      <w:hyperlink w:anchor="page25">
        <w:r>
          <w:rPr>
            <w:rFonts w:ascii="Arial" w:cs="Arial" w:eastAsia="Arial" w:hAnsi="Arial"/>
            <w:sz w:val="16"/>
            <w:szCs w:val="16"/>
            <w:u w:val="single" w:color="auto"/>
            <w:color w:val="0000FF"/>
          </w:rPr>
          <w:t>Controls and Procedures</w:t>
        </w:r>
      </w:hyperlink>
    </w:p>
    <w:p>
      <w:pPr>
        <w:spacing w:after="0" w:line="333" w:lineRule="exact"/>
        <w:rPr>
          <w:sz w:val="20"/>
          <w:szCs w:val="20"/>
          <w:color w:val="auto"/>
        </w:rPr>
      </w:pPr>
    </w:p>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PART II. Other Information</w:t>
        </w:r>
      </w:hyperlink>
    </w:p>
    <w:tbl>
      <w:tblPr>
        <w:tblLayout w:type="fixed"/>
        <w:tblInd w:w="0" w:type="dxa"/>
        <w:tblCellMar>
          <w:top w:w="0" w:type="dxa"/>
          <w:left w:w="0" w:type="dxa"/>
          <w:bottom w:w="0" w:type="dxa"/>
          <w:right w:w="0" w:type="dxa"/>
        </w:tblCellMar>
      </w:tblPr>
      <w:tr>
        <w:trPr>
          <w:trHeight w:val="213"/>
        </w:trPr>
        <w:tc>
          <w:tcPr>
            <w:tcW w:w="12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4"/>
          </w:tcPr>
          <w:p>
            <w:pPr>
              <w:spacing w:after="0" w:line="193" w:lineRule="exact"/>
              <w:rPr>
                <w:rFonts w:ascii="Arial" w:cs="Arial" w:eastAsia="Arial" w:hAnsi="Arial"/>
                <w:sz w:val="18"/>
                <w:szCs w:val="18"/>
                <w:color w:val="0000FF"/>
                <w:w w:val="88"/>
              </w:rPr>
            </w:pPr>
            <w:hyperlink w:anchor="page26">
              <w:r>
                <w:rPr>
                  <w:rFonts w:ascii="Arial" w:cs="Arial" w:eastAsia="Arial" w:hAnsi="Arial"/>
                  <w:sz w:val="18"/>
                  <w:szCs w:val="18"/>
                  <w:color w:val="0000FF"/>
                  <w:w w:val="88"/>
                </w:rPr>
                <w:t>Legal Proceedings</w:t>
              </w:r>
            </w:hyperlink>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Risk Factors</w:t>
              </w:r>
            </w:hyperlink>
          </w:p>
        </w:tc>
        <w:tc>
          <w:tcPr>
            <w:tcW w:w="3440" w:type="dxa"/>
            <w:vAlign w:val="bottom"/>
            <w:gridSpan w:val="5"/>
          </w:tcPr>
          <w:p>
            <w:pPr>
              <w:spacing w:after="0"/>
              <w:rPr>
                <w:sz w:val="21"/>
                <w:szCs w:val="21"/>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Unregistered Sales of Equity Securities and Use of Proceeds</w:t>
              </w:r>
            </w:hyperlink>
          </w:p>
        </w:tc>
      </w:tr>
      <w:tr>
        <w:trPr>
          <w:trHeight w:val="250"/>
        </w:trPr>
        <w:tc>
          <w:tcPr>
            <w:tcW w:w="12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27">
              <w:r>
                <w:rPr>
                  <w:rFonts w:ascii="Arial" w:cs="Arial" w:eastAsia="Arial" w:hAnsi="Arial"/>
                  <w:sz w:val="18"/>
                  <w:szCs w:val="18"/>
                  <w:color w:val="0000FF"/>
                  <w:w w:val="90"/>
                </w:rPr>
                <w:t>Defaults Upon Senior Securities</w:t>
              </w:r>
            </w:hyperlink>
          </w:p>
        </w:tc>
        <w:tc>
          <w:tcPr>
            <w:tcW w:w="2020" w:type="dxa"/>
            <w:vAlign w:val="bottom"/>
          </w:tcPr>
          <w:p>
            <w:pPr>
              <w:spacing w:after="0"/>
              <w:rPr>
                <w:sz w:val="21"/>
                <w:szCs w:val="21"/>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27">
              <w:r>
                <w:rPr>
                  <w:rFonts w:ascii="Arial" w:cs="Arial" w:eastAsia="Arial" w:hAnsi="Arial"/>
                  <w:sz w:val="18"/>
                  <w:szCs w:val="18"/>
                  <w:color w:val="0000FF"/>
                  <w:w w:val="91"/>
                </w:rPr>
                <w:t>Mine Safety Disclosures</w:t>
              </w:r>
            </w:hyperlink>
          </w:p>
        </w:tc>
        <w:tc>
          <w:tcPr>
            <w:tcW w:w="2580" w:type="dxa"/>
            <w:vAlign w:val="bottom"/>
            <w:gridSpan w:val="2"/>
          </w:tcPr>
          <w:p>
            <w:pPr>
              <w:spacing w:after="0"/>
              <w:rPr>
                <w:sz w:val="21"/>
                <w:szCs w:val="21"/>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4360" w:type="dxa"/>
            <w:vAlign w:val="bottom"/>
            <w:gridSpan w:val="7"/>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Other Information</w:t>
              </w:r>
            </w:hyperlink>
          </w:p>
        </w:tc>
      </w:tr>
      <w:tr>
        <w:trPr>
          <w:trHeight w:val="250"/>
        </w:trPr>
        <w:tc>
          <w:tcPr>
            <w:tcW w:w="12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3"/>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Exhibits</w:t>
              </w:r>
            </w:hyperlink>
          </w:p>
        </w:tc>
        <w:tc>
          <w:tcPr>
            <w:tcW w:w="3040" w:type="dxa"/>
            <w:vAlign w:val="bottom"/>
            <w:gridSpan w:val="4"/>
          </w:tcPr>
          <w:p>
            <w:pPr>
              <w:spacing w:after="0"/>
              <w:rPr>
                <w:sz w:val="21"/>
                <w:szCs w:val="21"/>
                <w:color w:val="auto"/>
              </w:rPr>
            </w:pPr>
          </w:p>
        </w:tc>
      </w:tr>
      <w:tr>
        <w:trPr>
          <w:trHeight w:val="250"/>
        </w:trPr>
        <w:tc>
          <w:tcPr>
            <w:tcW w:w="1200" w:type="dxa"/>
            <w:vAlign w:val="bottom"/>
            <w:gridSpan w:val="2"/>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23495</wp:posOffset>
            </wp:positionV>
            <wp:extent cx="6261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30" w:lineRule="exact"/>
        <w:rPr>
          <w:sz w:val="20"/>
          <w:szCs w:val="20"/>
          <w:color w:val="auto"/>
        </w:rPr>
      </w:pPr>
    </w:p>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p>
      <w:pPr>
        <w:spacing w:after="0" w:line="23" w:lineRule="exact"/>
        <w:rPr>
          <w:sz w:val="20"/>
          <w:szCs w:val="20"/>
          <w:color w:val="auto"/>
        </w:rPr>
      </w:pPr>
    </w:p>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p>
      <w:pPr>
        <w:spacing w:after="0" w:line="23" w:lineRule="exact"/>
        <w:rPr>
          <w:sz w:val="20"/>
          <w:szCs w:val="20"/>
          <w:color w:val="auto"/>
        </w:rPr>
      </w:pPr>
    </w:p>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p>
      <w:pPr>
        <w:spacing w:after="0" w:line="23" w:lineRule="exact"/>
        <w:rPr>
          <w:sz w:val="20"/>
          <w:szCs w:val="20"/>
          <w:color w:val="auto"/>
        </w:rPr>
      </w:pPr>
    </w:p>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p>
      <w:pPr>
        <w:spacing w:after="0" w:line="23" w:lineRule="exact"/>
        <w:rPr>
          <w:sz w:val="20"/>
          <w:szCs w:val="20"/>
          <w:color w:val="auto"/>
        </w:rPr>
      </w:pPr>
    </w:p>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p>
      <w:pPr>
        <w:spacing w:after="0" w:line="23" w:lineRule="exact"/>
        <w:rPr>
          <w:sz w:val="20"/>
          <w:szCs w:val="20"/>
          <w:color w:val="auto"/>
        </w:rPr>
      </w:pPr>
    </w:p>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9</w:t>
        </w:r>
      </w:hyperlink>
    </w:p>
    <w:p>
      <w:pPr>
        <w:spacing w:after="0" w:line="62" w:lineRule="exact"/>
        <w:rPr>
          <w:sz w:val="20"/>
          <w:szCs w:val="20"/>
          <w:color w:val="auto"/>
        </w:rPr>
      </w:pPr>
    </w:p>
    <w:p>
      <w:pPr>
        <w:jc w:val="right"/>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18</w:t>
        </w:r>
      </w:hyperlink>
    </w:p>
    <w:p>
      <w:pPr>
        <w:spacing w:after="0" w:line="63" w:lineRule="exact"/>
        <w:rPr>
          <w:sz w:val="20"/>
          <w:szCs w:val="20"/>
          <w:color w:val="auto"/>
        </w:rPr>
      </w:pPr>
    </w:p>
    <w:p>
      <w:pPr>
        <w:ind w:left="500"/>
        <w:spacing w:after="0"/>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25</w:t>
        </w:r>
      </w:hyperlink>
    </w:p>
    <w:p>
      <w:pPr>
        <w:spacing w:after="0" w:line="86" w:lineRule="exact"/>
        <w:rPr>
          <w:sz w:val="20"/>
          <w:szCs w:val="20"/>
          <w:color w:val="auto"/>
        </w:rPr>
      </w:pPr>
    </w:p>
    <w:p>
      <w:pPr>
        <w:ind w:left="500"/>
        <w:spacing w:after="0"/>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26</w:t>
        </w:r>
      </w:hyperlink>
    </w:p>
    <w:p>
      <w:pPr>
        <w:spacing w:after="0" w:line="316" w:lineRule="exact"/>
        <w:rPr>
          <w:sz w:val="20"/>
          <w:szCs w:val="20"/>
          <w:color w:val="auto"/>
        </w:rPr>
      </w:pPr>
    </w:p>
    <w:p>
      <w:pPr>
        <w:ind w:left="500"/>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26</w:t>
        </w:r>
      </w:hyperlink>
    </w:p>
    <w:p>
      <w:pPr>
        <w:spacing w:after="0" w:line="86" w:lineRule="exact"/>
        <w:rPr>
          <w:sz w:val="20"/>
          <w:szCs w:val="20"/>
          <w:color w:val="auto"/>
        </w:rPr>
      </w:pPr>
    </w:p>
    <w:p>
      <w:pPr>
        <w:ind w:left="500"/>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26</w:t>
        </w:r>
      </w:hyperlink>
    </w:p>
    <w:p>
      <w:pPr>
        <w:spacing w:after="0" w:line="86" w:lineRule="exact"/>
        <w:rPr>
          <w:sz w:val="20"/>
          <w:szCs w:val="20"/>
          <w:color w:val="auto"/>
        </w:rPr>
      </w:pPr>
    </w:p>
    <w:p>
      <w:pPr>
        <w:ind w:left="500"/>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26</w:t>
        </w:r>
      </w:hyperlink>
    </w:p>
    <w:p>
      <w:pPr>
        <w:spacing w:after="0" w:line="86" w:lineRule="exact"/>
        <w:rPr>
          <w:sz w:val="20"/>
          <w:szCs w:val="20"/>
          <w:color w:val="auto"/>
        </w:rPr>
      </w:pPr>
    </w:p>
    <w:p>
      <w:pPr>
        <w:ind w:left="500"/>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26</w:t>
        </w:r>
      </w:hyperlink>
    </w:p>
    <w:p>
      <w:pPr>
        <w:spacing w:after="0" w:line="86" w:lineRule="exact"/>
        <w:rPr>
          <w:sz w:val="20"/>
          <w:szCs w:val="20"/>
          <w:color w:val="auto"/>
        </w:rPr>
      </w:pPr>
    </w:p>
    <w:p>
      <w:pPr>
        <w:ind w:left="500"/>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27</w:t>
        </w:r>
      </w:hyperlink>
    </w:p>
    <w:p>
      <w:pPr>
        <w:spacing w:after="0" w:line="86" w:lineRule="exact"/>
        <w:rPr>
          <w:sz w:val="20"/>
          <w:szCs w:val="20"/>
          <w:color w:val="auto"/>
        </w:rPr>
      </w:pPr>
    </w:p>
    <w:p>
      <w:pPr>
        <w:ind w:left="500"/>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27</w:t>
        </w:r>
      </w:hyperlink>
    </w:p>
    <w:p>
      <w:pPr>
        <w:spacing w:after="0" w:line="86" w:lineRule="exact"/>
        <w:rPr>
          <w:sz w:val="20"/>
          <w:szCs w:val="20"/>
          <w:color w:val="auto"/>
        </w:rPr>
      </w:pPr>
    </w:p>
    <w:p>
      <w:pPr>
        <w:ind w:left="500"/>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27</w:t>
        </w:r>
      </w:hyperlink>
    </w:p>
    <w:p>
      <w:pPr>
        <w:spacing w:after="0" w:line="86" w:lineRule="exact"/>
        <w:rPr>
          <w:sz w:val="20"/>
          <w:szCs w:val="20"/>
          <w:color w:val="auto"/>
        </w:rPr>
      </w:pPr>
    </w:p>
    <w:p>
      <w:pPr>
        <w:ind w:left="500"/>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28</w:t>
        </w:r>
      </w:hyperlink>
    </w:p>
    <w:p>
      <w:pPr>
        <w:spacing w:after="0" w:line="46" w:lineRule="exact"/>
        <w:rPr>
          <w:sz w:val="20"/>
          <w:szCs w:val="20"/>
          <w:color w:val="auto"/>
        </w:rPr>
      </w:pPr>
    </w:p>
    <w:p>
      <w:pPr>
        <w:ind w:left="500"/>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29</w:t>
        </w:r>
      </w:hyperlink>
    </w:p>
    <w:p>
      <w:pPr>
        <w:sectPr>
          <w:pgSz w:w="11900" w:h="16838" w:orient="portrait"/>
          <w:cols w:equalWidth="0" w:num="2">
            <w:col w:w="9960" w:space="720"/>
            <w:col w:w="680"/>
          </w:cols>
          <w:pgMar w:left="260" w:top="895"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280" w:type="dxa"/>
            <w:vAlign w:val="bottom"/>
          </w:tcPr>
          <w:p>
            <w:pPr>
              <w:spacing w:after="0"/>
              <w:rPr>
                <w:sz w:val="16"/>
                <w:szCs w:val="16"/>
                <w:color w:val="auto"/>
              </w:rPr>
            </w:pPr>
          </w:p>
        </w:tc>
        <w:tc>
          <w:tcPr>
            <w:tcW w:w="1500" w:type="dxa"/>
            <w:vAlign w:val="bottom"/>
          </w:tcPr>
          <w:p>
            <w:pPr>
              <w:jc w:val="right"/>
              <w:ind w:right="399"/>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197"/>
        </w:trPr>
        <w:tc>
          <w:tcPr>
            <w:tcW w:w="77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2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7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13,009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18,824</w:t>
            </w:r>
          </w:p>
        </w:tc>
        <w:tc>
          <w:tcPr>
            <w:tcW w:w="0" w:type="dxa"/>
            <w:vAlign w:val="bottom"/>
          </w:tcPr>
          <w:p>
            <w:pPr>
              <w:spacing w:after="0"/>
              <w:rPr>
                <w:sz w:val="1"/>
                <w:szCs w:val="1"/>
                <w:color w:val="auto"/>
              </w:rPr>
            </w:pPr>
          </w:p>
        </w:tc>
      </w:tr>
      <w:tr>
        <w:trPr>
          <w:trHeight w:val="224"/>
        </w:trPr>
        <w:tc>
          <w:tcPr>
            <w:tcW w:w="7720" w:type="dxa"/>
            <w:vAlign w:val="bottom"/>
          </w:tcPr>
          <w:p>
            <w:pPr>
              <w:ind w:left="34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2,123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2,066</w:t>
            </w:r>
          </w:p>
        </w:tc>
        <w:tc>
          <w:tcPr>
            <w:tcW w:w="0" w:type="dxa"/>
            <w:vAlign w:val="bottom"/>
          </w:tcPr>
          <w:p>
            <w:pPr>
              <w:spacing w:after="0"/>
              <w:rPr>
                <w:sz w:val="1"/>
                <w:szCs w:val="1"/>
                <w:color w:val="auto"/>
              </w:rPr>
            </w:pPr>
          </w:p>
        </w:tc>
      </w:tr>
      <w:tr>
        <w:trPr>
          <w:trHeight w:val="33"/>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Income tax receivable</w:t>
            </w: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1,850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1,236</w:t>
            </w:r>
          </w:p>
        </w:tc>
        <w:tc>
          <w:tcPr>
            <w:tcW w:w="0" w:type="dxa"/>
            <w:vAlign w:val="bottom"/>
          </w:tcPr>
          <w:p>
            <w:pPr>
              <w:spacing w:after="0"/>
              <w:rPr>
                <w:sz w:val="1"/>
                <w:szCs w:val="1"/>
                <w:color w:val="auto"/>
              </w:rPr>
            </w:pPr>
          </w:p>
        </w:tc>
      </w:tr>
      <w:tr>
        <w:trPr>
          <w:trHeight w:val="224"/>
        </w:trPr>
        <w:tc>
          <w:tcPr>
            <w:tcW w:w="7720" w:type="dxa"/>
            <w:vAlign w:val="bottom"/>
          </w:tcPr>
          <w:p>
            <w:pPr>
              <w:ind w:left="340"/>
              <w:spacing w:after="0"/>
              <w:rPr>
                <w:sz w:val="20"/>
                <w:szCs w:val="20"/>
                <w:color w:val="auto"/>
              </w:rPr>
            </w:pPr>
            <w:r>
              <w:rPr>
                <w:rFonts w:ascii="Arial" w:cs="Arial" w:eastAsia="Arial" w:hAnsi="Arial"/>
                <w:sz w:val="16"/>
                <w:szCs w:val="16"/>
                <w:color w:val="auto"/>
              </w:rPr>
              <w:t>Inventory, net</w:t>
            </w:r>
          </w:p>
        </w:tc>
        <w:tc>
          <w:tcPr>
            <w:tcW w:w="20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14,776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13,753</w:t>
            </w:r>
          </w:p>
        </w:tc>
        <w:tc>
          <w:tcPr>
            <w:tcW w:w="0" w:type="dxa"/>
            <w:vAlign w:val="bottom"/>
          </w:tcPr>
          <w:p>
            <w:pPr>
              <w:spacing w:after="0"/>
              <w:rPr>
                <w:sz w:val="1"/>
                <w:szCs w:val="1"/>
                <w:color w:val="auto"/>
              </w:rPr>
            </w:pPr>
          </w:p>
        </w:tc>
      </w:tr>
      <w:tr>
        <w:trPr>
          <w:trHeight w:val="33"/>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Prepaid expenses and other</w:t>
            </w: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10,599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7,309</w:t>
            </w:r>
          </w:p>
        </w:tc>
        <w:tc>
          <w:tcPr>
            <w:tcW w:w="0" w:type="dxa"/>
            <w:vAlign w:val="bottom"/>
          </w:tcPr>
          <w:p>
            <w:pPr>
              <w:spacing w:after="0"/>
              <w:rPr>
                <w:sz w:val="1"/>
                <w:szCs w:val="1"/>
                <w:color w:val="auto"/>
              </w:rPr>
            </w:pPr>
          </w:p>
        </w:tc>
      </w:tr>
      <w:tr>
        <w:trPr>
          <w:trHeight w:val="217"/>
        </w:trPr>
        <w:tc>
          <w:tcPr>
            <w:tcW w:w="772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2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42,357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43,188</w:t>
            </w:r>
          </w:p>
        </w:tc>
        <w:tc>
          <w:tcPr>
            <w:tcW w:w="0" w:type="dxa"/>
            <w:vAlign w:val="bottom"/>
          </w:tcPr>
          <w:p>
            <w:pPr>
              <w:spacing w:after="0"/>
              <w:rPr>
                <w:sz w:val="1"/>
                <w:szCs w:val="1"/>
                <w:color w:val="auto"/>
              </w:rPr>
            </w:pPr>
          </w:p>
        </w:tc>
      </w:tr>
      <w:tr>
        <w:trPr>
          <w:trHeight w:val="33"/>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720" w:type="dxa"/>
            <w:vAlign w:val="bottom"/>
          </w:tcPr>
          <w:p>
            <w:pPr>
              <w:ind w:left="34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7,380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7,131</w:t>
            </w:r>
          </w:p>
        </w:tc>
        <w:tc>
          <w:tcPr>
            <w:tcW w:w="0" w:type="dxa"/>
            <w:vAlign w:val="bottom"/>
          </w:tcPr>
          <w:p>
            <w:pPr>
              <w:spacing w:after="0"/>
              <w:rPr>
                <w:sz w:val="1"/>
                <w:szCs w:val="1"/>
                <w:color w:val="auto"/>
              </w:rPr>
            </w:pPr>
          </w:p>
        </w:tc>
      </w:tr>
      <w:tr>
        <w:trPr>
          <w:trHeight w:val="33"/>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Right-of-use assets</w:t>
            </w: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2,706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720" w:type="dxa"/>
            <w:vAlign w:val="bottom"/>
          </w:tcPr>
          <w:p>
            <w:pPr>
              <w:ind w:left="340"/>
              <w:spacing w:after="0"/>
              <w:rPr>
                <w:sz w:val="20"/>
                <w:szCs w:val="20"/>
                <w:color w:val="auto"/>
              </w:rPr>
            </w:pPr>
            <w:r>
              <w:rPr>
                <w:rFonts w:ascii="Arial" w:cs="Arial" w:eastAsia="Arial" w:hAnsi="Arial"/>
                <w:sz w:val="16"/>
                <w:szCs w:val="16"/>
                <w:color w:val="auto"/>
              </w:rPr>
              <w:t>Intangible assets, net</w:t>
            </w:r>
          </w:p>
        </w:tc>
        <w:tc>
          <w:tcPr>
            <w:tcW w:w="20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950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983</w:t>
            </w:r>
          </w:p>
        </w:tc>
        <w:tc>
          <w:tcPr>
            <w:tcW w:w="0" w:type="dxa"/>
            <w:vAlign w:val="bottom"/>
          </w:tcPr>
          <w:p>
            <w:pPr>
              <w:spacing w:after="0"/>
              <w:rPr>
                <w:sz w:val="1"/>
                <w:szCs w:val="1"/>
                <w:color w:val="auto"/>
              </w:rPr>
            </w:pPr>
          </w:p>
        </w:tc>
      </w:tr>
      <w:tr>
        <w:trPr>
          <w:trHeight w:val="33"/>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Deferred income tax asset</w:t>
            </w: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1,325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224"/>
        </w:trPr>
        <w:tc>
          <w:tcPr>
            <w:tcW w:w="7720" w:type="dxa"/>
            <w:vAlign w:val="bottom"/>
          </w:tcPr>
          <w:p>
            <w:pPr>
              <w:ind w:left="340"/>
              <w:spacing w:after="0"/>
              <w:rPr>
                <w:sz w:val="20"/>
                <w:szCs w:val="20"/>
                <w:color w:val="auto"/>
              </w:rPr>
            </w:pPr>
            <w:r>
              <w:rPr>
                <w:rFonts w:ascii="Arial" w:cs="Arial" w:eastAsia="Arial" w:hAnsi="Arial"/>
                <w:sz w:val="16"/>
                <w:szCs w:val="16"/>
                <w:color w:val="auto"/>
              </w:rPr>
              <w:t>Other long-term assets</w:t>
            </w:r>
          </w:p>
        </w:tc>
        <w:tc>
          <w:tcPr>
            <w:tcW w:w="20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1,282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1,278</w:t>
            </w:r>
          </w:p>
        </w:tc>
        <w:tc>
          <w:tcPr>
            <w:tcW w:w="0" w:type="dxa"/>
            <w:vAlign w:val="bottom"/>
          </w:tcPr>
          <w:p>
            <w:pPr>
              <w:spacing w:after="0"/>
              <w:rPr>
                <w:sz w:val="1"/>
                <w:szCs w:val="1"/>
                <w:color w:val="auto"/>
              </w:rPr>
            </w:pPr>
          </w:p>
        </w:tc>
      </w:tr>
      <w:tr>
        <w:trPr>
          <w:trHeight w:val="33"/>
        </w:trPr>
        <w:tc>
          <w:tcPr>
            <w:tcW w:w="7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56,000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55,273</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 AND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7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5,148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5,180</w:t>
            </w:r>
          </w:p>
        </w:tc>
        <w:tc>
          <w:tcPr>
            <w:tcW w:w="0" w:type="dxa"/>
            <w:vAlign w:val="bottom"/>
          </w:tcPr>
          <w:p>
            <w:pPr>
              <w:spacing w:after="0"/>
              <w:rPr>
                <w:sz w:val="1"/>
                <w:szCs w:val="1"/>
                <w:color w:val="auto"/>
              </w:rPr>
            </w:pPr>
          </w:p>
        </w:tc>
      </w:tr>
      <w:tr>
        <w:trPr>
          <w:trHeight w:val="224"/>
        </w:trPr>
        <w:tc>
          <w:tcPr>
            <w:tcW w:w="7720" w:type="dxa"/>
            <w:vAlign w:val="bottom"/>
          </w:tcPr>
          <w:p>
            <w:pPr>
              <w:ind w:left="340"/>
              <w:spacing w:after="0"/>
              <w:rPr>
                <w:sz w:val="20"/>
                <w:szCs w:val="20"/>
                <w:color w:val="auto"/>
              </w:rPr>
            </w:pPr>
            <w:r>
              <w:rPr>
                <w:rFonts w:ascii="Arial" w:cs="Arial" w:eastAsia="Arial" w:hAnsi="Arial"/>
                <w:sz w:val="16"/>
                <w:szCs w:val="16"/>
                <w:color w:val="auto"/>
              </w:rPr>
              <w:t>Commissions payable</w:t>
            </w:r>
          </w:p>
        </w:tc>
        <w:tc>
          <w:tcPr>
            <w:tcW w:w="20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7,865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7,916</w:t>
            </w:r>
          </w:p>
        </w:tc>
        <w:tc>
          <w:tcPr>
            <w:tcW w:w="0" w:type="dxa"/>
            <w:vAlign w:val="bottom"/>
          </w:tcPr>
          <w:p>
            <w:pPr>
              <w:spacing w:after="0"/>
              <w:rPr>
                <w:sz w:val="1"/>
                <w:szCs w:val="1"/>
                <w:color w:val="auto"/>
              </w:rPr>
            </w:pPr>
          </w:p>
        </w:tc>
      </w:tr>
      <w:tr>
        <w:trPr>
          <w:trHeight w:val="33"/>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Income tax payable</w:t>
            </w: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224"/>
        </w:trPr>
        <w:tc>
          <w:tcPr>
            <w:tcW w:w="7720" w:type="dxa"/>
            <w:vAlign w:val="bottom"/>
          </w:tcPr>
          <w:p>
            <w:pPr>
              <w:ind w:left="340"/>
              <w:spacing w:after="0"/>
              <w:rPr>
                <w:sz w:val="20"/>
                <w:szCs w:val="20"/>
                <w:color w:val="auto"/>
              </w:rPr>
            </w:pPr>
            <w:r>
              <w:rPr>
                <w:rFonts w:ascii="Arial" w:cs="Arial" w:eastAsia="Arial" w:hAnsi="Arial"/>
                <w:sz w:val="16"/>
                <w:szCs w:val="16"/>
                <w:color w:val="auto"/>
              </w:rPr>
              <w:t>Lease liabilities</w:t>
            </w:r>
          </w:p>
        </w:tc>
        <w:tc>
          <w:tcPr>
            <w:tcW w:w="20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2,539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accrued expenses</w:t>
            </w: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8,636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11,053</w:t>
            </w:r>
          </w:p>
        </w:tc>
        <w:tc>
          <w:tcPr>
            <w:tcW w:w="0" w:type="dxa"/>
            <w:vAlign w:val="bottom"/>
          </w:tcPr>
          <w:p>
            <w:pPr>
              <w:spacing w:after="0"/>
              <w:rPr>
                <w:sz w:val="1"/>
                <w:szCs w:val="1"/>
                <w:color w:val="auto"/>
              </w:rPr>
            </w:pPr>
          </w:p>
        </w:tc>
      </w:tr>
      <w:tr>
        <w:trPr>
          <w:trHeight w:val="224"/>
        </w:trPr>
        <w:tc>
          <w:tcPr>
            <w:tcW w:w="7720" w:type="dxa"/>
            <w:vAlign w:val="bottom"/>
          </w:tcPr>
          <w:p>
            <w:pPr>
              <w:ind w:left="340"/>
              <w:spacing w:after="0"/>
              <w:rPr>
                <w:sz w:val="20"/>
                <w:szCs w:val="20"/>
                <w:color w:val="auto"/>
              </w:rPr>
            </w:pPr>
            <w:r>
              <w:rPr>
                <w:rFonts w:ascii="Arial" w:cs="Arial" w:eastAsia="Arial" w:hAnsi="Arial"/>
                <w:sz w:val="16"/>
                <w:szCs w:val="16"/>
                <w:color w:val="auto"/>
              </w:rPr>
              <w:t>Current portion of long-term debt, net</w:t>
            </w:r>
          </w:p>
        </w:tc>
        <w:tc>
          <w:tcPr>
            <w:tcW w:w="20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969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1,454</w:t>
            </w:r>
          </w:p>
        </w:tc>
        <w:tc>
          <w:tcPr>
            <w:tcW w:w="0" w:type="dxa"/>
            <w:vAlign w:val="bottom"/>
          </w:tcPr>
          <w:p>
            <w:pPr>
              <w:spacing w:after="0"/>
              <w:rPr>
                <w:sz w:val="1"/>
                <w:szCs w:val="1"/>
                <w:color w:val="auto"/>
              </w:rPr>
            </w:pPr>
          </w:p>
        </w:tc>
      </w:tr>
      <w:tr>
        <w:trPr>
          <w:trHeight w:val="33"/>
        </w:trPr>
        <w:tc>
          <w:tcPr>
            <w:tcW w:w="7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25,307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26,195</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72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20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1,879</w:t>
            </w:r>
          </w:p>
        </w:tc>
        <w:tc>
          <w:tcPr>
            <w:tcW w:w="0" w:type="dxa"/>
            <w:vAlign w:val="bottom"/>
          </w:tcPr>
          <w:p>
            <w:pPr>
              <w:spacing w:after="0"/>
              <w:rPr>
                <w:sz w:val="1"/>
                <w:szCs w:val="1"/>
                <w:color w:val="auto"/>
              </w:rPr>
            </w:pPr>
          </w:p>
        </w:tc>
      </w:tr>
      <w:tr>
        <w:trPr>
          <w:trHeight w:val="33"/>
        </w:trPr>
        <w:tc>
          <w:tcPr>
            <w:tcW w:w="7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26,376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28,074</w:t>
            </w:r>
          </w:p>
        </w:tc>
        <w:tc>
          <w:tcPr>
            <w:tcW w:w="0" w:type="dxa"/>
            <w:vAlign w:val="bottom"/>
          </w:tcPr>
          <w:p>
            <w:pPr>
              <w:spacing w:after="0"/>
              <w:rPr>
                <w:sz w:val="1"/>
                <w:szCs w:val="1"/>
                <w:color w:val="auto"/>
              </w:rPr>
            </w:pPr>
          </w:p>
        </w:tc>
      </w:tr>
      <w:tr>
        <w:trPr>
          <w:trHeight w:val="204"/>
        </w:trPr>
        <w:tc>
          <w:tcPr>
            <w:tcW w:w="7720" w:type="dxa"/>
            <w:vAlign w:val="bottom"/>
          </w:tcPr>
          <w:p>
            <w:pPr>
              <w:ind w:left="20"/>
              <w:spacing w:after="0"/>
              <w:rPr>
                <w:sz w:val="20"/>
                <w:szCs w:val="20"/>
                <w:color w:val="auto"/>
              </w:rPr>
            </w:pPr>
            <w:r>
              <w:rPr>
                <w:rFonts w:ascii="Arial" w:cs="Arial" w:eastAsia="Arial" w:hAnsi="Arial"/>
                <w:sz w:val="16"/>
                <w:szCs w:val="16"/>
                <w:color w:val="auto"/>
              </w:rPr>
              <w:t>Commitments and contingencies - Note 7</w:t>
            </w:r>
          </w:p>
        </w:tc>
        <w:tc>
          <w:tcPr>
            <w:tcW w:w="2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720" w:type="dxa"/>
            <w:vAlign w:val="bottom"/>
          </w:tcPr>
          <w:p>
            <w:pPr>
              <w:ind w:left="360"/>
              <w:spacing w:after="0"/>
              <w:rPr>
                <w:sz w:val="20"/>
                <w:szCs w:val="20"/>
                <w:color w:val="auto"/>
              </w:rPr>
            </w:pPr>
            <w:r>
              <w:rPr>
                <w:rFonts w:ascii="Arial" w:cs="Arial" w:eastAsia="Arial" w:hAnsi="Arial"/>
                <w:sz w:val="16"/>
                <w:szCs w:val="16"/>
                <w:color w:val="auto"/>
                <w:w w:val="97"/>
              </w:rPr>
              <w:t>Preferred stock — par value $0.0001 per share, 5,000 shares authorized, no shares issued or outstanding</w:t>
            </w:r>
          </w:p>
        </w:tc>
        <w:tc>
          <w:tcPr>
            <w:tcW w:w="200" w:type="dxa"/>
            <w:vAlign w:val="bottom"/>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720" w:type="dxa"/>
            <w:vAlign w:val="bottom"/>
            <w:shd w:val="clear" w:color="auto" w:fill="CCEEFF"/>
          </w:tcPr>
          <w:p>
            <w:pPr>
              <w:ind w:left="360"/>
              <w:spacing w:after="0" w:line="166" w:lineRule="exact"/>
              <w:rPr>
                <w:sz w:val="20"/>
                <w:szCs w:val="20"/>
                <w:color w:val="auto"/>
              </w:rPr>
            </w:pPr>
            <w:r>
              <w:rPr>
                <w:rFonts w:ascii="Arial" w:cs="Arial" w:eastAsia="Arial" w:hAnsi="Arial"/>
                <w:sz w:val="16"/>
                <w:szCs w:val="16"/>
                <w:color w:val="auto"/>
                <w:w w:val="95"/>
              </w:rPr>
              <w:t>Common stock — par value $0.0001 per share, 40,000 shares authorized and 14,034 and 14,114 issued and</w:t>
            </w:r>
          </w:p>
        </w:tc>
        <w:tc>
          <w:tcPr>
            <w:tcW w:w="20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12"/>
        </w:trPr>
        <w:tc>
          <w:tcPr>
            <w:tcW w:w="7720" w:type="dxa"/>
            <w:vAlign w:val="bottom"/>
            <w:vMerge w:val="restart"/>
            <w:shd w:val="clear" w:color="auto" w:fill="CCEEFF"/>
          </w:tcPr>
          <w:p>
            <w:pPr>
              <w:ind w:left="360"/>
              <w:spacing w:after="0"/>
              <w:rPr>
                <w:sz w:val="20"/>
                <w:szCs w:val="20"/>
                <w:color w:val="auto"/>
              </w:rPr>
            </w:pPr>
            <w:r>
              <w:rPr>
                <w:rFonts w:ascii="Arial" w:cs="Arial" w:eastAsia="Arial" w:hAnsi="Arial"/>
                <w:sz w:val="16"/>
                <w:szCs w:val="16"/>
                <w:color w:val="auto"/>
              </w:rPr>
              <w:t>outstanding as of September 30, 2019 and June 30, 2019, respectively</w:t>
            </w:r>
          </w:p>
        </w:tc>
        <w:tc>
          <w:tcPr>
            <w:tcW w:w="200" w:type="dxa"/>
            <w:vAlign w:val="bottom"/>
            <w:shd w:val="clear" w:color="auto" w:fill="CCEEFF"/>
          </w:tcPr>
          <w:p>
            <w:pPr>
              <w:spacing w:after="0"/>
              <w:rPr>
                <w:sz w:val="9"/>
                <w:szCs w:val="9"/>
                <w:color w:val="auto"/>
              </w:rPr>
            </w:pPr>
          </w:p>
        </w:tc>
        <w:tc>
          <w:tcPr>
            <w:tcW w:w="15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772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772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128,661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127,096</w:t>
            </w:r>
          </w:p>
        </w:tc>
        <w:tc>
          <w:tcPr>
            <w:tcW w:w="0" w:type="dxa"/>
            <w:vAlign w:val="bottom"/>
          </w:tcPr>
          <w:p>
            <w:pPr>
              <w:spacing w:after="0"/>
              <w:rPr>
                <w:sz w:val="1"/>
                <w:szCs w:val="1"/>
                <w:color w:val="auto"/>
              </w:rPr>
            </w:pPr>
          </w:p>
        </w:tc>
      </w:tr>
      <w:tr>
        <w:trPr>
          <w:trHeight w:val="33"/>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Accumulated deficit</w:t>
            </w: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(99,084)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(99,960)</w:t>
            </w:r>
          </w:p>
        </w:tc>
        <w:tc>
          <w:tcPr>
            <w:tcW w:w="0" w:type="dxa"/>
            <w:vAlign w:val="bottom"/>
          </w:tcPr>
          <w:p>
            <w:pPr>
              <w:spacing w:after="0"/>
              <w:rPr>
                <w:sz w:val="1"/>
                <w:szCs w:val="1"/>
                <w:color w:val="auto"/>
              </w:rPr>
            </w:pPr>
          </w:p>
        </w:tc>
      </w:tr>
      <w:tr>
        <w:trPr>
          <w:trHeight w:val="224"/>
        </w:trPr>
        <w:tc>
          <w:tcPr>
            <w:tcW w:w="7720" w:type="dxa"/>
            <w:vAlign w:val="bottom"/>
          </w:tcPr>
          <w:p>
            <w:pPr>
              <w:ind w:left="34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33"/>
        </w:trPr>
        <w:tc>
          <w:tcPr>
            <w:tcW w:w="7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29,624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27,199</w:t>
            </w:r>
          </w:p>
        </w:tc>
        <w:tc>
          <w:tcPr>
            <w:tcW w:w="0" w:type="dxa"/>
            <w:vAlign w:val="bottom"/>
          </w:tcPr>
          <w:p>
            <w:pPr>
              <w:spacing w:after="0"/>
              <w:rPr>
                <w:sz w:val="1"/>
                <w:szCs w:val="1"/>
                <w:color w:val="auto"/>
              </w:rPr>
            </w:pPr>
          </w:p>
        </w:tc>
      </w:tr>
      <w:tr>
        <w:trPr>
          <w:trHeight w:val="217"/>
        </w:trPr>
        <w:tc>
          <w:tcPr>
            <w:tcW w:w="772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56,000</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55,273</w:t>
            </w:r>
          </w:p>
        </w:tc>
        <w:tc>
          <w:tcPr>
            <w:tcW w:w="0" w:type="dxa"/>
            <w:vAlign w:val="bottom"/>
          </w:tcPr>
          <w:p>
            <w:pPr>
              <w:spacing w:after="0"/>
              <w:rPr>
                <w:sz w:val="1"/>
                <w:szCs w:val="1"/>
                <w:color w:val="auto"/>
              </w:rPr>
            </w:pPr>
          </w:p>
        </w:tc>
      </w:tr>
      <w:tr>
        <w:trPr>
          <w:trHeight w:val="33"/>
        </w:trPr>
        <w:tc>
          <w:tcPr>
            <w:tcW w:w="7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00"/>
          </w:cols>
          <w:pgMar w:left="240" w:top="89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type w:val="continuous"/>
        </w:sectPr>
      </w:pPr>
    </w:p>
    <w:bookmarkStart w:id="5" w:name="page6"/>
    <w:bookmarkEnd w:id="5"/>
    <w:p>
      <w:pPr>
        <w:jc w:val="center"/>
        <w:ind w:left="260" w:right="1760"/>
        <w:spacing w:after="0" w:line="272" w:lineRule="auto"/>
        <w:rPr>
          <w:sz w:val="20"/>
          <w:szCs w:val="20"/>
          <w:color w:val="auto"/>
        </w:rPr>
      </w:pPr>
      <w:r>
        <w:rPr>
          <w:rFonts w:ascii="Arial" w:cs="Arial" w:eastAsia="Arial" w:hAnsi="Arial"/>
          <w:sz w:val="18"/>
          <w:szCs w:val="18"/>
          <w:color w:val="auto"/>
        </w:rPr>
        <w:t>LIFEVANTAGE CORPORATION AND SUBSIDIARIES CONDENSED CONSOLIDATED STATEMENTS OF OPERATIONS AND COMPREHENSIVE INCOME (Unaudited)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74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net</w:t>
            </w:r>
          </w:p>
        </w:tc>
        <w:tc>
          <w:tcPr>
            <w:tcW w:w="108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56,228</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4"/>
              </w:rPr>
              <w:t>55,609</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0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9,190</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9,199</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47,038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4"/>
              </w:rPr>
              <w:t>46,410</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Commissions and incentives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26,774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4"/>
              </w:rPr>
              <w:t>27,785</w:t>
            </w:r>
          </w:p>
        </w:tc>
        <w:tc>
          <w:tcPr>
            <w:tcW w:w="0" w:type="dxa"/>
            <w:vAlign w:val="bottom"/>
          </w:tcPr>
          <w:p>
            <w:pPr>
              <w:spacing w:after="0"/>
              <w:rPr>
                <w:sz w:val="1"/>
                <w:szCs w:val="1"/>
                <w:color w:val="auto"/>
              </w:rPr>
            </w:pPr>
          </w:p>
        </w:tc>
      </w:tr>
      <w:tr>
        <w:trPr>
          <w:trHeight w:val="243"/>
        </w:trPr>
        <w:tc>
          <w:tcPr>
            <w:tcW w:w="77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17,686</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w w:val="94"/>
              </w:rPr>
              <w:t>17,301</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operating expenses</w:t>
            </w:r>
          </w:p>
        </w:tc>
        <w:tc>
          <w:tcPr>
            <w:tcW w:w="10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44,460</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4"/>
              </w:rPr>
              <w:t>45,086</w:t>
            </w:r>
          </w:p>
        </w:tc>
        <w:tc>
          <w:tcPr>
            <w:tcW w:w="0" w:type="dxa"/>
            <w:vAlign w:val="bottom"/>
          </w:tcPr>
          <w:p>
            <w:pPr>
              <w:spacing w:after="0"/>
              <w:rPr>
                <w:sz w:val="1"/>
                <w:szCs w:val="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0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10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10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7740" w:type="dxa"/>
            <w:vAlign w:val="bottom"/>
          </w:tcPr>
          <w:p>
            <w:pPr>
              <w:ind w:left="660"/>
              <w:spacing w:after="0"/>
              <w:rPr>
                <w:sz w:val="20"/>
                <w:szCs w:val="20"/>
                <w:color w:val="auto"/>
              </w:rPr>
            </w:pPr>
            <w:r>
              <w:rPr>
                <w:rFonts w:ascii="Arial" w:cs="Arial" w:eastAsia="Arial" w:hAnsi="Arial"/>
                <w:sz w:val="18"/>
                <w:szCs w:val="18"/>
                <w:color w:val="auto"/>
              </w:rPr>
              <w:t>Total other expense</w:t>
            </w:r>
          </w:p>
        </w:tc>
        <w:tc>
          <w:tcPr>
            <w:tcW w:w="10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2,450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43"/>
        </w:trPr>
        <w:tc>
          <w:tcPr>
            <w:tcW w:w="774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10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1,761</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share:</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74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08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43"/>
        </w:trPr>
        <w:tc>
          <w:tcPr>
            <w:tcW w:w="7740" w:type="dxa"/>
            <w:vAlign w:val="bottom"/>
          </w:tcPr>
          <w:p>
            <w:pPr>
              <w:ind w:left="220"/>
              <w:spacing w:after="0"/>
              <w:rPr>
                <w:sz w:val="20"/>
                <w:szCs w:val="20"/>
                <w:color w:val="auto"/>
              </w:rPr>
            </w:pPr>
            <w:r>
              <w:rPr>
                <w:rFonts w:ascii="Arial" w:cs="Arial" w:eastAsia="Arial" w:hAnsi="Arial"/>
                <w:sz w:val="18"/>
                <w:szCs w:val="18"/>
                <w:color w:val="auto"/>
              </w:rPr>
              <w:t>Diluted</w:t>
            </w:r>
          </w:p>
        </w:tc>
        <w:tc>
          <w:tcPr>
            <w:tcW w:w="1080" w:type="dxa"/>
            <w:vAlign w:val="bottom"/>
          </w:tcPr>
          <w:p>
            <w:pPr>
              <w:jc w:val="right"/>
              <w:ind w:right="894"/>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20"/>
              <w:spacing w:after="0"/>
              <w:rPr>
                <w:sz w:val="20"/>
                <w:szCs w:val="20"/>
                <w:color w:val="auto"/>
              </w:rPr>
            </w:pPr>
            <w:r>
              <w:rPr>
                <w:rFonts w:ascii="Arial" w:cs="Arial" w:eastAsia="Arial" w:hAnsi="Arial"/>
                <w:sz w:val="18"/>
                <w:szCs w:val="18"/>
                <w:color w:val="auto"/>
              </w:rPr>
              <w:t>Basic</w:t>
            </w:r>
          </w:p>
        </w:tc>
        <w:tc>
          <w:tcPr>
            <w:tcW w:w="10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14,009</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w w:val="94"/>
              </w:rPr>
              <w:t>13,987</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15,106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4"/>
              </w:rPr>
              <w:t>15,139</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Foreign currency translation adjustment</w:t>
            </w:r>
          </w:p>
        </w:tc>
        <w:tc>
          <w:tcPr>
            <w:tcW w:w="108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10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08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1,745</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5" w:right="259" w:bottom="1440" w:gutter="0" w:footer="0" w:header="0"/>
        </w:sectPr>
      </w:pPr>
    </w:p>
    <w:bookmarkStart w:id="6" w:name="page7"/>
    <w:bookmarkEnd w:id="6"/>
    <w:p>
      <w:pPr>
        <w:jc w:val="center"/>
        <w:ind w:left="300" w:right="2600"/>
        <w:spacing w:after="0" w:line="264" w:lineRule="auto"/>
        <w:rPr>
          <w:sz w:val="20"/>
          <w:szCs w:val="20"/>
          <w:color w:val="auto"/>
        </w:rPr>
      </w:pPr>
      <w:r>
        <w:rPr>
          <w:rFonts w:ascii="Arial" w:cs="Arial" w:eastAsia="Arial" w:hAnsi="Arial"/>
          <w:sz w:val="18"/>
          <w:szCs w:val="18"/>
          <w:color w:val="auto"/>
        </w:rPr>
        <w:t>LIFEVANTAGE CORPORATION AND SUBSIDIARIES CONDENSED CONSOLIDATED STATEMENT OF STOCKHOLDERS’ EQUITY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180" w:type="dxa"/>
            <w:vAlign w:val="bottom"/>
            <w:gridSpan w:val="3"/>
            <w:vMerge w:val="restart"/>
          </w:tcPr>
          <w:p>
            <w:pPr>
              <w:jc w:val="right"/>
              <w:ind w:right="354"/>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420" w:type="dxa"/>
            <w:vAlign w:val="bottom"/>
          </w:tcPr>
          <w:p>
            <w:pPr>
              <w:spacing w:after="0"/>
              <w:rPr>
                <w:sz w:val="13"/>
                <w:szCs w:val="13"/>
                <w:color w:val="auto"/>
              </w:rPr>
            </w:pPr>
          </w:p>
        </w:tc>
        <w:tc>
          <w:tcPr>
            <w:tcW w:w="2180" w:type="dxa"/>
            <w:vAlign w:val="bottom"/>
            <w:tcBorders>
              <w:bottom w:val="single" w:sz="8" w:color="auto"/>
            </w:tcBorders>
            <w:gridSpan w:val="3"/>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420" w:type="dxa"/>
            <w:vAlign w:val="bottom"/>
          </w:tcPr>
          <w:p>
            <w:pPr>
              <w:spacing w:after="0"/>
              <w:rPr>
                <w:sz w:val="10"/>
                <w:szCs w:val="10"/>
                <w:color w:val="auto"/>
              </w:rPr>
            </w:pPr>
          </w:p>
        </w:tc>
        <w:tc>
          <w:tcPr>
            <w:tcW w:w="132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0"/>
                <w:szCs w:val="10"/>
                <w:color w:val="auto"/>
              </w:rPr>
            </w:pPr>
          </w:p>
        </w:tc>
        <w:tc>
          <w:tcPr>
            <w:tcW w:w="11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280" w:type="dxa"/>
            <w:vAlign w:val="bottom"/>
          </w:tcPr>
          <w:p>
            <w:pPr>
              <w:spacing w:after="0"/>
              <w:rPr>
                <w:sz w:val="10"/>
                <w:szCs w:val="10"/>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4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June 30, 2019</w:t>
            </w: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14,114</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127,096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(99,960)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center"/>
              <w:ind w:left="635"/>
              <w:spacing w:after="0"/>
              <w:rPr>
                <w:sz w:val="20"/>
                <w:szCs w:val="20"/>
                <w:color w:val="auto"/>
              </w:rPr>
            </w:pPr>
            <w:r>
              <w:rPr>
                <w:rFonts w:ascii="Arial" w:cs="Arial" w:eastAsia="Arial" w:hAnsi="Arial"/>
                <w:sz w:val="18"/>
                <w:szCs w:val="18"/>
                <w:b w:val="1"/>
                <w:bCs w:val="1"/>
                <w:color w:val="auto"/>
                <w:w w:val="89"/>
              </w:rPr>
              <w:t>62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27,199</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w w:val="97"/>
              </w:rPr>
              <w:t>Cumulative effect of adoption of accounting</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principle</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left="515"/>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July 1, 2019</w:t>
            </w: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14,114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127,096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(99,452)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center"/>
              <w:ind w:left="635"/>
              <w:spacing w:after="0"/>
              <w:rPr>
                <w:sz w:val="20"/>
                <w:szCs w:val="20"/>
                <w:color w:val="auto"/>
              </w:rPr>
            </w:pPr>
            <w:r>
              <w:rPr>
                <w:rFonts w:ascii="Arial" w:cs="Arial" w:eastAsia="Arial" w:hAnsi="Arial"/>
                <w:sz w:val="18"/>
                <w:szCs w:val="18"/>
                <w:b w:val="1"/>
                <w:bCs w:val="1"/>
                <w:color w:val="auto"/>
                <w:w w:val="89"/>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27,707</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left="515"/>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Exercise of options</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center"/>
              <w:ind w:left="515"/>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Common stock issued under employee stock</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plan</w:t>
            </w: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center"/>
              <w:ind w:left="515"/>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w w:val="90"/>
              </w:rPr>
              <w:t>Shares canceled or surrendered as payment of</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tax withholding</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center"/>
              <w:ind w:left="515"/>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Repurchase of company stock</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left="515"/>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Currency translation adjustment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tcPr>
          <w:p>
            <w:pPr>
              <w:jc w:val="center"/>
              <w:ind w:left="595"/>
              <w:spacing w:after="0"/>
              <w:rPr>
                <w:sz w:val="20"/>
                <w:szCs w:val="20"/>
                <w:color w:val="auto"/>
              </w:rPr>
            </w:pPr>
            <w:r>
              <w:rPr>
                <w:rFonts w:ascii="Arial" w:cs="Arial" w:eastAsia="Arial" w:hAnsi="Arial"/>
                <w:sz w:val="18"/>
                <w:szCs w:val="18"/>
                <w:color w:val="auto"/>
                <w:w w:val="93"/>
              </w:rPr>
              <w:t>(16)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center"/>
              <w:ind w:left="515"/>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37"/>
        </w:trPr>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Balances, September 30, 2019</w:t>
            </w:r>
          </w:p>
        </w:tc>
        <w:tc>
          <w:tcPr>
            <w:tcW w:w="12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14,034</w:t>
            </w: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128,661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(99,084)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tcPr>
          <w:p>
            <w:pPr>
              <w:jc w:val="center"/>
              <w:ind w:left="635"/>
              <w:spacing w:after="0"/>
              <w:rPr>
                <w:sz w:val="20"/>
                <w:szCs w:val="20"/>
                <w:color w:val="auto"/>
              </w:rPr>
            </w:pPr>
            <w:r>
              <w:rPr>
                <w:rFonts w:ascii="Arial" w:cs="Arial" w:eastAsia="Arial" w:hAnsi="Arial"/>
                <w:sz w:val="18"/>
                <w:szCs w:val="18"/>
                <w:b w:val="1"/>
                <w:bCs w:val="1"/>
                <w:color w:val="auto"/>
                <w:w w:val="89"/>
              </w:rPr>
              <w:t>46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29,624</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4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895" w:right="2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700" w:type="dxa"/>
            <w:vAlign w:val="bottom"/>
            <w:tcBorders>
              <w:bottom w:val="single" w:sz="8" w:color="auto"/>
            </w:tcBorders>
          </w:tcPr>
          <w:p>
            <w:pPr>
              <w:spacing w:after="0"/>
              <w:rPr>
                <w:sz w:val="16"/>
                <w:szCs w:val="16"/>
                <w:color w:val="auto"/>
              </w:rPr>
            </w:pPr>
          </w:p>
        </w:tc>
      </w:tr>
      <w:tr>
        <w:trPr>
          <w:trHeight w:val="196"/>
        </w:trPr>
        <w:tc>
          <w:tcPr>
            <w:tcW w:w="772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7"/>
                <w:szCs w:val="17"/>
                <w:color w:val="auto"/>
              </w:rPr>
            </w:pPr>
          </w:p>
        </w:tc>
      </w:tr>
      <w:tr>
        <w:trPr>
          <w:trHeight w:val="197"/>
        </w:trPr>
        <w:tc>
          <w:tcPr>
            <w:tcW w:w="77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5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r>
      <w:tr>
        <w:trPr>
          <w:trHeight w:val="243"/>
        </w:trPr>
        <w:tc>
          <w:tcPr>
            <w:tcW w:w="77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80" w:type="dxa"/>
            <w:vAlign w:val="bottom"/>
          </w:tcPr>
          <w:p>
            <w:pPr>
              <w:jc w:val="right"/>
              <w:ind w:right="896"/>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1,761</w:t>
            </w:r>
          </w:p>
        </w:tc>
        <w:tc>
          <w:tcPr>
            <w:tcW w:w="120" w:type="dxa"/>
            <w:vAlign w:val="bottom"/>
          </w:tcPr>
          <w:p>
            <w:pPr>
              <w:spacing w:after="0"/>
              <w:rPr>
                <w:sz w:val="21"/>
                <w:szCs w:val="21"/>
                <w:color w:val="auto"/>
              </w:rPr>
            </w:pPr>
          </w:p>
        </w:tc>
        <w:tc>
          <w:tcPr>
            <w:tcW w:w="1080" w:type="dxa"/>
            <w:vAlign w:val="bottom"/>
          </w:tcPr>
          <w:p>
            <w:pPr>
              <w:jc w:val="right"/>
              <w:ind w:right="894"/>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911</w:t>
            </w:r>
          </w:p>
        </w:tc>
      </w:tr>
      <w:tr>
        <w:trPr>
          <w:trHeight w:val="27"/>
        </w:trPr>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441</w:t>
            </w:r>
          </w:p>
        </w:tc>
      </w:tr>
      <w:tr>
        <w:trPr>
          <w:trHeight w:val="27"/>
        </w:trPr>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Stock-based compensation</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1,372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1,333</w:t>
            </w:r>
          </w:p>
        </w:tc>
      </w:tr>
      <w:tr>
        <w:trPr>
          <w:trHeight w:val="243"/>
        </w:trPr>
        <w:tc>
          <w:tcPr>
            <w:tcW w:w="7720" w:type="dxa"/>
            <w:vAlign w:val="bottom"/>
          </w:tcPr>
          <w:p>
            <w:pPr>
              <w:ind w:left="660"/>
              <w:spacing w:after="0"/>
              <w:rPr>
                <w:sz w:val="20"/>
                <w:szCs w:val="20"/>
                <w:color w:val="auto"/>
              </w:rPr>
            </w:pPr>
            <w:r>
              <w:rPr>
                <w:rFonts w:ascii="Arial" w:cs="Arial" w:eastAsia="Arial" w:hAnsi="Arial"/>
                <w:sz w:val="18"/>
                <w:szCs w:val="18"/>
                <w:color w:val="auto"/>
              </w:rPr>
              <w:t>Amortization of right-of-use assets</w:t>
            </w:r>
          </w:p>
        </w:tc>
        <w:tc>
          <w:tcPr>
            <w:tcW w:w="10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Amortization of deferred financing fees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r>
      <w:tr>
        <w:trPr>
          <w:trHeight w:val="243"/>
        </w:trPr>
        <w:tc>
          <w:tcPr>
            <w:tcW w:w="7720" w:type="dxa"/>
            <w:vAlign w:val="bottom"/>
          </w:tcPr>
          <w:p>
            <w:pPr>
              <w:ind w:left="660"/>
              <w:spacing w:after="0"/>
              <w:rPr>
                <w:sz w:val="20"/>
                <w:szCs w:val="20"/>
                <w:color w:val="auto"/>
              </w:rPr>
            </w:pPr>
            <w:r>
              <w:rPr>
                <w:rFonts w:ascii="Arial" w:cs="Arial" w:eastAsia="Arial" w:hAnsi="Arial"/>
                <w:sz w:val="18"/>
                <w:szCs w:val="18"/>
                <w:color w:val="auto"/>
              </w:rPr>
              <w:t>Amortization of debt discount</w:t>
            </w:r>
          </w:p>
        </w:tc>
        <w:tc>
          <w:tcPr>
            <w:tcW w:w="10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7</w:t>
            </w:r>
          </w:p>
        </w:tc>
      </w:tr>
      <w:tr>
        <w:trPr>
          <w:trHeight w:val="27"/>
        </w:trPr>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Deferred income tax</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1,203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233</w:t>
            </w:r>
          </w:p>
        </w:tc>
      </w:tr>
      <w:tr>
        <w:trPr>
          <w:trHeight w:val="243"/>
        </w:trPr>
        <w:tc>
          <w:tcPr>
            <w:tcW w:w="772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w:t>
            </w:r>
          </w:p>
        </w:tc>
      </w:tr>
      <w:tr>
        <w:trPr>
          <w:trHeight w:val="243"/>
        </w:trPr>
        <w:tc>
          <w:tcPr>
            <w:tcW w:w="7720" w:type="dxa"/>
            <w:vAlign w:val="bottom"/>
          </w:tcPr>
          <w:p>
            <w:pPr>
              <w:ind w:left="660"/>
              <w:spacing w:after="0"/>
              <w:rPr>
                <w:sz w:val="20"/>
                <w:szCs w:val="20"/>
                <w:color w:val="auto"/>
              </w:rPr>
            </w:pPr>
            <w:r>
              <w:rPr>
                <w:rFonts w:ascii="Arial" w:cs="Arial" w:eastAsia="Arial" w:hAnsi="Arial"/>
                <w:sz w:val="18"/>
                <w:szCs w:val="18"/>
                <w:color w:val="auto"/>
              </w:rPr>
              <w:t>Income tax receivable</w:t>
            </w:r>
          </w:p>
        </w:tc>
        <w:tc>
          <w:tcPr>
            <w:tcW w:w="10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(909)</w:t>
            </w:r>
          </w:p>
        </w:tc>
      </w:tr>
      <w:tr>
        <w:trPr>
          <w:trHeight w:val="27"/>
        </w:trPr>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Inventory, net</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313</w:t>
            </w:r>
          </w:p>
        </w:tc>
      </w:tr>
      <w:tr>
        <w:trPr>
          <w:trHeight w:val="243"/>
        </w:trPr>
        <w:tc>
          <w:tcPr>
            <w:tcW w:w="7720" w:type="dxa"/>
            <w:vAlign w:val="bottom"/>
          </w:tcPr>
          <w:p>
            <w:pPr>
              <w:ind w:left="660"/>
              <w:spacing w:after="0"/>
              <w:rPr>
                <w:sz w:val="20"/>
                <w:szCs w:val="20"/>
                <w:color w:val="auto"/>
              </w:rPr>
            </w:pPr>
            <w:r>
              <w:rPr>
                <w:rFonts w:ascii="Arial" w:cs="Arial" w:eastAsia="Arial" w:hAnsi="Arial"/>
                <w:sz w:val="18"/>
                <w:szCs w:val="18"/>
                <w:color w:val="auto"/>
              </w:rPr>
              <w:t>Prepaid expenses and other</w:t>
            </w:r>
          </w:p>
        </w:tc>
        <w:tc>
          <w:tcPr>
            <w:tcW w:w="10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(3,296)</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1,332</w:t>
            </w:r>
          </w:p>
        </w:tc>
      </w:tr>
      <w:tr>
        <w:trPr>
          <w:trHeight w:val="27"/>
        </w:trPr>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Other long-term assets</w:t>
            </w:r>
          </w:p>
        </w:tc>
        <w:tc>
          <w:tcPr>
            <w:tcW w:w="10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r>
      <w:tr>
        <w:trPr>
          <w:trHeight w:val="243"/>
        </w:trPr>
        <w:tc>
          <w:tcPr>
            <w:tcW w:w="7720" w:type="dxa"/>
            <w:vAlign w:val="bottom"/>
          </w:tcPr>
          <w:p>
            <w:pPr>
              <w:ind w:left="660"/>
              <w:spacing w:after="0"/>
              <w:rPr>
                <w:sz w:val="20"/>
                <w:szCs w:val="20"/>
                <w:color w:val="auto"/>
              </w:rPr>
            </w:pPr>
            <w:r>
              <w:rPr>
                <w:rFonts w:ascii="Arial" w:cs="Arial" w:eastAsia="Arial" w:hAnsi="Arial"/>
                <w:sz w:val="18"/>
                <w:szCs w:val="18"/>
                <w:color w:val="auto"/>
              </w:rPr>
              <w:t>Accounts payable</w:t>
            </w:r>
          </w:p>
        </w:tc>
        <w:tc>
          <w:tcPr>
            <w:tcW w:w="10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127</w:t>
            </w:r>
          </w:p>
        </w:tc>
      </w:tr>
      <w:tr>
        <w:trPr>
          <w:trHeight w:val="27"/>
        </w:trPr>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Income tax payable</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r>
      <w:tr>
        <w:trPr>
          <w:trHeight w:val="243"/>
        </w:trPr>
        <w:tc>
          <w:tcPr>
            <w:tcW w:w="7720" w:type="dxa"/>
            <w:vAlign w:val="bottom"/>
          </w:tcPr>
          <w:p>
            <w:pPr>
              <w:ind w:left="660"/>
              <w:spacing w:after="0"/>
              <w:rPr>
                <w:sz w:val="20"/>
                <w:szCs w:val="20"/>
                <w:color w:val="auto"/>
              </w:rPr>
            </w:pPr>
            <w:r>
              <w:rPr>
                <w:rFonts w:ascii="Arial" w:cs="Arial" w:eastAsia="Arial" w:hAnsi="Arial"/>
                <w:sz w:val="18"/>
                <w:szCs w:val="18"/>
                <w:color w:val="auto"/>
              </w:rPr>
              <w:t>Other accrued expenses</w:t>
            </w:r>
          </w:p>
        </w:tc>
        <w:tc>
          <w:tcPr>
            <w:tcW w:w="10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(2,776)</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(885)</w:t>
            </w:r>
          </w:p>
        </w:tc>
      </w:tr>
      <w:tr>
        <w:trPr>
          <w:trHeight w:val="27"/>
        </w:trPr>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Lease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720" w:type="dxa"/>
            <w:vAlign w:val="bottom"/>
          </w:tcPr>
          <w:p>
            <w:pPr>
              <w:ind w:left="660"/>
              <w:spacing w:after="0"/>
              <w:rPr>
                <w:sz w:val="20"/>
                <w:szCs w:val="20"/>
                <w:color w:val="auto"/>
              </w:rPr>
            </w:pPr>
            <w:r>
              <w:rPr>
                <w:rFonts w:ascii="Arial" w:cs="Arial" w:eastAsia="Arial" w:hAnsi="Arial"/>
                <w:sz w:val="18"/>
                <w:szCs w:val="18"/>
                <w:color w:val="auto"/>
              </w:rPr>
              <w:t>Other long-term liabilities</w:t>
            </w:r>
          </w:p>
        </w:tc>
        <w:tc>
          <w:tcPr>
            <w:tcW w:w="10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(195)</w:t>
            </w:r>
          </w:p>
        </w:tc>
      </w:tr>
      <w:tr>
        <w:trPr>
          <w:trHeight w:val="27"/>
        </w:trPr>
        <w:tc>
          <w:tcPr>
            <w:tcW w:w="77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(3,460)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2,366</w:t>
            </w: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Investments in convertible note receivable</w:t>
            </w:r>
          </w:p>
        </w:tc>
        <w:tc>
          <w:tcPr>
            <w:tcW w:w="10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(1,400)</w:t>
            </w:r>
          </w:p>
        </w:tc>
      </w:tr>
      <w:tr>
        <w:trPr>
          <w:trHeight w:val="243"/>
        </w:trPr>
        <w:tc>
          <w:tcPr>
            <w:tcW w:w="7720" w:type="dxa"/>
            <w:vAlign w:val="bottom"/>
          </w:tcPr>
          <w:p>
            <w:pPr>
              <w:ind w:left="340"/>
              <w:spacing w:after="0"/>
              <w:rPr>
                <w:sz w:val="20"/>
                <w:szCs w:val="20"/>
                <w:color w:val="auto"/>
              </w:rPr>
            </w:pPr>
            <w:r>
              <w:rPr>
                <w:rFonts w:ascii="Arial" w:cs="Arial" w:eastAsia="Arial" w:hAnsi="Arial"/>
                <w:sz w:val="18"/>
                <w:szCs w:val="18"/>
                <w:color w:val="auto"/>
              </w:rPr>
              <w:t>Purchase of equipment</w:t>
            </w:r>
          </w:p>
        </w:tc>
        <w:tc>
          <w:tcPr>
            <w:tcW w:w="10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(86)</w:t>
            </w:r>
          </w:p>
        </w:tc>
      </w:tr>
      <w:tr>
        <w:trPr>
          <w:trHeight w:val="27"/>
        </w:trPr>
        <w:tc>
          <w:tcPr>
            <w:tcW w:w="77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8"/>
              </w:rPr>
              <w:t>(1,486)</w:t>
            </w: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Repurchase of company stock</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720" w:type="dxa"/>
            <w:vAlign w:val="bottom"/>
          </w:tcPr>
          <w:p>
            <w:pPr>
              <w:ind w:left="340"/>
              <w:spacing w:after="0"/>
              <w:rPr>
                <w:sz w:val="20"/>
                <w:szCs w:val="20"/>
                <w:color w:val="auto"/>
              </w:rPr>
            </w:pPr>
            <w:r>
              <w:rPr>
                <w:rFonts w:ascii="Arial" w:cs="Arial" w:eastAsia="Arial" w:hAnsi="Arial"/>
                <w:sz w:val="18"/>
                <w:szCs w:val="18"/>
                <w:color w:val="auto"/>
              </w:rPr>
              <w:t>Payment on term loan</w:t>
            </w:r>
          </w:p>
        </w:tc>
        <w:tc>
          <w:tcPr>
            <w:tcW w:w="10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(500)</w:t>
            </w:r>
          </w:p>
        </w:tc>
      </w:tr>
      <w:tr>
        <w:trPr>
          <w:trHeight w:val="27"/>
        </w:trPr>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Shares purchased as payment of tax withholding</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720" w:type="dxa"/>
            <w:vAlign w:val="bottom"/>
          </w:tcPr>
          <w:p>
            <w:pPr>
              <w:ind w:left="340"/>
              <w:spacing w:after="0"/>
              <w:rPr>
                <w:sz w:val="20"/>
                <w:szCs w:val="20"/>
                <w:color w:val="auto"/>
              </w:rPr>
            </w:pPr>
            <w:r>
              <w:rPr>
                <w:rFonts w:ascii="Arial" w:cs="Arial" w:eastAsia="Arial" w:hAnsi="Arial"/>
                <w:sz w:val="18"/>
                <w:szCs w:val="18"/>
                <w:color w:val="auto"/>
              </w:rPr>
              <w:t>Proceeds from common stock issued under employee stock purchase plan</w:t>
            </w:r>
          </w:p>
        </w:tc>
        <w:tc>
          <w:tcPr>
            <w:tcW w:w="10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Exercise of options</w:t>
            </w:r>
          </w:p>
        </w:tc>
        <w:tc>
          <w:tcPr>
            <w:tcW w:w="10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172</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10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(1,604)</w:t>
            </w:r>
          </w:p>
        </w:tc>
        <w:tc>
          <w:tcPr>
            <w:tcW w:w="12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(328)</w:t>
            </w:r>
          </w:p>
        </w:tc>
      </w:tr>
      <w:tr>
        <w:trPr>
          <w:trHeight w:val="27"/>
        </w:trPr>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Effect on Cash</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w:t>
            </w: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0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rPr>
              <w:t>(5,815)</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rPr>
              <w:t>471</w:t>
            </w:r>
          </w:p>
        </w:tc>
      </w:tr>
      <w:tr>
        <w:trPr>
          <w:trHeight w:val="27"/>
        </w:trPr>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 beginning of period</w:t>
            </w:r>
          </w:p>
        </w:tc>
        <w:tc>
          <w:tcPr>
            <w:tcW w:w="10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18,824</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16,652</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 end of period</w:t>
            </w:r>
          </w:p>
        </w:tc>
        <w:tc>
          <w:tcPr>
            <w:tcW w:w="108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13,009</w:t>
            </w:r>
          </w:p>
        </w:tc>
        <w:tc>
          <w:tcPr>
            <w:tcW w:w="12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ind w:right="894"/>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17,123</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7"/>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r>
      <w:tr>
        <w:trPr>
          <w:trHeight w:val="243"/>
        </w:trPr>
        <w:tc>
          <w:tcPr>
            <w:tcW w:w="7720" w:type="dxa"/>
            <w:vAlign w:val="bottom"/>
          </w:tcPr>
          <w:p>
            <w:pPr>
              <w:ind w:left="1100"/>
              <w:spacing w:after="0"/>
              <w:rPr>
                <w:sz w:val="20"/>
                <w:szCs w:val="20"/>
                <w:color w:val="auto"/>
              </w:rPr>
            </w:pPr>
            <w:r>
              <w:rPr>
                <w:rFonts w:ascii="Arial" w:cs="Arial" w:eastAsia="Arial" w:hAnsi="Arial"/>
                <w:sz w:val="18"/>
                <w:szCs w:val="18"/>
                <w:color w:val="auto"/>
              </w:rPr>
              <w:t>Cash paid for interest</w:t>
            </w:r>
          </w:p>
        </w:tc>
        <w:tc>
          <w:tcPr>
            <w:tcW w:w="1080" w:type="dxa"/>
            <w:vAlign w:val="bottom"/>
          </w:tcPr>
          <w:p>
            <w:pPr>
              <w:jc w:val="right"/>
              <w:ind w:right="896"/>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080" w:type="dxa"/>
            <w:vAlign w:val="bottom"/>
          </w:tcPr>
          <w:p>
            <w:pPr>
              <w:jc w:val="right"/>
              <w:ind w:right="894"/>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80</w:t>
            </w:r>
          </w:p>
        </w:tc>
      </w:tr>
      <w:tr>
        <w:trPr>
          <w:trHeight w:val="27"/>
        </w:trPr>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77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Cash paid for income taxes</w:t>
            </w:r>
          </w:p>
        </w:tc>
        <w:tc>
          <w:tcPr>
            <w:tcW w:w="108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755</w:t>
            </w:r>
          </w:p>
        </w:tc>
      </w:tr>
      <w:tr>
        <w:trPr>
          <w:trHeight w:val="27"/>
        </w:trPr>
        <w:tc>
          <w:tcPr>
            <w:tcW w:w="77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00"/>
          </w:cols>
          <w:pgMar w:left="240" w:top="89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5" w:right="25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LIFEVANTAGE CORPORATION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These unaudited condensed consolidated financial statements and notes should be read in conjunction with the audited financial statements and notes of LifeVantage Corporation (the “Company”) as of and for the year ended June 30, 2019 included in the annual report on Form 10-K filed with the Securities and Exchange Commission (“SEC”) on August 14, 2019.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62"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LifeVantage Corporation is a company focused on biohacking the aging code through nutrigenomics, the study of how nutrition and naturally occurring compounds affect our genes to support good health. The Company is dedicated to helping people achieve their health, wellness and financial goals. The Company provides quality, scientifically-validated products and a financially rewarding direct sales opportunity to customers and independent distributors. LifeVantage sells its products in the United States, Mexico, Japan, Australia, Hong Kong, Canada, Thailand, the United Kingdom, the Netherlands, Germany, Taiwan, Austria, Spain, Ireland and Belgium. The Company also sells its products in a number of countries to customers for personal consumption only. In addition, the Company sells its products in China through an e-commerce business model.</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engages in the identification, research, development and distribution of advanced nutraceutical dietary supplements and skin and hair care</w:t>
      </w:r>
    </w:p>
    <w:p>
      <w:pPr>
        <w:spacing w:after="0"/>
        <w:rPr>
          <w:sz w:val="20"/>
          <w:szCs w:val="20"/>
          <w:color w:val="auto"/>
        </w:rPr>
      </w:pPr>
      <w:r>
        <w:rPr>
          <w:rFonts w:ascii="Arial" w:cs="Arial" w:eastAsia="Arial" w:hAnsi="Arial"/>
          <w:sz w:val="18"/>
          <w:szCs w:val="18"/>
          <w:color w:val="auto"/>
        </w:rPr>
        <w:t>products, including Protandim</w:t>
      </w:r>
      <w:r>
        <w:rPr>
          <w:rFonts w:ascii="Arial" w:cs="Arial" w:eastAsia="Arial" w:hAnsi="Arial"/>
          <w:sz w:val="23"/>
          <w:szCs w:val="23"/>
          <w:color w:val="auto"/>
          <w:vertAlign w:val="superscript"/>
        </w:rPr>
        <w:t>®</w:t>
      </w:r>
      <w:r>
        <w:rPr>
          <w:rFonts w:ascii="Arial" w:cs="Arial" w:eastAsia="Arial" w:hAnsi="Arial"/>
          <w:sz w:val="18"/>
          <w:szCs w:val="18"/>
          <w:color w:val="auto"/>
        </w:rPr>
        <w:t>, its line of scientifically-validated dietary supplements, LifeVantage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Omega+ and ProBio dietary supplements,</w:t>
      </w:r>
    </w:p>
    <w:p>
      <w:pPr>
        <w:spacing w:after="0" w:line="225" w:lineRule="auto"/>
        <w:rPr>
          <w:sz w:val="20"/>
          <w:szCs w:val="20"/>
          <w:color w:val="auto"/>
        </w:rPr>
      </w:pPr>
      <w:r>
        <w:rPr>
          <w:rFonts w:ascii="Arial" w:cs="Arial" w:eastAsia="Arial" w:hAnsi="Arial"/>
          <w:sz w:val="16"/>
          <w:szCs w:val="16"/>
          <w:color w:val="auto"/>
        </w:rPr>
        <w:t>TrueScience</w:t>
      </w:r>
      <w:r>
        <w:rPr>
          <w:rFonts w:ascii="Arial" w:cs="Arial" w:eastAsia="Arial" w:hAnsi="Arial"/>
          <w:sz w:val="20"/>
          <w:szCs w:val="20"/>
          <w:color w:val="auto"/>
          <w:vertAlign w:val="superscript"/>
        </w:rPr>
        <w:t>®</w:t>
      </w:r>
      <w:r>
        <w:rPr>
          <w:rFonts w:ascii="Arial" w:cs="Arial" w:eastAsia="Arial" w:hAnsi="Arial"/>
          <w:sz w:val="16"/>
          <w:szCs w:val="16"/>
          <w:color w:val="auto"/>
        </w:rPr>
        <w:t>, its line of skin and hair care products, Petandim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for Dogs, its companion pet supplement formulated to combat oxidative stress in dogs, Axio</w:t>
      </w:r>
      <w:r>
        <w:rPr>
          <w:rFonts w:ascii="Arial" w:cs="Arial" w:eastAsia="Arial" w:hAnsi="Arial"/>
          <w:sz w:val="20"/>
          <w:szCs w:val="20"/>
          <w:color w:val="auto"/>
          <w:vertAlign w:val="superscript"/>
        </w:rPr>
        <w:t>®</w:t>
      </w:r>
    </w:p>
    <w:p>
      <w:pPr>
        <w:spacing w:after="0"/>
        <w:rPr>
          <w:sz w:val="20"/>
          <w:szCs w:val="20"/>
          <w:color w:val="auto"/>
        </w:rPr>
      </w:pPr>
      <w:r>
        <w:rPr>
          <w:rFonts w:ascii="Arial" w:cs="Arial" w:eastAsia="Arial" w:hAnsi="Arial"/>
          <w:sz w:val="18"/>
          <w:szCs w:val="18"/>
          <w:color w:val="auto"/>
        </w:rPr>
        <w:t>Smart Energy Drink mixes, and PhysIQ</w:t>
      </w:r>
      <w:r>
        <w:rPr>
          <w:rFonts w:ascii="Arial" w:cs="Arial" w:eastAsia="Arial" w:hAnsi="Arial"/>
          <w:sz w:val="23"/>
          <w:szCs w:val="23"/>
          <w:color w:val="auto"/>
          <w:vertAlign w:val="superscript"/>
        </w:rPr>
        <w:t>™</w:t>
      </w:r>
      <w:r>
        <w:rPr>
          <w:rFonts w:ascii="Arial" w:cs="Arial" w:eastAsia="Arial" w:hAnsi="Arial"/>
          <w:sz w:val="18"/>
          <w:szCs w:val="18"/>
          <w:color w:val="auto"/>
        </w:rPr>
        <w:t>, its Smart Weight Management System.</w:t>
      </w:r>
    </w:p>
    <w:p>
      <w:pPr>
        <w:spacing w:after="0" w:line="179"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On March 9, 2018, following approval by the Company's stockholders and its 2018 Annual Meeting of Stockholders, the Company changed its state of incorporation from the State of Colorado to the State of Delaware pursuant to a plan of conversion. All outstanding shares of common stock, options and share units of the Colorado corporation were converted into an equivalent share, option or share unit of the Delaware corporation and the par value of the Company's common stock was adjusted to $0.0001. All directors and officers of the Colorado corporation held the same position within the Delaware corporation on the date of reincorporation.</w:t>
      </w:r>
    </w:p>
    <w:p>
      <w:pPr>
        <w:spacing w:after="0" w:line="10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The condensed consolidated financial statements included herein have been prepared by the Company’s management, without audit, pursuant to the rules and regulations of the SEC. In the opinion of the Company’s management, these interim financial statements include all adjustments that are considered necessary for a fair presentation of its financial position as of September 30, 2019, and the results of operations for the three months ended September 30, 2019 and 2018, and the cash flows for the three months ended September 30, 2019 and 2018. Interim results are not necessarily indicative of results for a full year or for any future period. Certain amounts in the prior year financial statements have been reclassified for comparative purposes in order to conform with current year presentation.</w:t>
      </w:r>
    </w:p>
    <w:p>
      <w:pPr>
        <w:spacing w:after="0" w:line="126"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The condensed consolidated financial statements and notes included herein are presented as required by Form 10-Q, and do not contain certain information included in the Company’s audited financial statements and notes for the fiscal year ended June 30, 2019, pursuant to the rules and regulations of the SEC. For further information, refer to the financial statements and notes thereto as of and for the year ended June 30, 2019, and included in the annual report on Form 10-K on file with the SEC.</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62" w:lineRule="exact"/>
        <w:rPr>
          <w:sz w:val="20"/>
          <w:szCs w:val="20"/>
          <w:color w:val="auto"/>
        </w:rPr>
      </w:pPr>
    </w:p>
    <w:p>
      <w:pPr>
        <w:ind w:right="60" w:firstLine="446"/>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are eliminated in consolidation.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The Company prepares the condensed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materially from those estimates and assumptions. On an ongoing basis, the Company reviews its estimates, including those related to inventory valuation and obsolescence, sales returns, income taxes and tax valuation reserves, transfer pricing methodology and positions, impairment of receivables, share-based compensation, and loss contingencies.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48"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A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condensed consolidated balance sheets and as a component of comprehensive income. Transaction gains and losses are included in other expense, net in the condensed consolidated statements of operations and comprehensive income. For the three months ended September 30, 2019 and 2018, a net foreign currency loss of $0.1 million and a gain of $10,000, respectively, are recorded in other expense, net.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162"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Company's subsidiaries enter into transactions with each other which may not be denominated in the respective subsidiaries' functional currencies. The Company seeks to reduce its exposure to fluctuations in foreign exchange rates through the use of derivatives. The Company does not use such derivative financial instruments for trading or speculative purposes.</w:t>
      </w:r>
    </w:p>
    <w:p>
      <w:pPr>
        <w:spacing w:after="0" w:line="10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To hedge risks associated with the foreign-currency-denominated intercompany transactions, the Company entered into forward foreign exchange contracts which were all settled by the end of September 2019 and were not designated for hedge accounting. For the three months ended September 30, 2019 and 2018, realized losses of $0.1 million and $0.1 million, respectively, related to forward contracts, are recorded in other expense, net. The Company did not hold any derivative instruments at September 30, 2019.</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considers only its monetary liquid assets with original maturities of three months or less as cash and cash equivalents.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62" w:lineRule="exact"/>
        <w:rPr>
          <w:sz w:val="20"/>
          <w:szCs w:val="20"/>
          <w:color w:val="auto"/>
        </w:rPr>
      </w:pPr>
    </w:p>
    <w:p>
      <w:pPr>
        <w:ind w:right="100" w:firstLine="446"/>
        <w:spacing w:after="0" w:line="259" w:lineRule="auto"/>
        <w:rPr>
          <w:sz w:val="20"/>
          <w:szCs w:val="20"/>
          <w:color w:val="auto"/>
        </w:rPr>
      </w:pPr>
      <w:r>
        <w:rPr>
          <w:rFonts w:ascii="Arial" w:cs="Arial" w:eastAsia="Arial" w:hAnsi="Arial"/>
          <w:sz w:val="18"/>
          <w:szCs w:val="18"/>
          <w:color w:val="auto"/>
        </w:rPr>
        <w:t>Accounting guidance for financial instruments requires disclosure of significant concentrations of credit risk regardless of the degree of such risk. Financial instruments with significant credit risk include cash and investments. At September 30, 2019, the Company had $10.0 million in cash accounts at one financial institution and $3.0 million in accounts at other financial institutions. As of September 30, 2019 and June 30, 2019, and during the periods then ended, the Company’s cash balances exceeded federally insured limits.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48" w:lineRule="exact"/>
        <w:rPr>
          <w:sz w:val="20"/>
          <w:szCs w:val="20"/>
          <w:color w:val="auto"/>
        </w:rPr>
      </w:pPr>
    </w:p>
    <w:p>
      <w:pPr>
        <w:ind w:right="100" w:firstLine="446"/>
        <w:spacing w:after="0" w:line="259" w:lineRule="auto"/>
        <w:rPr>
          <w:sz w:val="20"/>
          <w:szCs w:val="20"/>
          <w:color w:val="auto"/>
        </w:rPr>
      </w:pPr>
      <w:r>
        <w:rPr>
          <w:rFonts w:ascii="Arial" w:cs="Arial" w:eastAsia="Arial" w:hAnsi="Arial"/>
          <w:sz w:val="18"/>
          <w:szCs w:val="18"/>
          <w:color w:val="auto"/>
        </w:rPr>
        <w:t>The Company’s accounts receivable as of September 30, 2019 and June 30, 2019 consist primarily of credit card receivables. Based on the Company’s verification process for customer credit cards and historical information available, management has determined that an allowance for doubtful accounts on credit card sales related to its customer sales as of September 30, 2019 is not necessary. No bad debt expense was recorded during the three months ended September 30, 2019 and 2018.</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2019 and June 30, 2019, inventory consisted of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gridSpan w:val="3"/>
          </w:tcPr>
          <w:p>
            <w:pPr>
              <w:jc w:val="center"/>
              <w:ind w:left="337"/>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gridSpan w:val="3"/>
          </w:tcPr>
          <w:p>
            <w:pPr>
              <w:jc w:val="center"/>
              <w:ind w:left="417"/>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92"/>
        </w:trPr>
        <w:tc>
          <w:tcPr>
            <w:tcW w:w="52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10,328</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9,903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Raw materials</w:t>
            </w:r>
          </w:p>
        </w:tc>
        <w:tc>
          <w:tcPr>
            <w:tcW w:w="440" w:type="dxa"/>
            <w:vAlign w:val="bottom"/>
          </w:tcPr>
          <w:p>
            <w:pPr>
              <w:spacing w:after="0"/>
              <w:rPr>
                <w:sz w:val="21"/>
                <w:szCs w:val="21"/>
                <w:color w:val="auto"/>
              </w:rPr>
            </w:pPr>
          </w:p>
        </w:tc>
        <w:tc>
          <w:tcPr>
            <w:tcW w:w="980" w:type="dxa"/>
            <w:vAlign w:val="bottom"/>
          </w:tcPr>
          <w:p>
            <w:pPr>
              <w:jc w:val="right"/>
              <w:ind w:right="57"/>
              <w:spacing w:after="0"/>
              <w:rPr>
                <w:sz w:val="20"/>
                <w:szCs w:val="20"/>
                <w:color w:val="auto"/>
              </w:rPr>
            </w:pPr>
            <w:r>
              <w:rPr>
                <w:rFonts w:ascii="Arial" w:cs="Arial" w:eastAsia="Arial" w:hAnsi="Arial"/>
                <w:sz w:val="18"/>
                <w:szCs w:val="18"/>
                <w:color w:val="auto"/>
              </w:rPr>
              <w:t>4,448</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ind w:right="57"/>
              <w:spacing w:after="0"/>
              <w:rPr>
                <w:sz w:val="20"/>
                <w:szCs w:val="20"/>
                <w:color w:val="auto"/>
              </w:rPr>
            </w:pPr>
            <w:r>
              <w:rPr>
                <w:rFonts w:ascii="Arial" w:cs="Arial" w:eastAsia="Arial" w:hAnsi="Arial"/>
                <w:sz w:val="18"/>
                <w:szCs w:val="18"/>
                <w:color w:val="auto"/>
              </w:rPr>
              <w:t>3,850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9"/>
        </w:trPr>
        <w:tc>
          <w:tcPr>
            <w:tcW w:w="52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inventory</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14,776</w:t>
            </w:r>
          </w:p>
        </w:tc>
        <w:tc>
          <w:tcPr>
            <w:tcW w:w="1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13,753</w:t>
            </w: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20" w:firstLine="405"/>
        <w:spacing w:after="0" w:line="308" w:lineRule="auto"/>
        <w:rPr>
          <w:sz w:val="20"/>
          <w:szCs w:val="20"/>
          <w:color w:val="auto"/>
        </w:rPr>
      </w:pPr>
      <w:r>
        <w:rPr>
          <w:rFonts w:ascii="Arial" w:cs="Arial" w:eastAsia="Arial" w:hAnsi="Arial"/>
          <w:sz w:val="17"/>
          <w:szCs w:val="17"/>
          <w:color w:val="auto"/>
        </w:rPr>
        <w:t>Inventories are carried at the lower of cost or net realizable value, using the first-in, first-out method, which includes a reduction in inventory values of $0.2 million and $0.2 million at September 30, 2019 and June 30, 2019, respectively, related to obsolete and slow-moving inventory.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Receivable</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entered into a convertible promissory note agreement with Gig Economy Group, Inc. ("GEG") pursuant to which the Company agreed to loan to GEG up to an aggregate of $2.0 million in a series of loan installments, evidenced by a convertible promissory note having a maturity date of May 31, 2019 ("Convertible Note"). The Convertible Note accrues interest at a rate of 8% per annum, compounded annually. The principal and unpaid accrued interest of the Convertible Note</w:t>
      </w:r>
    </w:p>
    <w:p>
      <w:pPr>
        <w:sectPr>
          <w:pgSz w:w="11900" w:h="16838" w:orient="portrait"/>
          <w:cols w:equalWidth="0" w:num="1">
            <w:col w:w="11400"/>
          </w:cols>
          <w:pgMar w:left="240" w:top="104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0" w:right="259" w:bottom="1440" w:gutter="0" w:footer="0" w:header="0"/>
          <w:type w:val="continuous"/>
        </w:sectPr>
      </w:pPr>
    </w:p>
    <w:bookmarkStart w:id="10" w:name="page11"/>
    <w:bookmarkEnd w:id="10"/>
    <w:p>
      <w:pPr>
        <w:ind w:right="20"/>
        <w:spacing w:after="0" w:line="259" w:lineRule="auto"/>
        <w:rPr>
          <w:sz w:val="20"/>
          <w:szCs w:val="20"/>
          <w:color w:val="auto"/>
        </w:rPr>
      </w:pPr>
      <w:r>
        <w:rPr>
          <w:rFonts w:ascii="Arial" w:cs="Arial" w:eastAsia="Arial" w:hAnsi="Arial"/>
          <w:sz w:val="18"/>
          <w:szCs w:val="18"/>
          <w:color w:val="auto"/>
        </w:rPr>
        <w:t>will either be repaid in cash or converted into shares of equity securities of GEG. On May 17, 2019, the Company and GEG entered into an amendment to the Convertible Note to extend the maturity date to December 31, 2019. In all other aspects, the Convertible Note remained unchanged from the original agreement. As of September 30, 2019, the note receivable balance was $2.2 million, including accrued interest, which is included in prepaid expenses and other on the condensed consolidated balance sheet.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62" w:lineRule="exact"/>
        <w:rPr>
          <w:sz w:val="20"/>
          <w:szCs w:val="20"/>
          <w:color w:val="auto"/>
        </w:rPr>
      </w:pPr>
    </w:p>
    <w:p>
      <w:pPr>
        <w:jc w:val="both"/>
        <w:ind w:right="160" w:firstLine="446"/>
        <w:spacing w:after="0" w:line="264" w:lineRule="auto"/>
        <w:rPr>
          <w:sz w:val="20"/>
          <w:szCs w:val="20"/>
          <w:color w:val="auto"/>
        </w:rPr>
      </w:pPr>
      <w:r>
        <w:rPr>
          <w:rFonts w:ascii="Arial" w:cs="Arial" w:eastAsia="Arial" w:hAnsi="Arial"/>
          <w:sz w:val="18"/>
          <w:szCs w:val="18"/>
          <w:color w:val="auto"/>
        </w:rPr>
        <w:t>Revenue is recognized when control of the promised goods or services are transferred to the customer, in an amount that reflects the consideration the Company expects to be entitled to in exchange for those goods or services. Sales, value add, and other taxes the Company collects concurrent with revenue-producing activities are excluded from revenue.</w:t>
      </w:r>
    </w:p>
    <w:p>
      <w:pPr>
        <w:spacing w:after="0" w:line="114" w:lineRule="exact"/>
        <w:rPr>
          <w:sz w:val="20"/>
          <w:szCs w:val="20"/>
          <w:color w:val="auto"/>
        </w:rPr>
      </w:pPr>
    </w:p>
    <w:p>
      <w:pPr>
        <w:ind w:firstLine="446"/>
        <w:spacing w:after="0" w:line="259" w:lineRule="auto"/>
        <w:rPr>
          <w:sz w:val="20"/>
          <w:szCs w:val="20"/>
          <w:color w:val="auto"/>
        </w:rPr>
      </w:pPr>
      <w:r>
        <w:rPr>
          <w:rFonts w:ascii="Arial" w:cs="Arial" w:eastAsia="Arial" w:hAnsi="Arial"/>
          <w:sz w:val="16"/>
          <w:szCs w:val="16"/>
          <w:color w:val="auto"/>
        </w:rPr>
        <w:t>The Company generates the majority of its revenue through product sales to customers. These products include the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line of dietary supplements, LifeVantage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Omega+ and ProBio dietary supplements, the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line of Nrf2-infused skin and hair care products, Petandim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for Dogs, Axio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Smart Energy Drink mixes, and the PhysIQ</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Smart Weight Management System. The Company ships most of its product directly to the consumer and receives substantially all payment for product sales in the form of credit card receipts. Revenue from direct product sales to customers is recognized upon shipment, which is when passage of title and risk of loss occurs. For items sold in packs and bundles, the Company determines the standalone selling price at contract inception for each distinct good, and then allocates the transaction price on a relative standalone selling price basis. Any discounts are accounted for as a direct reduction to the transaction price. Shipping and handling revenue is recognized upon shipment when the performance obligation is completed.</w:t>
      </w:r>
    </w:p>
    <w:p>
      <w:pPr>
        <w:spacing w:after="0" w:line="109" w:lineRule="exact"/>
        <w:rPr>
          <w:sz w:val="20"/>
          <w:szCs w:val="20"/>
          <w:color w:val="auto"/>
        </w:rPr>
      </w:pPr>
    </w:p>
    <w:p>
      <w:pPr>
        <w:ind w:right="60" w:firstLine="446"/>
        <w:spacing w:after="0" w:line="279" w:lineRule="auto"/>
        <w:rPr>
          <w:sz w:val="20"/>
          <w:szCs w:val="20"/>
          <w:color w:val="auto"/>
        </w:rPr>
      </w:pPr>
      <w:r>
        <w:rPr>
          <w:rFonts w:ascii="Arial" w:cs="Arial" w:eastAsia="Arial" w:hAnsi="Arial"/>
          <w:sz w:val="17"/>
          <w:szCs w:val="17"/>
          <w:color w:val="auto"/>
        </w:rPr>
        <w:t>The Company also charges amounts to independent distributors to attend events held by the Company. Tickets to events are sold as standalone items or included within packs. For event tickets sold in packs, the Company allocates a portion of the transaction price to the ticket on a relative standalone selling price basis. Any discounts are accounted for as a direct reduction to the transaction price. Fee revenue associated with ticket sales is recorded in the month that the event is held, which is when the Company has performed its obligations under the contract.</w:t>
      </w:r>
    </w:p>
    <w:p>
      <w:pPr>
        <w:spacing w:after="0" w:line="104" w:lineRule="exact"/>
        <w:rPr>
          <w:sz w:val="20"/>
          <w:szCs w:val="20"/>
          <w:color w:val="auto"/>
        </w:rPr>
      </w:pPr>
    </w:p>
    <w:p>
      <w:pPr>
        <w:ind w:firstLine="446"/>
        <w:spacing w:after="0" w:line="293" w:lineRule="auto"/>
        <w:rPr>
          <w:sz w:val="20"/>
          <w:szCs w:val="20"/>
          <w:color w:val="auto"/>
        </w:rPr>
      </w:pPr>
      <w:r>
        <w:rPr>
          <w:rFonts w:ascii="Arial" w:cs="Arial" w:eastAsia="Arial" w:hAnsi="Arial"/>
          <w:sz w:val="16"/>
          <w:szCs w:val="16"/>
          <w:color w:val="auto"/>
        </w:rPr>
        <w:t>Estimated returns are recorded when product is shipped. Subject to some exceptions based on local regulations, the Company’s return policy is to provide a full refund for product returned within 30 days if the returned product is unopened or defective. After 30 days, the Company generally does not issue refunds to customers for returned product. The Company allows terminating independent distributors to return up to 30% of unopened, unexpired product that they have purchased within the prior twelve months for a full refund, less a 10% restocking fee. The Company establishes a refund liability reserve and an asset reserve for its right to recover products based on historical experience. The returns asset reserve and returns liability reserve are evaluated on a quarterly basis. As of September 30, 2019 and June 30, 2019, the returns liability reserve, net was $0.3 million and $0.4 million,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w:t>
      </w:r>
    </w:p>
    <w:p>
      <w:pPr>
        <w:spacing w:after="0" w:line="148" w:lineRule="exact"/>
        <w:rPr>
          <w:sz w:val="20"/>
          <w:szCs w:val="20"/>
          <w:color w:val="auto"/>
        </w:rPr>
      </w:pPr>
    </w:p>
    <w:p>
      <w:pPr>
        <w:ind w:right="280" w:firstLine="446"/>
        <w:spacing w:after="0" w:line="277" w:lineRule="auto"/>
        <w:rPr>
          <w:sz w:val="20"/>
          <w:szCs w:val="20"/>
          <w:color w:val="auto"/>
        </w:rPr>
      </w:pPr>
      <w:r>
        <w:rPr>
          <w:rFonts w:ascii="Arial" w:cs="Arial" w:eastAsia="Arial" w:hAnsi="Arial"/>
          <w:sz w:val="18"/>
          <w:szCs w:val="18"/>
          <w:color w:val="auto"/>
        </w:rPr>
        <w:t>Shipping and handling costs associated with inbound freight and freight out to customers, including independent distributors, are included in cost of sales. Shipping and handling fees charged to customers are included in revenue.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62" w:lineRule="exact"/>
        <w:rPr>
          <w:sz w:val="20"/>
          <w:szCs w:val="20"/>
          <w:color w:val="auto"/>
        </w:rPr>
      </w:pPr>
    </w:p>
    <w:p>
      <w:pPr>
        <w:ind w:right="160" w:firstLine="446"/>
        <w:spacing w:after="0" w:line="277" w:lineRule="auto"/>
        <w:rPr>
          <w:sz w:val="20"/>
          <w:szCs w:val="20"/>
          <w:color w:val="auto"/>
        </w:rPr>
      </w:pPr>
      <w:r>
        <w:rPr>
          <w:rFonts w:ascii="Arial" w:cs="Arial" w:eastAsia="Arial" w:hAnsi="Arial"/>
          <w:sz w:val="18"/>
          <w:szCs w:val="18"/>
          <w:color w:val="auto"/>
        </w:rPr>
        <w:t>The Company expenses all costs related to research and development activities, as incurred. Research and development expenses for the three months ended September 30, 2019 and 2018 were $0.2 million and $0.4 million,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62" w:lineRule="exact"/>
        <w:rPr>
          <w:sz w:val="20"/>
          <w:szCs w:val="20"/>
          <w:color w:val="auto"/>
        </w:rPr>
      </w:pPr>
    </w:p>
    <w:p>
      <w:pPr>
        <w:ind w:right="280" w:firstLine="446"/>
        <w:spacing w:after="0" w:line="286" w:lineRule="auto"/>
        <w:rPr>
          <w:sz w:val="20"/>
          <w:szCs w:val="20"/>
          <w:color w:val="auto"/>
        </w:rPr>
      </w:pPr>
      <w:r>
        <w:rPr>
          <w:rFonts w:ascii="Arial" w:cs="Arial" w:eastAsia="Arial" w:hAnsi="Arial"/>
          <w:sz w:val="17"/>
          <w:szCs w:val="17"/>
          <w:color w:val="auto"/>
        </w:rPr>
        <w:t>The Company accounts for leases in accordance with Accounting Standards Codification ("ASC") 842. The Company reviews all contracts and determines if the arrangement is or contains a lease, at inception. Operating leases are included in right-of-use (“ROU”) assets, current lease liabilities and long-term lease liabilities on the condensed consolidated balance sheets. The Company does not have any finance leases.</w:t>
      </w:r>
    </w:p>
    <w:p>
      <w:pPr>
        <w:spacing w:after="0" w:line="98" w:lineRule="exact"/>
        <w:rPr>
          <w:sz w:val="20"/>
          <w:szCs w:val="20"/>
          <w:color w:val="auto"/>
        </w:rPr>
      </w:pPr>
    </w:p>
    <w:p>
      <w:pPr>
        <w:ind w:firstLine="446"/>
        <w:spacing w:after="0" w:line="254" w:lineRule="auto"/>
        <w:rPr>
          <w:sz w:val="20"/>
          <w:szCs w:val="20"/>
          <w:color w:val="auto"/>
        </w:rPr>
      </w:pPr>
      <w:r>
        <w:rPr>
          <w:rFonts w:ascii="Arial" w:cs="Arial" w:eastAsia="Arial" w:hAnsi="Arial"/>
          <w:sz w:val="18"/>
          <w:szCs w:val="18"/>
          <w:color w:val="auto"/>
        </w:rPr>
        <w:t>Operating lease 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estimated present value of lease payments over the lease term. The Company uses its estimated incremental borrowing rate based on the information available at commencement date in determining the present value of future payments. The operating lease ROU asset also includes any upfront lease payments made and excludes lease incentives and initial direct costs incurred. The Company’s lease terms may include options to extend or terminate the lease when it is reasonably certain that the Company will exercise that option. Lease expense for minimum lease payments is recognized on a straight-line basis over the lease term. Leases with a term of 12 months or less are not recorded on the balance sheet. The Company’s lease agreements do not contain any residual value guarantees.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Stock-Based Compensation</w:t>
      </w:r>
    </w:p>
    <w:p>
      <w:pPr>
        <w:spacing w:after="0" w:line="148"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For awards with market-based performance conditions, the cost of the awards is recognized as the requisite service is rendered by employees, regardless of when, if ever, the market-based performance conditions are satisfied.</w:t>
      </w:r>
    </w:p>
    <w:p>
      <w:pPr>
        <w:spacing w:after="0" w:line="87"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The Black-Scholes option pricing model is used to estimate the fair value of stock options and options under the Company's 2019 Employee Stock Purchase Plan. The determination of the fair value of options is affected by the Company's stock price and a number of assumptions, including expected volatility, expected life, risk-free interest rate and expected dividends. The Company uses historical data for estimating the expected volatility and expected life of stock options required in the Black-Scholes model. The risk-free interest rate assumption is based on observed interest rates appropriate for the expected terms of the stock options.</w:t>
      </w:r>
    </w:p>
    <w:p>
      <w:pPr>
        <w:spacing w:after="0" w:line="121"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fair value of restricted stock grants is based on the closing market price of the Company's stock on the date of grant less the Company's expected dividend yield. The fair value of performance restricted stock units that include market-based performance conditions is based on the closing market price of the Company's stock on the date of grant less the Company's expected dividend yield, with further adjustments made to reflect the market conditions that must be satisfied in order for the units to vest by using a Monte-Carlo simulation model. Key assumptions for the Monte-Carlo simulation model include the risk-free rate, expected volatility, expected dividends and the correlation coefficient. The fair value of cash-settled performance-based awards, accounted for as liabilities, is remeasured at the end of each reporting period and is based on the closing market price of the Company’s stock on the last day of the reporting period.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ind w:right="60" w:firstLine="446"/>
        <w:spacing w:after="0" w:line="271"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updated as needed for changes in corporate tax rates.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sustained upon examination by taxing authorities based on the technical merits of the issue. The amount recognized would be the largest liability or benefit that the Company believes has greater than a 50% likelihood of being realized upon settlement.</w:t>
      </w:r>
    </w:p>
    <w:p>
      <w:pPr>
        <w:spacing w:after="0" w:line="111" w:lineRule="exact"/>
        <w:rPr>
          <w:sz w:val="20"/>
          <w:szCs w:val="20"/>
          <w:color w:val="auto"/>
        </w:rPr>
      </w:pPr>
    </w:p>
    <w:p>
      <w:pPr>
        <w:jc w:val="both"/>
        <w:ind w:right="80" w:firstLine="446"/>
        <w:spacing w:after="0" w:line="264" w:lineRule="auto"/>
        <w:rPr>
          <w:sz w:val="20"/>
          <w:szCs w:val="20"/>
          <w:color w:val="auto"/>
        </w:rPr>
      </w:pPr>
      <w:r>
        <w:rPr>
          <w:rFonts w:ascii="Arial" w:cs="Arial" w:eastAsia="Arial" w:hAnsi="Arial"/>
          <w:sz w:val="18"/>
          <w:szCs w:val="18"/>
          <w:color w:val="auto"/>
        </w:rPr>
        <w:t>For the three months ended September 30, 2019 and 2018, the Company recognized income tax expense of $0.7 million and $0.3 million, respectively, which is reflective of the Company’s current estimated federal, state and foreign effective tax rate. Realization of deferred tax assets is dependent upon future earnings in specific tax jurisdictions, the timing and amount of which are uncertain.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Per Share</w:t>
      </w:r>
    </w:p>
    <w:p>
      <w:pPr>
        <w:spacing w:after="0" w:line="162"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Basic income per common share is computed by dividing the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spacing w:after="0" w:line="114" w:lineRule="exact"/>
        <w:rPr>
          <w:sz w:val="20"/>
          <w:szCs w:val="20"/>
          <w:color w:val="auto"/>
        </w:rPr>
      </w:pPr>
    </w:p>
    <w:p>
      <w:pPr>
        <w:ind w:right="200" w:firstLine="446"/>
        <w:spacing w:after="0" w:line="308" w:lineRule="auto"/>
        <w:rPr>
          <w:sz w:val="20"/>
          <w:szCs w:val="20"/>
          <w:color w:val="auto"/>
        </w:rPr>
      </w:pPr>
      <w:r>
        <w:rPr>
          <w:rFonts w:ascii="Arial" w:cs="Arial" w:eastAsia="Arial" w:hAnsi="Arial"/>
          <w:sz w:val="17"/>
          <w:szCs w:val="17"/>
          <w:color w:val="auto"/>
        </w:rPr>
        <w:t>For the three months ended September 30, 2019 and 2018, the effects of approximately 21,000 and 9,000 common shares, respectively, issuable upon exercise of options and non-vested shares of restricted stock are not included in computations as their effect was anti-dilutive.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12" w:name="page13"/>
    <w:bookmarkEnd w:id="12"/>
    <w:p>
      <w:pPr>
        <w:ind w:right="260" w:firstLine="446"/>
        <w:spacing w:after="0" w:line="277" w:lineRule="auto"/>
        <w:rPr>
          <w:sz w:val="20"/>
          <w:szCs w:val="20"/>
          <w:color w:val="auto"/>
        </w:rPr>
      </w:pPr>
      <w:r>
        <w:rPr>
          <w:rFonts w:ascii="Arial" w:cs="Arial" w:eastAsia="Arial" w:hAnsi="Arial"/>
          <w:sz w:val="18"/>
          <w:szCs w:val="18"/>
          <w:color w:val="auto"/>
        </w:rPr>
        <w:t>The following is a reconciliation of net income per share and the weighted-average common shares outstanding for purposes of computing basic and diluted net income per share (in thousands except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0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80" w:type="dxa"/>
            <w:vAlign w:val="bottom"/>
          </w:tcPr>
          <w:p>
            <w:pPr>
              <w:jc w:val="right"/>
              <w:ind w:right="897"/>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21"/>
                <w:szCs w:val="21"/>
                <w:color w:val="auto"/>
              </w:rPr>
            </w:pPr>
          </w:p>
        </w:tc>
        <w:tc>
          <w:tcPr>
            <w:tcW w:w="1100" w:type="dxa"/>
            <w:vAlign w:val="bottom"/>
          </w:tcPr>
          <w:p>
            <w:pPr>
              <w:jc w:val="right"/>
              <w:ind w:right="89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340"/>
              <w:spacing w:after="0"/>
              <w:rPr>
                <w:sz w:val="20"/>
                <w:szCs w:val="20"/>
                <w:color w:val="auto"/>
              </w:rPr>
            </w:pPr>
            <w:r>
              <w:rPr>
                <w:rFonts w:ascii="Arial" w:cs="Arial" w:eastAsia="Arial" w:hAnsi="Arial"/>
                <w:sz w:val="18"/>
                <w:szCs w:val="18"/>
                <w:color w:val="auto"/>
              </w:rPr>
              <w:t>Basic weighted-average common shares outstanding</w:t>
            </w:r>
          </w:p>
        </w:tc>
        <w:tc>
          <w:tcPr>
            <w:tcW w:w="10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14,009</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w w:val="94"/>
              </w:rPr>
              <w:t>13,987</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340"/>
              <w:spacing w:after="0"/>
              <w:rPr>
                <w:sz w:val="20"/>
                <w:szCs w:val="20"/>
                <w:color w:val="auto"/>
              </w:rPr>
            </w:pPr>
            <w:r>
              <w:rPr>
                <w:rFonts w:ascii="Arial" w:cs="Arial" w:eastAsia="Arial" w:hAnsi="Arial"/>
                <w:sz w:val="18"/>
                <w:szCs w:val="18"/>
                <w:color w:val="auto"/>
              </w:rPr>
              <w:t>Stock awards and options</w:t>
            </w:r>
          </w:p>
        </w:tc>
        <w:tc>
          <w:tcPr>
            <w:tcW w:w="10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10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15,106</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4"/>
              </w:rPr>
              <w:t>15,139</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Net income per share, basic</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40" w:type="dxa"/>
            <w:vAlign w:val="bottom"/>
            <w:vMerge w:val="continue"/>
          </w:tcPr>
          <w:p>
            <w:pPr>
              <w:spacing w:after="0"/>
              <w:rPr>
                <w:sz w:val="18"/>
                <w:szCs w:val="18"/>
                <w:color w:val="auto"/>
              </w:rPr>
            </w:pPr>
          </w:p>
        </w:tc>
        <w:tc>
          <w:tcPr>
            <w:tcW w:w="1080" w:type="dxa"/>
            <w:vAlign w:val="bottom"/>
          </w:tcPr>
          <w:p>
            <w:pPr>
              <w:jc w:val="right"/>
              <w:ind w:right="897"/>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1100" w:type="dxa"/>
            <w:vAlign w:val="bottom"/>
          </w:tcPr>
          <w:p>
            <w:pPr>
              <w:jc w:val="right"/>
              <w:ind w:right="89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per share, diluted</w:t>
            </w:r>
          </w:p>
        </w:tc>
        <w:tc>
          <w:tcPr>
            <w:tcW w:w="1080" w:type="dxa"/>
            <w:vAlign w:val="bottom"/>
            <w:tcBorders>
              <w:bottom w:val="single" w:sz="8" w:color="CCEEFF"/>
            </w:tcBorders>
            <w:shd w:val="clear" w:color="auto" w:fill="CCEEFF"/>
          </w:tcPr>
          <w:p>
            <w:pPr>
              <w:jc w:val="right"/>
              <w:ind w:right="897"/>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62" w:lineRule="exact"/>
        <w:rPr>
          <w:sz w:val="20"/>
          <w:szCs w:val="20"/>
          <w:color w:val="auto"/>
        </w:rPr>
      </w:pPr>
    </w:p>
    <w:p>
      <w:pPr>
        <w:ind w:right="60" w:firstLine="446"/>
        <w:spacing w:after="0" w:line="279" w:lineRule="auto"/>
        <w:rPr>
          <w:sz w:val="20"/>
          <w:szCs w:val="20"/>
          <w:color w:val="auto"/>
        </w:rPr>
      </w:pPr>
      <w:r>
        <w:rPr>
          <w:rFonts w:ascii="Arial" w:cs="Arial" w:eastAsia="Arial" w:hAnsi="Arial"/>
          <w:sz w:val="17"/>
          <w:szCs w:val="17"/>
          <w:color w:val="auto"/>
        </w:rPr>
        <w:t>The Company operates in a single operating segment by selling products to an international network of independent distributors that operates in an integrated manner from market to market. Commissions and incentives expenses are the Company’s largest expense comprised of the commissions paid to its independent distributors. The Company manages its business primarily by managing its international network of independent distributors. The Company disaggregates revenue in two geographic regions: the Americas region and the Asia/Pacific &amp; Europe region.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Company's revenue disaggregated by these two geographic regions (in thousands):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700" w:type="dxa"/>
            <w:vAlign w:val="bottom"/>
            <w:tcBorders>
              <w:bottom w:val="single" w:sz="8" w:color="auto"/>
            </w:tcBorders>
          </w:tcPr>
          <w:p>
            <w:pPr>
              <w:spacing w:after="0"/>
              <w:rPr>
                <w:sz w:val="16"/>
                <w:szCs w:val="16"/>
                <w:color w:val="auto"/>
              </w:rPr>
            </w:pPr>
          </w:p>
        </w:tc>
      </w:tr>
      <w:tr>
        <w:trPr>
          <w:trHeight w:val="196"/>
        </w:trPr>
        <w:tc>
          <w:tcPr>
            <w:tcW w:w="77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7"/>
                <w:szCs w:val="17"/>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40,181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41,079</w:t>
            </w: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Asia/Pacific &amp; Europe</w:t>
            </w:r>
          </w:p>
        </w:tc>
        <w:tc>
          <w:tcPr>
            <w:tcW w:w="10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16,047</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14,530</w:t>
            </w:r>
          </w:p>
        </w:tc>
      </w:tr>
      <w:tr>
        <w:trPr>
          <w:trHeight w:val="27"/>
        </w:trPr>
        <w:tc>
          <w:tcPr>
            <w:tcW w:w="77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89"/>
        </w:trPr>
        <w:tc>
          <w:tcPr>
            <w:tcW w:w="7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56,228</w:t>
            </w:r>
          </w:p>
        </w:tc>
        <w:tc>
          <w:tcPr>
            <w:tcW w:w="1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55,609</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Additional information as to the Company’s revenue from operations in the most significant geographical areas is set forth below (in thousands):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700" w:type="dxa"/>
            <w:vAlign w:val="bottom"/>
            <w:tcBorders>
              <w:bottom w:val="single" w:sz="8" w:color="auto"/>
            </w:tcBorders>
          </w:tcPr>
          <w:p>
            <w:pPr>
              <w:spacing w:after="0"/>
              <w:rPr>
                <w:sz w:val="16"/>
                <w:szCs w:val="16"/>
                <w:color w:val="auto"/>
              </w:rPr>
            </w:pPr>
          </w:p>
        </w:tc>
      </w:tr>
      <w:tr>
        <w:trPr>
          <w:trHeight w:val="196"/>
        </w:trPr>
        <w:tc>
          <w:tcPr>
            <w:tcW w:w="77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7"/>
                <w:szCs w:val="17"/>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37,346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38,315</w:t>
            </w: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Japan</w:t>
            </w:r>
          </w:p>
        </w:tc>
        <w:tc>
          <w:tcPr>
            <w:tcW w:w="1080" w:type="dxa"/>
            <w:vAlign w:val="bottom"/>
          </w:tcPr>
          <w:p>
            <w:pPr>
              <w:jc w:val="right"/>
              <w:ind w:right="899"/>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11,058</w:t>
            </w:r>
          </w:p>
        </w:tc>
        <w:tc>
          <w:tcPr>
            <w:tcW w:w="120" w:type="dxa"/>
            <w:vAlign w:val="bottom"/>
          </w:tcPr>
          <w:p>
            <w:pPr>
              <w:spacing w:after="0"/>
              <w:rPr>
                <w:sz w:val="21"/>
                <w:szCs w:val="21"/>
                <w:color w:val="auto"/>
              </w:rPr>
            </w:pPr>
          </w:p>
        </w:tc>
        <w:tc>
          <w:tcPr>
            <w:tcW w:w="1080" w:type="dxa"/>
            <w:vAlign w:val="bottom"/>
          </w:tcPr>
          <w:p>
            <w:pPr>
              <w:jc w:val="right"/>
              <w:ind w:right="896"/>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10,057</w:t>
            </w: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Company's long-lived assets for its most significant geographic markets:</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4"/>
                <w:szCs w:val="14"/>
                <w:color w:val="auto"/>
              </w:rPr>
            </w:pPr>
          </w:p>
        </w:tc>
        <w:tc>
          <w:tcPr>
            <w:tcW w:w="1420" w:type="dxa"/>
            <w:vAlign w:val="bottom"/>
          </w:tcPr>
          <w:p>
            <w:pPr>
              <w:jc w:val="right"/>
              <w:ind w:right="559"/>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7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2019</w:t>
            </w: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9,954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9,772</w:t>
            </w: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Japan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79"/>
              <w:spacing w:after="0"/>
              <w:rPr>
                <w:sz w:val="20"/>
                <w:szCs w:val="20"/>
                <w:color w:val="auto"/>
              </w:rPr>
            </w:pPr>
            <w:r>
              <w:rPr>
                <w:rFonts w:ascii="Arial" w:cs="Arial" w:eastAsia="Arial" w:hAnsi="Arial"/>
                <w:sz w:val="18"/>
                <w:szCs w:val="18"/>
                <w:color w:val="auto"/>
              </w:rPr>
              <w:t>1,799</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79"/>
              <w:spacing w:after="0"/>
              <w:rPr>
                <w:sz w:val="20"/>
                <w:szCs w:val="20"/>
                <w:color w:val="auto"/>
              </w:rPr>
            </w:pPr>
            <w:r>
              <w:rPr>
                <w:rFonts w:ascii="Arial" w:cs="Arial" w:eastAsia="Arial" w:hAnsi="Arial"/>
                <w:sz w:val="18"/>
                <w:szCs w:val="18"/>
                <w:color w:val="auto"/>
              </w:rPr>
              <w:t>955</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New Accounting Pronouncements</w:t>
      </w:r>
    </w:p>
    <w:p>
      <w:pPr>
        <w:spacing w:after="0" w:line="162"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requires all lessees to recognize both a right-of-use asset and lease liability on its balance sheet, representing the obligation to make payments and the right to use or control the use of a specified asset for the lease term. The Company adopted Topic 842 on July 1, 2019, using the modified retrospective transition method. The Company elected the practical expedients available under the provisions of the new standard, including: not reassessing whether expired or existing contracts are or contain leases; not reassessing the classification of expired or existing leases; not reassessing the initial direct cost for any existing leases; and using hindsight in determining the lease term. Upon adoption, the Company recognized cumulative operating lease liabilities of $3.9 million and operating right-of-use assets of $3.3 million. Additionally, a one-time beginning balance adjustment of $0.5 million was recognized in the condensed consolidated statement of stockholders’ equity due to an update to the expected term of an operating lease.</w:t>
      </w:r>
    </w:p>
    <w:p>
      <w:pPr>
        <w:sectPr>
          <w:pgSz w:w="11900" w:h="16838" w:orient="portrait"/>
          <w:cols w:equalWidth="0" w:num="1">
            <w:col w:w="11420"/>
          </w:cols>
          <w:pgMar w:left="240" w:top="10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3 — Leases</w:t>
      </w:r>
    </w:p>
    <w:p>
      <w:pPr>
        <w:spacing w:after="0" w:line="148" w:lineRule="exact"/>
        <w:rPr>
          <w:sz w:val="20"/>
          <w:szCs w:val="20"/>
          <w:color w:val="auto"/>
        </w:rPr>
      </w:pPr>
    </w:p>
    <w:p>
      <w:pPr>
        <w:ind w:right="120" w:firstLine="446"/>
        <w:spacing w:after="0" w:line="264" w:lineRule="auto"/>
        <w:rPr>
          <w:sz w:val="20"/>
          <w:szCs w:val="20"/>
          <w:color w:val="auto"/>
        </w:rPr>
      </w:pPr>
      <w:r>
        <w:rPr>
          <w:rFonts w:ascii="Arial" w:cs="Arial" w:eastAsia="Arial" w:hAnsi="Arial"/>
          <w:sz w:val="18"/>
          <w:szCs w:val="18"/>
          <w:color w:val="auto"/>
        </w:rPr>
        <w:t>The Company has operating leases for corporate offices and certain equipment. These leases have remaining terms of one to two years, some of which include options to extend the leases for up to an additional three years. As of September 30, 2019, the weighted average remaining lease term and weighted average discount rate for operating leases was 1.24 years and 4.91%, respectively.</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September 30, 2019, operating lease expense was $0.7 million.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cash flow information related to operating leases was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92"/>
        </w:trPr>
        <w:tc>
          <w:tcPr>
            <w:tcW w:w="9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September 30, 2019</w:t>
            </w:r>
          </w:p>
        </w:tc>
        <w:tc>
          <w:tcPr>
            <w:tcW w:w="0" w:type="dxa"/>
            <w:vAlign w:val="bottom"/>
          </w:tcPr>
          <w:p>
            <w:pPr>
              <w:spacing w:after="0"/>
              <w:rPr>
                <w:sz w:val="1"/>
                <w:szCs w:val="1"/>
                <w:color w:val="auto"/>
              </w:rPr>
            </w:pPr>
          </w:p>
        </w:tc>
      </w:tr>
      <w:tr>
        <w:trPr>
          <w:trHeight w:val="250"/>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43"/>
        </w:trPr>
        <w:tc>
          <w:tcPr>
            <w:tcW w:w="9620" w:type="dxa"/>
            <w:vAlign w:val="bottom"/>
            <w:gridSpan w:val="2"/>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9620" w:type="dxa"/>
            <w:vAlign w:val="bottom"/>
            <w:gridSpan w:val="2"/>
          </w:tcPr>
          <w:p>
            <w:pPr>
              <w:ind w:left="460"/>
              <w:spacing w:after="0"/>
              <w:rPr>
                <w:sz w:val="20"/>
                <w:szCs w:val="20"/>
                <w:color w:val="auto"/>
              </w:rPr>
            </w:pPr>
            <w:r>
              <w:rPr>
                <w:rFonts w:ascii="Arial" w:cs="Arial" w:eastAsia="Arial" w:hAnsi="Arial"/>
                <w:sz w:val="18"/>
                <w:szCs w:val="18"/>
                <w:color w:val="auto"/>
              </w:rPr>
              <w:t>Maturity of lease liabilities at September 30, 2019 are as follows (in thousands):</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June 30,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 (remaining nine months ending June 30, 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43"/>
        </w:trPr>
        <w:tc>
          <w:tcPr>
            <w:tcW w:w="952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55"/>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7"/>
        </w:trPr>
        <w:tc>
          <w:tcPr>
            <w:tcW w:w="9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3,292</w:t>
            </w:r>
          </w:p>
        </w:tc>
        <w:tc>
          <w:tcPr>
            <w:tcW w:w="0" w:type="dxa"/>
            <w:vAlign w:val="bottom"/>
          </w:tcPr>
          <w:p>
            <w:pPr>
              <w:spacing w:after="0"/>
              <w:rPr>
                <w:sz w:val="1"/>
                <w:szCs w:val="1"/>
                <w:color w:val="auto"/>
              </w:rPr>
            </w:pPr>
          </w:p>
        </w:tc>
      </w:tr>
      <w:tr>
        <w:trPr>
          <w:trHeight w:val="243"/>
        </w:trPr>
        <w:tc>
          <w:tcPr>
            <w:tcW w:w="9620" w:type="dxa"/>
            <w:vAlign w:val="bottom"/>
            <w:gridSpan w:val="2"/>
          </w:tcPr>
          <w:p>
            <w:pPr>
              <w:ind w:left="20"/>
              <w:spacing w:after="0"/>
              <w:rPr>
                <w:sz w:val="20"/>
                <w:szCs w:val="20"/>
                <w:color w:val="auto"/>
              </w:rPr>
            </w:pPr>
            <w:r>
              <w:rPr>
                <w:rFonts w:ascii="Arial" w:cs="Arial" w:eastAsia="Arial" w:hAnsi="Arial"/>
                <w:sz w:val="18"/>
                <w:szCs w:val="18"/>
                <w:color w:val="auto"/>
              </w:rPr>
              <w:t>Less: imputed interest</w:t>
            </w:r>
          </w:p>
        </w:tc>
        <w:tc>
          <w:tcPr>
            <w:tcW w:w="180" w:type="dxa"/>
            <w:vAlign w:val="bottom"/>
          </w:tcPr>
          <w:p>
            <w:pPr>
              <w:spacing w:after="0"/>
              <w:rPr>
                <w:sz w:val="21"/>
                <w:szCs w:val="21"/>
                <w:color w:val="auto"/>
              </w:rPr>
            </w:pPr>
          </w:p>
        </w:tc>
        <w:tc>
          <w:tcPr>
            <w:tcW w:w="1600" w:type="dxa"/>
            <w:vAlign w:val="bottom"/>
          </w:tcPr>
          <w:p>
            <w:pPr>
              <w:jc w:val="right"/>
              <w:ind w:right="15"/>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9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20"/>
        </w:trPr>
        <w:tc>
          <w:tcPr>
            <w:tcW w:w="9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Under ASC 840, minimum future operating lease obligations at June 30, 2019 are as follows (in thousands):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96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6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 June 30,</w:t>
            </w:r>
          </w:p>
        </w:tc>
        <w:tc>
          <w:tcPr>
            <w:tcW w:w="180" w:type="dxa"/>
            <w:vAlign w:val="bottom"/>
          </w:tcPr>
          <w:p>
            <w:pPr>
              <w:spacing w:after="0"/>
              <w:rPr>
                <w:sz w:val="24"/>
                <w:szCs w:val="24"/>
                <w:color w:val="auto"/>
              </w:rPr>
            </w:pPr>
          </w:p>
        </w:tc>
        <w:tc>
          <w:tcPr>
            <w:tcW w:w="1600" w:type="dxa"/>
            <w:vAlign w:val="bottom"/>
          </w:tcPr>
          <w:p>
            <w:pPr>
              <w:jc w:val="center"/>
              <w:ind w:right="95"/>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95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43"/>
        </w:trPr>
        <w:tc>
          <w:tcPr>
            <w:tcW w:w="952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55"/>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7"/>
        </w:trPr>
        <w:tc>
          <w:tcPr>
            <w:tcW w:w="96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4,012</w:t>
            </w:r>
          </w:p>
        </w:tc>
        <w:tc>
          <w:tcPr>
            <w:tcW w:w="0" w:type="dxa"/>
            <w:vAlign w:val="bottom"/>
          </w:tcPr>
          <w:p>
            <w:pPr>
              <w:spacing w:after="0"/>
              <w:rPr>
                <w:sz w:val="1"/>
                <w:szCs w:val="1"/>
                <w:color w:val="auto"/>
              </w:rPr>
            </w:pP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Long-Term Debt</w:t>
      </w:r>
    </w:p>
    <w:p>
      <w:pPr>
        <w:spacing w:after="0" w:line="162"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color w:val="auto"/>
        </w:rPr>
        <w:t>On March 30, 2016, the Company entered into a loan agreement (the “2016 Loan Agreement”) to refinance its outstanding debt. In connection with the 2016 Loan Agreement and on the same date, the Company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w:t>
      </w:r>
    </w:p>
    <w:p>
      <w:pPr>
        <w:spacing w:after="0" w:line="121" w:lineRule="exact"/>
        <w:rPr>
          <w:sz w:val="20"/>
          <w:szCs w:val="20"/>
          <w:color w:val="auto"/>
        </w:rPr>
      </w:pPr>
    </w:p>
    <w:p>
      <w:pPr>
        <w:ind w:right="180" w:firstLine="446"/>
        <w:spacing w:after="0" w:line="264" w:lineRule="auto"/>
        <w:rPr>
          <w:sz w:val="20"/>
          <w:szCs w:val="20"/>
          <w:color w:val="auto"/>
        </w:rPr>
      </w:pPr>
      <w:r>
        <w:rPr>
          <w:rFonts w:ascii="Arial" w:cs="Arial" w:eastAsia="Arial" w:hAnsi="Arial"/>
          <w:sz w:val="18"/>
          <w:szCs w:val="18"/>
          <w:color w:val="auto"/>
        </w:rPr>
        <w:t>The principal amount of the 2016 Term Loan is payable in consecutive quarterly installments in the amount of $0.5 million plus accrued interest beginning with the fiscal quarter ended June 30, 2016. If the Company borrows under the 2016 Revolving Loan, interest will be payable quarterly in arrears on the last day of each fiscal quarter.</w:t>
      </w:r>
    </w:p>
    <w:p>
      <w:pPr>
        <w:spacing w:after="0" w:line="100"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On May 4, 2018, the Company entered into a loan modification agreement, which amended the 2016 Credit Facility (“Amendment No. 1”). Amendment No. 1 revised the maturity date from March 30, 2019 to March 31, 2021 (the “Maturity Date”) and increased the fixed interest rate for the term loan 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122" w:lineRule="exact"/>
        <w:rPr>
          <w:sz w:val="20"/>
          <w:szCs w:val="20"/>
          <w:color w:val="auto"/>
        </w:rPr>
      </w:pPr>
    </w:p>
    <w:p>
      <w:pPr>
        <w:jc w:val="both"/>
        <w:ind w:right="180" w:firstLine="446"/>
        <w:spacing w:after="0" w:line="264" w:lineRule="auto"/>
        <w:rPr>
          <w:sz w:val="20"/>
          <w:szCs w:val="20"/>
          <w:color w:val="auto"/>
        </w:rPr>
      </w:pPr>
      <w:r>
        <w:rPr>
          <w:rFonts w:ascii="Arial" w:cs="Arial" w:eastAsia="Arial" w:hAnsi="Arial"/>
          <w:sz w:val="18"/>
          <w:szCs w:val="18"/>
          <w:color w:val="auto"/>
        </w:rPr>
        <w:t>The Company’s obligations under the 2016 Credit Facility, as amended, are secured by a security interest in substantially all of the Company’s assets. Loans outstanding under the 2016 Credit Facility, as amended, may be prepaid in whole or in part at any time without premium or penalty. In addition, if, at any time, the aggregate principal amount outstanding under the 2016</w:t>
      </w:r>
    </w:p>
    <w:p>
      <w:pPr>
        <w:sectPr>
          <w:pgSz w:w="11900" w:h="16838" w:orient="portrait"/>
          <w:cols w:equalWidth="0" w:num="1">
            <w:col w:w="11420"/>
          </w:cols>
          <w:pgMar w:left="240" w:top="10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type w:val="continuous"/>
        </w:sectPr>
      </w:pPr>
    </w:p>
    <w:bookmarkStart w:id="14" w:name="page15"/>
    <w:bookmarkEnd w:id="14"/>
    <w:p>
      <w:pPr>
        <w:ind w:right="380"/>
        <w:spacing w:after="0" w:line="277" w:lineRule="auto"/>
        <w:rPr>
          <w:sz w:val="20"/>
          <w:szCs w:val="20"/>
          <w:color w:val="auto"/>
        </w:rPr>
      </w:pPr>
      <w:r>
        <w:rPr>
          <w:rFonts w:ascii="Arial" w:cs="Arial" w:eastAsia="Arial" w:hAnsi="Arial"/>
          <w:sz w:val="18"/>
          <w:szCs w:val="18"/>
          <w:color w:val="auto"/>
        </w:rPr>
        <w:t>Revolving Loan exceeds $2.0 million, the Company must prepay an amount equal to such excess. Any principal amount of the 2016 Term Loan which is prepaid or repaid may not be re-borrowed.</w:t>
      </w:r>
    </w:p>
    <w:p>
      <w:pPr>
        <w:spacing w:after="0" w:line="89"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On February 1, 2019, the Company entered into a loan modification agreement, which amended the 2016 Credit Facility, as amended ("Amendment No. 2"). Under Amendment No. 2, the Company made a principal payment of $2.0 million and increased the revolving loan facility from $2.0 million to $5.0 million. Amendment No. 2 also revised certain financial covenants. The minimum fixed charge coverage ratio (as defined in Amendment No. 2) was revised from a minimum of 1.25 to 1.00 to 1.10 to 1.00, measured on a trailing twelve-month basis, at the end of each fiscal quarter. The minimum working capital was decreased from $8.0 million to $6.0 million.</w:t>
      </w:r>
    </w:p>
    <w:p>
      <w:pPr>
        <w:spacing w:after="0" w:line="121" w:lineRule="exact"/>
        <w:rPr>
          <w:sz w:val="20"/>
          <w:szCs w:val="20"/>
          <w:color w:val="auto"/>
        </w:rPr>
      </w:pPr>
    </w:p>
    <w:p>
      <w:pPr>
        <w:ind w:right="20" w:firstLine="446"/>
        <w:spacing w:after="0" w:line="289" w:lineRule="auto"/>
        <w:rPr>
          <w:sz w:val="20"/>
          <w:szCs w:val="20"/>
          <w:color w:val="auto"/>
        </w:rPr>
      </w:pPr>
      <w:r>
        <w:rPr>
          <w:rFonts w:ascii="Arial" w:cs="Arial" w:eastAsia="Arial" w:hAnsi="Arial"/>
          <w:sz w:val="16"/>
          <w:szCs w:val="16"/>
          <w:color w:val="auto"/>
        </w:rPr>
        <w:t>The 2016 Credit Facility, as amended, contains customary covenants, including affirmative and negative covenants that, among other things, restrict the Company’s ability to create certain types of liens, incur additional indebtedness, declare or pay dividends on or redeem capital stock, make other payments to holders of equity interests in the Company, make certain investments, purchase or otherwise acquire all or substantially all the assets or equity interests of other companies, sell assets or enter into consolidations, mergers or transfers of all or any substantial part of the Company’s assets. The 2016 Credit Facility, as amended, also contains various financial covenants that require the Company to maintain certain consolidated working capital amounts, total liabilities to tangible net worth ratios and fixed charge coverage ratios. Additionally, the 2016 Credit Facility, as amended, contains cross-default provisions, whereby a default under the terms of certain indebtedness or an uncured default of a payment or other material obligation of the Company under a material contract of the Company will cause a default on the remaining indebtedness under the 2016 Credit Facility, as amended. As of September 30, 2019, the Company was in compliance with all applicable covenants under the 2016 Credit Facility, as amended.</w:t>
      </w:r>
    </w:p>
    <w:p>
      <w:pPr>
        <w:spacing w:after="0" w:line="99" w:lineRule="exact"/>
        <w:rPr>
          <w:sz w:val="20"/>
          <w:szCs w:val="20"/>
          <w:color w:val="auto"/>
        </w:rPr>
      </w:pPr>
    </w:p>
    <w:p>
      <w:pPr>
        <w:ind w:right="120" w:firstLine="446"/>
        <w:spacing w:after="0" w:line="308" w:lineRule="auto"/>
        <w:rPr>
          <w:sz w:val="20"/>
          <w:szCs w:val="20"/>
          <w:color w:val="auto"/>
        </w:rPr>
      </w:pPr>
      <w:r>
        <w:rPr>
          <w:rFonts w:ascii="Arial" w:cs="Arial" w:eastAsia="Arial" w:hAnsi="Arial"/>
          <w:sz w:val="17"/>
          <w:szCs w:val="17"/>
          <w:color w:val="auto"/>
        </w:rPr>
        <w:t>The Company’s book value for the 2016 Credit Facility, as amended, approximates the fair value. The Company will repay the remaining $1.0 million balance of the 2016 Term Loan during during fiscal 2020 in accordance with the terms of the 2016 Credit Facility, as amended.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w:t>
      </w:r>
    </w:p>
    <w:p>
      <w:pPr>
        <w:spacing w:after="0" w:line="162" w:lineRule="exact"/>
        <w:rPr>
          <w:sz w:val="20"/>
          <w:szCs w:val="20"/>
          <w:color w:val="auto"/>
        </w:rPr>
      </w:pPr>
    </w:p>
    <w:p>
      <w:pPr>
        <w:ind w:right="100" w:firstLine="446"/>
        <w:spacing w:after="0" w:line="342" w:lineRule="auto"/>
        <w:rPr>
          <w:sz w:val="20"/>
          <w:szCs w:val="20"/>
          <w:color w:val="auto"/>
        </w:rPr>
      </w:pPr>
      <w:r>
        <w:rPr>
          <w:rFonts w:ascii="Arial" w:cs="Arial" w:eastAsia="Arial" w:hAnsi="Arial"/>
          <w:sz w:val="16"/>
          <w:szCs w:val="16"/>
          <w:color w:val="auto"/>
        </w:rPr>
        <w:t>During the three months ended September 30, 2019, the Company issued 3,000 shares of common stock upon the exercise of options. During the three months ended September 30, 2019, 4,000 shares of restricted stock were canceled or surrendered as payment of tax withholding upon vesting.</w:t>
      </w:r>
    </w:p>
    <w:p>
      <w:pPr>
        <w:spacing w:after="0" w:line="56" w:lineRule="exact"/>
        <w:rPr>
          <w:sz w:val="20"/>
          <w:szCs w:val="20"/>
          <w:color w:val="auto"/>
        </w:rPr>
      </w:pPr>
    </w:p>
    <w:p>
      <w:pPr>
        <w:ind w:right="60" w:firstLine="446"/>
        <w:spacing w:after="0" w:line="289" w:lineRule="auto"/>
        <w:rPr>
          <w:sz w:val="20"/>
          <w:szCs w:val="20"/>
          <w:color w:val="auto"/>
        </w:rPr>
      </w:pPr>
      <w:r>
        <w:rPr>
          <w:rFonts w:ascii="Arial" w:cs="Arial" w:eastAsia="Arial" w:hAnsi="Arial"/>
          <w:sz w:val="16"/>
          <w:szCs w:val="16"/>
          <w:color w:val="auto"/>
        </w:rPr>
        <w:t>On November 27, 2017, the Company announced a share repurchase program authorizing it to repurchase up to $5 million in shares of the Company's common stock. The repurchase program permits the Company to purchase shares through a variety of methods, including in the open market, through privately negotiated transactions or other means as determined by the Company's management. As part of the repurchase program, the Company has entered into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 and timing conditions. The authorization may be suspended or discontinued at any time and expires on November 27, 2020. On February 1, 2019, the Board of Directors approved an amendment to the share repurchase program to increase the authorized share repurchase amount from $5 million to $15 million. During the three months ended September 30, 2019, the Company purchased 0.1 million shares of common stock at an aggregate price of $1.4 million under this repurchase program. At September 30, 2019, there is $7.5 million remaining under this repurchase program.</w:t>
      </w:r>
    </w:p>
    <w:p>
      <w:pPr>
        <w:spacing w:after="0" w:line="86"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 Company’s Certificate of Incorporation authorizes the issuance of preferred shares. However, as of September 30, 2019, none have been issued and no rights or preferences have been assigned to the preferred shares by the Company’s board of directors.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Stock-Based Compensation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Long-Term Incentive Plans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Equity-Settled Plans</w:t>
      </w:r>
    </w:p>
    <w:p>
      <w:pPr>
        <w:spacing w:after="0" w:line="162"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The Company adopted, and the stockholders approved, the 2007 Long-Term Incentive Plan (the “2007 Plan”), effective November 21, 2006, to provide incentives to eligible employees, directors and consultants. A maximum of 1.4 million shares of the Company's common stock can be issued under the 2007 Plan in connection with the grant of awards. Awards to purchase common stock have been granted pursuant to the 2007 Plan and are outstanding to various employees, officers, directors, Scientific Advisory Board members and independent distributors at prices between $1.75 and $10.50 per share, with initial vesting periods of one to three years. Awards expire in accordance with the terms of each award and the shares subject to the award are added back to the 2007 Plan upon expiration of the award. The contractual term of stock options granted is generally ten years. Effective November 21, 2016, no new awards can be granted under the 2007 Plan.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15" w:name="page16"/>
    <w:bookmarkEnd w:id="15"/>
    <w:p>
      <w:pPr>
        <w:ind w:right="20" w:firstLine="446"/>
        <w:spacing w:after="0" w:line="254" w:lineRule="auto"/>
        <w:rPr>
          <w:sz w:val="20"/>
          <w:szCs w:val="20"/>
          <w:color w:val="auto"/>
        </w:rPr>
      </w:pPr>
      <w:r>
        <w:rPr>
          <w:rFonts w:ascii="Arial" w:cs="Arial" w:eastAsia="Arial" w:hAnsi="Arial"/>
          <w:sz w:val="18"/>
          <w:szCs w:val="18"/>
          <w:color w:val="auto"/>
        </w:rPr>
        <w:t>The Company adopted, and the stockholders approved, the 2010 Long-Term Incentive Plan (the “2010 Plan”), effective September 27, 2010, as amended on August 21, 2014, to provide incentives to certain employees, directors and consultants. A maximum of 1.0 million shares of the Company's common stock can be issued under the 2010 Plan in connection with the grant of awards. Awards to purchase common stock have been granted pursuant to the 2010 Plan and are outstanding to various employees, officers and directors. Outstanding stock options awarded under the 2010 Plan have exercise prices between $5.60 and $20.09 per share, and vest over one to four year vesting periods. Awards expire in accordance with the terms of each award and, upon expiration of the award, the shares subject to the award will be added to the 2017 Plan pool as described below. The contractual term of stock options granted is generally ten years. No new awards will be granted under the 2010 Plan and forfeited or terminated shares may be added to the 2017 Plan pool as described below.</w:t>
      </w:r>
    </w:p>
    <w:p>
      <w:pPr>
        <w:spacing w:after="0" w:line="111" w:lineRule="exact"/>
        <w:rPr>
          <w:sz w:val="20"/>
          <w:szCs w:val="20"/>
          <w:color w:val="auto"/>
        </w:rPr>
      </w:pPr>
    </w:p>
    <w:p>
      <w:pPr>
        <w:ind w:firstLine="446"/>
        <w:spacing w:after="0" w:line="269" w:lineRule="auto"/>
        <w:rPr>
          <w:sz w:val="20"/>
          <w:szCs w:val="20"/>
          <w:color w:val="auto"/>
        </w:rPr>
      </w:pPr>
      <w:r>
        <w:rPr>
          <w:rFonts w:ascii="Arial" w:cs="Arial" w:eastAsia="Arial" w:hAnsi="Arial"/>
          <w:sz w:val="17"/>
          <w:szCs w:val="17"/>
          <w:color w:val="auto"/>
        </w:rPr>
        <w:t>The Company adopted, and the stockholders approved, the 2017 Long-Term Incentive Plan (the “2017 Plan”), effective February 16, 2017, to provide incentives to eligible employees, directors and consultants. On February 2, 2018 and November 15, 2018, the stockholders approved amendments to the 2017 Plan to increase by 425,000 shares and 715,000 shares, respectively, the number of shares of the Company's common stock that are available for issuance under the 2017 Plan. The maximum number of shares that can be issued under the 2017 Plan is not to exceed 2,265,000 shares, calculated as the sum of (i) 1,790,000 shares and (ii) up to 475,000 shares previously reserved for issuance under the 2010 Plan, including shares returned upon cancellation, termination or forfeiture of awards that were previously granted under that plan. As of September 30, 2019, a maximum of 2.3 million shares of the Company's common stock can be issued under the 2017 Plan in connection with the grant of awards. Outstanding stock options awarded under the 2017 Plan have exercise prices of $4.44 per share, and vest over a three year vesting period. Awards expire in accordance with the terms of each award and, upon expiration of the award, the shares subject to the award are added back to the 2017 Plan. The contractual term of stock options granted are substantially the same as described above for the 2007 Plan and 2010 Plan. As of September 30, 2019, there were stock option awards outstanding, net of awards expired, for an aggregate of 0.4 million shares of the Company's common stock.</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Cash-Settled Plans</w:t>
      </w:r>
    </w:p>
    <w:p>
      <w:pPr>
        <w:spacing w:after="0" w:line="162" w:lineRule="exact"/>
        <w:rPr>
          <w:sz w:val="20"/>
          <w:szCs w:val="20"/>
          <w:color w:val="auto"/>
        </w:rPr>
      </w:pPr>
    </w:p>
    <w:p>
      <w:pPr>
        <w:ind w:right="20" w:firstLine="446"/>
        <w:spacing w:after="0" w:line="268" w:lineRule="auto"/>
        <w:rPr>
          <w:sz w:val="20"/>
          <w:szCs w:val="20"/>
          <w:color w:val="auto"/>
        </w:rPr>
      </w:pPr>
      <w:r>
        <w:rPr>
          <w:rFonts w:ascii="Arial" w:cs="Arial" w:eastAsia="Arial" w:hAnsi="Arial"/>
          <w:sz w:val="17"/>
          <w:szCs w:val="17"/>
          <w:color w:val="auto"/>
        </w:rPr>
        <w:t>The Company adopted a performance incentive plan effective July 1, 2016 (the "Fiscal 2017 Performance Plan"). The Fiscal 2017 Performance Plan is intended to provide selected employees an opportunity to earn performance-based cash bonuses whose value is based upon the Company’s stock value and to encourage such employees to provide services to the Company and to attract new individuals with outstanding qualifications. The Fiscal 2017 Performance Plan seeks to achieve this purpose by providing for awards in the form of performance share units (the “Units”). No shares will be issued under the Fiscal 2017 Performance Plan. Awards may be settled only with cash and will be paid subsequent to award vesting. The fair value of share-based compensation awards, that include performance shares, are accounted for as liabilities. Vesting for the Units is subject to achievement of both service-based and performance-based vesting requirements. Performance-based vesting occurs in three installments if the Company meets certain performance criteria generally set for each year of a three-year performance period. The service-based vesting criteria occurs in a single installment at the end of the third fiscal year after the awards are granted if the participant has continuously remained in service from the date of award through the end of the third fiscal year. The fair value of these awards is based on the trading price of the Company's common stock and is remeasured at each reporting period date until settlement. The Company adopted a separate performance incentive plan effective July 1, 2017 (the "Fiscal 2018 Performance Plan"). The Fiscal 2018 Performance Plan includes performance-based and service-based vesting requirements and payment terms that are substantially the same as described above for the Fiscal 2017 Performance Plan.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 Stock Purchase Plan</w:t>
      </w:r>
    </w:p>
    <w:p>
      <w:pPr>
        <w:spacing w:after="0" w:line="162" w:lineRule="exact"/>
        <w:rPr>
          <w:sz w:val="20"/>
          <w:szCs w:val="20"/>
          <w:color w:val="auto"/>
        </w:rPr>
      </w:pPr>
    </w:p>
    <w:p>
      <w:pPr>
        <w:ind w:right="80" w:firstLine="446"/>
        <w:spacing w:after="0" w:line="27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Company's 2019 Employee Stock Purchase Plan ("ESPP") was adopted by the board of directors in September 2018 and its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it in November 2018. The ESPP is intended to qualify under Section 423 of the Internal Revenue Code.</w:t>
      </w:r>
    </w:p>
    <w:p>
      <w:pPr>
        <w:spacing w:after="0" w:line="103"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The Company has reserved 400,000 shares of its common stock for issuance under the ESPP. As of September 30, 2019, 367,114 shares</w:t>
      </w:r>
      <w:r>
        <w:rPr>
          <w:rFonts w:ascii="Arial" w:cs="Arial" w:eastAsia="Arial" w:hAnsi="Arial"/>
          <w:sz w:val="18"/>
          <w:szCs w:val="18"/>
          <w:i w:val="1"/>
          <w:iCs w:val="1"/>
          <w:color w:val="auto"/>
        </w:rPr>
        <w:t xml:space="preserve"> </w:t>
      </w:r>
      <w:r>
        <w:rPr>
          <w:rFonts w:ascii="Arial" w:cs="Arial" w:eastAsia="Arial" w:hAnsi="Arial"/>
          <w:sz w:val="18"/>
          <w:szCs w:val="18"/>
          <w:color w:val="auto"/>
        </w:rPr>
        <w:t>were available for issuance. The number of shares reserved under the ESPP will automatically be adjusted in the event of a stock split, stock dividend or a reverse stock split (including an adjustment to the per-purchase period share limit).</w:t>
      </w:r>
    </w:p>
    <w:p>
      <w:pPr>
        <w:spacing w:after="0" w:line="100" w:lineRule="exact"/>
        <w:rPr>
          <w:sz w:val="20"/>
          <w:szCs w:val="20"/>
          <w:color w:val="auto"/>
        </w:rPr>
      </w:pPr>
    </w:p>
    <w:p>
      <w:pPr>
        <w:ind w:right="20" w:firstLine="446"/>
        <w:spacing w:after="0" w:line="276" w:lineRule="auto"/>
        <w:rPr>
          <w:sz w:val="20"/>
          <w:szCs w:val="20"/>
          <w:color w:val="auto"/>
        </w:rPr>
      </w:pPr>
      <w:r>
        <w:rPr>
          <w:rFonts w:ascii="Arial" w:cs="Arial" w:eastAsia="Arial" w:hAnsi="Arial"/>
          <w:sz w:val="17"/>
          <w:szCs w:val="17"/>
          <w:i w:val="1"/>
          <w:iCs w:val="1"/>
          <w:color w:val="auto"/>
        </w:rPr>
        <w:t xml:space="preserve">Purchase Price. </w:t>
      </w:r>
      <w:r>
        <w:rPr>
          <w:rFonts w:ascii="Arial" w:cs="Arial" w:eastAsia="Arial" w:hAnsi="Arial"/>
          <w:sz w:val="17"/>
          <w:szCs w:val="17"/>
          <w:color w:val="auto"/>
        </w:rPr>
        <w:t>Employees may purchase each share of common stock under the ESPP at a price equal to 85% of the lower of the fair market values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stock as of the beginning or the end of the six-month offering periods. An employee's contributions to the ESPP are limited to 15% of their regular hourly or salary compensation, and up to a maximum of 3,000 shares may be purchased during any offering period. A participant shall not be granted an option under the ESPP if such option would permit the participant's rights to purchase stock to accrue at a rate exceeding $25,000 grant date fair market value of stock for each calendar year in which such option is outstanding at any time.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16" w:name="page17"/>
    <w:bookmarkEnd w:id="16"/>
    <w:p>
      <w:pPr>
        <w:ind w:right="300" w:firstLine="446"/>
        <w:spacing w:after="0" w:line="277" w:lineRule="auto"/>
        <w:rPr>
          <w:sz w:val="20"/>
          <w:szCs w:val="20"/>
          <w:color w:val="auto"/>
        </w:rPr>
      </w:pPr>
      <w:r>
        <w:rPr>
          <w:rFonts w:ascii="Arial" w:cs="Arial" w:eastAsia="Arial" w:hAnsi="Arial"/>
          <w:sz w:val="18"/>
          <w:szCs w:val="18"/>
          <w:i w:val="1"/>
          <w:iCs w:val="1"/>
          <w:color w:val="auto"/>
        </w:rPr>
        <w:t xml:space="preserve">Offering Periods. </w:t>
      </w:r>
      <w:r>
        <w:rPr>
          <w:rFonts w:ascii="Arial" w:cs="Arial" w:eastAsia="Arial" w:hAnsi="Arial"/>
          <w:sz w:val="18"/>
          <w:szCs w:val="18"/>
          <w:color w:val="auto"/>
        </w:rPr>
        <w:t>Unless otherwise determined by the compensation committee, the ESPP will be operated through a series of successive six-month</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periods, which will begin each year on March 1 and September 1.</w:t>
      </w:r>
    </w:p>
    <w:p>
      <w:pPr>
        <w:spacing w:after="0" w:line="89" w:lineRule="exact"/>
        <w:rPr>
          <w:sz w:val="20"/>
          <w:szCs w:val="20"/>
          <w:color w:val="auto"/>
        </w:rPr>
      </w:pPr>
    </w:p>
    <w:p>
      <w:pPr>
        <w:ind w:right="500" w:firstLine="446"/>
        <w:spacing w:after="0" w:line="277" w:lineRule="auto"/>
        <w:rPr>
          <w:sz w:val="20"/>
          <w:szCs w:val="20"/>
          <w:color w:val="auto"/>
        </w:rPr>
      </w:pPr>
      <w:r>
        <w:rPr>
          <w:rFonts w:ascii="Arial" w:cs="Arial" w:eastAsia="Arial" w:hAnsi="Arial"/>
          <w:sz w:val="18"/>
          <w:szCs w:val="18"/>
          <w:color w:val="auto"/>
        </w:rPr>
        <w:t>During the three months ended September 30, 2019, 32,886 shares of common stock were issued under the ESPP. During the three months ended September 30, 2018, no shares of common stock were issued.</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Stock-Based Compensation</w:t>
      </w:r>
    </w:p>
    <w:p>
      <w:pPr>
        <w:spacing w:after="0" w:line="158"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color w:val="auto"/>
        </w:rPr>
        <w:t>In accordance with accounting guidance for stock-based compensation, payments in equity instruments for goods or services are accounted for by the fair value method. For the three months ended September 30, 2019, stock-based compensation of $1.3 million was reflected as an increase to additional paid-in capital and an increase of $41,000 was included in other accrued expenses, all of which was employee related. For the three months ended September 30, 2018, stock-based compensation of $0.6 million was reflected as an increase to additional paid-in capital and an increase of $0.7 million was included in other accrued expenses, all of which was employee related.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58"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 xml:space="preserve">The Company accounts for contingent liabilities in accordance with ASC 450, </w:t>
      </w:r>
      <w:r>
        <w:rPr>
          <w:rFonts w:ascii="Arial" w:cs="Arial" w:eastAsia="Arial" w:hAnsi="Arial"/>
          <w:sz w:val="16"/>
          <w:szCs w:val="16"/>
          <w:i w:val="1"/>
          <w:iCs w:val="1"/>
          <w:color w:val="auto"/>
        </w:rPr>
        <w:t>Contingencies</w:t>
      </w:r>
      <w:r>
        <w:rPr>
          <w:rFonts w:ascii="Arial" w:cs="Arial" w:eastAsia="Arial" w:hAnsi="Arial"/>
          <w:sz w:val="16"/>
          <w:szCs w:val="16"/>
          <w:color w:val="auto"/>
        </w:rPr>
        <w:t>.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September 30, 2019, and based on the assessment, there are no probable loss contingencies requiring accrual or disclosures within its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Accruals</w:t>
      </w:r>
    </w:p>
    <w:p>
      <w:pPr>
        <w:spacing w:after="0" w:line="158"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its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significance of the impact of any such losses, damages or remedies may have on the consolidated financial statements; and the unique facts and circumstances of the particular matter that may give rise to additional factors.</w:t>
      </w:r>
    </w:p>
    <w:p>
      <w:pPr>
        <w:spacing w:after="0" w:line="9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b w:val="1"/>
          <w:bCs w:val="1"/>
          <w:color w:val="auto"/>
        </w:rPr>
        <w:t>Class Action Lawsuit (</w:t>
      </w:r>
      <w:r>
        <w:rPr>
          <w:rFonts w:ascii="Arial" w:cs="Arial" w:eastAsia="Arial" w:hAnsi="Arial"/>
          <w:sz w:val="16"/>
          <w:szCs w:val="16"/>
          <w:b w:val="1"/>
          <w:bCs w:val="1"/>
          <w:i w:val="1"/>
          <w:iCs w:val="1"/>
          <w:color w:val="auto"/>
        </w:rPr>
        <w:t>Smith v. LifeVantage Corp</w:t>
      </w:r>
      <w:r>
        <w:rPr>
          <w:rFonts w:ascii="Arial" w:cs="Arial" w:eastAsia="Arial" w:hAnsi="Arial"/>
          <w:sz w:val="16"/>
          <w:szCs w:val="16"/>
          <w:b w:val="1"/>
          <w:bCs w:val="1"/>
          <w:color w:val="auto"/>
        </w:rPr>
        <w:t xml:space="preserve">.): </w:t>
      </w:r>
      <w:r>
        <w:rPr>
          <w:rFonts w:ascii="Arial" w:cs="Arial" w:eastAsia="Arial" w:hAnsi="Arial"/>
          <w:sz w:val="16"/>
          <w:szCs w:val="16"/>
          <w:color w:val="auto"/>
        </w:rPr>
        <w:t>On January 24, 2018, a purported class action was filed in the United States District Court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District of Connecticut, entitled </w:t>
      </w:r>
      <w:r>
        <w:rPr>
          <w:rFonts w:ascii="Arial" w:cs="Arial" w:eastAsia="Arial" w:hAnsi="Arial"/>
          <w:sz w:val="16"/>
          <w:szCs w:val="16"/>
          <w:i w:val="1"/>
          <w:iCs w:val="1"/>
          <w:color w:val="auto"/>
        </w:rPr>
        <w:t>Smith v. LifeVantage Corp</w:t>
      </w:r>
      <w:r>
        <w:rPr>
          <w:rFonts w:ascii="Arial" w:cs="Arial" w:eastAsia="Arial" w:hAnsi="Arial"/>
          <w:sz w:val="16"/>
          <w:szCs w:val="16"/>
          <w:color w:val="auto"/>
        </w:rPr>
        <w:t>., Case No. 3:18-cv-a35 (D. Connecticut filed Jan. 24, 2018). In this action, plaintiff alleged that the Company, its Chief Executive Officer, Chief Sales Officer and Chief Marketing Officer operated a pyramid scheme in violation of a variety of federal and state statutes, including RICO and the Connecticut Unfair Trade Practices Act. On April 16, 2018, the Company filed motions with the court to dismiss the complaint against LifeVantage, dismiss the complaint against the Company's executives, transfer the venue of the case from the State of Connecticut to the State of Utah, and contest class certification. On July 23, 2018, the parties filed a stipulation with the Court agreeing to transfer the case to the Federal District Court for Utah. On September 20, 2018, Plaintiffs filed an amended complaint in Utah. As per the parties stipulated agreement, plaintiff's amended complaint dropped the RICO and Connecticut state law claims and removed the Company's Chief Sales Officer and Chief Marketing Officer as individual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17" w:name="page18"/>
    <w:bookmarkEnd w:id="17"/>
    <w:p>
      <w:pPr>
        <w:ind w:right="20"/>
        <w:spacing w:after="0" w:line="291" w:lineRule="auto"/>
        <w:rPr>
          <w:sz w:val="20"/>
          <w:szCs w:val="20"/>
          <w:color w:val="auto"/>
        </w:rPr>
      </w:pPr>
      <w:r>
        <w:rPr>
          <w:rFonts w:ascii="Arial" w:cs="Arial" w:eastAsia="Arial" w:hAnsi="Arial"/>
          <w:sz w:val="16"/>
          <w:szCs w:val="16"/>
          <w:color w:val="auto"/>
        </w:rPr>
        <w:t>defendants (the Chief Executive Officer remains a defendant in the case). However, the amended complaint adds a new antitrust claim, alleging that the Company fraudulently obtained patents for its products and is attempting to use those patents in an anti-competitive manner. LifeVantage filed a Motion to Dismiss the amended complaint on November 5, 2018, Plaintiffs filed a response to LifeVantage’s Motion to Dismiss on December 17, 2018, and LifeVantage filed a reply brief on January 10, 2019. With the matter now being fully briefed, the Court can issue a ruling based on the briefs submitted by the parties or schedule a hearing for oral argument before entering a decision on the motion. The Company has not established a loss contingency accrual for this lawsuit as it believes liability is not probable or estimable, and the Company plans to vigorously defend against this lawsuit. Nonetheless, an unfavorable resolution of this matter could have a material adverse effect on the Company's business, results of operations or financial condition.</w:t>
      </w:r>
    </w:p>
    <w:p>
      <w:pPr>
        <w:spacing w:after="0" w:line="82" w:lineRule="exact"/>
        <w:rPr>
          <w:sz w:val="20"/>
          <w:szCs w:val="20"/>
          <w:color w:val="auto"/>
        </w:rPr>
      </w:pPr>
    </w:p>
    <w:p>
      <w:pPr>
        <w:ind w:right="80" w:firstLine="324"/>
        <w:spacing w:after="0" w:line="303" w:lineRule="auto"/>
        <w:rPr>
          <w:sz w:val="20"/>
          <w:szCs w:val="20"/>
          <w:color w:val="auto"/>
        </w:rPr>
      </w:pPr>
      <w:r>
        <w:rPr>
          <w:rFonts w:ascii="Arial" w:cs="Arial" w:eastAsia="Arial" w:hAnsi="Arial"/>
          <w:sz w:val="16"/>
          <w:szCs w:val="16"/>
          <w:b w:val="1"/>
          <w:bCs w:val="1"/>
          <w:color w:val="auto"/>
        </w:rPr>
        <w:t xml:space="preserve">Other Matters. </w:t>
      </w:r>
      <w:r>
        <w:rPr>
          <w:rFonts w:ascii="Arial" w:cs="Arial" w:eastAsia="Arial" w:hAnsi="Arial"/>
          <w:sz w:val="16"/>
          <w:szCs w:val="16"/>
          <w:color w:val="auto"/>
        </w:rPr>
        <w:t>In addition to the matters described above, the Company also may become involved in other litigation and regulatory matters incidental</w:t>
      </w:r>
      <w:r>
        <w:rPr>
          <w:rFonts w:ascii="Arial" w:cs="Arial" w:eastAsia="Arial" w:hAnsi="Arial"/>
          <w:sz w:val="16"/>
          <w:szCs w:val="16"/>
          <w:b w:val="1"/>
          <w:bCs w:val="1"/>
          <w:color w:val="auto"/>
        </w:rPr>
        <w:t xml:space="preserve"> </w:t>
      </w:r>
      <w:r>
        <w:rPr>
          <w:rFonts w:ascii="Arial" w:cs="Arial" w:eastAsia="Arial" w:hAnsi="Arial"/>
          <w:sz w:val="16"/>
          <w:szCs w:val="16"/>
          <w:color w:val="auto"/>
        </w:rPr>
        <w:t>to its business and the matters disclosed in this quarterly report on Form 10-Q,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162"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The Company has entered into a series of agreements with GEG for outsourced software application development services, including a convertible note agreement. For discussion related to the convertible note between the Company and GEG, see Note 2. Two members of the Company's board of directors serve on the GEG board of directors. During the three months ended September 30, 2019, the Company paid $0.6 million to GEG for software application development services.</w:t>
      </w:r>
    </w:p>
    <w:p>
      <w:pPr>
        <w:spacing w:after="0" w:line="102" w:lineRule="exact"/>
        <w:rPr>
          <w:sz w:val="20"/>
          <w:szCs w:val="20"/>
          <w:color w:val="auto"/>
        </w:rPr>
      </w:pPr>
    </w:p>
    <w:p>
      <w:pPr>
        <w:ind w:right="3960"/>
        <w:spacing w:after="0" w:line="425"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ind w:right="40" w:firstLine="405"/>
        <w:spacing w:after="0" w:line="297" w:lineRule="auto"/>
        <w:rPr>
          <w:sz w:val="20"/>
          <w:szCs w:val="20"/>
          <w:color w:val="auto"/>
        </w:rPr>
      </w:pPr>
      <w:r>
        <w:rPr>
          <w:rFonts w:ascii="Arial" w:cs="Arial" w:eastAsia="Arial" w:hAnsi="Arial"/>
          <w:sz w:val="16"/>
          <w:szCs w:val="16"/>
          <w:color w:val="auto"/>
        </w:rPr>
        <w:t>We are a company focused on biohacking the aging code through nutrigenomics, the study of how nutrition and naturally occurring compounds affect human genes to support good health. We are dedicated to helping people achieve their health, wellness and financial goals. We provide quality, scientifically-validated products and a financially rewarding direct sales opportunity to customers and independent distributors. We engage in the identification, research, development and distribution of advanced nutraceutical dietary supplements and skin and hair care products. We currently sell our products to customers and independent distributors in two geographic regions that we have classified as the Americas region and the Asia/Pacific &amp; Europe region.</w:t>
      </w:r>
    </w:p>
    <w:p>
      <w:pPr>
        <w:spacing w:after="0" w:line="77"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Our revenue depends on the number and productivity of our independent distributors and the number of our customers. When we are successful in attracting and retaining independent distributors and customers, it is largely because of:</w:t>
      </w:r>
    </w:p>
    <w:p>
      <w:pPr>
        <w:spacing w:after="0" w:line="103" w:lineRule="exact"/>
        <w:rPr>
          <w:sz w:val="20"/>
          <w:szCs w:val="20"/>
          <w:color w:val="auto"/>
        </w:rPr>
      </w:pPr>
    </w:p>
    <w:p>
      <w:pPr>
        <w:ind w:left="740" w:right="380" w:hanging="327"/>
        <w:spacing w:after="0" w:line="235" w:lineRule="auto"/>
        <w:tabs>
          <w:tab w:leader="none" w:pos="735"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products, including Protandim</w:t>
      </w:r>
      <w:r>
        <w:rPr>
          <w:rFonts w:ascii="Arial" w:cs="Arial" w:eastAsia="Arial" w:hAnsi="Arial"/>
          <w:sz w:val="22"/>
          <w:szCs w:val="22"/>
          <w:color w:val="auto"/>
          <w:vertAlign w:val="superscript"/>
        </w:rPr>
        <w:t>®</w:t>
      </w:r>
      <w:r>
        <w:rPr>
          <w:rFonts w:ascii="Arial" w:cs="Arial" w:eastAsia="Arial" w:hAnsi="Arial"/>
          <w:sz w:val="17"/>
          <w:szCs w:val="17"/>
          <w:color w:val="auto"/>
        </w:rPr>
        <w:t>, our line of scientifically-validated dietary supplements, LifeVantage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Omega+ and ProBio dietary supplements, TrueScience</w:t>
      </w:r>
      <w:r>
        <w:rPr>
          <w:rFonts w:ascii="Arial" w:cs="Arial" w:eastAsia="Arial" w:hAnsi="Arial"/>
          <w:sz w:val="22"/>
          <w:szCs w:val="22"/>
          <w:color w:val="auto"/>
          <w:vertAlign w:val="superscript"/>
        </w:rPr>
        <w:t>®</w:t>
      </w:r>
      <w:r>
        <w:rPr>
          <w:rFonts w:ascii="Arial" w:cs="Arial" w:eastAsia="Arial" w:hAnsi="Arial"/>
          <w:sz w:val="17"/>
          <w:szCs w:val="17"/>
          <w:color w:val="auto"/>
        </w:rPr>
        <w:t>, our line of skin and hair care products, Petandim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for Dogs, our companion pet supplement formulated to combat oxidative stress in dogs, Axio</w:t>
      </w:r>
      <w:r>
        <w:rPr>
          <w:rFonts w:ascii="Arial" w:cs="Arial" w:eastAsia="Arial" w:hAnsi="Arial"/>
          <w:sz w:val="22"/>
          <w:szCs w:val="22"/>
          <w:color w:val="auto"/>
          <w:vertAlign w:val="superscript"/>
        </w:rPr>
        <w:t>®</w:t>
      </w:r>
      <w:r>
        <w:rPr>
          <w:rFonts w:ascii="Arial" w:cs="Arial" w:eastAsia="Arial" w:hAnsi="Arial"/>
          <w:sz w:val="17"/>
          <w:szCs w:val="17"/>
          <w:color w:val="auto"/>
        </w:rPr>
        <w:t>, our Smart Energy Drink mixes, and PhysIQ</w:t>
      </w:r>
      <w:r>
        <w:rPr>
          <w:rFonts w:ascii="Arial" w:cs="Arial" w:eastAsia="Arial" w:hAnsi="Arial"/>
          <w:sz w:val="22"/>
          <w:szCs w:val="22"/>
          <w:color w:val="auto"/>
          <w:vertAlign w:val="superscript"/>
        </w:rPr>
        <w:t>™</w:t>
      </w:r>
      <w:r>
        <w:rPr>
          <w:rFonts w:ascii="Arial" w:cs="Arial" w:eastAsia="Arial" w:hAnsi="Arial"/>
          <w:sz w:val="17"/>
          <w:szCs w:val="17"/>
          <w:color w:val="auto"/>
        </w:rPr>
        <w:t>, our Smart Weight Management System;</w:t>
      </w:r>
    </w:p>
    <w:p>
      <w:pPr>
        <w:spacing w:after="0" w:line="53" w:lineRule="exact"/>
        <w:rPr>
          <w:rFonts w:ascii="Arial" w:cs="Arial" w:eastAsia="Arial" w:hAnsi="Arial"/>
          <w:sz w:val="17"/>
          <w:szCs w:val="17"/>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compensation plan and other sales initiatives; and</w:t>
      </w:r>
    </w:p>
    <w:p>
      <w:pPr>
        <w:spacing w:after="0" w:line="144" w:lineRule="exact"/>
        <w:rPr>
          <w:rFonts w:ascii="Arial" w:cs="Arial" w:eastAsia="Arial" w:hAnsi="Arial"/>
          <w:sz w:val="18"/>
          <w:szCs w:val="18"/>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delivery of superior customer service.</w:t>
      </w:r>
    </w:p>
    <w:p>
      <w:pPr>
        <w:spacing w:after="0" w:line="158"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As a result, it is vital to our success that we leverage our product development resources to develop and introduce compelling and innovative products and provide opportunities for our independent distributors to sell these products in a variety of markets. We sell our products in the United States, Mexico, Japan, Australia, Hong Kong, Canada, Thailand, the United Kingdom, the Netherlands, Germany, Taiwan, Austria, Spain, Ireland and Belgium. We also sell our products in a number of countries to customers for personal consumption only. In addition, we sell our products in China through our e-commerce business model. Entering a new market requires a considerable amount of time, resources and continued support. If we are unable to properly support an existing or new market, our revenue growth may be negatively impacted.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43" w:lineRule="exact"/>
        <w:rPr>
          <w:sz w:val="20"/>
          <w:szCs w:val="20"/>
          <w:color w:val="auto"/>
        </w:rPr>
      </w:pPr>
    </w:p>
    <w:p>
      <w:pPr>
        <w:ind w:right="200" w:firstLine="324"/>
        <w:spacing w:after="0" w:line="242" w:lineRule="auto"/>
        <w:rPr>
          <w:sz w:val="20"/>
          <w:szCs w:val="20"/>
          <w:color w:val="auto"/>
        </w:rPr>
      </w:pPr>
      <w:r>
        <w:rPr>
          <w:rFonts w:ascii="Arial" w:cs="Arial" w:eastAsia="Arial" w:hAnsi="Arial"/>
          <w:sz w:val="16"/>
          <w:szCs w:val="16"/>
          <w:color w:val="auto"/>
        </w:rPr>
        <w:t>Our line of scientifically-validated dietary supplements includes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NRF1 Synergizer, Nrf2 Synergizer, and NAD Synergizer, LifeVantage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Omega+ and ProBio. The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NRF1 Synergizer is formulated to increase cellular energy and performance by boosting mitochondria production to improve cellular repair and slow cellular aging. The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Nrf2 Synergizer contains a proprietary blend of ingredients and has been shown to combat oxidative stress and enhance energy production by increasing the body’s natural antioxidant protection at the genetic level, inducing the production of naturally-occurring protective antioxidant enzymes, including superoxide dismutase, catalase, and glutathione synthase. The Protandim</w:t>
      </w:r>
      <w:r>
        <w:rPr>
          <w:rFonts w:ascii="Arial" w:cs="Arial" w:eastAsia="Arial" w:hAnsi="Arial"/>
          <w:sz w:val="20"/>
          <w:szCs w:val="20"/>
          <w:color w:val="auto"/>
          <w:vertAlign w:val="superscript"/>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18" w:name="page19"/>
    <w:bookmarkEnd w:id="18"/>
    <w:p>
      <w:pPr>
        <w:ind w:right="60"/>
        <w:spacing w:after="0" w:line="199" w:lineRule="auto"/>
        <w:rPr>
          <w:sz w:val="20"/>
          <w:szCs w:val="20"/>
          <w:color w:val="auto"/>
        </w:rPr>
      </w:pPr>
      <w:r>
        <w:rPr>
          <w:rFonts w:ascii="Arial" w:cs="Arial" w:eastAsia="Arial" w:hAnsi="Arial"/>
          <w:sz w:val="18"/>
          <w:szCs w:val="18"/>
          <w:color w:val="auto"/>
        </w:rPr>
        <w:t>NAD Synergizer was specifically formulated to target cell signaling pathways involved in the synthesis and recycling of a specific molecule called NAD (nicotinamide adenine dinucleotide), and has been shown to double sirtuin activity, supporting increased health, focus, energy, mental clarity and mood. LifeVantage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Omega+ is a dietary supplement that combines DHA and EPA Omega-3 fatty acids, Omega-7 fatty acids, and Vitamin D3 to support cognitive health, cardiovascular health, skin health, and the immune system. LifeVantage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ProBio is a dietary supplement designed to support optimal digestion and immune system function. Our TrueScience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line of anti-aging skin and hair care products includes TrueScience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Facial Cleanser, TrueScience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Perfecting Lotion, TrueScience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Eye Serum, TrueScience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Anti-Aging Cream, TrueScience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Hand Cream, TrueScience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Invigorating Shampoo, TrueScience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Nourishing Conditioner and TrueScience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Scalp Serum. Petandim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Dogs is a supplement specially formulated to combat oxidative stress in dogs through Nrf2 activation. Axio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our line of Smart Energy Drink mixes formulated to promote alertness and support mental performance. PhysIQ</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our Smart Weight Management System, which includes PhysIQ™ Fat Burn, PhysIQ™ Prebiotic and PhysIQ™ Whey Protein, all formulated to aid in weight management.</w:t>
      </w:r>
    </w:p>
    <w:p>
      <w:pPr>
        <w:spacing w:after="0" w:line="111" w:lineRule="exact"/>
        <w:rPr>
          <w:sz w:val="20"/>
          <w:szCs w:val="20"/>
          <w:color w:val="auto"/>
        </w:rPr>
      </w:pPr>
    </w:p>
    <w:p>
      <w:pPr>
        <w:ind w:firstLine="324"/>
        <w:spacing w:after="0" w:line="227" w:lineRule="auto"/>
        <w:rPr>
          <w:sz w:val="20"/>
          <w:szCs w:val="20"/>
          <w:color w:val="auto"/>
        </w:rPr>
      </w:pPr>
      <w:r>
        <w:rPr>
          <w:rFonts w:ascii="Arial" w:cs="Arial" w:eastAsia="Arial" w:hAnsi="Arial"/>
          <w:sz w:val="17"/>
          <w:szCs w:val="17"/>
          <w:color w:val="auto"/>
        </w:rPr>
        <w:t>We sell our products both individually and in stacks. A stack consists of multiple products bundled together that are designed to achieve a specific result. The Vitality Stack includes four of our nutrigenomics products —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NRF1 and Nrf2 Synergizers and LifeVantage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Omega+ and ProBio. It was designed to provide a foundation for wellness, supporting healthy organs, including the brain, heart, eyes, and other vitals. With the Ultimate Stack, we added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NAD Synergizer and PhysIQ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Prebiotic to our Vitality Stack to support gut health and increase sirtuin activity, supporting increased health, focus, energy, mental clarity and mood. Our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Tri-Synergizer consists of our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NRF1 Synergizer, Nrf2 Synergizer and NAD Synergizer, and was designed to effectively reduce oxidative stress, support mitochondria function, increase sirtuin activity, and target cell signaling pathways to fight the effects of aging. We also offer stacks for our PhysIQ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 lines.</w:t>
      </w:r>
    </w:p>
    <w:p>
      <w:pPr>
        <w:spacing w:after="0" w:line="5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currently have additional products in development. Any delays or difficulties in introducing compelling products or attractive initiatives or tools into our markets may have a negative impact on our revenue and our ability to attract new independent distributors and customers.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w:t>
      </w:r>
    </w:p>
    <w:p>
      <w:pPr>
        <w:spacing w:after="0" w:line="148"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Because we utilize a direct selling model for the distribution of a majority of our products, the success and growth of our business is primarily based on the effectiveness of our independent distributors in selling our products and on our ability to attract new and retain existing independent distributors. Changes in our product sales typically are the result of variations in product sales volume relating to fluctuations in the number of active independent distributors and customers purchasing our products. The number of active independent distributors and customers is, therefore, used by management as a key non-financial measure.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19" w:name="page20"/>
    <w:bookmarkEnd w:id="19"/>
    <w:p>
      <w:pPr>
        <w:ind w:right="480" w:firstLine="405"/>
        <w:spacing w:after="0" w:line="286" w:lineRule="auto"/>
        <w:rPr>
          <w:sz w:val="20"/>
          <w:szCs w:val="20"/>
          <w:color w:val="auto"/>
        </w:rPr>
      </w:pPr>
      <w:r>
        <w:rPr>
          <w:rFonts w:ascii="Arial" w:cs="Arial" w:eastAsia="Arial" w:hAnsi="Arial"/>
          <w:sz w:val="17"/>
          <w:szCs w:val="17"/>
          <w:color w:val="auto"/>
        </w:rPr>
        <w:t>The following tables summarize the changes in our active accounts base by geographic region. These numbers have been rounded to the nearest thousand as of the dates indicated. For purposes of this report, we only count as active accounts those independent distributors and customers who have purchased from us at any time during the most recent three-month period, either for personal use or for resale.</w:t>
      </w:r>
    </w:p>
    <w:p>
      <w:pPr>
        <w:spacing w:after="0" w:line="13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right"/>
              <w:ind w:right="1100"/>
              <w:spacing w:after="0"/>
              <w:rPr>
                <w:sz w:val="20"/>
                <w:szCs w:val="20"/>
                <w:color w:val="auto"/>
              </w:rPr>
            </w:pPr>
            <w:r>
              <w:rPr>
                <w:rFonts w:ascii="Arial" w:cs="Arial" w:eastAsia="Arial" w:hAnsi="Arial"/>
                <w:sz w:val="14"/>
                <w:szCs w:val="14"/>
                <w:b w:val="1"/>
                <w:bCs w:val="1"/>
                <w:color w:val="auto"/>
              </w:rPr>
              <w:t>As of September 30,</w:t>
            </w: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40" w:type="dxa"/>
            <w:vAlign w:val="bottom"/>
          </w:tcPr>
          <w:p>
            <w:pPr>
              <w:spacing w:after="0"/>
              <w:rPr>
                <w:sz w:val="12"/>
                <w:szCs w:val="12"/>
                <w:color w:val="auto"/>
              </w:rPr>
            </w:pPr>
          </w:p>
        </w:tc>
        <w:tc>
          <w:tcPr>
            <w:tcW w:w="16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Change from</w:t>
            </w:r>
          </w:p>
        </w:tc>
        <w:tc>
          <w:tcPr>
            <w:tcW w:w="100" w:type="dxa"/>
            <w:vAlign w:val="bottom"/>
          </w:tcPr>
          <w:p>
            <w:pPr>
              <w:spacing w:after="0"/>
              <w:rPr>
                <w:sz w:val="12"/>
                <w:szCs w:val="12"/>
                <w:color w:val="auto"/>
              </w:rPr>
            </w:pPr>
          </w:p>
        </w:tc>
        <w:tc>
          <w:tcPr>
            <w:tcW w:w="12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Prior Year</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Active Independent Distributors</w:t>
            </w: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Americas</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44,000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46,000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00" w:type="dxa"/>
            <w:vAlign w:val="bottom"/>
          </w:tcPr>
          <w:p>
            <w:pPr>
              <w:jc w:val="center"/>
              <w:ind w:left="353"/>
              <w:spacing w:after="0"/>
              <w:rPr>
                <w:sz w:val="20"/>
                <w:szCs w:val="20"/>
                <w:color w:val="auto"/>
              </w:rPr>
            </w:pPr>
            <w:r>
              <w:rPr>
                <w:rFonts w:ascii="Arial" w:cs="Arial" w:eastAsia="Arial" w:hAnsi="Arial"/>
                <w:sz w:val="18"/>
                <w:szCs w:val="18"/>
                <w:color w:val="auto"/>
                <w:w w:val="91"/>
              </w:rPr>
              <w:t>(2,000)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 &amp; Europe</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center"/>
              <w:ind w:left="393"/>
              <w:spacing w:after="0"/>
              <w:rPr>
                <w:sz w:val="20"/>
                <w:szCs w:val="20"/>
                <w:color w:val="auto"/>
              </w:rPr>
            </w:pPr>
            <w:r>
              <w:rPr>
                <w:rFonts w:ascii="Arial" w:cs="Arial" w:eastAsia="Arial" w:hAnsi="Arial"/>
                <w:sz w:val="18"/>
                <w:szCs w:val="18"/>
                <w:color w:val="auto"/>
                <w:w w:val="88"/>
              </w:rPr>
              <w:t>1,000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64"/>
        </w:trPr>
        <w:tc>
          <w:tcPr>
            <w:tcW w:w="3440" w:type="dxa"/>
            <w:vAlign w:val="bottom"/>
          </w:tcPr>
          <w:p>
            <w:pPr>
              <w:ind w:left="380"/>
              <w:spacing w:after="0"/>
              <w:rPr>
                <w:sz w:val="20"/>
                <w:szCs w:val="20"/>
                <w:color w:val="auto"/>
              </w:rPr>
            </w:pPr>
            <w:r>
              <w:rPr>
                <w:rFonts w:ascii="Arial" w:cs="Arial" w:eastAsia="Arial" w:hAnsi="Arial"/>
                <w:sz w:val="18"/>
                <w:szCs w:val="18"/>
                <w:color w:val="auto"/>
              </w:rPr>
              <w:t>Total Active Independent Distributors</w:t>
            </w:r>
          </w:p>
        </w:tc>
        <w:tc>
          <w:tcPr>
            <w:tcW w:w="1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66,000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center"/>
              <w:ind w:left="353"/>
              <w:spacing w:after="0"/>
              <w:rPr>
                <w:sz w:val="20"/>
                <w:szCs w:val="20"/>
                <w:color w:val="auto"/>
              </w:rPr>
            </w:pPr>
            <w:r>
              <w:rPr>
                <w:rFonts w:ascii="Arial" w:cs="Arial" w:eastAsia="Arial" w:hAnsi="Arial"/>
                <w:sz w:val="18"/>
                <w:szCs w:val="18"/>
                <w:color w:val="auto"/>
                <w:w w:val="91"/>
              </w:rPr>
              <w:t>(1,000)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Active Customers</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Americas</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92,000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96,000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left="353"/>
              <w:spacing w:after="0"/>
              <w:rPr>
                <w:sz w:val="20"/>
                <w:szCs w:val="20"/>
                <w:color w:val="auto"/>
              </w:rPr>
            </w:pPr>
            <w:r>
              <w:rPr>
                <w:rFonts w:ascii="Arial" w:cs="Arial" w:eastAsia="Arial" w:hAnsi="Arial"/>
                <w:sz w:val="18"/>
                <w:szCs w:val="18"/>
                <w:color w:val="auto"/>
                <w:w w:val="91"/>
              </w:rPr>
              <w:t>(4,000)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Asia/Pacific &amp; Europe</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24,000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23,000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00" w:type="dxa"/>
            <w:vAlign w:val="bottom"/>
          </w:tcPr>
          <w:p>
            <w:pPr>
              <w:jc w:val="center"/>
              <w:ind w:left="393"/>
              <w:spacing w:after="0"/>
              <w:rPr>
                <w:sz w:val="20"/>
                <w:szCs w:val="20"/>
                <w:color w:val="auto"/>
              </w:rPr>
            </w:pPr>
            <w:r>
              <w:rPr>
                <w:rFonts w:ascii="Arial" w:cs="Arial" w:eastAsia="Arial" w:hAnsi="Arial"/>
                <w:sz w:val="18"/>
                <w:szCs w:val="18"/>
                <w:color w:val="auto"/>
                <w:w w:val="88"/>
              </w:rPr>
              <w:t>1,000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Active Customers</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116,000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119,000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91"/>
              </w:rPr>
              <w:t>(3,000)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Active Accounts</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Americas</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136,000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142,000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00" w:type="dxa"/>
            <w:vAlign w:val="bottom"/>
          </w:tcPr>
          <w:p>
            <w:pPr>
              <w:jc w:val="center"/>
              <w:ind w:left="353"/>
              <w:spacing w:after="0"/>
              <w:rPr>
                <w:sz w:val="20"/>
                <w:szCs w:val="20"/>
                <w:color w:val="auto"/>
              </w:rPr>
            </w:pPr>
            <w:r>
              <w:rPr>
                <w:rFonts w:ascii="Arial" w:cs="Arial" w:eastAsia="Arial" w:hAnsi="Arial"/>
                <w:sz w:val="18"/>
                <w:szCs w:val="18"/>
                <w:color w:val="auto"/>
                <w:w w:val="91"/>
              </w:rPr>
              <w:t>(6,000)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 &amp; Europe</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45,000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43,000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center"/>
              <w:ind w:left="393"/>
              <w:spacing w:after="0"/>
              <w:rPr>
                <w:sz w:val="20"/>
                <w:szCs w:val="20"/>
                <w:color w:val="auto"/>
              </w:rPr>
            </w:pPr>
            <w:r>
              <w:rPr>
                <w:rFonts w:ascii="Arial" w:cs="Arial" w:eastAsia="Arial" w:hAnsi="Arial"/>
                <w:sz w:val="18"/>
                <w:szCs w:val="18"/>
                <w:color w:val="auto"/>
                <w:w w:val="88"/>
              </w:rPr>
              <w:t>2,000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64"/>
        </w:trPr>
        <w:tc>
          <w:tcPr>
            <w:tcW w:w="3440" w:type="dxa"/>
            <w:vAlign w:val="bottom"/>
          </w:tcPr>
          <w:p>
            <w:pPr>
              <w:ind w:left="380"/>
              <w:spacing w:after="0"/>
              <w:rPr>
                <w:sz w:val="20"/>
                <w:szCs w:val="20"/>
                <w:color w:val="auto"/>
              </w:rPr>
            </w:pPr>
            <w:r>
              <w:rPr>
                <w:rFonts w:ascii="Arial" w:cs="Arial" w:eastAsia="Arial" w:hAnsi="Arial"/>
                <w:sz w:val="18"/>
                <w:szCs w:val="18"/>
                <w:color w:val="auto"/>
              </w:rPr>
              <w:t>Total Active Accounts</w:t>
            </w:r>
          </w:p>
        </w:tc>
        <w:tc>
          <w:tcPr>
            <w:tcW w:w="1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181,000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185,000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center"/>
              <w:ind w:left="353"/>
              <w:spacing w:after="0"/>
              <w:rPr>
                <w:sz w:val="20"/>
                <w:szCs w:val="20"/>
                <w:color w:val="auto"/>
              </w:rPr>
            </w:pPr>
            <w:r>
              <w:rPr>
                <w:rFonts w:ascii="Arial" w:cs="Arial" w:eastAsia="Arial" w:hAnsi="Arial"/>
                <w:sz w:val="18"/>
                <w:szCs w:val="18"/>
                <w:color w:val="auto"/>
                <w:w w:val="91"/>
              </w:rPr>
              <w:t>(4,000)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2019 and 2018</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generated net revenue of $56.2 million and $55.6 million during the three months ended September 30, 2019 and 2018,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fluctuations positively impacted our revenue $0.2 million or 0.4% during the three months ended September 30, 2019.</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Americas</w:t>
      </w:r>
      <w:r>
        <w:rPr>
          <w:rFonts w:ascii="Arial" w:cs="Arial" w:eastAsia="Arial" w:hAnsi="Arial"/>
          <w:sz w:val="17"/>
          <w:szCs w:val="17"/>
          <w:color w:val="auto"/>
        </w:rPr>
        <w:t>. The following table sets forth revenue for the three months ended September 30, 2019 and 2018 for the Americas region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74"/>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50"/>
        </w:trPr>
        <w:tc>
          <w:tcPr>
            <w:tcW w:w="74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37,346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38,324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2,835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2,755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2.9 %</w:t>
            </w:r>
          </w:p>
        </w:tc>
      </w:tr>
      <w:tr>
        <w:trPr>
          <w:trHeight w:val="27"/>
        </w:trPr>
        <w:tc>
          <w:tcPr>
            <w:tcW w:w="7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89"/>
        </w:trPr>
        <w:tc>
          <w:tcPr>
            <w:tcW w:w="74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Americas 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40,181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41,079</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134"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Revenue in the Americas region for the three months ended September 30, 2019 decreased $0.9 million or 2.2% from the prior year same period. Revenue in the Americas decreased mainly due to an overall decrease of 4.2% in active accounts during the current year period in the region, partially offset by increased revenue in our Canadian market.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3" w:right="259" w:bottom="1440" w:gutter="0" w:footer="0" w:header="0"/>
        </w:sectPr>
      </w:pPr>
    </w:p>
    <w:bookmarkStart w:id="20" w:name="page21"/>
    <w:bookmarkEnd w:id="20"/>
    <w:p>
      <w:pPr>
        <w:ind w:right="160" w:firstLine="405"/>
        <w:spacing w:after="0" w:line="277" w:lineRule="auto"/>
        <w:rPr>
          <w:sz w:val="20"/>
          <w:szCs w:val="20"/>
          <w:color w:val="auto"/>
        </w:rPr>
      </w:pPr>
      <w:r>
        <w:rPr>
          <w:rFonts w:ascii="Arial" w:cs="Arial" w:eastAsia="Arial" w:hAnsi="Arial"/>
          <w:sz w:val="18"/>
          <w:szCs w:val="18"/>
          <w:u w:val="single" w:color="auto"/>
          <w:color w:val="auto"/>
        </w:rPr>
        <w:t>Asia/Pacific &amp; Europe</w:t>
      </w:r>
      <w:r>
        <w:rPr>
          <w:rFonts w:ascii="Arial" w:cs="Arial" w:eastAsia="Arial" w:hAnsi="Arial"/>
          <w:sz w:val="18"/>
          <w:szCs w:val="18"/>
          <w:color w:val="auto"/>
        </w:rPr>
        <w:t>. The following table sets forth revenue for the three months ended September 30, 2019 and 2018 for the Asia/Pacific &amp; Europe region and its principal markets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50"/>
        </w:trPr>
        <w:tc>
          <w:tcPr>
            <w:tcW w:w="74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21"/>
                <w:szCs w:val="21"/>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11,058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10,057</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Australia</w:t>
            </w:r>
          </w:p>
        </w:tc>
        <w:tc>
          <w:tcPr>
            <w:tcW w:w="12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1,918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1,136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68.8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Greater China</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1,531</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1,806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9"/>
        </w:trPr>
        <w:tc>
          <w:tcPr>
            <w:tcW w:w="74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Asia/Pacific &amp; Europe 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16,047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14,530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34" w:lineRule="exact"/>
        <w:rPr>
          <w:sz w:val="20"/>
          <w:szCs w:val="20"/>
          <w:color w:val="auto"/>
        </w:rPr>
      </w:pPr>
    </w:p>
    <w:p>
      <w:pPr>
        <w:ind w:firstLine="405"/>
        <w:spacing w:after="0" w:line="238" w:lineRule="auto"/>
        <w:rPr>
          <w:sz w:val="20"/>
          <w:szCs w:val="20"/>
          <w:color w:val="auto"/>
        </w:rPr>
      </w:pPr>
      <w:r>
        <w:rPr>
          <w:rFonts w:ascii="Arial" w:cs="Arial" w:eastAsia="Arial" w:hAnsi="Arial"/>
          <w:sz w:val="18"/>
          <w:szCs w:val="18"/>
          <w:color w:val="auto"/>
        </w:rPr>
        <w:t>Revenue in the Asia/Pacific &amp; Europe region increased $1.5 million or 10.4% for the three months ended September 30, 2019, as compared to the prior year period. The year over year increase in this region was mainly due to increased revenue in Japan and strong growth in our Australia and Thailand markets as we continue to focus on growth in these regions. These increases were partially offset by a weakening in our Greater China market in the current year period. Revenue in the Asia/Pacific &amp; Europe region was positively impacted by approximately $0.3 million or 1.8% during the three months ended September 30, 2019, as compared to the prior year period, by foreign currency exchange rate fluctuations. Revenue in Japan was positively impacted approximately $0.4 million or 4.1% during the three months ended September 30, 2019, as compared to the prior year period, by foreign currency exchange rate fluctuations. On a constant currency basis, revenue in Japan increased 5.8% for the three months ended September 30, 2019, as compared to the prior year period. Active accounts in the region increased 4.7% as compared to the prior year period, contributing to the growth in the region. We have also realized a steady increase in revenue from our New Zealand global customer acquisition program and we are scheduled for a full launch in that market during our second fiscal quarter.</w:t>
      </w:r>
    </w:p>
    <w:p>
      <w:pPr>
        <w:spacing w:after="0" w:line="122" w:lineRule="exact"/>
        <w:rPr>
          <w:sz w:val="20"/>
          <w:szCs w:val="20"/>
          <w:color w:val="auto"/>
        </w:rPr>
      </w:pPr>
    </w:p>
    <w:p>
      <w:pPr>
        <w:ind w:right="20" w:firstLine="405"/>
        <w:spacing w:after="0" w:line="263" w:lineRule="auto"/>
        <w:rPr>
          <w:sz w:val="20"/>
          <w:szCs w:val="20"/>
          <w:color w:val="auto"/>
        </w:rPr>
      </w:pPr>
      <w:r>
        <w:rPr>
          <w:rFonts w:ascii="Arial" w:cs="Arial" w:eastAsia="Arial" w:hAnsi="Arial"/>
          <w:sz w:val="16"/>
          <w:szCs w:val="16"/>
          <w:color w:val="auto"/>
        </w:rPr>
        <w:t>Globally, we continue to focus on strengthening our core business through our fiscal 2020 initiatives, which include the strengthening of our customer subscription programs, the launch of our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NAD Synergizer product in October 2019, continued investment in our red carpet program, expanding our global footprint, including the roll out of our product lines to international markets, enhancements to our compensation programs, and the continued development and improvement of distributor training tools and technologies that will help our independent distributors grow their businesses and improve the customer experience. During the three months ended September 30, 2019, we celebrated our 10 year anniversary at our Kansas City Elite Academy, held multiple events in Japan, including our Japan Convention in September 2019 and, in the beginning of October 2019, introduced our new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NAD Synergizer product, along with the updated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Tri-Synergizer system which now targets three separate pathways to fight the effects of aging. We are scheduled to fully launch our New Zealand market in November 2019 and remain committed to refining our mainland China e-commerce business model.</w:t>
      </w:r>
    </w:p>
    <w:p>
      <w:pPr>
        <w:spacing w:after="0" w:line="100" w:lineRule="exact"/>
        <w:rPr>
          <w:sz w:val="20"/>
          <w:szCs w:val="20"/>
          <w:color w:val="auto"/>
        </w:rPr>
      </w:pPr>
    </w:p>
    <w:p>
      <w:pPr>
        <w:ind w:right="140" w:firstLine="405"/>
        <w:spacing w:after="0" w:line="342"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gross profit percentage for the three months ended September 30, 2019 and 2018 was 83.7% and 83.5%, respectively. The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in gross margin is primarily due to decreased inventory obsolescence and handling costs and changes to our geographic and product sales mix.</w:t>
      </w:r>
    </w:p>
    <w:p>
      <w:pPr>
        <w:spacing w:after="0" w:line="56"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i w:val="1"/>
          <w:iCs w:val="1"/>
          <w:color w:val="auto"/>
        </w:rPr>
        <w:t xml:space="preserve">Commissions and Incentives. </w:t>
      </w:r>
      <w:r>
        <w:rPr>
          <w:rFonts w:ascii="Arial" w:cs="Arial" w:eastAsia="Arial" w:hAnsi="Arial"/>
          <w:sz w:val="18"/>
          <w:szCs w:val="18"/>
          <w:color w:val="auto"/>
        </w:rPr>
        <w:t>Commissions and incentives expenses during the three months ended September 30, 2019 were $26.8 million or 47.6%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as compared to commissions and incentives expenses of $27.8 million or 50.0% of revenue for the three months ended September 30, 2018. The decrease in commissions and incentives expenses as a percentage of revenue is due mainly to the timing of promotional and incentive programs and investment in our red carpet program. Distributor commissions as a percentage of commissionable revenue generated remained consistent during the comparable periods.</w:t>
      </w:r>
    </w:p>
    <w:p>
      <w:pPr>
        <w:spacing w:after="0" w:line="121" w:lineRule="exact"/>
        <w:rPr>
          <w:sz w:val="20"/>
          <w:szCs w:val="20"/>
          <w:color w:val="auto"/>
        </w:rPr>
      </w:pPr>
    </w:p>
    <w:p>
      <w:pPr>
        <w:ind w:right="60" w:firstLine="446"/>
        <w:spacing w:after="0" w:line="264" w:lineRule="auto"/>
        <w:rPr>
          <w:sz w:val="20"/>
          <w:szCs w:val="20"/>
          <w:color w:val="auto"/>
        </w:rPr>
      </w:pPr>
      <w:r>
        <w:rPr>
          <w:rFonts w:ascii="Arial" w:cs="Arial" w:eastAsia="Arial" w:hAnsi="Arial"/>
          <w:sz w:val="18"/>
          <w:szCs w:val="18"/>
          <w:color w:val="auto"/>
        </w:rPr>
        <w:t>We expect commissions and incentives expenses for the remainder of fiscal 2020, as a percentage of revenue, to fluctuate slightly as we execute on our operating plan and continue to be opportunistic with investments in promotional and incentive programs and our red carpet program to drive continued revenue growth.</w:t>
      </w:r>
    </w:p>
    <w:p>
      <w:pPr>
        <w:spacing w:after="0" w:line="100" w:lineRule="exact"/>
        <w:rPr>
          <w:sz w:val="20"/>
          <w:szCs w:val="20"/>
          <w:color w:val="auto"/>
        </w:rPr>
      </w:pPr>
    </w:p>
    <w:p>
      <w:pPr>
        <w:ind w:right="220" w:firstLine="446"/>
        <w:spacing w:after="0" w:line="276" w:lineRule="auto"/>
        <w:rPr>
          <w:sz w:val="20"/>
          <w:szCs w:val="20"/>
          <w:color w:val="auto"/>
        </w:rPr>
      </w:pPr>
      <w:r>
        <w:rPr>
          <w:rFonts w:ascii="Arial" w:cs="Arial" w:eastAsia="Arial" w:hAnsi="Arial"/>
          <w:sz w:val="17"/>
          <w:szCs w:val="17"/>
          <w:i w:val="1"/>
          <w:iCs w:val="1"/>
          <w:color w:val="auto"/>
        </w:rPr>
        <w:t xml:space="preserve">Selling, General and Administrative. </w:t>
      </w:r>
      <w:r>
        <w:rPr>
          <w:rFonts w:ascii="Arial" w:cs="Arial" w:eastAsia="Arial" w:hAnsi="Arial"/>
          <w:sz w:val="17"/>
          <w:szCs w:val="17"/>
          <w:color w:val="auto"/>
        </w:rPr>
        <w:t>Selling, general and administrative expenses during the three months ended September 30, 2019 were $17.7</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or 31.5% of revenue as compared to selling, general and administrative expenses of $17.3 million or 31.1% of revenue for the three months ended September 30, 2018. The increase in selling, general and administrative expenses during the three months ended September 30, 2019 compared to the prior year period primarily was due to increased employee headcount and related compensation costs and increased depreciation expenses associated with our investment in new technology assets that have been placed in service.</w:t>
      </w:r>
    </w:p>
    <w:p>
      <w:pPr>
        <w:spacing w:after="0" w:line="105" w:lineRule="exact"/>
        <w:rPr>
          <w:sz w:val="20"/>
          <w:szCs w:val="20"/>
          <w:color w:val="auto"/>
        </w:rPr>
      </w:pPr>
    </w:p>
    <w:p>
      <w:pPr>
        <w:ind w:right="140" w:firstLine="446"/>
        <w:spacing w:after="0" w:line="277" w:lineRule="auto"/>
        <w:rPr>
          <w:sz w:val="20"/>
          <w:szCs w:val="20"/>
          <w:color w:val="auto"/>
        </w:rPr>
      </w:pPr>
      <w:r>
        <w:rPr>
          <w:rFonts w:ascii="Arial" w:cs="Arial" w:eastAsia="Arial" w:hAnsi="Arial"/>
          <w:sz w:val="18"/>
          <w:szCs w:val="18"/>
          <w:color w:val="auto"/>
        </w:rPr>
        <w:t>We expect selling, general and administrative expenses, as a percent of revenue, to decrease for the remainder of the fiscal year as we leverage current spending and execute on our strategic investments and initiatives designed to increase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21" w:name="page22"/>
    <w:bookmarkEnd w:id="21"/>
    <w:p>
      <w:pPr>
        <w:ind w:right="400"/>
        <w:spacing w:after="0" w:line="277" w:lineRule="auto"/>
        <w:rPr>
          <w:sz w:val="20"/>
          <w:szCs w:val="20"/>
          <w:color w:val="auto"/>
        </w:rPr>
      </w:pPr>
      <w:r>
        <w:rPr>
          <w:rFonts w:ascii="Arial" w:cs="Arial" w:eastAsia="Arial" w:hAnsi="Arial"/>
          <w:sz w:val="18"/>
          <w:szCs w:val="18"/>
          <w:color w:val="auto"/>
        </w:rPr>
        <w:t>revenue and improve operating margins. We do, however, anticipate that there will be fluctuations from period to period due to the timing of product and market launches and other planned events.</w:t>
      </w:r>
    </w:p>
    <w:p>
      <w:pPr>
        <w:spacing w:after="0" w:line="89" w:lineRule="exact"/>
        <w:rPr>
          <w:sz w:val="20"/>
          <w:szCs w:val="20"/>
          <w:color w:val="auto"/>
        </w:rPr>
      </w:pPr>
    </w:p>
    <w:p>
      <w:pPr>
        <w:ind w:right="200" w:firstLine="446"/>
        <w:spacing w:after="0" w:line="264" w:lineRule="auto"/>
        <w:rPr>
          <w:sz w:val="20"/>
          <w:szCs w:val="20"/>
          <w:color w:val="auto"/>
        </w:rPr>
      </w:pPr>
      <w:r>
        <w:rPr>
          <w:rFonts w:ascii="Arial" w:cs="Arial" w:eastAsia="Arial" w:hAnsi="Arial"/>
          <w:sz w:val="18"/>
          <w:szCs w:val="18"/>
          <w:i w:val="1"/>
          <w:iCs w:val="1"/>
          <w:color w:val="auto"/>
        </w:rPr>
        <w:t xml:space="preserve">Total Other Expense. </w:t>
      </w:r>
      <w:r>
        <w:rPr>
          <w:rFonts w:ascii="Arial" w:cs="Arial" w:eastAsia="Arial" w:hAnsi="Arial"/>
          <w:sz w:val="18"/>
          <w:szCs w:val="18"/>
          <w:color w:val="auto"/>
        </w:rPr>
        <w:t>During the three months ended September 30, 2019, we recognized net other expenses of $0.1 million, as compared to net other</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of $0.2 million for the three months ended September 30, 2018. Total other expense for the three months ended September 30, 2019 consisted primarily of interest expense and foreign currency gains and losses.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interest expense for the three months ended September 30, 2019 and 2018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60" w:type="dxa"/>
            <w:vAlign w:val="bottom"/>
          </w:tcPr>
          <w:p>
            <w:pPr>
              <w:spacing w:after="0"/>
              <w:rPr>
                <w:sz w:val="16"/>
                <w:szCs w:val="16"/>
                <w:color w:val="auto"/>
              </w:rPr>
            </w:pPr>
          </w:p>
        </w:tc>
        <w:tc>
          <w:tcPr>
            <w:tcW w:w="2540" w:type="dxa"/>
            <w:vAlign w:val="bottom"/>
            <w:tcBorders>
              <w:bottom w:val="single" w:sz="8" w:color="auto"/>
            </w:tcBorders>
            <w:gridSpan w:val="5"/>
          </w:tcPr>
          <w:p>
            <w:pPr>
              <w:jc w:val="right"/>
              <w:ind w:right="73"/>
              <w:spacing w:after="0"/>
              <w:rPr>
                <w:sz w:val="20"/>
                <w:szCs w:val="20"/>
                <w:color w:val="auto"/>
              </w:rPr>
            </w:pPr>
            <w:r>
              <w:rPr>
                <w:rFonts w:ascii="Arial" w:cs="Arial" w:eastAsia="Arial" w:hAnsi="Arial"/>
                <w:sz w:val="14"/>
                <w:szCs w:val="14"/>
                <w:b w:val="1"/>
                <w:bCs w:val="1"/>
                <w:color w:val="auto"/>
                <w:w w:val="99"/>
              </w:rPr>
              <w:t>Three Months Ended September 30,</w:t>
            </w:r>
          </w:p>
        </w:tc>
      </w:tr>
      <w:tr>
        <w:trPr>
          <w:trHeight w:val="250"/>
        </w:trPr>
        <w:tc>
          <w:tcPr>
            <w:tcW w:w="886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r>
      <w:tr>
        <w:trPr>
          <w:trHeight w:val="236"/>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8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8860" w:type="dxa"/>
            <w:vAlign w:val="bottom"/>
          </w:tcPr>
          <w:p>
            <w:pPr>
              <w:ind w:left="120"/>
              <w:spacing w:after="0"/>
              <w:rPr>
                <w:sz w:val="20"/>
                <w:szCs w:val="20"/>
                <w:color w:val="auto"/>
              </w:rPr>
            </w:pPr>
            <w:r>
              <w:rPr>
                <w:rFonts w:ascii="Arial" w:cs="Arial" w:eastAsia="Arial" w:hAnsi="Arial"/>
                <w:sz w:val="18"/>
                <w:szCs w:val="18"/>
                <w:color w:val="auto"/>
              </w:rPr>
              <w:t>2016 Term Loan</w:t>
            </w:r>
          </w:p>
        </w:tc>
        <w:tc>
          <w:tcPr>
            <w:tcW w:w="820" w:type="dxa"/>
            <w:vAlign w:val="bottom"/>
          </w:tcPr>
          <w:p>
            <w:pPr>
              <w:jc w:val="right"/>
              <w:ind w:right="619"/>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80</w:t>
            </w:r>
          </w:p>
        </w:tc>
      </w:tr>
      <w:tr>
        <w:trPr>
          <w:trHeight w:val="27"/>
        </w:trPr>
        <w:tc>
          <w:tcPr>
            <w:tcW w:w="8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deferred financing fees:</w:t>
            </w:r>
          </w:p>
        </w:tc>
        <w:tc>
          <w:tcPr>
            <w:tcW w:w="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860" w:type="dxa"/>
            <w:vAlign w:val="bottom"/>
          </w:tcPr>
          <w:p>
            <w:pPr>
              <w:ind w:left="120"/>
              <w:spacing w:after="0"/>
              <w:rPr>
                <w:sz w:val="20"/>
                <w:szCs w:val="20"/>
                <w:color w:val="auto"/>
              </w:rPr>
            </w:pPr>
            <w:r>
              <w:rPr>
                <w:rFonts w:ascii="Arial" w:cs="Arial" w:eastAsia="Arial" w:hAnsi="Arial"/>
                <w:sz w:val="18"/>
                <w:szCs w:val="18"/>
                <w:color w:val="auto"/>
              </w:rPr>
              <w:t>2016 Term Loan</w:t>
            </w:r>
          </w:p>
        </w:tc>
        <w:tc>
          <w:tcPr>
            <w:tcW w:w="820" w:type="dxa"/>
            <w:vAlign w:val="bottom"/>
          </w:tcPr>
          <w:p>
            <w:pPr>
              <w:spacing w:after="0"/>
              <w:rPr>
                <w:sz w:val="21"/>
                <w:szCs w:val="21"/>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w:t>
            </w:r>
          </w:p>
        </w:tc>
      </w:tr>
      <w:tr>
        <w:trPr>
          <w:trHeight w:val="27"/>
        </w:trPr>
        <w:tc>
          <w:tcPr>
            <w:tcW w:w="8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debt discount:</w:t>
            </w:r>
          </w:p>
        </w:tc>
        <w:tc>
          <w:tcPr>
            <w:tcW w:w="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860" w:type="dxa"/>
            <w:vAlign w:val="bottom"/>
          </w:tcPr>
          <w:p>
            <w:pPr>
              <w:ind w:left="120"/>
              <w:spacing w:after="0"/>
              <w:rPr>
                <w:sz w:val="20"/>
                <w:szCs w:val="20"/>
                <w:color w:val="auto"/>
              </w:rPr>
            </w:pPr>
            <w:r>
              <w:rPr>
                <w:rFonts w:ascii="Arial" w:cs="Arial" w:eastAsia="Arial" w:hAnsi="Arial"/>
                <w:sz w:val="18"/>
                <w:szCs w:val="18"/>
                <w:color w:val="auto"/>
              </w:rPr>
              <w:t>2016 Term Loan</w:t>
            </w:r>
          </w:p>
        </w:tc>
        <w:tc>
          <w:tcPr>
            <w:tcW w:w="820" w:type="dxa"/>
            <w:vAlign w:val="bottom"/>
          </w:tcPr>
          <w:p>
            <w:pPr>
              <w:spacing w:after="0"/>
              <w:rPr>
                <w:sz w:val="21"/>
                <w:szCs w:val="21"/>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7</w:t>
            </w:r>
          </w:p>
        </w:tc>
      </w:tr>
      <w:tr>
        <w:trPr>
          <w:trHeight w:val="27"/>
        </w:trPr>
        <w:tc>
          <w:tcPr>
            <w:tcW w:w="8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22</w:t>
            </w:r>
          </w:p>
        </w:tc>
      </w:tr>
      <w:tr>
        <w:trPr>
          <w:trHeight w:val="264"/>
        </w:trPr>
        <w:tc>
          <w:tcPr>
            <w:tcW w:w="8860" w:type="dxa"/>
            <w:vAlign w:val="bottom"/>
          </w:tcPr>
          <w:p>
            <w:pPr>
              <w:ind w:left="20"/>
              <w:spacing w:after="0"/>
              <w:rPr>
                <w:sz w:val="20"/>
                <w:szCs w:val="20"/>
                <w:color w:val="auto"/>
              </w:rPr>
            </w:pPr>
            <w:r>
              <w:rPr>
                <w:rFonts w:ascii="Arial" w:cs="Arial" w:eastAsia="Arial" w:hAnsi="Arial"/>
                <w:sz w:val="18"/>
                <w:szCs w:val="18"/>
                <w:color w:val="auto"/>
              </w:rPr>
              <w:t>Total interest expense</w:t>
            </w:r>
          </w:p>
        </w:tc>
        <w:tc>
          <w:tcPr>
            <w:tcW w:w="8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110</w:t>
            </w:r>
          </w:p>
        </w:tc>
      </w:tr>
      <w:tr>
        <w:trPr>
          <w:trHeight w:val="21"/>
        </w:trPr>
        <w:tc>
          <w:tcPr>
            <w:tcW w:w="8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320" w:firstLine="446"/>
        <w:spacing w:after="0" w:line="277"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We recognized income tax expense of $0.7 million for the three months ended September 30, 2019 as compared to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$0.3 million for the three months ended September 30, 2018.</w:t>
      </w:r>
    </w:p>
    <w:p>
      <w:pPr>
        <w:spacing w:after="0" w:line="103" w:lineRule="exact"/>
        <w:rPr>
          <w:sz w:val="20"/>
          <w:szCs w:val="20"/>
          <w:color w:val="auto"/>
        </w:rPr>
      </w:pPr>
    </w:p>
    <w:p>
      <w:pPr>
        <w:ind w:right="80" w:firstLine="446"/>
        <w:spacing w:after="0" w:line="264" w:lineRule="auto"/>
        <w:rPr>
          <w:sz w:val="20"/>
          <w:szCs w:val="20"/>
          <w:color w:val="auto"/>
        </w:rPr>
      </w:pPr>
      <w:r>
        <w:rPr>
          <w:rFonts w:ascii="Arial" w:cs="Arial" w:eastAsia="Arial" w:hAnsi="Arial"/>
          <w:sz w:val="18"/>
          <w:szCs w:val="18"/>
          <w:color w:val="auto"/>
        </w:rPr>
        <w:t>The effective tax rate was 28.1% of pre-tax income during the three months ended September 30, 2019, compared to 21.8% for the prior year period. The increase in the tax rate for fiscal 2020 was due to limitations on deductions related to executive compensation and decreased impact of favorable discrete items in the current year due to increased pre-tax book income.</w:t>
      </w:r>
    </w:p>
    <w:p>
      <w:pPr>
        <w:spacing w:after="0" w:line="114" w:lineRule="exact"/>
        <w:rPr>
          <w:sz w:val="20"/>
          <w:szCs w:val="20"/>
          <w:color w:val="auto"/>
        </w:rPr>
      </w:pPr>
    </w:p>
    <w:p>
      <w:pPr>
        <w:jc w:val="both"/>
        <w:ind w:right="260" w:firstLine="446"/>
        <w:spacing w:after="0" w:line="264" w:lineRule="auto"/>
        <w:rPr>
          <w:sz w:val="20"/>
          <w:szCs w:val="20"/>
          <w:color w:val="auto"/>
        </w:rPr>
      </w:pPr>
      <w:r>
        <w:rPr>
          <w:rFonts w:ascii="Arial" w:cs="Arial" w:eastAsia="Arial" w:hAnsi="Arial"/>
          <w:sz w:val="18"/>
          <w:szCs w:val="18"/>
          <w:color w:val="auto"/>
        </w:rPr>
        <w:t>We expect that our effective tax rate will decrease during the remainder of fiscal 2020 as we anticipate favorable discrete items related to vesting of stock awards during the year; however, our tax rate can be significantly impacted by various book to tax differences and fluctuations in our stock price that occur during the year which are difficult to forecast.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158"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Our primary liquidity and capital resource requirements are to service our debt and finance the cost of our planned operating expenses and working capital (principally inventory purchases), as well as capital expenditures. We have generally relied on cash flow from operations to fund operating activities and we have, at times, incurred long-term debt in order to fund stock repurchases and strategic transactions.</w:t>
      </w:r>
    </w:p>
    <w:p>
      <w:pPr>
        <w:spacing w:after="0" w:line="100" w:lineRule="exact"/>
        <w:rPr>
          <w:sz w:val="20"/>
          <w:szCs w:val="20"/>
          <w:color w:val="auto"/>
        </w:rPr>
      </w:pPr>
    </w:p>
    <w:p>
      <w:pPr>
        <w:ind w:right="60" w:firstLine="446"/>
        <w:spacing w:after="0" w:line="277" w:lineRule="auto"/>
        <w:rPr>
          <w:sz w:val="20"/>
          <w:szCs w:val="20"/>
          <w:color w:val="auto"/>
        </w:rPr>
      </w:pPr>
      <w:r>
        <w:rPr>
          <w:rFonts w:ascii="Arial" w:cs="Arial" w:eastAsia="Arial" w:hAnsi="Arial"/>
          <w:sz w:val="18"/>
          <w:szCs w:val="18"/>
          <w:color w:val="auto"/>
        </w:rPr>
        <w:t>As of September 30, 2019, our available liquidity was $13.0 million, which consisted of available cash and cash equivalents. This represents a decrease of $5.8 million from the $18.8 million in cash and cash equivalents as of June 30, 2019.</w:t>
      </w:r>
    </w:p>
    <w:p>
      <w:pPr>
        <w:spacing w:after="0" w:line="103" w:lineRule="exact"/>
        <w:rPr>
          <w:sz w:val="20"/>
          <w:szCs w:val="20"/>
          <w:color w:val="auto"/>
        </w:rPr>
      </w:pPr>
    </w:p>
    <w:p>
      <w:pPr>
        <w:ind w:right="380" w:firstLine="446"/>
        <w:spacing w:after="0" w:line="277" w:lineRule="auto"/>
        <w:rPr>
          <w:sz w:val="20"/>
          <w:szCs w:val="20"/>
          <w:color w:val="auto"/>
        </w:rPr>
      </w:pPr>
      <w:r>
        <w:rPr>
          <w:rFonts w:ascii="Arial" w:cs="Arial" w:eastAsia="Arial" w:hAnsi="Arial"/>
          <w:sz w:val="18"/>
          <w:szCs w:val="18"/>
          <w:color w:val="auto"/>
        </w:rPr>
        <w:t>During the three months ended September 30, 2019, our net cash used in operating activities was $3.5 million as compared to net cash provided by operating activities of $2.4 million during the three months ended September 30, 2018.</w:t>
      </w:r>
    </w:p>
    <w:p>
      <w:pPr>
        <w:spacing w:after="0" w:line="103"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During the three months ended September 30, 2019, our net cash used in investing activities was $0.8 million, as a result of the purchase of fixed assets. During the three months ended September 30, 2018, our net cash used in investing activities was $1.5 million, as a result of the investment in convertible notes receivable and the purchase of fixed assets.</w:t>
      </w:r>
    </w:p>
    <w:p>
      <w:pPr>
        <w:spacing w:after="0" w:line="100" w:lineRule="exact"/>
        <w:rPr>
          <w:sz w:val="20"/>
          <w:szCs w:val="20"/>
          <w:color w:val="auto"/>
        </w:rPr>
      </w:pPr>
    </w:p>
    <w:p>
      <w:pPr>
        <w:ind w:right="80" w:firstLine="446"/>
        <w:spacing w:after="0" w:line="302" w:lineRule="auto"/>
        <w:rPr>
          <w:sz w:val="20"/>
          <w:szCs w:val="20"/>
          <w:color w:val="auto"/>
        </w:rPr>
      </w:pPr>
      <w:r>
        <w:rPr>
          <w:rFonts w:ascii="Arial" w:cs="Arial" w:eastAsia="Arial" w:hAnsi="Arial"/>
          <w:sz w:val="16"/>
          <w:szCs w:val="16"/>
          <w:color w:val="auto"/>
        </w:rPr>
        <w:t>Cash used in financing activities during the three months ended September 30, 2019 was $1.6 million as a result of our repurchase of common stock, the quarterly principal payment on the 2016 Term Loan, and shares purchased as payment of tax withholding, partially offset by proceeds from stock issued under our employee stock purchase plan and stock option exercises. Cash used in financing activities during the three months ended September 30, 2018 was $0.3 million as a result of our quarterly principal payments on the 2016 Term Loan, partially offset by proceeds from stock option exercises.</w:t>
      </w:r>
    </w:p>
    <w:p>
      <w:pPr>
        <w:spacing w:after="0" w:line="87" w:lineRule="exact"/>
        <w:rPr>
          <w:sz w:val="20"/>
          <w:szCs w:val="20"/>
          <w:color w:val="auto"/>
        </w:rPr>
      </w:pPr>
    </w:p>
    <w:p>
      <w:pPr>
        <w:ind w:right="680" w:firstLine="446"/>
        <w:spacing w:after="0" w:line="277" w:lineRule="auto"/>
        <w:rPr>
          <w:sz w:val="20"/>
          <w:szCs w:val="20"/>
          <w:color w:val="auto"/>
        </w:rPr>
      </w:pPr>
      <w:r>
        <w:rPr>
          <w:rFonts w:ascii="Arial" w:cs="Arial" w:eastAsia="Arial" w:hAnsi="Arial"/>
          <w:sz w:val="18"/>
          <w:szCs w:val="18"/>
          <w:color w:val="auto"/>
        </w:rPr>
        <w:t>At September 30, 2019 and June 30, 2019, the total amount of our foreign subsidiary cash was $5.7 million and $6.3 million, respectively. The December 2017 tax reform enacted a 100% dividend deduction for &gt; 10% owned foreign</w:t>
      </w:r>
    </w:p>
    <w:p>
      <w:pPr>
        <w:sectPr>
          <w:pgSz w:w="11900" w:h="16838" w:orient="portrait"/>
          <w:cols w:equalWidth="0" w:num="1">
            <w:col w:w="11420"/>
          </w:cols>
          <w:pgMar w:left="240" w:top="10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7"/>
          <w:szCs w:val="17"/>
          <w:color w:val="auto"/>
        </w:rPr>
        <w:t>corporations. Therefore, in the future, if needed, we expect to be able to repatriate cash from foreign subsidiaries without paying additional U.S. taxes.</w:t>
      </w:r>
    </w:p>
    <w:p>
      <w:pPr>
        <w:spacing w:after="0" w:line="156" w:lineRule="exact"/>
        <w:rPr>
          <w:sz w:val="20"/>
          <w:szCs w:val="20"/>
          <w:color w:val="auto"/>
        </w:rPr>
      </w:pPr>
    </w:p>
    <w:p>
      <w:pPr>
        <w:ind w:right="60" w:firstLine="446"/>
        <w:spacing w:after="0" w:line="290" w:lineRule="auto"/>
        <w:rPr>
          <w:sz w:val="20"/>
          <w:szCs w:val="20"/>
          <w:color w:val="auto"/>
        </w:rPr>
      </w:pPr>
      <w:r>
        <w:rPr>
          <w:rFonts w:ascii="Arial" w:cs="Arial" w:eastAsia="Arial" w:hAnsi="Arial"/>
          <w:sz w:val="16"/>
          <w:szCs w:val="16"/>
          <w:color w:val="auto"/>
        </w:rPr>
        <w:t>At September 30, 2019, we had working capital (current assets minus current liabilities) of $17.1 million, compared to working capital of $17.0 million at June 30, 2019.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credit facility, however, contains covenants that restrict our ability to raise additional funds in the debt markets and repurchase our equity securities without prior approval from the lender. Additionally, our credit facility provides for a revolving loan facility in an aggregate principal amount up to $5.0 million, as amended. We would also consider realigning our strategic plans including a reduction in capital spending and expenses.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Resources</w:t>
      </w:r>
    </w:p>
    <w:p>
      <w:pPr>
        <w:spacing w:after="0" w:line="158"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On March 30, 2016, we entered into a Loan Agreement (the “2016 Loan Agreement”) to refinance our outstanding debt. In connection with the 2016 Loan Agreement and on the same date, we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w:t>
      </w:r>
    </w:p>
    <w:p>
      <w:pPr>
        <w:spacing w:after="0" w:line="107"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The principal amount of the 2016 Term Loan is payable in consecutive quarterly installments in the amount of $0.5 million plus accrued interest beginning with the fiscal quarter ended June 30, 2016. If we borrow under the 2016 Revolving Loan, interest will be payable quarterly in arrears on the last day of each fiscal quarter.</w:t>
      </w:r>
    </w:p>
    <w:p>
      <w:pPr>
        <w:spacing w:after="0" w:line="114"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On May 4, 2018, we entered into a loan modification agreement, which amended the 2016 Credit Facility (“Amendment No. 1”). Amendment No. 1 revised the maturity date from March 30, 2019 to March 31, 2021 (the “Maturity Date”) and increased the fixed interest rate for the term loan 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122" w:lineRule="exact"/>
        <w:rPr>
          <w:sz w:val="20"/>
          <w:szCs w:val="20"/>
          <w:color w:val="auto"/>
        </w:rPr>
      </w:pPr>
    </w:p>
    <w:p>
      <w:pPr>
        <w:ind w:right="80" w:firstLine="446"/>
        <w:spacing w:after="0" w:line="257" w:lineRule="auto"/>
        <w:rPr>
          <w:sz w:val="20"/>
          <w:szCs w:val="20"/>
          <w:color w:val="auto"/>
        </w:rPr>
      </w:pPr>
      <w:r>
        <w:rPr>
          <w:rFonts w:ascii="Arial" w:cs="Arial" w:eastAsia="Arial" w:hAnsi="Arial"/>
          <w:sz w:val="18"/>
          <w:szCs w:val="18"/>
          <w:color w:val="auto"/>
        </w:rPr>
        <w:t>On February 1, 2019, we entered into a loan modification agreement, which amended the 2016 Credit Facility ("Amendment No. 2"). Under Amendment No. 2, we made a principal payment of $2.0 million and increased the revolving loan facility from $2.0 million to $5.0 million. Amendment No. 2 also revised certain financial covenants. The minimum fixed charge coverage ratio (as defined in Amendment No. 2) was revised from a minimum of 1.25 to 1.00 to 1.10 to 1.00, measured on a trailing twelve-month basis, at the end of each fiscal quarter. The minimum working capital was decreased from $8.0 million to $6.0 million.</w:t>
      </w:r>
    </w:p>
    <w:p>
      <w:pPr>
        <w:spacing w:after="0" w:line="107" w:lineRule="exact"/>
        <w:rPr>
          <w:sz w:val="20"/>
          <w:szCs w:val="20"/>
          <w:color w:val="auto"/>
        </w:rPr>
      </w:pPr>
    </w:p>
    <w:p>
      <w:pPr>
        <w:ind w:right="20" w:firstLine="446"/>
        <w:spacing w:after="0" w:line="276" w:lineRule="auto"/>
        <w:rPr>
          <w:sz w:val="20"/>
          <w:szCs w:val="20"/>
          <w:color w:val="auto"/>
        </w:rPr>
      </w:pPr>
      <w:r>
        <w:rPr>
          <w:rFonts w:ascii="Arial" w:cs="Arial" w:eastAsia="Arial" w:hAnsi="Arial"/>
          <w:sz w:val="17"/>
          <w:szCs w:val="17"/>
          <w:color w:val="auto"/>
        </w:rPr>
        <w:t>The 2016 Credit Facility, as amended, contains customary covenants, including affirmative and negative covenants that, among other things, restrict our ability to create certain types of liens, incur additional indebtedness, declare or pay dividends on or redeem capital stock, make other payments to holders of our equity interests, make certain investments, purchase or otherwise acquire all or substantially all the assets or equity interests of other companies, sell assets or enter into consolidations, mergers or transfers of all or any substantial part of our assets. As of September 30, 2019, we were in compliance with all applicable non-financial and restrictive covenants under the 2016 Credit Facility, as amended.</w:t>
      </w:r>
    </w:p>
    <w:p>
      <w:pPr>
        <w:spacing w:after="0" w:line="105"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The 2016 Credit Facility, as amended, also contains various financial covenants that require us to maintain certain consolidated working capital amounts, total liabilities to tangible net worth ratios and fixed charge coverage ratios. Specifically, we must:</w:t>
      </w:r>
    </w:p>
    <w:p>
      <w:pPr>
        <w:spacing w:after="0" w:line="103" w:lineRule="exact"/>
        <w:rPr>
          <w:sz w:val="20"/>
          <w:szCs w:val="20"/>
          <w:color w:val="auto"/>
        </w:rPr>
      </w:pPr>
    </w:p>
    <w:p>
      <w:pPr>
        <w:ind w:left="660" w:right="340" w:hanging="247"/>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a minimum fixed charge coverage ratio (as defined in the 2016 Loan Agreement, as amended) of at least 1.10 to 1.00 at the end of each fiscal quarter, measured on a trailing twelve month basis;</w:t>
      </w:r>
    </w:p>
    <w:p>
      <w:pPr>
        <w:spacing w:after="0" w:line="89" w:lineRule="exact"/>
        <w:rPr>
          <w:rFonts w:ascii="Arial" w:cs="Arial" w:eastAsia="Arial" w:hAnsi="Arial"/>
          <w:sz w:val="18"/>
          <w:szCs w:val="18"/>
          <w:color w:val="auto"/>
        </w:rPr>
      </w:pPr>
    </w:p>
    <w:p>
      <w:pPr>
        <w:ind w:left="660" w:right="260" w:hanging="247"/>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minimum consolidated working capital (as defined in the 2016 Loan Agreement, as amended) at the end of each fiscal quarter of at least $6.0 million; and</w:t>
      </w:r>
    </w:p>
    <w:p>
      <w:pPr>
        <w:spacing w:after="0" w:line="102" w:lineRule="exact"/>
        <w:rPr>
          <w:rFonts w:ascii="Arial" w:cs="Arial" w:eastAsia="Arial" w:hAnsi="Arial"/>
          <w:sz w:val="18"/>
          <w:szCs w:val="18"/>
          <w:color w:val="auto"/>
        </w:rPr>
      </w:pPr>
    </w:p>
    <w:p>
      <w:pPr>
        <w:ind w:left="660" w:right="140" w:hanging="247"/>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a ratio of total liabilities to tangible net worth (as defined in the 2016 Loan Agreement, as amended) of not greater than 3.00 to 1.00 at the end of each quarter, measured on a trailing twelve month basis.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3" w:right="239" w:bottom="1440" w:gutter="0" w:footer="0" w:header="0"/>
        </w:sectPr>
      </w:pPr>
    </w:p>
    <w:bookmarkStart w:id="23" w:name="page24"/>
    <w:bookmarkEnd w:id="23"/>
    <w:p>
      <w:pPr>
        <w:ind w:right="360" w:firstLine="405"/>
        <w:spacing w:after="0" w:line="342" w:lineRule="auto"/>
        <w:rPr>
          <w:sz w:val="20"/>
          <w:szCs w:val="20"/>
          <w:color w:val="auto"/>
        </w:rPr>
      </w:pPr>
      <w:r>
        <w:rPr>
          <w:rFonts w:ascii="Arial" w:cs="Arial" w:eastAsia="Arial" w:hAnsi="Arial"/>
          <w:sz w:val="16"/>
          <w:szCs w:val="16"/>
          <w:color w:val="auto"/>
        </w:rPr>
        <w:t>As of September 30, 2019, we were in compliance with all applicable financial covenants under the 2016 Credit Facility, as amended. Additionally, management anticipates that in the normal course of operations we will be in compliance with the financial covenants during the ensuing year.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 and Obligations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payment obligations and commitments as of September 30, 2019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Less than</w:t>
            </w:r>
          </w:p>
        </w:tc>
        <w:tc>
          <w:tcPr>
            <w:tcW w:w="220" w:type="dxa"/>
            <w:vAlign w:val="bottom"/>
          </w:tcPr>
          <w:p>
            <w:pPr>
              <w:spacing w:after="0"/>
              <w:rPr>
                <w:sz w:val="13"/>
                <w:szCs w:val="13"/>
                <w:color w:val="auto"/>
              </w:rPr>
            </w:pPr>
          </w:p>
        </w:tc>
        <w:tc>
          <w:tcPr>
            <w:tcW w:w="10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 obligations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Interest on long-term debt obligations</w:t>
            </w:r>
          </w:p>
        </w:tc>
        <w:tc>
          <w:tcPr>
            <w:tcW w:w="28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3,292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2,642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 xml:space="preserve">Other operating obligations </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19,517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9,506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9,340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9"/>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23,831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13,170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9,990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right="560" w:hanging="328"/>
        <w:spacing w:after="0" w:line="277" w:lineRule="auto"/>
        <w:tabs>
          <w:tab w:leader="none" w:pos="591"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operating obligations represent non-cancelable contractual obligations primarily related to marketing and sponsorship commitments and purchases of inventory.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2019, we did not have any off-balance sheet arrangements.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62" w:lineRule="exact"/>
        <w:rPr>
          <w:sz w:val="20"/>
          <w:szCs w:val="20"/>
          <w:color w:val="auto"/>
        </w:rPr>
      </w:pPr>
    </w:p>
    <w:p>
      <w:pPr>
        <w:ind w:firstLine="446"/>
        <w:spacing w:after="0" w:line="290" w:lineRule="auto"/>
        <w:rPr>
          <w:sz w:val="20"/>
          <w:szCs w:val="20"/>
          <w:color w:val="auto"/>
        </w:rPr>
      </w:pPr>
      <w:r>
        <w:rPr>
          <w:rFonts w:ascii="Arial" w:cs="Arial" w:eastAsia="Arial" w:hAnsi="Arial"/>
          <w:sz w:val="16"/>
          <w:szCs w:val="16"/>
          <w:color w:val="auto"/>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 and expenses during the periods presented. Actual results could differ from these estimates. Our significant accounting policies are described in Note 2 to our unaudited condensed consolidated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99" w:lineRule="exact"/>
        <w:rPr>
          <w:sz w:val="20"/>
          <w:szCs w:val="20"/>
          <w:color w:val="auto"/>
        </w:rPr>
      </w:pPr>
    </w:p>
    <w:p>
      <w:pPr>
        <w:ind w:right="40" w:firstLine="446"/>
        <w:spacing w:after="0" w:line="286" w:lineRule="auto"/>
        <w:rPr>
          <w:sz w:val="20"/>
          <w:szCs w:val="20"/>
          <w:color w:val="auto"/>
        </w:rPr>
      </w:pPr>
      <w:r>
        <w:rPr>
          <w:rFonts w:ascii="Arial" w:cs="Arial" w:eastAsia="Arial" w:hAnsi="Arial"/>
          <w:sz w:val="17"/>
          <w:szCs w:val="17"/>
          <w:color w:val="auto"/>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the audit committee has reviewed the disclosures noted below.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Allowances for Product Returns</w:t>
      </w:r>
    </w:p>
    <w:p>
      <w:pPr>
        <w:spacing w:after="0" w:line="158" w:lineRule="exact"/>
        <w:rPr>
          <w:sz w:val="20"/>
          <w:szCs w:val="20"/>
          <w:color w:val="auto"/>
        </w:rPr>
      </w:pPr>
    </w:p>
    <w:p>
      <w:pPr>
        <w:ind w:right="100" w:firstLine="446"/>
        <w:spacing w:after="0" w:line="279" w:lineRule="auto"/>
        <w:rPr>
          <w:sz w:val="20"/>
          <w:szCs w:val="20"/>
          <w:color w:val="auto"/>
        </w:rPr>
      </w:pPr>
      <w:r>
        <w:rPr>
          <w:rFonts w:ascii="Arial" w:cs="Arial" w:eastAsia="Arial" w:hAnsi="Arial"/>
          <w:sz w:val="17"/>
          <w:szCs w:val="17"/>
          <w:color w:val="auto"/>
        </w:rPr>
        <w:t>We record allowances for product returns at the time we ship the product based on estimated return rates. Subject to some exceptions based on local regulations, customers may return unopened product to us within 30 days of purchase for a refund of the purchase price less shipping and handling. As of September 30, 2019, our shipments of products sold totaling approximately $18.5 million were subject to the return policy. In addition, we allow terminating independent distributors to return up to 30% of unopened, unexpired product they purchased within the prior twelve months.</w:t>
      </w:r>
    </w:p>
    <w:p>
      <w:pPr>
        <w:spacing w:after="0" w:line="104"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We monitor our product returns estimate on an ongoing basis and revise the allowances to reflect our experience. Our allowance for product returns was $0.3 million at September 30, 2019, compared with $0.4 million at June 30, 2019. To date, product expiration dates have not played any role in product returns, and we do not expect that they will in the future as it is unlikely that we will ship product with an expiration date earlier than the latest allowable product return date.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w:t>
      </w:r>
    </w:p>
    <w:p>
      <w:pPr>
        <w:spacing w:after="0" w:line="158"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We value our inventory at the lower of cost or net realizable value on a first-in first-out basis. Accordingly, we reduce our inventories for the diminution of value resulting from product obsolescence, damage or other issues affecting marketability equal to the difference between the cost of the inventory and its net realizable value. Factors utilized in the determination of net realizable value include: (i) current sales data and historical return rates, (ii) estimates of future demand, (iii) competitive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pricing pressures, (iv) new production introductions, (v) product expiration dates, and (vi) component and packaging obsolescence.</w:t>
      </w:r>
    </w:p>
    <w:p>
      <w:pPr>
        <w:spacing w:after="0" w:line="144"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During the three months ended September 30, 2019 and 2018, we recognized expenses of $0.1 million and $0.3 million, respectively, related to obsolete and slow-moving inventory.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58" w:lineRule="exact"/>
        <w:rPr>
          <w:sz w:val="20"/>
          <w:szCs w:val="20"/>
          <w:color w:val="auto"/>
        </w:rPr>
      </w:pPr>
    </w:p>
    <w:p>
      <w:pPr>
        <w:ind w:right="80" w:firstLine="446"/>
        <w:spacing w:after="0" w:line="264" w:lineRule="auto"/>
        <w:rPr>
          <w:sz w:val="20"/>
          <w:szCs w:val="20"/>
          <w:color w:val="auto"/>
        </w:rPr>
      </w:pPr>
      <w:r>
        <w:rPr>
          <w:rFonts w:ascii="Arial" w:cs="Arial" w:eastAsia="Arial" w:hAnsi="Arial"/>
          <w:sz w:val="18"/>
          <w:szCs w:val="18"/>
          <w:color w:val="auto"/>
        </w:rPr>
        <w:t>Revenue is recognized when control of the promised goods or services are transferred to the customer, in an amount that reflects the consideration we expect to be entitled to in exchange for those goods or services. Sales, value add, and other taxes that we collect concurrent with revenue-producing activities are excluded from revenue.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158" w:lineRule="exact"/>
        <w:rPr>
          <w:sz w:val="20"/>
          <w:szCs w:val="20"/>
          <w:color w:val="auto"/>
        </w:rPr>
      </w:pPr>
    </w:p>
    <w:p>
      <w:pPr>
        <w:ind w:right="160" w:firstLine="446"/>
        <w:spacing w:after="0" w:line="257" w:lineRule="auto"/>
        <w:rPr>
          <w:sz w:val="20"/>
          <w:szCs w:val="20"/>
          <w:color w:val="auto"/>
        </w:rPr>
      </w:pPr>
      <w:r>
        <w:rPr>
          <w:rFonts w:ascii="Arial" w:cs="Arial" w:eastAsia="Arial" w:hAnsi="Arial"/>
          <w:sz w:val="18"/>
          <w:szCs w:val="18"/>
          <w:color w:val="auto"/>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the employees, regardless of when, if ever, the market-based performance conditions are satisfied.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Costs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expense all of our payments related to research and development activities as incurred.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Accruals</w:t>
      </w:r>
    </w:p>
    <w:p>
      <w:pPr>
        <w:spacing w:after="0" w:line="158"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We are occasionally involved in lawsuits and disputes arising in the normal course of business. Management regularly reviews all pending litigation matters in which we are involved and establishes accruals as we deem appropriate for these litigation matters when a probable loss estimate can be made. Estimated accruals require management judgment about future events. The results of lawsuits are inherently unpredictable and unfavorable resolutions could occur. As such, the amount of loss may differ from management estimates.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2 to our unaudited condensed consolidated financial statements for a discussion of recently issued accounting standards.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conduct business in several countries and intend to continue to grow our international operations. Net revenue, operating income and net income are affected by fluctuations in currency exchange rates and other uncertainties in doing business and selling products in more than one currency. In addition, our operations are exposed to risks associated with changes in social, political and economic conditions inherent in international operations, including changes in the laws and policies that govern international investment in countries where we have operations, as well as, to a lesser extent, changes in U.S. laws and regulations relating to international trade and investment.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62"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During the three months ended September 30, 2019, approximately 34% of our net revenue was realized outside of the United States. The local currency of each international subsidiary is generally the functional currency. All revenue and expenses are translated at weighted-average exchange rates for the periods reported. Therefore, our reported revenue and earnings will be positively impacted by a weakening of the U.S. dollar and will be negatively impacted by a strengthening of the U.S. dollar. Currency fluctuations, however, have the opposite effect on our expenses incurred outside the United States. Given the large portion of our business derived from Japan, any weakening of the Japanese yen will negatively impact our reported revenue and profits, whereas a strengthening of the Japanese yen will positively impact our reported revenue and profits. Because of the uncertainty of exchange rate fluctuations, it is difficult to predict the effect of these fluctuations on our future business, product pricing and results of operations or financial condition. Changes in various currency exchange rates affect the relative prices at which we sell our products. We regularly monitor our foreign currency risks and periodically take measures to reduce the risk of foreign exchange rate fluctuations on our operating results. Additionally, we may seek to reduce our exposure to fluctuations in foreign currency exchange rates through the use of foreign currency exchange contracts. We do not use derivative financial instruments for trading or speculative purposes. At September 30, 2019, we did not have any derivative instruments. A 10% strengthening of the U.S. dollar compared to all of the foreign currencies in which we transact business would have resulted in a 3.0% decrease of our three months ended September 30, 2019 revenue, in the amount of $1.7 million.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6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maintain disclosure controls and procedures (as defined in Rules 13a-15(e) and 15d-15(e) of the Exchange Act of 1934, as amended) that are designed to ensure that the information required to be disclosed in the reports we file or submit under the Exchange Act of 1934, as amended,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of the end of the period covered by this quarterly report on Form 10-Q,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Act of 1934, as amended. Based on that evaluation, our Chief Executive Officer and Chief Financial Officer concluded that our disclosure controls and procedures were designed and operating effectively as of September 30, 2019.</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There were no changes in our internal controls over financial reporting during the quarter ended September 30, 2019 that have materially affected or are reasonably likely to materially affect our internal controls over financial reporting.</w:t>
      </w:r>
    </w:p>
    <w:p>
      <w:pPr>
        <w:spacing w:after="0" w:line="103"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An evaluation required by paragraph (d) of Rules 13a-15 and 15d-15 of the Exchange Act of 1934, as amended, was also performed under the supervision and with the participation of our management, including our Chief Executive Officer and Chief Financial Officer, of any change in our internal control over financial reporting that occurred during our last fiscal quarter. That evaluation did not identify any changes in our internal control over financial reporting during the three months ended September 30, 2019 that have materially affected, or are reasonably likely to materially affect, our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of Internal Control Over Financial Reporting</w:t>
      </w:r>
    </w:p>
    <w:p>
      <w:pPr>
        <w:spacing w:after="0" w:line="14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See Note 7 to our unaudited condensed consolidated financial statements contained within this quarterly report on Form 10-Q for a discussion of our legal proceedings.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 factors discussed in “Part I. Item 1A — Risk Factors” in our annual report on Form 10-K for the fiscal year ended June 30, 2019, filed on August 14, 2019. The risks and uncertainties described in such risk factors and elsewhere in this report have the potential to materially affect our business, financial condition, results of operations, cash flows, projected results and future prospects. We do not believe that there have been any material changes to the risk factors previously disclosed in our recent SEC filings, including our most recently filed Form 10-K, as referenced above.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2" w:lineRule="exact"/>
        <w:rPr>
          <w:sz w:val="20"/>
          <w:szCs w:val="20"/>
          <w:color w:val="auto"/>
        </w:rPr>
      </w:pPr>
    </w:p>
    <w:p>
      <w:pPr>
        <w:ind w:right="60" w:firstLine="446"/>
        <w:spacing w:after="0" w:line="253" w:lineRule="auto"/>
        <w:rPr>
          <w:sz w:val="20"/>
          <w:szCs w:val="20"/>
          <w:color w:val="auto"/>
        </w:rPr>
      </w:pPr>
      <w:r>
        <w:rPr>
          <w:rFonts w:ascii="Arial" w:cs="Arial" w:eastAsia="Arial" w:hAnsi="Arial"/>
          <w:sz w:val="18"/>
          <w:szCs w:val="18"/>
          <w:color w:val="auto"/>
        </w:rPr>
        <w:t>On November 27, 2017, our Board of Directors approved a stock repurchase plan. Under the plan, which became effective on November 27, 2017, we were authorized to repurchase up to $5.0 million of our outstanding shares through November 27, 2020. On February 1, 2019, our Board of Directors approved an amendment to the share repurchase program to increase the authorized share repurchase amount to $15.0 million. The repurchase program permits us to purchase shares from time to time through a variety of methods, including in the open market, through privately negotiated transactions or other means as determined by our management, in accordance with applicable securities laws. As part of the repurchase program, the Company has entered into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 and timing conditions. The authorization may be suspended or discontinued at any time and expires on November 27, 2020. During the three months ended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26" w:name="page27"/>
    <w:bookmarkEnd w:id="26"/>
    <w:p>
      <w:pPr>
        <w:ind w:right="280"/>
        <w:spacing w:after="0" w:line="277" w:lineRule="auto"/>
        <w:rPr>
          <w:sz w:val="20"/>
          <w:szCs w:val="20"/>
          <w:color w:val="auto"/>
        </w:rPr>
      </w:pPr>
      <w:r>
        <w:rPr>
          <w:rFonts w:ascii="Arial" w:cs="Arial" w:eastAsia="Arial" w:hAnsi="Arial"/>
          <w:sz w:val="18"/>
          <w:szCs w:val="18"/>
          <w:color w:val="auto"/>
        </w:rPr>
        <w:t>September 30, 2019, we repurchased 0.1 million shares of our common stock on the open market at an aggregate purchase price of $1.4 million under this repurchase program.</w:t>
      </w:r>
    </w:p>
    <w:p>
      <w:pPr>
        <w:spacing w:after="0" w:line="89" w:lineRule="exact"/>
        <w:rPr>
          <w:sz w:val="20"/>
          <w:szCs w:val="20"/>
          <w:color w:val="auto"/>
        </w:rPr>
      </w:pPr>
    </w:p>
    <w:p>
      <w:pPr>
        <w:ind w:right="140" w:firstLine="446"/>
        <w:spacing w:after="0" w:line="277" w:lineRule="auto"/>
        <w:rPr>
          <w:sz w:val="20"/>
          <w:szCs w:val="20"/>
          <w:color w:val="auto"/>
        </w:rPr>
      </w:pPr>
      <w:r>
        <w:rPr>
          <w:rFonts w:ascii="Arial" w:cs="Arial" w:eastAsia="Arial" w:hAnsi="Arial"/>
          <w:sz w:val="18"/>
          <w:szCs w:val="18"/>
          <w:color w:val="auto"/>
        </w:rPr>
        <w:t>The following table provides information with respect to all purchases made by the Company during the three months ended September 30, 2019. All purchases listed below were made in the open market at prevailing market prices.</w:t>
      </w:r>
    </w:p>
    <w:p>
      <w:pPr>
        <w:spacing w:after="0" w:line="15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120" w:type="dxa"/>
            <w:vAlign w:val="bottom"/>
          </w:tcPr>
          <w:p>
            <w:pPr>
              <w:spacing w:after="0"/>
              <w:rPr>
                <w:sz w:val="18"/>
                <w:szCs w:val="18"/>
                <w:color w:val="auto"/>
              </w:rPr>
            </w:pPr>
          </w:p>
        </w:tc>
        <w:tc>
          <w:tcPr>
            <w:tcW w:w="206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Maximum Dollar Value of</w:t>
            </w: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as Part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Shares that May Yet Be</w:t>
            </w: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Total Number of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 Price Paid Per</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8"/>
              </w:rPr>
              <w:t>Publicly Announced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Purchased Under the</w:t>
            </w:r>
          </w:p>
        </w:tc>
      </w:tr>
      <w:tr>
        <w:trPr>
          <w:trHeight w:val="234"/>
        </w:trPr>
        <w:tc>
          <w:tcPr>
            <w:tcW w:w="2800" w:type="dxa"/>
            <w:vAlign w:val="bottom"/>
            <w:gridSpan w:val="2"/>
          </w:tcPr>
          <w:p>
            <w:pPr>
              <w:ind w:left="1080"/>
              <w:spacing w:after="0"/>
              <w:rPr>
                <w:sz w:val="20"/>
                <w:szCs w:val="20"/>
                <w:color w:val="auto"/>
              </w:rPr>
            </w:pPr>
            <w:r>
              <w:rPr>
                <w:rFonts w:ascii="Arial" w:cs="Arial" w:eastAsia="Arial" w:hAnsi="Arial"/>
                <w:sz w:val="18"/>
                <w:szCs w:val="18"/>
                <w:b w:val="1"/>
                <w:bCs w:val="1"/>
                <w:color w:val="auto"/>
              </w:rPr>
              <w:t>Period</w:t>
            </w:r>
          </w:p>
        </w:tc>
        <w:tc>
          <w:tcPr>
            <w:tcW w:w="2040" w:type="dxa"/>
            <w:vAlign w:val="bottom"/>
          </w:tcPr>
          <w:p>
            <w:pPr>
              <w:jc w:val="right"/>
              <w:ind w:right="530"/>
              <w:spacing w:after="0"/>
              <w:rPr>
                <w:sz w:val="20"/>
                <w:szCs w:val="20"/>
                <w:color w:val="auto"/>
              </w:rPr>
            </w:pPr>
            <w:r>
              <w:rPr>
                <w:rFonts w:ascii="Arial" w:cs="Arial" w:eastAsia="Arial" w:hAnsi="Arial"/>
                <w:sz w:val="18"/>
                <w:szCs w:val="18"/>
                <w:b w:val="1"/>
                <w:bCs w:val="1"/>
                <w:color w:val="auto"/>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Plans or Programs</w:t>
            </w:r>
          </w:p>
        </w:tc>
      </w:tr>
      <w:tr>
        <w:trPr>
          <w:trHeight w:val="27"/>
        </w:trPr>
        <w:tc>
          <w:tcPr>
            <w:tcW w:w="2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July 1 - July 31</w:t>
            </w:r>
          </w:p>
        </w:tc>
        <w:tc>
          <w:tcPr>
            <w:tcW w:w="2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August 1 - August 31</w:t>
            </w:r>
          </w:p>
        </w:tc>
        <w:tc>
          <w:tcPr>
            <w:tcW w:w="2040" w:type="dxa"/>
            <w:vAlign w:val="bottom"/>
          </w:tcPr>
          <w:p>
            <w:pPr>
              <w:jc w:val="right"/>
              <w:ind w:right="70"/>
              <w:spacing w:after="0"/>
              <w:rPr>
                <w:sz w:val="20"/>
                <w:szCs w:val="20"/>
                <w:color w:val="auto"/>
              </w:rPr>
            </w:pPr>
            <w:r>
              <w:rPr>
                <w:rFonts w:ascii="Arial" w:cs="Arial" w:eastAsia="Arial" w:hAnsi="Arial"/>
                <w:sz w:val="18"/>
                <w:szCs w:val="18"/>
                <w:color w:val="auto"/>
              </w:rPr>
              <w:t>39,339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21"/>
                <w:szCs w:val="21"/>
                <w:color w:val="auto"/>
              </w:rPr>
            </w:pPr>
          </w:p>
        </w:tc>
        <w:tc>
          <w:tcPr>
            <w:tcW w:w="2040" w:type="dxa"/>
            <w:vAlign w:val="bottom"/>
          </w:tcPr>
          <w:p>
            <w:pPr>
              <w:jc w:val="right"/>
              <w:ind w:right="70"/>
              <w:spacing w:after="0"/>
              <w:rPr>
                <w:sz w:val="20"/>
                <w:szCs w:val="20"/>
                <w:color w:val="auto"/>
              </w:rPr>
            </w:pPr>
            <w:r>
              <w:rPr>
                <w:rFonts w:ascii="Arial" w:cs="Arial" w:eastAsia="Arial" w:hAnsi="Arial"/>
                <w:sz w:val="18"/>
                <w:szCs w:val="18"/>
                <w:color w:val="auto"/>
              </w:rPr>
              <w:t>39,339</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8,380,137</w:t>
            </w: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1 - September 30</w:t>
            </w:r>
          </w:p>
        </w:tc>
        <w:tc>
          <w:tcPr>
            <w:tcW w:w="2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71,726</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12.94</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71,726</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7,452,228</w:t>
            </w:r>
          </w:p>
        </w:tc>
      </w:tr>
      <w:tr>
        <w:trPr>
          <w:trHeight w:val="264"/>
        </w:trPr>
        <w:tc>
          <w:tcPr>
            <w:tcW w:w="28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2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111,065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111,065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1"/>
        </w:trPr>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6. Exhibits</w:t>
      </w:r>
    </w:p>
    <w:p>
      <w:pPr>
        <w:spacing w:after="0" w:line="194" w:lineRule="exact"/>
        <w:rPr>
          <w:sz w:val="20"/>
          <w:szCs w:val="20"/>
          <w:color w:val="auto"/>
        </w:rPr>
      </w:pPr>
    </w:p>
    <w:p>
      <w:pPr>
        <w:ind w:left="440"/>
        <w:spacing w:after="0"/>
        <w:tabs>
          <w:tab w:leader="none" w:pos="32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Document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23495</wp:posOffset>
            </wp:positionV>
            <wp:extent cx="3944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944620" cy="8890"/>
                    </a:xfrm>
                    <a:prstGeom prst="rect">
                      <a:avLst/>
                    </a:prstGeom>
                    <a:noFill/>
                  </pic:spPr>
                </pic:pic>
              </a:graphicData>
            </a:graphic>
          </wp:anchor>
        </w:drawing>
      </w:r>
    </w:p>
    <w:p>
      <w:pPr>
        <w:spacing w:after="0" w:line="125" w:lineRule="exact"/>
        <w:rPr>
          <w:sz w:val="20"/>
          <w:szCs w:val="20"/>
          <w:color w:val="auto"/>
        </w:rPr>
      </w:pPr>
    </w:p>
    <w:p>
      <w:pPr>
        <w:ind w:left="1400" w:hanging="791"/>
        <w:spacing w:after="0" w:line="235"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38">
        <w:r>
          <w:rPr>
            <w:rFonts w:ascii="Arial" w:cs="Arial" w:eastAsia="Arial" w:hAnsi="Arial"/>
            <w:sz w:val="18"/>
            <w:szCs w:val="18"/>
            <w:u w:val="single" w:color="auto"/>
            <w:color w:val="0000FF"/>
          </w:rPr>
          <w:t>Certificate of Incorporation, as filed with the Delaware Secretary of</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State on March 9, 2018</w:t>
        </w:r>
      </w:hyperlink>
    </w:p>
    <w:p>
      <w:pPr>
        <w:spacing w:after="0" w:line="189" w:lineRule="exact"/>
        <w:rPr>
          <w:sz w:val="20"/>
          <w:szCs w:val="20"/>
          <w:color w:val="auto"/>
        </w:rPr>
      </w:pPr>
    </w:p>
    <w:p>
      <w:pPr>
        <w:ind w:left="660"/>
        <w:spacing w:after="0"/>
        <w:tabs>
          <w:tab w:leader="none" w:pos="138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39">
        <w:r>
          <w:rPr>
            <w:rFonts w:ascii="Arial" w:cs="Arial" w:eastAsia="Arial" w:hAnsi="Arial"/>
            <w:sz w:val="16"/>
            <w:szCs w:val="16"/>
            <w:u w:val="single" w:color="auto"/>
            <w:color w:val="0000FF"/>
          </w:rPr>
          <w:t>Amended and Restated Bylaws, August 9, 2019</w:t>
        </w:r>
      </w:hyperlink>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Filed Herewith or Incorporate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23495</wp:posOffset>
            </wp:positionV>
            <wp:extent cx="28644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3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Exhibit 3.1 to the Current Report on Form 8-K filed on March 13, 2018.</w:t>
      </w:r>
    </w:p>
    <w:p>
      <w:pPr>
        <w:spacing w:after="0" w:line="11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Exhibit 3.1 to the Current Report on Form 8-K filed on August 15, 2019</w:t>
      </w:r>
    </w:p>
    <w:p>
      <w:pPr>
        <w:spacing w:after="0" w:line="103" w:lineRule="exact"/>
        <w:rPr>
          <w:sz w:val="20"/>
          <w:szCs w:val="20"/>
          <w:color w:val="auto"/>
        </w:rPr>
      </w:pPr>
    </w:p>
    <w:p>
      <w:pPr>
        <w:sectPr>
          <w:pgSz w:w="11900" w:h="16838" w:orient="portrait"/>
          <w:cols w:equalWidth="0" w:num="2">
            <w:col w:w="6280" w:space="360"/>
            <w:col w:w="4580"/>
          </w:cols>
          <w:pgMar w:left="240" w:top="1040" w:right="439" w:bottom="1440" w:gutter="0" w:footer="0" w:header="0"/>
        </w:sectPr>
      </w:pPr>
    </w:p>
    <w:p>
      <w:pPr>
        <w:spacing w:after="0" w:line="1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31.1</w:t>
      </w:r>
    </w:p>
    <w:p>
      <w:pPr>
        <w:spacing w:after="0" w:line="30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31.2</w:t>
      </w:r>
    </w:p>
    <w:p>
      <w:pPr>
        <w:spacing w:after="0" w:line="30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32.1*</w:t>
      </w:r>
    </w:p>
    <w:p>
      <w:pPr>
        <w:spacing w:after="0" w:line="20" w:lineRule="exact"/>
        <w:rPr>
          <w:sz w:val="20"/>
          <w:szCs w:val="20"/>
          <w:color w:val="auto"/>
        </w:rPr>
      </w:pPr>
      <w:r>
        <w:rPr>
          <w:sz w:val="20"/>
          <w:szCs w:val="20"/>
          <w:color w:val="auto"/>
        </w:rPr>
        <w:br w:type="column"/>
      </w:r>
    </w:p>
    <w:p>
      <w:pPr>
        <w:ind w:right="280"/>
        <w:spacing w:after="0" w:line="235" w:lineRule="auto"/>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Certification of principal executive officer pursuant to Rule 13a-</w:t>
        </w:r>
      </w:hyperlink>
      <w:hyperlink w:anchor="page30">
        <w:r>
          <w:rPr>
            <w:rFonts w:ascii="Arial" w:cs="Arial" w:eastAsia="Arial" w:hAnsi="Arial"/>
            <w:sz w:val="18"/>
            <w:szCs w:val="18"/>
            <w:u w:val="single" w:color="auto"/>
            <w:color w:val="0000FF"/>
          </w:rPr>
          <w:t>14(a)/15d-14(a)</w:t>
        </w:r>
      </w:hyperlink>
    </w:p>
    <w:p>
      <w:pPr>
        <w:spacing w:after="0" w:line="108" w:lineRule="exact"/>
        <w:rPr>
          <w:sz w:val="20"/>
          <w:szCs w:val="20"/>
          <w:color w:val="auto"/>
        </w:rPr>
      </w:pPr>
    </w:p>
    <w:p>
      <w:pPr>
        <w:ind w:right="340"/>
        <w:spacing w:after="0" w:line="235" w:lineRule="auto"/>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Certification of principal financial officer pursuant to Rule 13a-</w:t>
        </w:r>
      </w:hyperlink>
      <w:hyperlink w:anchor="page31">
        <w:r>
          <w:rPr>
            <w:rFonts w:ascii="Arial" w:cs="Arial" w:eastAsia="Arial" w:hAnsi="Arial"/>
            <w:sz w:val="18"/>
            <w:szCs w:val="18"/>
            <w:u w:val="single" w:color="auto"/>
            <w:color w:val="0000FF"/>
          </w:rPr>
          <w:t>14(a)/15d-14(a)</w:t>
        </w:r>
      </w:hyperlink>
    </w:p>
    <w:p>
      <w:pPr>
        <w:spacing w:after="0" w:line="108" w:lineRule="exact"/>
        <w:rPr>
          <w:sz w:val="20"/>
          <w:szCs w:val="20"/>
          <w:color w:val="auto"/>
        </w:rPr>
      </w:pPr>
    </w:p>
    <w:p>
      <w:pPr>
        <w:spacing w:after="0" w:line="224" w:lineRule="auto"/>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Certification of principal executive officer pursuant to 18 U.S.C.</w:t>
        </w:r>
      </w:hyperlink>
      <w:r>
        <w:rPr>
          <w:rFonts w:ascii="Arial" w:cs="Arial" w:eastAsia="Arial" w:hAnsi="Arial"/>
          <w:sz w:val="18"/>
          <w:szCs w:val="18"/>
          <w:u w:val="single" w:color="auto"/>
          <w:color w:val="0000FF"/>
        </w:rPr>
        <w:t xml:space="preserve"> </w:t>
      </w:r>
      <w:hyperlink w:anchor="page32">
        <w:r>
          <w:rPr>
            <w:rFonts w:ascii="Arial" w:cs="Arial" w:eastAsia="Arial" w:hAnsi="Arial"/>
            <w:sz w:val="18"/>
            <w:szCs w:val="18"/>
            <w:u w:val="single" w:color="auto"/>
            <w:color w:val="0000FF"/>
          </w:rPr>
          <w:t>1350, as adopted pursuant to Section 906 of the Sarbanes-Oxley Act</w:t>
        </w:r>
      </w:hyperlink>
      <w:r>
        <w:rPr>
          <w:rFonts w:ascii="Arial" w:cs="Arial" w:eastAsia="Arial" w:hAnsi="Arial"/>
          <w:sz w:val="18"/>
          <w:szCs w:val="18"/>
          <w:u w:val="single" w:color="auto"/>
          <w:color w:val="0000FF"/>
        </w:rPr>
        <w:t xml:space="preserve"> </w:t>
      </w:r>
      <w:hyperlink w:anchor="page32">
        <w:r>
          <w:rPr>
            <w:rFonts w:ascii="Arial" w:cs="Arial" w:eastAsia="Arial" w:hAnsi="Arial"/>
            <w:sz w:val="18"/>
            <w:szCs w:val="18"/>
            <w:u w:val="single" w:color="auto"/>
            <w:color w:val="0000FF"/>
          </w:rPr>
          <w:t>of 2002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rPr>
          <w:sz w:val="20"/>
          <w:szCs w:val="20"/>
          <w:color w:val="auto"/>
        </w:rPr>
      </w:pPr>
      <w:r>
        <w:rPr>
          <w:rFonts w:ascii="Arial" w:cs="Arial" w:eastAsia="Arial" w:hAnsi="Arial"/>
          <w:sz w:val="18"/>
          <w:szCs w:val="18"/>
          <w:color w:val="auto"/>
        </w:rPr>
        <w:t>Filed herewith</w:t>
      </w:r>
    </w:p>
    <w:p>
      <w:pPr>
        <w:spacing w:after="0" w:line="30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Filed herewith</w:t>
      </w:r>
    </w:p>
    <w:p>
      <w:pPr>
        <w:spacing w:after="0" w:line="30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Furnished herewith</w:t>
      </w:r>
    </w:p>
    <w:p>
      <w:pPr>
        <w:spacing w:after="0" w:line="454" w:lineRule="exact"/>
        <w:rPr>
          <w:rFonts w:ascii="Arial" w:cs="Arial" w:eastAsia="Arial" w:hAnsi="Arial"/>
          <w:sz w:val="18"/>
          <w:szCs w:val="18"/>
          <w:u w:val="single" w:color="auto"/>
          <w:color w:val="0000FF"/>
        </w:rPr>
      </w:pPr>
    </w:p>
    <w:p>
      <w:pPr>
        <w:sectPr>
          <w:pgSz w:w="11900" w:h="16838" w:orient="portrait"/>
          <w:cols w:equalWidth="0" w:num="3">
            <w:col w:w="1040" w:space="360"/>
            <w:col w:w="4920" w:space="320"/>
            <w:col w:w="4580"/>
          </w:cols>
          <w:pgMar w:left="240" w:top="1040" w:right="439" w:bottom="1440" w:gutter="0" w:footer="0" w:header="0"/>
          <w:type w:val="continuous"/>
        </w:sectPr>
      </w:pPr>
    </w:p>
    <w:tbl>
      <w:tblPr>
        <w:tblLayout w:type="fixed"/>
        <w:tblInd w:w="640" w:type="dxa"/>
        <w:tblCellMar>
          <w:top w:w="0" w:type="dxa"/>
          <w:left w:w="0" w:type="dxa"/>
          <w:bottom w:w="0" w:type="dxa"/>
          <w:right w:w="0" w:type="dxa"/>
        </w:tblCellMar>
      </w:tblPr>
      <w:tr>
        <w:trPr>
          <w:trHeight w:val="227"/>
        </w:trPr>
        <w:tc>
          <w:tcPr>
            <w:tcW w:w="760" w:type="dxa"/>
            <w:vAlign w:val="bottom"/>
          </w:tcPr>
          <w:p>
            <w:pPr>
              <w:spacing w:after="0"/>
              <w:rPr>
                <w:sz w:val="20"/>
                <w:szCs w:val="20"/>
                <w:color w:val="auto"/>
              </w:rPr>
            </w:pPr>
            <w:r>
              <w:rPr>
                <w:rFonts w:ascii="Arial" w:cs="Arial" w:eastAsia="Arial" w:hAnsi="Arial"/>
                <w:sz w:val="18"/>
                <w:szCs w:val="18"/>
                <w:color w:val="auto"/>
              </w:rPr>
              <w:t>32.2*</w:t>
            </w:r>
          </w:p>
        </w:tc>
        <w:tc>
          <w:tcPr>
            <w:tcW w:w="5160" w:type="dxa"/>
            <w:vAlign w:val="bottom"/>
            <w:gridSpan w:val="3"/>
          </w:tcPr>
          <w:p>
            <w:pPr>
              <w:spacing w:after="0"/>
              <w:rPr>
                <w:rFonts w:ascii="Arial" w:cs="Arial" w:eastAsia="Arial" w:hAnsi="Arial"/>
                <w:sz w:val="18"/>
                <w:szCs w:val="18"/>
                <w:color w:val="0000FF"/>
                <w:w w:val="95"/>
              </w:rPr>
            </w:pPr>
            <w:hyperlink w:anchor="page33">
              <w:r>
                <w:rPr>
                  <w:rFonts w:ascii="Arial" w:cs="Arial" w:eastAsia="Arial" w:hAnsi="Arial"/>
                  <w:sz w:val="18"/>
                  <w:szCs w:val="18"/>
                  <w:color w:val="0000FF"/>
                  <w:w w:val="95"/>
                </w:rPr>
                <w:t>Certification of principal financial officer pursuant to 18 U.S.C. 1350,</w:t>
              </w:r>
            </w:hyperlink>
          </w:p>
        </w:tc>
        <w:tc>
          <w:tcPr>
            <w:tcW w:w="1480" w:type="dxa"/>
            <w:vAlign w:val="bottom"/>
          </w:tcPr>
          <w:p>
            <w:pPr>
              <w:ind w:left="80"/>
              <w:spacing w:after="0"/>
              <w:rPr>
                <w:sz w:val="20"/>
                <w:szCs w:val="20"/>
                <w:color w:val="auto"/>
              </w:rPr>
            </w:pPr>
            <w:r>
              <w:rPr>
                <w:rFonts w:ascii="Arial" w:cs="Arial" w:eastAsia="Arial" w:hAnsi="Arial"/>
                <w:sz w:val="18"/>
                <w:szCs w:val="18"/>
                <w:color w:val="auto"/>
                <w:w w:val="90"/>
              </w:rPr>
              <w:t>Furnished herewith</w:t>
            </w:r>
          </w:p>
        </w:tc>
      </w:tr>
      <w:tr>
        <w:trPr>
          <w:trHeight w:val="156"/>
        </w:trPr>
        <w:tc>
          <w:tcPr>
            <w:tcW w:w="760" w:type="dxa"/>
            <w:vAlign w:val="bottom"/>
          </w:tcPr>
          <w:p>
            <w:pPr>
              <w:spacing w:after="0"/>
              <w:rPr>
                <w:sz w:val="13"/>
                <w:szCs w:val="13"/>
                <w:color w:val="auto"/>
              </w:rPr>
            </w:pPr>
          </w:p>
        </w:tc>
        <w:tc>
          <w:tcPr>
            <w:tcW w:w="50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w:anchor="page33">
              <w:r>
                <w:rPr>
                  <w:rFonts w:ascii="Arial" w:cs="Arial" w:eastAsia="Arial" w:hAnsi="Arial"/>
                  <w:sz w:val="18"/>
                  <w:szCs w:val="18"/>
                  <w:color w:val="0000FF"/>
                  <w:w w:val="88"/>
                </w:rPr>
                <w:t>as adopted pursuant to Section 906 of the Sarbanes-Oxley Act of 2002</w:t>
              </w:r>
            </w:hyperlink>
          </w:p>
        </w:tc>
        <w:tc>
          <w:tcPr>
            <w:tcW w:w="40" w:type="dxa"/>
            <w:vAlign w:val="bottom"/>
            <w:tcBorders>
              <w:bottom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101</w:t>
            </w:r>
          </w:p>
        </w:tc>
        <w:tc>
          <w:tcPr>
            <w:tcW w:w="5160" w:type="dxa"/>
            <w:vAlign w:val="bottom"/>
            <w:gridSpan w:val="3"/>
          </w:tcPr>
          <w:p>
            <w:pPr>
              <w:spacing w:after="0"/>
              <w:rPr>
                <w:sz w:val="20"/>
                <w:szCs w:val="20"/>
                <w:color w:val="auto"/>
              </w:rPr>
            </w:pPr>
            <w:r>
              <w:rPr>
                <w:rFonts w:ascii="Arial" w:cs="Arial" w:eastAsia="Arial" w:hAnsi="Arial"/>
                <w:sz w:val="18"/>
                <w:szCs w:val="18"/>
                <w:color w:val="auto"/>
              </w:rPr>
              <w:t>The following financial information from the Company’s quarterly</w:t>
            </w:r>
          </w:p>
        </w:tc>
        <w:tc>
          <w:tcPr>
            <w:tcW w:w="1480" w:type="dxa"/>
            <w:vAlign w:val="bottom"/>
          </w:tcPr>
          <w:p>
            <w:pPr>
              <w:ind w:left="80"/>
              <w:spacing w:after="0"/>
              <w:rPr>
                <w:sz w:val="20"/>
                <w:szCs w:val="20"/>
                <w:color w:val="auto"/>
              </w:rPr>
            </w:pPr>
            <w:r>
              <w:rPr>
                <w:rFonts w:ascii="Arial" w:cs="Arial" w:eastAsia="Arial" w:hAnsi="Arial"/>
                <w:sz w:val="18"/>
                <w:szCs w:val="18"/>
                <w:color w:val="auto"/>
              </w:rPr>
              <w:t>Filed herewith</w:t>
            </w:r>
          </w:p>
        </w:tc>
      </w:tr>
    </w:tbl>
    <w:p>
      <w:pPr>
        <w:ind w:left="1400"/>
        <w:spacing w:after="0"/>
        <w:rPr>
          <w:sz w:val="20"/>
          <w:szCs w:val="20"/>
          <w:color w:val="auto"/>
        </w:rPr>
      </w:pPr>
      <w:r>
        <w:rPr>
          <w:rFonts w:ascii="Arial" w:cs="Arial" w:eastAsia="Arial" w:hAnsi="Arial"/>
          <w:sz w:val="18"/>
          <w:szCs w:val="18"/>
          <w:color w:val="auto"/>
        </w:rPr>
        <w:t>report on Form 10-Q for the quarter ended September 30, 2019</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formatted in XBRL (extensible Business Reporting Language): (i)</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Unaudited Condensed Consolidated Balance Sheets at September 30,</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2019 and June 30, 2019; (ii) Unaudited Condensed Consolidated</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Statements of Operations and Other Comprehensive Income for the</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three months ended September 30, 2019 and 2018; (iii) Unaudited</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Condensed Consolidated Statement of Stockholders’ Equity for the</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three months ended September 30, 2019; (iv) Unaudited Condensed</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Consolidated Statements of Cash Flows for the three months ended</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September 30, 2019 and 2018; and (v) Notes to Unaudited Condensed</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Consolidated Financial Statements, tagged as blocks of text</w:t>
      </w:r>
    </w:p>
    <w:p>
      <w:pPr>
        <w:spacing w:after="0" w:line="200" w:lineRule="exact"/>
        <w:rPr>
          <w:sz w:val="20"/>
          <w:szCs w:val="20"/>
          <w:color w:val="auto"/>
        </w:rPr>
      </w:pPr>
    </w:p>
    <w:p>
      <w:pPr>
        <w:spacing w:after="0" w:line="376" w:lineRule="exact"/>
        <w:rPr>
          <w:sz w:val="20"/>
          <w:szCs w:val="20"/>
          <w:color w:val="auto"/>
        </w:rPr>
      </w:pPr>
    </w:p>
    <w:p>
      <w:pPr>
        <w:ind w:left="1200" w:hanging="683"/>
        <w:spacing w:after="0" w:line="264"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20"/>
          </w:cols>
          <w:pgMar w:left="240" w:top="1040" w:right="439" w:bottom="1440" w:gutter="0" w:footer="0" w:header="0"/>
          <w:type w:val="continuous"/>
        </w:sectPr>
      </w:pPr>
    </w:p>
    <w:bookmarkStart w:id="28" w:name="page29"/>
    <w:bookmarkEnd w:id="28"/>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LIFEVANTAGE CORPORATION</w:t>
      </w:r>
    </w:p>
    <w:p>
      <w:pPr>
        <w:spacing w:after="0" w:line="333" w:lineRule="exact"/>
        <w:rPr>
          <w:sz w:val="20"/>
          <w:szCs w:val="20"/>
          <w:color w:val="auto"/>
        </w:rPr>
      </w:pPr>
    </w:p>
    <w:p>
      <w:pPr>
        <w:ind w:left="20"/>
        <w:spacing w:after="0"/>
        <w:tabs>
          <w:tab w:leader="none" w:pos="680" w:val="left"/>
          <w:tab w:leader="none" w:pos="5740" w:val="left"/>
        </w:tabs>
        <w:rPr>
          <w:sz w:val="20"/>
          <w:szCs w:val="20"/>
          <w:color w:val="auto"/>
        </w:rPr>
      </w:pPr>
      <w:r>
        <w:rPr>
          <w:rFonts w:ascii="Arial" w:cs="Arial" w:eastAsia="Arial" w:hAnsi="Arial"/>
          <w:sz w:val="18"/>
          <w:szCs w:val="18"/>
          <w:color w:val="auto"/>
        </w:rPr>
        <w:t>Date:</w:t>
        <w:tab/>
        <w:t>October 30, 2019</w:t>
      </w:r>
      <w:r>
        <w:rPr>
          <w:sz w:val="20"/>
          <w:szCs w:val="20"/>
          <w:color w:val="auto"/>
        </w:rPr>
        <w:tab/>
      </w:r>
      <w:r>
        <w:rPr>
          <w:rFonts w:ascii="Arial" w:cs="Arial" w:eastAsia="Arial" w:hAnsi="Arial"/>
          <w:sz w:val="15"/>
          <w:szCs w:val="15"/>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31750</wp:posOffset>
            </wp:positionV>
            <wp:extent cx="35845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Darren Jensen</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Executive Officer)</w:t>
      </w:r>
    </w:p>
    <w:p>
      <w:pPr>
        <w:spacing w:after="0" w:line="319" w:lineRule="exact"/>
        <w:rPr>
          <w:sz w:val="20"/>
          <w:szCs w:val="20"/>
          <w:color w:val="auto"/>
        </w:rPr>
      </w:pPr>
    </w:p>
    <w:p>
      <w:pPr>
        <w:ind w:left="20"/>
        <w:spacing w:after="0"/>
        <w:tabs>
          <w:tab w:leader="none" w:pos="680" w:val="left"/>
          <w:tab w:leader="none" w:pos="5740" w:val="left"/>
        </w:tabs>
        <w:rPr>
          <w:sz w:val="20"/>
          <w:szCs w:val="20"/>
          <w:color w:val="auto"/>
        </w:rPr>
      </w:pPr>
      <w:r>
        <w:rPr>
          <w:rFonts w:ascii="Arial" w:cs="Arial" w:eastAsia="Arial" w:hAnsi="Arial"/>
          <w:sz w:val="18"/>
          <w:szCs w:val="18"/>
          <w:color w:val="auto"/>
        </w:rPr>
        <w:t>Date:</w:t>
        <w:tab/>
        <w:t>October 30, 2019</w:t>
      </w:r>
      <w:r>
        <w:rPr>
          <w:sz w:val="20"/>
          <w:szCs w:val="20"/>
          <w:color w:val="auto"/>
        </w:rPr>
        <w:tab/>
      </w:r>
      <w:r>
        <w:rPr>
          <w:rFonts w:ascii="Arial" w:cs="Arial" w:eastAsia="Arial" w:hAnsi="Arial"/>
          <w:sz w:val="16"/>
          <w:szCs w:val="16"/>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31750</wp:posOffset>
            </wp:positionV>
            <wp:extent cx="35845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Steven R. Fife</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80"/>
          </w:cols>
          <w:pgMar w:left="240" w:top="1040" w:right="37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Darren Jensen, certify that:</w:t>
      </w:r>
    </w:p>
    <w:p>
      <w:pPr>
        <w:spacing w:after="0" w:line="158"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LifeVantage Corporation;</w:t>
      </w:r>
    </w:p>
    <w:p>
      <w:pPr>
        <w:spacing w:after="0" w:line="157"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ind w:left="820" w:right="400" w:hanging="407"/>
        <w:spacing w:after="0" w:line="264" w:lineRule="auto"/>
        <w:tabs>
          <w:tab w:leader="none" w:pos="81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820" w:right="80" w:hanging="407"/>
        <w:spacing w:after="0" w:line="264" w:lineRule="auto"/>
        <w:tabs>
          <w:tab w:leader="none" w:pos="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jc w:val="both"/>
        <w:ind w:left="820" w:right="880" w:hanging="407"/>
        <w:spacing w:after="0" w:line="342" w:lineRule="auto"/>
        <w:tabs>
          <w:tab w:leader="none" w:pos="81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820" w:right="100" w:hanging="407"/>
        <w:spacing w:after="0" w:line="264" w:lineRule="auto"/>
        <w:tabs>
          <w:tab w:leader="none" w:pos="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17"/>
          <w:szCs w:val="17"/>
          <w:color w:val="auto"/>
        </w:rPr>
      </w:pPr>
    </w:p>
    <w:p>
      <w:pPr>
        <w:ind w:left="820" w:right="300" w:hanging="407"/>
        <w:spacing w:after="0" w:line="277" w:lineRule="auto"/>
        <w:tabs>
          <w:tab w:leader="none" w:pos="81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820" w:right="240" w:hanging="407"/>
        <w:spacing w:after="0" w:line="277" w:lineRule="auto"/>
        <w:tabs>
          <w:tab w:leader="none" w:pos="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2019</w:t>
      </w:r>
    </w:p>
    <w:p>
      <w:pPr>
        <w:spacing w:after="0" w:line="212"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31750</wp:posOffset>
            </wp:positionV>
            <wp:extent cx="30187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Darren Jensen</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89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Steven R. Fife, certify that:</w:t>
      </w:r>
    </w:p>
    <w:p>
      <w:pPr>
        <w:spacing w:after="0" w:line="158"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LifeVantage Corporation;</w:t>
      </w:r>
    </w:p>
    <w:p>
      <w:pPr>
        <w:spacing w:after="0" w:line="157"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ind w:left="820" w:right="400" w:hanging="407"/>
        <w:spacing w:after="0" w:line="264" w:lineRule="auto"/>
        <w:tabs>
          <w:tab w:leader="none" w:pos="81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820" w:right="80" w:hanging="407"/>
        <w:spacing w:after="0" w:line="264"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jc w:val="both"/>
        <w:ind w:left="820" w:right="880" w:hanging="407"/>
        <w:spacing w:after="0" w:line="342" w:lineRule="auto"/>
        <w:tabs>
          <w:tab w:leader="none" w:pos="81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820" w:right="100" w:hanging="407"/>
        <w:spacing w:after="0" w:line="264"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17"/>
          <w:szCs w:val="17"/>
          <w:color w:val="auto"/>
        </w:rPr>
      </w:pPr>
    </w:p>
    <w:p>
      <w:pPr>
        <w:ind w:left="820" w:right="300" w:hanging="407"/>
        <w:spacing w:after="0" w:line="277" w:lineRule="auto"/>
        <w:tabs>
          <w:tab w:leader="none" w:pos="81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820" w:right="240" w:hanging="407"/>
        <w:spacing w:after="0" w:line="277"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2019</w:t>
      </w:r>
    </w:p>
    <w:p>
      <w:pPr>
        <w:spacing w:after="0" w:line="212"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31750</wp:posOffset>
            </wp:positionV>
            <wp:extent cx="30187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Steven R. Fife</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89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162"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CERTIFICATION PURSUANT TO 18 U.S.C. SECTION 1350, AS ADOPTED</w:t>
      </w:r>
    </w:p>
    <w:p>
      <w:pPr>
        <w:spacing w:after="0" w:line="23"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PURSUANT TO SECTION 906 OF THE SARBANES-OXLEY ACT OF 2002</w:t>
      </w:r>
    </w:p>
    <w:p>
      <w:pPr>
        <w:spacing w:after="0" w:line="130" w:lineRule="exact"/>
        <w:rPr>
          <w:sz w:val="20"/>
          <w:szCs w:val="20"/>
          <w:color w:val="auto"/>
        </w:rPr>
      </w:pPr>
    </w:p>
    <w:p>
      <w:pPr>
        <w:ind w:right="140" w:firstLine="446"/>
        <w:spacing w:after="0" w:line="286" w:lineRule="auto"/>
        <w:rPr>
          <w:sz w:val="20"/>
          <w:szCs w:val="20"/>
          <w:color w:val="auto"/>
        </w:rPr>
      </w:pPr>
      <w:r>
        <w:rPr>
          <w:rFonts w:ascii="Arial" w:cs="Arial" w:eastAsia="Arial" w:hAnsi="Arial"/>
          <w:sz w:val="17"/>
          <w:szCs w:val="17"/>
          <w:color w:val="auto"/>
        </w:rPr>
        <w:t>In connection with the filing of this quarterly report on Form 10-Q of LifeVantage Corporation (the “Company”) for the period ended September 30, 2019, with the Securities and Exchange Commission on the date hereof (the “report”), I, Darren Jensen, Principal Executive Officer of the Company, certify, pursuant to 18 U.S.C. Section 1350, as adopted pursuant to Section 906 of the Sarbanes-Oxley Act of 2002, that:</w:t>
      </w:r>
    </w:p>
    <w:p>
      <w:pPr>
        <w:spacing w:after="0" w:line="98" w:lineRule="exact"/>
        <w:rPr>
          <w:sz w:val="20"/>
          <w:szCs w:val="20"/>
          <w:color w:val="auto"/>
        </w:rPr>
      </w:pPr>
    </w:p>
    <w:p>
      <w:pPr>
        <w:ind w:left="800" w:hanging="387"/>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800" w:hanging="387"/>
        <w:spacing w:after="0"/>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2019</w:t>
      </w:r>
    </w:p>
    <w:p>
      <w:pPr>
        <w:spacing w:after="0" w:line="212"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31750</wp:posOffset>
            </wp:positionV>
            <wp:extent cx="30187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Darren Jensen</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Executive Officer)</w:t>
      </w:r>
    </w:p>
    <w:p>
      <w:pPr>
        <w:spacing w:after="0" w:line="1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89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162"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CERTIFICATION PURSUANT TO 18 U.S.C. SECTION 1350, AS ADOPTED</w:t>
      </w:r>
    </w:p>
    <w:p>
      <w:pPr>
        <w:spacing w:after="0" w:line="23"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PURSUANT TO SECTION 906 OF THE SARBANES-OXLEY ACT OF 2002</w:t>
      </w:r>
    </w:p>
    <w:p>
      <w:pPr>
        <w:spacing w:after="0" w:line="130" w:lineRule="exact"/>
        <w:rPr>
          <w:sz w:val="20"/>
          <w:szCs w:val="20"/>
          <w:color w:val="auto"/>
        </w:rPr>
      </w:pPr>
    </w:p>
    <w:p>
      <w:pPr>
        <w:jc w:val="both"/>
        <w:ind w:right="180" w:firstLine="446"/>
        <w:spacing w:after="0" w:line="286" w:lineRule="auto"/>
        <w:rPr>
          <w:sz w:val="20"/>
          <w:szCs w:val="20"/>
          <w:color w:val="auto"/>
        </w:rPr>
      </w:pPr>
      <w:r>
        <w:rPr>
          <w:rFonts w:ascii="Arial" w:cs="Arial" w:eastAsia="Arial" w:hAnsi="Arial"/>
          <w:sz w:val="17"/>
          <w:szCs w:val="17"/>
          <w:color w:val="auto"/>
        </w:rPr>
        <w:t>In connection with the filing of this quarterly report on Form 10-Q of LifeVantage Corporation (the “Company”) for the period ended September 30, 2019, with the Securities and Exchange Commission on the date hereof (the “report”), I, Steven R. Fife, Principal Financial Officer of the Company, certify, pursuant to 18 U.S.C. Section 1350, as adopted pursuant to Section 906 of the Sarbanes-Oxley Act of 2002, that:</w:t>
      </w:r>
    </w:p>
    <w:p>
      <w:pPr>
        <w:spacing w:after="0" w:line="98" w:lineRule="exact"/>
        <w:rPr>
          <w:sz w:val="20"/>
          <w:szCs w:val="20"/>
          <w:color w:val="auto"/>
        </w:rPr>
      </w:pPr>
    </w:p>
    <w:p>
      <w:pPr>
        <w:ind w:left="800" w:hanging="387"/>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800" w:hanging="387"/>
        <w:spacing w:after="0"/>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2019</w:t>
      </w:r>
    </w:p>
    <w:p>
      <w:pPr>
        <w:spacing w:after="0" w:line="212"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31750</wp:posOffset>
            </wp:positionV>
            <wp:extent cx="30187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Steven R. Fife</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Financial Officer)</w:t>
      </w:r>
    </w:p>
    <w:p>
      <w:pPr>
        <w:spacing w:after="0" w:line="1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8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38" Type="http://schemas.openxmlformats.org/officeDocument/2006/relationships/hyperlink" Target="http://www.sec.gov/Archives/edgar/data/849146/000084914618000046/ex31-certificateofincorpor.htm" TargetMode="External"/><Relationship Id="rId39" Type="http://schemas.openxmlformats.org/officeDocument/2006/relationships/hyperlink" Target="http://www.sec.gov/Archives/edgar/data/849146/000084914619000066/lifevantage-amendedandres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2019-12-28T04:27:33Z</dcterms:created>
  <dcterms:modified xsi:type="dcterms:W3CDTF">2019-12-28T04:27:33Z</dcterms:modified>
</cp:coreProperties>
</file>