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fvn-20260331.htm"/>
      <w:bookmarkStart w:id="1" w:name="kslfvn20260331"/>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w:t>
      </w:r>
      <w:r>
        <w:rPr>
          <w:rFonts w:ascii="Times New Roman" w:hAnsi="Times New Roman"/>
          <w:b/>
          <w:caps/>
          <w:color w:val="000000"/>
          <w:sz w:val="20"/>
        </w:rPr>
        <w:t>D March 31, 2026</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spacing w:before="120" w:after="120"/>
        <w:jc w:val="center"/>
        <w:rPr>
          <w:rFonts w:ascii="Times New Roman" w:hAnsi="Times New Roman"/>
          <w:sz w:val="20"/>
        </w:rPr>
      </w:pPr>
      <w:r>
        <w:rPr>
          <w:rFonts w:ascii="Times New Roman" w:hAnsi="Times New Roman"/>
          <w:b/>
          <w:color w:val="000000"/>
          <w:sz w:val="20"/>
        </w:rPr>
        <w:t>FOR THE TRANSITION PERIOD FROM _________ TO _________</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001-35647</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LIFEVANTAGE CORPORATION</w:t>
      </w:r>
    </w:p>
    <w:p>
      <w:pPr>
        <w:pStyle w:val="TextBody"/>
        <w:bidi w:val="0"/>
        <w:spacing w:before="0" w:after="6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6936" w:type="dxa"/>
        <w:jc w:val="left"/>
        <w:tblInd w:w="0" w:type="dxa"/>
        <w:tblLayout w:type="fixed"/>
        <w:tblCellMar>
          <w:top w:w="28" w:type="dxa"/>
          <w:left w:w="28" w:type="dxa"/>
          <w:bottom w:w="28" w:type="dxa"/>
          <w:right w:w="28" w:type="dxa"/>
        </w:tblCellMar>
      </w:tblPr>
      <w:tblGrid>
        <w:gridCol w:w="4291"/>
        <w:gridCol w:w="109"/>
        <w:gridCol w:w="2536"/>
      </w:tblGrid>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90-0224471</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896"/>
        <w:gridCol w:w="146"/>
        <w:gridCol w:w="96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3300 N. Triumph Blvd, Suite 700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84043</w:t>
            </w:r>
            <w:r>
              <w:rPr>
                <w:rFonts w:ascii="Times New Roman" w:hAnsi="Times New Roman"/>
                <w:color w:val="000000"/>
                <w:sz w:val="20"/>
              </w:rPr>
              <w:t xml:space="preserve">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Lehi, Utah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(801) 432-9000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75" w:type="dxa"/>
        <w:jc w:val="left"/>
        <w:tblInd w:w="0" w:type="dxa"/>
        <w:tblLayout w:type="fixed"/>
        <w:tblCellMar>
          <w:top w:w="28" w:type="dxa"/>
          <w:left w:w="28" w:type="dxa"/>
          <w:bottom w:w="28" w:type="dxa"/>
          <w:right w:w="28" w:type="dxa"/>
        </w:tblCellMar>
      </w:tblPr>
      <w:tblGrid>
        <w:gridCol w:w="3031"/>
        <w:gridCol w:w="146"/>
        <w:gridCol w:w="1426"/>
        <w:gridCol w:w="146"/>
        <w:gridCol w:w="3226"/>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LFVN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r>
        <w:trPr/>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number of shares outstanding of the issuer’s common stock, par value $0.0001 per share, as of May 4, 2026 was 12,615,822.</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factors are among those that may cause actual results to differ materially from our forward-looking statements: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properly manage, motivate and retain our independent consultants (which we previously referred to as “distributors” in our prior filings) or to attract new customers and independent consultants on an ongoing basis;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Non-compliance by our independent consultants with applicable legal requirements or our policies and procedures;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to our independent consultant compensation plans;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Dependence upon a few products for revenue;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Dependence on third parties to manufacture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Sourcing and pricing of high quality materials for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Disruptions to the transportation channels used to distribute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being subject to a product recall;</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Product liability claims against us;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Competition in the dietary supplement and personal care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Unfavorable publicity on our business or products;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Actions by activist stockholders;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Loss of or inability to attract key personnel;</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being held responsible for certain taxes or assessments and other obligations relating to the activity of our independent consultants;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related to Global Not For Resale program;</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Inability to comply with evolving laws, regulations, standards, policies, and contractual obligations related to data privacy and security, including cybersecurity;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manage existing markets, open new international markets or expand our operations;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of new products and technological innovations to gain customer or independent consultant or market acceptance;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execute our product launch process due to increased pressure on our supply chain, information systems and management;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appropriately manage our inventory;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Disruptions in our information technology (“IT”) systems, including as a result of cybersecurity incidents;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comply with financial covenants imposed by our credit facility and the impact of debt service obligations and restrictive debt covenants;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International trade or foreign exchange restrictions, increased tariffs, and foreign currency exchange fluctuations;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raise additional capital or complete desired acquisitions;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Strict government regulations on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Regulations governing the production or marketing of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investigatory and enforcement action;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our direct selling program being found non-compliant with current or newly adopted laws or regulations in various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Laws and regulations prohibiting or severely restricting direct selling;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International regulatory and business risks, including failure to comply with anti-corruption laws;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protect our intellectual property rights;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Third party intellectual property infringement claims;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Volatility of the market price of our common stock;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substantial sales of shares negatively impacting the market price of our common stock;</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of stock repurchase program enhancing long-term stockholder value;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additional shares issued diluting voting power of current outstanding common stock or causing decline in stock price;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Potential delisting of our common stock due to non-compliance with Nasdaq’s continued listing requirements;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Risks related to being a smaller reporting company;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Limitations for disputes, mergers, tender offers, or proxy contests under Delaware law;</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Expensive and time consuming legal proceedings;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Ineffectiveness of internal controls over financial reporting;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Challenges to tax positions or transfer pricing policies or change in laws;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Economic, political, foreign exchange and other risks associated with international operations, including consumer discretionary spending habits;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Unfavorable global economic conditions;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Securities class action litigation;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Securities or industry analysts ceasing coverage or publishing inaccurate or unfavorable research.</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LIFEVANTAGE CORPORATION</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INDEX</w:t>
      </w:r>
    </w:p>
    <w:p>
      <w:pPr>
        <w:pStyle w:val="TextBody"/>
        <w:bidi w:val="0"/>
        <w:jc w:val="left"/>
        <w:rPr/>
      </w:pPr>
      <w:r>
        <w:rPr/>
        <w:t> </w:t>
      </w:r>
    </w:p>
    <w:tbl>
      <w:tblPr>
        <w:tblW w:w="9123" w:type="dxa"/>
        <w:jc w:val="left"/>
        <w:tblInd w:w="0" w:type="dxa"/>
        <w:tblLayout w:type="fixed"/>
        <w:tblCellMar>
          <w:top w:w="28" w:type="dxa"/>
          <w:left w:w="28" w:type="dxa"/>
          <w:bottom w:w="28" w:type="dxa"/>
          <w:right w:w="28" w:type="dxa"/>
        </w:tblCellMar>
      </w:tblPr>
      <w:tblGrid>
        <w:gridCol w:w="976"/>
        <w:gridCol w:w="7531"/>
        <w:gridCol w:w="616"/>
      </w:tblGrid>
      <w:tr>
        <w:trPr/>
        <w:tc>
          <w:tcPr>
            <w:tcW w:w="976"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75" w:after="30"/>
              <w:jc w:val="left"/>
              <w:rPr/>
            </w:pPr>
            <w:r>
              <w:rPr/>
              <w:t> </w:t>
            </w:r>
          </w:p>
        </w:tc>
        <w:tc>
          <w:tcPr>
            <w:tcW w:w="7531" w:type="dxa"/>
            <w:tcBorders/>
            <w:tcMar>
              <w:top w:w="0" w:type="dxa"/>
              <w:left w:w="0" w:type="dxa"/>
              <w:bottom w:w="0" w:type="dxa"/>
              <w:right w:w="0" w:type="dxa"/>
            </w:tcMar>
            <w:vAlign w:val="center"/>
          </w:tcPr>
          <w:p>
            <w:pPr>
              <w:pStyle w:val="TableContents"/>
              <w:bidi w:val="0"/>
              <w:spacing w:before="75" w:after="30"/>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507" w:type="dxa"/>
            <w:gridSpan w:val="2"/>
            <w:tcBorders/>
            <w:tcMar>
              <w:top w:w="0" w:type="dxa"/>
              <w:left w:w="0" w:type="dxa"/>
              <w:bottom w:w="0" w:type="dxa"/>
              <w:right w:w="0" w:type="dxa"/>
            </w:tcMar>
            <w:vAlign w:val="center"/>
          </w:tcPr>
          <w:p>
            <w:pPr>
              <w:pStyle w:val="TableContents"/>
              <w:bidi w:val="0"/>
              <w:spacing w:before="55" w:after="30"/>
              <w:jc w:val="left"/>
              <w:rPr/>
            </w:pPr>
            <w:hyperlink w:anchor="parti_financial_information">
              <w:r>
                <w:rPr>
                  <w:rStyle w:val="InternetLink"/>
                  <w:rFonts w:ascii="Times New Roman" w:hAnsi="Times New Roman"/>
                  <w:color w:val="0000FF"/>
                  <w:sz w:val="20"/>
                  <w:u w:val="single"/>
                </w:rPr>
                <w:t>PART I. Financial Information</w:t>
              </w:r>
            </w:hyperlink>
          </w:p>
        </w:tc>
        <w:tc>
          <w:tcPr>
            <w:tcW w:w="616" w:type="dxa"/>
            <w:tcBorders/>
            <w:tcMar>
              <w:top w:w="0" w:type="dxa"/>
              <w:left w:w="0" w:type="dxa"/>
              <w:bottom w:w="0" w:type="dxa"/>
              <w:right w:w="0" w:type="dxa"/>
            </w:tcMar>
            <w:vAlign w:val="center"/>
          </w:tcPr>
          <w:p>
            <w:pPr>
              <w:pStyle w:val="TableContents"/>
              <w:bidi w:val="0"/>
              <w:spacing w:before="55" w:after="30"/>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1.</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1_financial_statements">
              <w:r>
                <w:rPr>
                  <w:rStyle w:val="InternetLink"/>
                  <w:rFonts w:ascii="Times New Roman" w:hAnsi="Times New Roman"/>
                  <w:color w:val="0000FF"/>
                  <w:sz w:val="20"/>
                  <w:u w:val="single"/>
                </w:rPr>
                <w:t>Financial Statements:</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hyperlink w:anchor="condensed_consolidated_balance_sheets">
              <w:r>
                <w:rPr>
                  <w:rStyle w:val="InternetLink"/>
                  <w:rFonts w:ascii="Times New Roman" w:hAnsi="Times New Roman"/>
                  <w:color w:val="0000FF"/>
                  <w:sz w:val="20"/>
                </w:rPr>
                <w:t xml:space="preserve"> </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consol_stmt_oprt_comp_incloss_unaudited">
              <w:r>
                <w:rPr>
                  <w:rStyle w:val="InternetLink"/>
                  <w:rFonts w:ascii="Times New Roman" w:hAnsi="Times New Roman"/>
                  <w:color w:val="0000FF"/>
                  <w:sz w:val="20"/>
                  <w:u w:val="single"/>
                </w:rPr>
                <w:t>Condensed Consolidated Statements of Operations and Comprehensive Income (unaudited)</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consolidated_stmt_of_stockholdersequity">
              <w:r>
                <w:rPr>
                  <w:rStyle w:val="InternetLink"/>
                  <w:rFonts w:ascii="Times New Roman" w:hAnsi="Times New Roman"/>
                  <w:color w:val="0000FF"/>
                  <w:sz w:val="20"/>
                  <w:u w:val="single"/>
                </w:rPr>
                <w:t>Condensed Consolidated Statement of Stockholders’ Equity (unaudited)</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conden_consolidated_stmt_of_cashflows">
              <w:r>
                <w:rPr>
                  <w:rStyle w:val="InternetLink"/>
                  <w:rFonts w:ascii="Times New Roman" w:hAnsi="Times New Roman"/>
                  <w:color w:val="0000FF"/>
                  <w:sz w:val="20"/>
                  <w:u w:val="single"/>
                </w:rPr>
                <w:t>Condensed Consolidated Statements of Cash Flows (unaudited)</w:t>
              </w:r>
            </w:hyperlink>
            <w:hyperlink w:anchor="conden_consolidated_stmt_of_cashflows">
              <w:r>
                <w:rPr>
                  <w:rStyle w:val="InternetLink"/>
                  <w:rFonts w:ascii="Times New Roman" w:hAnsi="Times New Roman"/>
                  <w:color w:val="0000FF"/>
                  <w:sz w:val="20"/>
                </w:rPr>
                <w:t xml:space="preserve"> </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10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notes_to_conde_consolid_financial_stmt">
              <w:r>
                <w:rPr>
                  <w:rStyle w:val="InternetLink"/>
                  <w:rFonts w:ascii="Times New Roman" w:hAnsi="Times New Roman"/>
                  <w:color w:val="0000FF"/>
                  <w:sz w:val="20"/>
                  <w:u w:val="single"/>
                </w:rPr>
                <w:t>Notes to Condensed Consolidated Financial Statements (unaudited)</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11</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2.</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_2_mda_of_finan_condi_and_result">
              <w:r>
                <w:rPr>
                  <w:rStyle w:val="InternetLink"/>
                  <w:rFonts w:ascii="Times New Roman" w:hAnsi="Times New Roman"/>
                  <w:color w:val="0000FF"/>
                  <w:sz w:val="20"/>
                  <w:u w:val="single"/>
                </w:rPr>
                <w:t>Management’s Discussion and Analysis of Financial Condition and Results of Operations</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24</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3.</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3_quantitative_and_qualitative_disc">
              <w:r>
                <w:rPr>
                  <w:rStyle w:val="InternetLink"/>
                  <w:rFonts w:ascii="Times New Roman" w:hAnsi="Times New Roman"/>
                  <w:color w:val="0000FF"/>
                  <w:sz w:val="20"/>
                  <w:u w:val="single"/>
                </w:rPr>
                <w:t>Quantitative and Qualitative Disclosures About Market Risk</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31</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4.</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_4_controls_and_procedures">
              <w:r>
                <w:rPr>
                  <w:rStyle w:val="InternetLink"/>
                  <w:rFonts w:ascii="Times New Roman" w:hAnsi="Times New Roman"/>
                  <w:color w:val="0000FF"/>
                  <w:sz w:val="20"/>
                  <w:u w:val="single"/>
                </w:rPr>
                <w:t>Controls and Procedures</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07" w:type="dxa"/>
            <w:gridSpan w:val="2"/>
            <w:tcBorders/>
            <w:tcMar>
              <w:top w:w="0" w:type="dxa"/>
              <w:left w:w="0" w:type="dxa"/>
              <w:bottom w:w="0" w:type="dxa"/>
              <w:right w:w="0" w:type="dxa"/>
            </w:tcMar>
            <w:vAlign w:val="center"/>
          </w:tcPr>
          <w:p>
            <w:pPr>
              <w:pStyle w:val="TableContents"/>
              <w:bidi w:val="0"/>
              <w:spacing w:before="75" w:after="30"/>
              <w:jc w:val="left"/>
              <w:rPr/>
            </w:pPr>
            <w:hyperlink w:anchor="part_ii_other_information">
              <w:r>
                <w:rPr>
                  <w:rStyle w:val="InternetLink"/>
                  <w:rFonts w:ascii="Times New Roman" w:hAnsi="Times New Roman"/>
                  <w:color w:val="0000FF"/>
                  <w:sz w:val="20"/>
                  <w:u w:val="single"/>
                </w:rPr>
                <w:t>PART II. Other Information</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1.</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_1_legal_proceedings">
              <w:r>
                <w:rPr>
                  <w:rStyle w:val="InternetLink"/>
                  <w:rFonts w:ascii="Times New Roman" w:hAnsi="Times New Roman"/>
                  <w:color w:val="0000FF"/>
                  <w:sz w:val="20"/>
                  <w:u w:val="single"/>
                </w:rPr>
                <w:t>Legal Proceedings</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1A.</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_1a_risk_factors">
              <w:r>
                <w:rPr>
                  <w:rStyle w:val="InternetLink"/>
                  <w:rFonts w:ascii="Times New Roman" w:hAnsi="Times New Roman"/>
                  <w:color w:val="0000FF"/>
                  <w:sz w:val="20"/>
                  <w:u w:val="single"/>
                </w:rPr>
                <w:t>Risk Factors</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2.</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2_unregister_sales_of_eqty_securitie">
              <w:r>
                <w:rPr>
                  <w:rStyle w:val="InternetLink"/>
                  <w:rFonts w:ascii="Times New Roman" w:hAnsi="Times New Roman"/>
                  <w:color w:val="0000FF"/>
                  <w:sz w:val="20"/>
                  <w:u w:val="single"/>
                </w:rPr>
                <w:t>Unregistered Sales of Equity Securities and Use of Proceeds</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3.</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4.</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_4_mine_safety_disclosures">
              <w:r>
                <w:rPr>
                  <w:rStyle w:val="InternetLink"/>
                  <w:rFonts w:ascii="Times New Roman" w:hAnsi="Times New Roman"/>
                  <w:color w:val="0000FF"/>
                  <w:sz w:val="20"/>
                  <w:u w:val="single"/>
                </w:rPr>
                <w:t>Mine Safety Disclosures</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5.</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_5_other_information">
              <w:r>
                <w:rPr>
                  <w:rStyle w:val="InternetLink"/>
                  <w:rFonts w:ascii="Times New Roman" w:hAnsi="Times New Roman"/>
                  <w:color w:val="0000FF"/>
                  <w:sz w:val="20"/>
                  <w:u w:val="single"/>
                </w:rPr>
                <w:t>Other Information</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rPr/>
        <w:tc>
          <w:tcPr>
            <w:tcW w:w="97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6.</w:t>
            </w:r>
          </w:p>
        </w:tc>
        <w:tc>
          <w:tcPr>
            <w:tcW w:w="7531" w:type="dxa"/>
            <w:tcBorders/>
            <w:tcMar>
              <w:top w:w="0" w:type="dxa"/>
              <w:left w:w="0" w:type="dxa"/>
              <w:bottom w:w="0" w:type="dxa"/>
              <w:right w:w="0" w:type="dxa"/>
            </w:tcMar>
            <w:vAlign w:val="center"/>
          </w:tcPr>
          <w:p>
            <w:pPr>
              <w:pStyle w:val="TableContents"/>
              <w:bidi w:val="0"/>
              <w:spacing w:before="75" w:after="30"/>
              <w:jc w:val="left"/>
              <w:rPr/>
            </w:pPr>
            <w:hyperlink w:anchor="item_6_exhibits">
              <w:r>
                <w:rPr>
                  <w:rStyle w:val="InternetLink"/>
                  <w:rFonts w:ascii="Times New Roman" w:hAnsi="Times New Roman"/>
                  <w:color w:val="0000FF"/>
                  <w:sz w:val="20"/>
                  <w:u w:val="single"/>
                </w:rPr>
                <w:t>Exhibits</w:t>
              </w:r>
            </w:hyperlink>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34</w:t>
            </w:r>
          </w:p>
        </w:tc>
      </w:tr>
      <w:tr>
        <w:trPr/>
        <w:tc>
          <w:tcPr>
            <w:tcW w:w="976" w:type="dxa"/>
            <w:tcBorders/>
            <w:tcMar>
              <w:top w:w="0" w:type="dxa"/>
              <w:left w:w="0" w:type="dxa"/>
              <w:bottom w:w="0" w:type="dxa"/>
              <w:right w:w="0" w:type="dxa"/>
            </w:tcMar>
            <w:vAlign w:val="center"/>
          </w:tcPr>
          <w:p>
            <w:pPr>
              <w:pStyle w:val="TableContents"/>
              <w:bidi w:val="0"/>
              <w:spacing w:before="75" w:after="30"/>
              <w:jc w:val="left"/>
              <w:rPr/>
            </w:pPr>
            <w:hyperlink w:anchor="signatures">
              <w:r>
                <w:rPr>
                  <w:rStyle w:val="InternetLink"/>
                  <w:rFonts w:ascii="Times New Roman" w:hAnsi="Times New Roman"/>
                  <w:color w:val="0000FF"/>
                  <w:sz w:val="20"/>
                  <w:u w:val="single"/>
                </w:rPr>
                <w:t>Signatures</w:t>
              </w:r>
            </w:hyperlink>
          </w:p>
        </w:tc>
        <w:tc>
          <w:tcPr>
            <w:tcW w:w="753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0"/>
        </w:rPr>
      </w:pPr>
      <w:bookmarkStart w:id="2" w:name="parti_financial_information"/>
      <w:bookmarkEnd w:id="2"/>
      <w:r>
        <w:rPr>
          <w:rFonts w:ascii="Times New Roman" w:hAnsi="Times New Roman"/>
          <w:b/>
          <w:color w:val="000000"/>
          <w:sz w:val="20"/>
        </w:rPr>
        <w:t>PART I. Financial Information</w:t>
      </w:r>
    </w:p>
    <w:p>
      <w:pPr>
        <w:pStyle w:val="TextBody"/>
        <w:bidi w:val="0"/>
        <w:spacing w:before="0" w:after="160"/>
        <w:jc w:val="left"/>
        <w:rPr>
          <w:rFonts w:ascii="Times New Roman" w:hAnsi="Times New Roman"/>
          <w:b/>
          <w:color w:val="000000"/>
          <w:sz w:val="20"/>
        </w:rPr>
      </w:pPr>
      <w:bookmarkStart w:id="3" w:name="item1_financial_statements"/>
      <w:bookmarkEnd w:id="3"/>
      <w:r>
        <w:rPr>
          <w:rFonts w:ascii="Times New Roman" w:hAnsi="Times New Roman"/>
          <w:b/>
          <w:color w:val="000000"/>
          <w:sz w:val="20"/>
        </w:rPr>
        <w:t>Item 1. Financial Statements</w:t>
      </w:r>
    </w:p>
    <w:p>
      <w:pPr>
        <w:pStyle w:val="TextBody"/>
        <w:bidi w:val="0"/>
        <w:spacing w:before="20" w:after="283"/>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bookmarkStart w:id="4" w:name="condensed_consolidated_balance_sheets"/>
      <w:bookmarkEnd w:id="4"/>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86"/>
        <w:gridCol w:w="146"/>
        <w:gridCol w:w="242"/>
        <w:gridCol w:w="965"/>
        <w:gridCol w:w="166"/>
        <w:gridCol w:w="146"/>
        <w:gridCol w:w="228"/>
        <w:gridCol w:w="912"/>
        <w:gridCol w:w="614"/>
      </w:tblGrid>
      <w:tr>
        <w:trPr/>
        <w:tc>
          <w:tcPr>
            <w:tcW w:w="6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71,958</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 par value $0.0001 per share, 5,000 shares authorized, no shares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par value $0.0001 per share, 40,000 shares authorized and 12,609 and 12,429 issued and outstanding as of March 31, 2026 and June 30,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139,962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bookmarkStart w:id="5" w:name="consol_stmt_oprt_comp_incloss_unaudited"/>
      <w:bookmarkEnd w:id="5"/>
      <w:r>
        <w:rPr>
          <w:rFonts w:ascii="Times New Roman" w:hAnsi="Times New Roman"/>
          <w:color w:val="000000"/>
          <w:sz w:val="20"/>
        </w:rPr>
        <w:t>CONDENSED CONSOLIDATED STATEMENTS OF OPERATIONS AND COMPREHENSIVE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612" w:type="dxa"/>
        <w:jc w:val="left"/>
        <w:tblInd w:w="0" w:type="dxa"/>
        <w:tblLayout w:type="fixed"/>
        <w:tblCellMar>
          <w:top w:w="28" w:type="dxa"/>
          <w:left w:w="28" w:type="dxa"/>
          <w:bottom w:w="28" w:type="dxa"/>
          <w:right w:w="28" w:type="dxa"/>
        </w:tblCellMar>
      </w:tblPr>
      <w:tblGrid>
        <w:gridCol w:w="3961"/>
        <w:gridCol w:w="146"/>
        <w:gridCol w:w="211"/>
        <w:gridCol w:w="676"/>
        <w:gridCol w:w="166"/>
        <w:gridCol w:w="146"/>
        <w:gridCol w:w="211"/>
        <w:gridCol w:w="676"/>
        <w:gridCol w:w="166"/>
        <w:gridCol w:w="146"/>
        <w:gridCol w:w="211"/>
        <w:gridCol w:w="781"/>
        <w:gridCol w:w="166"/>
        <w:gridCol w:w="146"/>
        <w:gridCol w:w="211"/>
        <w:gridCol w:w="781"/>
        <w:gridCol w:w="8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Commissions and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129,566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bookmarkStart w:id="6" w:name="consolidated_stmt_of_stockholdersequity"/>
      <w:bookmarkEnd w:id="6"/>
      <w:r>
        <w:rPr>
          <w:rFonts w:ascii="Times New Roman" w:hAnsi="Times New Roman"/>
          <w:color w:val="000000"/>
          <w:sz w:val="20"/>
        </w:rPr>
        <w:t>CONDENSED CONSOLIDATED STATEMENT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50"/>
        <w:gridCol w:w="146"/>
        <w:gridCol w:w="146"/>
        <w:gridCol w:w="601"/>
        <w:gridCol w:w="166"/>
        <w:gridCol w:w="146"/>
        <w:gridCol w:w="271"/>
        <w:gridCol w:w="480"/>
        <w:gridCol w:w="146"/>
        <w:gridCol w:w="146"/>
        <w:gridCol w:w="205"/>
        <w:gridCol w:w="726"/>
        <w:gridCol w:w="166"/>
        <w:gridCol w:w="146"/>
        <w:gridCol w:w="233"/>
        <w:gridCol w:w="893"/>
        <w:gridCol w:w="166"/>
        <w:gridCol w:w="146"/>
        <w:gridCol w:w="333"/>
        <w:gridCol w:w="973"/>
        <w:gridCol w:w="166"/>
        <w:gridCol w:w="146"/>
        <w:gridCol w:w="196"/>
        <w:gridCol w:w="601"/>
        <w:gridCol w:w="211"/>
      </w:tblGrid>
      <w:tr>
        <w:trPr/>
        <w:tc>
          <w:tcPr>
            <w:tcW w:w="2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34,641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canceled or surrendered as payment of tax withholding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company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33,157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canceled or surrendered as payment of tax withholding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32,987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canceled or surrendered as payment of tax withholding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company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33,339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 OF STOCKHOLDERS’ EQUITY (CONTINUED)</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50"/>
        <w:gridCol w:w="146"/>
        <w:gridCol w:w="146"/>
        <w:gridCol w:w="601"/>
        <w:gridCol w:w="166"/>
        <w:gridCol w:w="146"/>
        <w:gridCol w:w="271"/>
        <w:gridCol w:w="480"/>
        <w:gridCol w:w="146"/>
        <w:gridCol w:w="146"/>
        <w:gridCol w:w="205"/>
        <w:gridCol w:w="726"/>
        <w:gridCol w:w="166"/>
        <w:gridCol w:w="146"/>
        <w:gridCol w:w="233"/>
        <w:gridCol w:w="893"/>
        <w:gridCol w:w="166"/>
        <w:gridCol w:w="146"/>
        <w:gridCol w:w="333"/>
        <w:gridCol w:w="973"/>
        <w:gridCol w:w="166"/>
        <w:gridCol w:w="146"/>
        <w:gridCol w:w="196"/>
        <w:gridCol w:w="601"/>
        <w:gridCol w:w="211"/>
      </w:tblGrid>
      <w:tr>
        <w:trPr/>
        <w:tc>
          <w:tcPr>
            <w:tcW w:w="2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136,644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25,991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canceled or surrendered as payment of tax withholding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company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27,697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canceled or surrendered as payment of tax withholding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29,889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canceled or surrendered as payment of tax withholding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34,011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bookmarkStart w:id="7" w:name="conden_consolidated_stmt_of_cashflows"/>
      <w:bookmarkEnd w:id="7"/>
      <w:r>
        <w:rPr>
          <w:rFonts w:ascii="Times New Roman" w:hAnsi="Times New Roman"/>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9"/>
        <w:gridCol w:w="146"/>
        <w:gridCol w:w="261"/>
        <w:gridCol w:w="839"/>
        <w:gridCol w:w="205"/>
        <w:gridCol w:w="180"/>
        <w:gridCol w:w="261"/>
        <w:gridCol w:w="839"/>
        <w:gridCol w:w="615"/>
      </w:tblGrid>
      <w:tr>
        <w:trPr/>
        <w:tc>
          <w:tcPr>
            <w:tcW w:w="6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(gain)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Allowance for inventory obsolescence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earnout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5,474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10,844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business combination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(6,277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company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canceled or surrendered as payment of tax withholding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common stock issued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(6,633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(4,355</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Foreign Currency Effect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20,201</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12,483</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22,469</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bookmarkStart w:id="8" w:name="notes_to_conde_consolid_financial_stmt"/>
      <w:bookmarkEnd w:id="8"/>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unaudited condensed consolidated financial statements and notes should be read in conjunction with the audited financial statements and notes of LifeVantage Corporation (“LifeVantage” or the “Company”) as of and for the year ended June 30, 2025 included in the annual report on Form 10-K filed with the Securities and Exchange Commission (“SEC”) on September 4, 2025.</w:t>
      </w:r>
    </w:p>
    <w:p>
      <w:pPr>
        <w:pStyle w:val="TextBody"/>
        <w:bidi w:val="0"/>
        <w:spacing w:before="160" w:after="160"/>
        <w:jc w:val="left"/>
        <w:rPr>
          <w:rFonts w:ascii="Times New Roman" w:hAnsi="Times New Roman"/>
          <w:b/>
          <w:color w:val="000000"/>
          <w:sz w:val="20"/>
        </w:rPr>
      </w:pPr>
      <w:r>
        <w:rPr>
          <w:rFonts w:ascii="Times New Roman" w:hAnsi="Times New Roman"/>
          <w:b/>
          <w:color w:val="000000"/>
          <w:sz w:val="20"/>
        </w:rPr>
        <w:t>Note 1 — Organization and Basis of Presentation</w:t>
      </w:r>
    </w:p>
    <w:p>
      <w:pPr>
        <w:pStyle w:val="TextBody"/>
        <w:bidi w:val="0"/>
        <w:jc w:val="left"/>
        <w:rPr>
          <w:rFonts w:ascii="Times New Roman" w:hAnsi="Times New Roman"/>
          <w:color w:val="000000"/>
          <w:sz w:val="20"/>
        </w:rPr>
      </w:pPr>
      <w:r>
        <w:rPr>
          <w:rFonts w:ascii="Times New Roman" w:hAnsi="Times New Roman"/>
          <w:color w:val="000000"/>
          <w:sz w:val="20"/>
        </w:rPr>
        <w:t>LifeVantage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Iceland. The Company also sells its products in a number of countries to consumers for personal consumption only.</w:t>
      </w:r>
    </w:p>
    <w:p>
      <w:pPr>
        <w:pStyle w:val="TextBody"/>
        <w:bidi w:val="0"/>
        <w:spacing w:before="160" w:after="283"/>
        <w:jc w:val="left"/>
        <w:rPr>
          <w:rFonts w:ascii="Times New Roman" w:hAnsi="Times New Roman"/>
          <w:sz w:val="20"/>
        </w:rPr>
      </w:pPr>
      <w:r>
        <w:rPr>
          <w:rFonts w:ascii="Times New Roman" w:hAnsi="Times New Roman"/>
          <w:color w:val="000000"/>
          <w:sz w:val="20"/>
        </w:rPr>
        <w:t>The Company engages in the identification, research, development, formulation and sale of advanced nutrigenomic activators, dietary supplements, weight management products, pre- and pro-biotics, skin and hair care products and nootropics. The Company’s line of scientifically validated dietary supplements includes its flagship Protandim</w:t>
      </w:r>
      <w:r>
        <w:rPr>
          <w:rFonts w:ascii="Times New Roman" w:hAnsi="Times New Roman"/>
          <w:color w:val="000000"/>
          <w:sz w:val="13"/>
        </w:rPr>
        <w:t xml:space="preserve">® </w:t>
      </w:r>
      <w:r>
        <w:rPr>
          <w:rFonts w:ascii="Times New Roman" w:hAnsi="Times New Roman"/>
          <w:color w:val="000000"/>
          <w:sz w:val="20"/>
        </w:rPr>
        <w:t>family of products, its LifeVantage</w:t>
      </w:r>
      <w:r>
        <w:rPr>
          <w:rFonts w:ascii="Times New Roman" w:hAnsi="Times New Roman"/>
          <w:color w:val="000000"/>
          <w:sz w:val="13"/>
        </w:rPr>
        <w:t>®</w:t>
      </w:r>
      <w:r>
        <w:rPr>
          <w:rFonts w:ascii="Times New Roman" w:hAnsi="Times New Roman"/>
          <w:color w:val="000000"/>
          <w:sz w:val="20"/>
        </w:rPr>
        <w:t xml:space="preserve"> line of dietary supplements that include the MindBody GLP-1 System</w:t>
      </w:r>
      <w:r>
        <w:rPr>
          <w:rFonts w:ascii="Times New Roman" w:hAnsi="Times New Roman"/>
          <w:color w:val="000000"/>
          <w:sz w:val="13"/>
        </w:rPr>
        <w:t>®</w:t>
      </w:r>
      <w:r>
        <w:rPr>
          <w:rFonts w:ascii="Times New Roman" w:hAnsi="Times New Roman"/>
          <w:color w:val="000000"/>
          <w:sz w:val="20"/>
        </w:rPr>
        <w:t>, Omega+, ProBio, IC Bright</w:t>
      </w:r>
      <w:r>
        <w:rPr>
          <w:rFonts w:ascii="Times New Roman" w:hAnsi="Times New Roman"/>
          <w:color w:val="000000"/>
          <w:sz w:val="13"/>
        </w:rPr>
        <w:t>®</w:t>
      </w:r>
      <w:r>
        <w:rPr>
          <w:rFonts w:ascii="Times New Roman" w:hAnsi="Times New Roman"/>
          <w:color w:val="000000"/>
          <w:sz w:val="20"/>
        </w:rPr>
        <w:t>, the Rise AM &amp; Reset PM System</w:t>
      </w:r>
      <w:r>
        <w:rPr>
          <w:rFonts w:ascii="Times New Roman" w:hAnsi="Times New Roman"/>
          <w:color w:val="000000"/>
          <w:sz w:val="13"/>
        </w:rPr>
        <w:t>®</w:t>
      </w:r>
      <w:r>
        <w:rPr>
          <w:rFonts w:ascii="Times New Roman" w:hAnsi="Times New Roman"/>
          <w:color w:val="000000"/>
          <w:sz w:val="20"/>
        </w:rPr>
        <w:t>, D3+, and Daily Wellness, and PhysIQ</w:t>
      </w:r>
      <w:r>
        <w:rPr>
          <w:rFonts w:ascii="Times New Roman" w:hAnsi="Times New Roman"/>
          <w:color w:val="000000"/>
          <w:sz w:val="13"/>
        </w:rPr>
        <w:t></w:t>
      </w:r>
      <w:r>
        <w:rPr>
          <w:rFonts w:ascii="Times New Roman" w:hAnsi="Times New Roman"/>
          <w:color w:val="000000"/>
          <w:sz w:val="20"/>
        </w:rPr>
        <w:t xml:space="preserve"> Fat Burn and Prebiotic dietary supplements. TrueScience</w:t>
      </w:r>
      <w:r>
        <w:rPr>
          <w:rFonts w:ascii="Times New Roman" w:hAnsi="Times New Roman"/>
          <w:color w:val="000000"/>
          <w:sz w:val="13"/>
        </w:rPr>
        <w:t xml:space="preserve">® </w:t>
      </w:r>
      <w:r>
        <w:rPr>
          <w:rFonts w:ascii="Times New Roman" w:hAnsi="Times New Roman"/>
          <w:color w:val="000000"/>
          <w:sz w:val="20"/>
        </w:rPr>
        <w:t>is the Company’s line of skin and hair care products and Liquid Collagen. The Company also markets and sells Petandim</w:t>
      </w:r>
      <w:r>
        <w:rPr>
          <w:rFonts w:ascii="Times New Roman" w:hAnsi="Times New Roman"/>
          <w:color w:val="000000"/>
          <w:sz w:val="13"/>
        </w:rPr>
        <w:t>®</w:t>
      </w:r>
      <w:r>
        <w:rPr>
          <w:rFonts w:ascii="Times New Roman" w:hAnsi="Times New Roman"/>
          <w:color w:val="000000"/>
          <w:sz w:val="20"/>
        </w:rPr>
        <w:t>, its companion pet supplement formulated to combat oxidative stress in dogs; AXIO</w:t>
      </w:r>
      <w:r>
        <w:rPr>
          <w:rFonts w:ascii="Times New Roman" w:hAnsi="Times New Roman"/>
          <w:color w:val="000000"/>
          <w:sz w:val="13"/>
        </w:rPr>
        <w:t>®</w:t>
      </w:r>
      <w:r>
        <w:rPr>
          <w:rFonts w:ascii="Times New Roman" w:hAnsi="Times New Roman"/>
          <w:color w:val="000000"/>
          <w:sz w:val="20"/>
        </w:rPr>
        <w:t>, its nootropic energy drink mixes; and LoveBiome</w:t>
      </w:r>
      <w:r>
        <w:rPr>
          <w:rFonts w:ascii="Times New Roman" w:hAnsi="Times New Roman"/>
          <w:color w:val="000000"/>
          <w:sz w:val="13"/>
        </w:rPr>
        <w:t>®</w:t>
      </w:r>
      <w:r>
        <w:rPr>
          <w:rFonts w:ascii="Times New Roman" w:hAnsi="Times New Roman"/>
          <w:color w:val="000000"/>
          <w:sz w:val="20"/>
        </w:rPr>
        <w:t xml:space="preserve"> P84 and PhytoPower B, dietary supplements acquired pursuant to the purchase of LoveBiome’s critical assets formulated to support gut health.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March 31, 2026, and the results of operations for the three and nine months ended March 31, 2026 and 2025, and the cash flows for the nine months ended March 31, 2026 and 2025. Interim results are not necessarily indicative of results for a full year or for any future period.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condensed consolidated financial statements and notes included herein are presented as required by Form 10-Q, and do not contain certain information included in the Company’s audited financial statements and notes for the fiscal year ended June 30, 2025, pursuant to the rules and regulations of the SEC. For further information, refer to the financial statements and notes thereto as of and for the year ended June 30, 2025, and included in the annual report on Form 10-K on file with the SEC.</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Consolidation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the Company and its wholly-owned subsidiaries. All significant intercompany accounts and transactions are eliminated in consolidation.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Foreign Currency Translation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March 31, 2026 and 2025, net foreign currency losses of approximately $45,000 and $3,000, respectively, are recorded in other expense, net. For the nine months ended March 31, 2026 and 2025, net foreign currency losses of approximately $0.2 million and $0.5 million, respectively, are recorded in other expense, net.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considers only its monetary liquid assets with original maturities of three months or less as cash equivalents.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Accounting guidance for financial instruments requires disclosure of significant concentrations of credit risk regardless of the degree of such risk. Financial instruments with significant credit risk include cash and investments. At March 31, 2026, the Company had $10.5 million in cash accounts at one financial institution and $2.0 million in accounts at other financial institutions. At June 30, 2025, the Company had $17.0 million in cash accounts at one financial institution and $3.2 million in accounts at other financial institutions. As of March 31, 2026 and June 30, 2025, and during the periods then ended, the Company’s cash balances exceeded federally insured limits.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accounts receivable as of March 31, 2026 and June 30, 2025 consist primarily of credit card receivables. Based on the Company’s verification process for customer credit cards and historical information available, management has determined that an allowance for doubtful accounts on credit card sales related to its customer sales as of March 31, 2026 and June 30, 2025 is not necessary. No bad debt expense was recorded during the three and nine months ended March 31, 2026 and 2025.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Inventory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March 31, 2026 and June 30, 2025, inventory consisted of (in thousands):</w:t>
      </w:r>
    </w:p>
    <w:p>
      <w:pPr>
        <w:pStyle w:val="TextBody"/>
        <w:bidi w:val="0"/>
        <w:jc w:val="left"/>
        <w:rPr/>
      </w:pPr>
      <w:r>
        <w:rPr/>
        <w:t> </w:t>
      </w:r>
    </w:p>
    <w:tbl>
      <w:tblPr>
        <w:tblW w:w="6467" w:type="dxa"/>
        <w:jc w:val="left"/>
        <w:tblInd w:w="0" w:type="dxa"/>
        <w:tblLayout w:type="fixed"/>
        <w:tblCellMar>
          <w:top w:w="28" w:type="dxa"/>
          <w:left w:w="28" w:type="dxa"/>
          <w:bottom w:w="28" w:type="dxa"/>
          <w:right w:w="28" w:type="dxa"/>
        </w:tblCellMar>
      </w:tblPr>
      <w:tblGrid>
        <w:gridCol w:w="1596"/>
        <w:gridCol w:w="146"/>
        <w:gridCol w:w="211"/>
        <w:gridCol w:w="676"/>
        <w:gridCol w:w="146"/>
        <w:gridCol w:w="146"/>
        <w:gridCol w:w="146"/>
        <w:gridCol w:w="571"/>
        <w:gridCol w:w="271"/>
        <w:gridCol w:w="146"/>
        <w:gridCol w:w="211"/>
        <w:gridCol w:w="676"/>
        <w:gridCol w:w="146"/>
        <w:gridCol w:w="146"/>
        <w:gridCol w:w="146"/>
        <w:gridCol w:w="571"/>
        <w:gridCol w:w="516"/>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are carried at the lower of cost or net realizable value, using the first-in, first-out method, which includes a reduction in inventory values of $3.1 million and $0.5 million at March 31, 2026 and June 30, 2025, respectively, related to obsolete and slow-moving inventory.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Level 1—Quoted prices for identical instruments in active markets;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Level 3—Valuations derived from valuation techniques in which one or more significant inputs or significant value drivers are unobservable.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financial instruments, consisting primarily of cash and cash equivalents, accounts receivable, and accounts payable, approximate fair value due to their short-term nature.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Revenue is recognized when control of the promised goods or services is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pStyle w:val="TextBody"/>
        <w:bidi w:val="0"/>
        <w:spacing w:before="160" w:after="283"/>
        <w:jc w:val="left"/>
        <w:rPr>
          <w:rFonts w:ascii="Times New Roman" w:hAnsi="Times New Roman"/>
          <w:sz w:val="20"/>
        </w:rPr>
      </w:pPr>
      <w:r>
        <w:rPr>
          <w:rFonts w:ascii="Times New Roman" w:hAnsi="Times New Roman"/>
          <w:color w:val="000000"/>
          <w:sz w:val="20"/>
        </w:rPr>
        <w:t>The Company generates the majority of its revenue through product sales to customers. These products include the Protandim</w:t>
      </w:r>
      <w:r>
        <w:rPr>
          <w:rFonts w:ascii="Times New Roman" w:hAnsi="Times New Roman"/>
          <w:color w:val="000000"/>
          <w:sz w:val="13"/>
        </w:rPr>
        <w:t xml:space="preserve">® </w:t>
      </w:r>
      <w:r>
        <w:rPr>
          <w:rFonts w:ascii="Times New Roman" w:hAnsi="Times New Roman"/>
          <w:color w:val="000000"/>
          <w:sz w:val="20"/>
        </w:rPr>
        <w:t>line of dietary supplements, the LifeVantage</w:t>
      </w:r>
      <w:r>
        <w:rPr>
          <w:rFonts w:ascii="Times New Roman" w:hAnsi="Times New Roman"/>
          <w:color w:val="000000"/>
          <w:sz w:val="13"/>
        </w:rPr>
        <w:t>®</w:t>
      </w:r>
      <w:r>
        <w:rPr>
          <w:rFonts w:ascii="Times New Roman" w:hAnsi="Times New Roman"/>
          <w:color w:val="000000"/>
          <w:sz w:val="20"/>
        </w:rPr>
        <w:t xml:space="preserve"> line of dietary supplements that include the MindBody GLP-1 System</w:t>
      </w:r>
      <w:r>
        <w:rPr>
          <w:rFonts w:ascii="Times New Roman" w:hAnsi="Times New Roman"/>
          <w:color w:val="000000"/>
          <w:sz w:val="13"/>
        </w:rPr>
        <w:t>®</w:t>
      </w:r>
      <w:r>
        <w:rPr>
          <w:rFonts w:ascii="Times New Roman" w:hAnsi="Times New Roman"/>
          <w:color w:val="000000"/>
          <w:sz w:val="20"/>
        </w:rPr>
        <w:t>, Omega+, ProBio, IC Bright</w:t>
      </w:r>
      <w:r>
        <w:rPr>
          <w:rFonts w:ascii="Times New Roman" w:hAnsi="Times New Roman"/>
          <w:color w:val="000000"/>
          <w:sz w:val="13"/>
        </w:rPr>
        <w:t>®</w:t>
      </w:r>
      <w:r>
        <w:rPr>
          <w:rFonts w:ascii="Times New Roman" w:hAnsi="Times New Roman"/>
          <w:color w:val="000000"/>
          <w:sz w:val="20"/>
        </w:rPr>
        <w:t>, the Rise AM &amp; Reset PM System</w:t>
      </w:r>
      <w:r>
        <w:rPr>
          <w:rFonts w:ascii="Times New Roman" w:hAnsi="Times New Roman"/>
          <w:color w:val="000000"/>
          <w:sz w:val="13"/>
        </w:rPr>
        <w:t>®</w:t>
      </w:r>
      <w:r>
        <w:rPr>
          <w:rFonts w:ascii="Times New Roman" w:hAnsi="Times New Roman"/>
          <w:color w:val="000000"/>
          <w:sz w:val="20"/>
        </w:rPr>
        <w:t>, D3+, and Daily Wellness, PhysIQ</w:t>
      </w:r>
      <w:r>
        <w:rPr>
          <w:rFonts w:ascii="Times New Roman" w:hAnsi="Times New Roman"/>
          <w:color w:val="000000"/>
          <w:sz w:val="13"/>
        </w:rPr>
        <w:t></w:t>
      </w:r>
      <w:r>
        <w:rPr>
          <w:rFonts w:ascii="Times New Roman" w:hAnsi="Times New Roman"/>
          <w:color w:val="000000"/>
          <w:sz w:val="20"/>
        </w:rPr>
        <w:t xml:space="preserve"> Fat Burn and Prebiotic dietary supplements, TrueScience</w:t>
      </w:r>
      <w:r>
        <w:rPr>
          <w:rFonts w:ascii="Times New Roman" w:hAnsi="Times New Roman"/>
          <w:color w:val="000000"/>
          <w:sz w:val="13"/>
        </w:rPr>
        <w:t>®</w:t>
      </w:r>
      <w:r>
        <w:rPr>
          <w:rFonts w:ascii="Times New Roman" w:hAnsi="Times New Roman"/>
          <w:color w:val="000000"/>
          <w:sz w:val="20"/>
        </w:rPr>
        <w:t xml:space="preserve"> skin and hair care products and Liquid Collagen, Petandim</w:t>
      </w:r>
      <w:r>
        <w:rPr>
          <w:rFonts w:ascii="Times New Roman" w:hAnsi="Times New Roman"/>
          <w:color w:val="000000"/>
          <w:sz w:val="13"/>
        </w:rPr>
        <w:t>®</w:t>
      </w:r>
      <w:r>
        <w:rPr>
          <w:rFonts w:ascii="Times New Roman" w:hAnsi="Times New Roman"/>
          <w:color w:val="000000"/>
          <w:sz w:val="20"/>
        </w:rPr>
        <w:t>, its companion pet supplement formulated to combat oxidative stress in dogs, AXIO</w:t>
      </w:r>
      <w:r>
        <w:rPr>
          <w:rFonts w:ascii="Times New Roman" w:hAnsi="Times New Roman"/>
          <w:color w:val="000000"/>
          <w:sz w:val="13"/>
        </w:rPr>
        <w:t>®</w:t>
      </w:r>
      <w:r>
        <w:rPr>
          <w:rFonts w:ascii="Times New Roman" w:hAnsi="Times New Roman"/>
          <w:color w:val="000000"/>
          <w:sz w:val="20"/>
        </w:rPr>
        <w:t xml:space="preserve"> nootropic energy drink mixes, and LoveBiome</w:t>
      </w:r>
      <w:r>
        <w:rPr>
          <w:rFonts w:ascii="Times New Roman" w:hAnsi="Times New Roman"/>
          <w:color w:val="000000"/>
          <w:sz w:val="13"/>
        </w:rPr>
        <w:t>®</w:t>
      </w:r>
      <w:r>
        <w:rPr>
          <w:rFonts w:ascii="Times New Roman" w:hAnsi="Times New Roman"/>
          <w:color w:val="000000"/>
          <w:sz w:val="20"/>
        </w:rPr>
        <w:t xml:space="preserve"> P84 and PhytoPower B, dietary supplements acquired pursuant to the purchase of LoveBiome’s critical assets formulated to support gut health.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Contract liabilities, recorded as deferred revenue, include loyalty program credit deferrals with certain customers which are accounted for as a reduction in the transaction price and are generally recognized as credits which are redeemed for additional products at a later date. The Company also records deferred revenue when cash payments are received or due in advance of performance, including amounts that are refundable. In addition, 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Deferred revenue is included in accrued expenses in the consolidated balance sheets. The balance of deferred revenue related to contract liabilities was $1.0 million and $0.7 million as of March 31, 2026 and June 30, 2025, respectively. The contract liabilities' impact to revenue for the three months ended March 31, 2026 and 2025 was a decrease of $0.3 million and an increase of $0.1 million, respectively. The contract liabilities' impact to revenue for the nine months ended March 31, 2026 and 2025 was a decrease of $0.3 million and $0.5 million,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Estimated returns are recorded when a product is shipped. Subject to some exceptions based on local regulations, the Company’s return policy is to provide a full refund for a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March 31, 2026 and June 30, 2025, the returns liability reserve, net was $0.2 million and $0.2 million, respectively.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Shipping and Handling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Shipping and handling costs associated with inbound freight and freight out to customers and independent consultants are included in cost of sales. Shipping and handling fees charged to customers and independent consultants are included in revenue.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expenses all costs related to research and development activities, as incurred. Research and development expenses for the three months ended March 31, 2026 and 2025 were $0.2 million and $0.4 million, respectively. Research and development expenses for the nine months ended March 31, 2026 and 2025 were $0.8 million and $1.0 million, respectively.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Black-Scholes option pricing model is used to estimate the fair value of stock options and options under the Company’s 2019 Employee Stock Purchase Plan (as amended, the “2019 ESPP”).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the three months ended March 31, 2026 and 2025, the Company recognized income tax expense of $0.3 million and $0.7 million, respectively. For the nine months ended March 31, 2026 and 2025, the Company recognized income tax expense of $0.6 million and $2.0 million, respectively. Tax expenses are reflective of the Company’s current estimated federal, state and foreign effective tax rate. Realization of deferred tax assets is dependent upon future earnings in specific tax jurisdictions, the timing and amount of which are uncertain.</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Income Per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the three months ended March 31, 2026 and 2025, the effects of approximately 0.2 million and zero common shares, respectively, issuable upon exercise of options and non-vested shares of restricted stock are not included in computations as their effect was anti-dilutive. For the nine months ended March 31, 2026 and 2025, the effects of approximately 0.2 million and 0.1 million common shares, respectively, issuable upon exercise of options and non-vested shares of restricted stock are not included in computations as their effect was anti-dilutive.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is a reconciliation of net income per share and the weighted-average common shares outstanding for purposes of computing basic and diluted net income per share (in thousands, except per share amounts):</w:t>
      </w:r>
    </w:p>
    <w:p>
      <w:pPr>
        <w:pStyle w:val="TextBody"/>
        <w:bidi w:val="0"/>
        <w:jc w:val="left"/>
        <w:rPr/>
      </w:pPr>
      <w:r>
        <w:rPr/>
        <w:t> </w:t>
      </w:r>
    </w:p>
    <w:tbl>
      <w:tblPr>
        <w:tblW w:w="9527" w:type="dxa"/>
        <w:jc w:val="left"/>
        <w:tblInd w:w="0" w:type="dxa"/>
        <w:tblLayout w:type="fixed"/>
        <w:tblCellMar>
          <w:top w:w="28" w:type="dxa"/>
          <w:left w:w="28" w:type="dxa"/>
          <w:bottom w:w="28" w:type="dxa"/>
          <w:right w:w="28" w:type="dxa"/>
        </w:tblCellMar>
      </w:tblPr>
      <w:tblGrid>
        <w:gridCol w:w="4566"/>
        <w:gridCol w:w="146"/>
        <w:gridCol w:w="211"/>
        <w:gridCol w:w="676"/>
        <w:gridCol w:w="146"/>
        <w:gridCol w:w="146"/>
        <w:gridCol w:w="211"/>
        <w:gridCol w:w="676"/>
        <w:gridCol w:w="146"/>
        <w:gridCol w:w="146"/>
        <w:gridCol w:w="211"/>
        <w:gridCol w:w="676"/>
        <w:gridCol w:w="146"/>
        <w:gridCol w:w="146"/>
        <w:gridCol w:w="211"/>
        <w:gridCol w:w="676"/>
        <w:gridCol w:w="391"/>
      </w:tblGrid>
      <w:tr>
        <w:trPr/>
        <w:tc>
          <w:tcPr>
            <w:tcW w:w="4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awards and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December 2023, the Financial Accounting Standards Board (“FASB”) issued Accounting Standards Update (“ASU”) 2023-09, Income Taxes (Topic 740): Improvements to Income Tax Disclosures (“ASU 2023-09”).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July 1, 2025, with early adoption permitted. The Company is currently evaluating the potential effect that the updated standard will have on its financial statement disclosures.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(“ASU 2024-03”). The guidance requires disclosure, in the notes to financial statements, of specific information about certain costs and expenses at each interim and annual reporting period. ASU 2024-03 is effective for the Company’s annual periods beginning July 1, 2027, with early adoption permitted. The Company is currently evaluating the potential effect that the updated standard will have on its financial statement disclosures.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 Internal-Use Software (Subtopic 350-40): Targeted Improvements to the Accounting for Internal-Use Software. (“ASU 2025-06”). The amendments in this ASU are intended to improve the operability of the guidance by removing all references to software development project stages so that the guidance is neutral to different software development methods, including methods that entities may use to develop software in the future. Therefore, the amendments require that an entity capitalize software costs when both: management has authorized and committed to funding the software project; and it is probable that the project will be completed and the software will be used to perform the function intended. The Company has elected to early adopt ASU 2025-06 for the current fiscal year and will transition using the prospective transition approach.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Other recently issued accounting pronouncements did not or are not believed by management to have a material impact on the Company’s present or future financial statements.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3 — Leases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has operating leases for current corporate offices and certain equipment. These leases have remaining terms of approximately one to six years. As of March 31, 2026, the weighted average remaining lease term and weighted average discount rate for operating leases was 5.42 years and 3.23%, respectively. As of June 30, 2025, the weighted average remaining lease term and weighted average discount rate for operating leases was 5.91 years and 3.17%,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the three months ended March 31, 2026 and 2025, operating lease expense was $0.5 million and $0.5 million, respectively. For the nine months ended March 31, 2026 and 2025, operating lease expense was $1.4 million and $1.5 million, respectively. The components of lease expense for the three and nine months ended March 31, 2026 and 2025, were as follows (in thousands):</w:t>
      </w:r>
    </w:p>
    <w:p>
      <w:pPr>
        <w:pStyle w:val="TextBody"/>
        <w:bidi w:val="0"/>
        <w:jc w:val="left"/>
        <w:rPr/>
      </w:pPr>
      <w:r>
        <w:rPr/>
        <w:t> </w:t>
      </w:r>
    </w:p>
    <w:tbl>
      <w:tblPr>
        <w:tblW w:w="6645" w:type="dxa"/>
        <w:jc w:val="left"/>
        <w:tblInd w:w="0" w:type="dxa"/>
        <w:tblLayout w:type="fixed"/>
        <w:tblCellMar>
          <w:top w:w="28" w:type="dxa"/>
          <w:left w:w="28" w:type="dxa"/>
          <w:bottom w:w="28" w:type="dxa"/>
          <w:right w:w="28" w:type="dxa"/>
        </w:tblCellMar>
      </w:tblPr>
      <w:tblGrid>
        <w:gridCol w:w="2086"/>
        <w:gridCol w:w="146"/>
        <w:gridCol w:w="254"/>
        <w:gridCol w:w="507"/>
        <w:gridCol w:w="176"/>
        <w:gridCol w:w="176"/>
        <w:gridCol w:w="254"/>
        <w:gridCol w:w="507"/>
        <w:gridCol w:w="146"/>
        <w:gridCol w:w="146"/>
        <w:gridCol w:w="211"/>
        <w:gridCol w:w="571"/>
        <w:gridCol w:w="146"/>
        <w:gridCol w:w="146"/>
        <w:gridCol w:w="211"/>
        <w:gridCol w:w="571"/>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jc w:val="left"/>
        <w:rPr/>
      </w:pPr>
      <w:r>
        <w:rPr/>
        <w:t> </w:t>
      </w:r>
    </w:p>
    <w:tbl>
      <w:tblPr>
        <w:tblW w:w="8215" w:type="dxa"/>
        <w:jc w:val="left"/>
        <w:tblInd w:w="0" w:type="dxa"/>
        <w:tblLayout w:type="fixed"/>
        <w:tblCellMar>
          <w:top w:w="28" w:type="dxa"/>
          <w:left w:w="28" w:type="dxa"/>
          <w:bottom w:w="28" w:type="dxa"/>
          <w:right w:w="28" w:type="dxa"/>
        </w:tblCellMar>
      </w:tblPr>
      <w:tblGrid>
        <w:gridCol w:w="3856"/>
        <w:gridCol w:w="146"/>
        <w:gridCol w:w="254"/>
        <w:gridCol w:w="507"/>
        <w:gridCol w:w="176"/>
        <w:gridCol w:w="176"/>
        <w:gridCol w:w="254"/>
        <w:gridCol w:w="507"/>
        <w:gridCol w:w="146"/>
        <w:gridCol w:w="146"/>
        <w:gridCol w:w="211"/>
        <w:gridCol w:w="571"/>
        <w:gridCol w:w="146"/>
        <w:gridCol w:w="146"/>
        <w:gridCol w:w="211"/>
        <w:gridCol w:w="571"/>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outflows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Maturity of lease liabilities at March 31, 2026 are as follows (in thousands):</w:t>
      </w:r>
    </w:p>
    <w:p>
      <w:pPr>
        <w:pStyle w:val="TextBody"/>
        <w:bidi w:val="0"/>
        <w:jc w:val="left"/>
        <w:rPr/>
      </w:pPr>
      <w:r>
        <w:rPr/>
        <w:t> </w:t>
      </w:r>
    </w:p>
    <w:tbl>
      <w:tblPr>
        <w:tblW w:w="5670" w:type="dxa"/>
        <w:jc w:val="left"/>
        <w:tblInd w:w="0" w:type="dxa"/>
        <w:tblLayout w:type="fixed"/>
        <w:tblCellMar>
          <w:top w:w="28" w:type="dxa"/>
          <w:left w:w="28" w:type="dxa"/>
          <w:bottom w:w="28" w:type="dxa"/>
          <w:right w:w="28" w:type="dxa"/>
        </w:tblCellMar>
      </w:tblPr>
      <w:tblGrid>
        <w:gridCol w:w="4426"/>
        <w:gridCol w:w="146"/>
        <w:gridCol w:w="211"/>
        <w:gridCol w:w="676"/>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three months ending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4 — Long-Term Debt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April 12, 2024, the Company entered into a Loan Agreement (the “Loan Agreement”), as amended, with Bank of America, N.A., as Lender (the “Lender”). In connection with the Loan Agreement and on the same date, the Company,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Continuing and Unconditional Guaranty and the Security and Pledge Agreement the “2024 Credit Facility”).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September 22, 2025, the Company entered into an amendment to the Loan Agreement, which amended the 2024 Credit Facility (“Amendment No. 1”) to allow the proceeds of the credit to be also used for permitted acquisitions. On September 22, 2025, the Company also entered into a collateral assignment of, and grant of security interest in, the LoveBiome assets purchased by the Company.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event the Company borrows under the Line of Credit, interest will be payable commencing on the last day of each month following such borrowing until payment in full of all principal outstanding under the Line of Credit, with all unpaid principal and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interest due on April 12, 2027 (the “Expiration Date”). The Line of Credit will bear interest at a rate per year equal to the sum of (i) the greater of the Term Secured Overnight Financing Rate Daily Floating Rate (as defined in the Loan Agreement) or 0.00%, plus (ii) 2.00%. Amounts under the Line of Credit may be repaid and re-borrowed from time to time until the Expiration Date. As of March 31, 2026, the effective interest rate is 5.68%.</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obligations under the Loan Agreement are secured by a security interest in substantially all of the assets of the Company and the Guarantor, and by a pledge of the membership interests of the Company’s subsidiaries, as further provided for in the Security and Pledge Agreement. Pursuant to the Continuing and Unconditional Guaranty, the Guarantor guarantees and promises to pay promptly to the Lender all indebtedness of the Company when due.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Loan Agreement contains customary covenants, both affirmative and negative, that, among other things, restrict the Company’s ability to deal with the Company’s assets outside of the ordinary course, incur additional indebtedness, grant liens on the Company’s assets, make certain investments, purchase or otherwise acquire all or substantially all the assets or equity interests of other companies, and enter into consolidations, mergers or other combinations. The Loan Agreement requires that the Company maintain specified financial ratios and satisfy certain financial condition tests.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Loan Agreement contains certain customary events of default, including, among other things, failure of the Company to make required payments under the Loan Agreement, certain breaches of representations made by the Company or the Guarantor, insolvency or bankruptcy of the Company or the Guarantor, failure to have an enforceable first lien or security interest in any property given as security for the Loan Agreement, or failure of the Company to comply with covenants set forth in the Loan Agreement. If an event of default occurs under the Loan Agreement, the obligation of the Lender to make any additional credit available to the Company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March 31, 2026, the Company was in compliance with its financial covenants under the 2024 Credit Facility. As of March 31, 2026, there was no balance outstanding on the 2024 Credit Facility.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5 — Stockholders’ Equity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During the three months ended March 31, 2026 and 2025, the Company issued 23,000 and 0.1 million shares of common stock, respectively, under Company stock plans. During the three months ended March 31, 2026 and 2025, the Company issued zero shares of common stock upon the exercise of stock options. During the three months ended March 31, 2026 and 2025, 16,000 and 44,000 shares of restricted stock, respectively, were canceled or surrendered as payment of tax withholding upon vesting of equity awards.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During the nine months ended March 31, 2026 and 2025, the Company issued 0.7 million and 0.3 million shares of common stock, respectively, under Company stock plans. During the nine months ended March 31, 2026 and 2025, the Company issued zero shares of common stock upon the exercise of stock options. During the nine months ended March 31, 2026 and 2025, 0.3 million and 0.2 million shares of restricted stock, respectively, were canceled or surrendered as payment of tax withholding upon vesting of equity awards.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January 2026, the Company’s board of directors (the “Board of Directors”) approved a new stock repurchase program, which replaced the Company’s previous stock repurchase program in its entirety to repurchase up to $60.0 million shares of common stock through December 31, 2027. During the three and nine months ended March 31, 2026, the Company purchased 0.2 million and 0.3 million shares of common stock at an aggregate price of $1.0 million and $1.6 million, respectively, under the applicable repurchase program. During the three and nine months ended March 31, 2025, the Company purchased zero and 0.1 million shares of common stock at an aggregate price of zero and $1.1 million, respectively, under the previous repurchase program. At March 31, 2026, there was $59.0 million remaining under the new stock repurchase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August 30, 2023, the Board of Directors approved a stockholder rights agreement (the “Rights Plan”) and declared a dividend of one right for each outstanding share of common stock to stockholders of record on September 11, 2023. Each right entitled holders to purchase one newly issued share of preferred stock at an exercise price of $20 per right, subject to adjustment. Initially, the rights were not exercisable and traded with shares of the Company’s common stock.</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general, the rights would have become exercisable following a public announcement that a person acquires 12% (or, in the case of passive investors, 20%) or more of the outstanding shares of the Company’s common stock. If a person became an acquiring person, each holder of rights (except the acquiring person) would have had the right to purchase, for the purchase price, a number of shares of the Company’s common stock at a 50% discount to the then-current trading price. Rather than allowing the rights to be exercised in those circumstances, the Board of Directors could exchange each right, other than the rights owned by the acquiring person, for a share of the Company’s common stock. The agreement provided for exceptions and additional terms for other certain situations and circumstances.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Rights Plan was intended to protect the interests of LifeVantage and its stockholders by reducing the likelihood that any entity, person or group gains control of the Company through open-market accumulation or other means without payment of an adequate control premium and expired on August 28, 2024. There was no impact to the Company’s Consolidated Financial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Certificate of Incorporation authorizes the issuance of preferred stock. However, as of March 31, 2026, none have been issued nor have any rights or preferences been assigned to the preferred stock by the Board of Directors.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August 2025, the Board of Directors declared a quarterly cash dividend of $0.045 per share of common stock that was paid on September 16, 2025 to stockholders of record on September 8, 2025. In November 2025, the Board of Directors declared a quarterly cash dividend of $0.045 per share of common stock that was paid on December 15, 2025 to stockholders of record on December 1, 2025. In January 2026, the Board of Directors declared a quarterly cash dividend of $0.045 per share of common stock that was paid on March 16, 2026 to stockholders of record on March 2, 2026. Cash dividends for the three and nine months ended March 31, 2026 totaled $0.6 million and $1.7 million, or $0.045 and $0.135 per share of common stock, respectively. Cash dividends for the three and nine months ended March 31, 2025 totaled $0.5 million and $1.5 million, or $0.04 and $0.12 per share of common stock, respectively.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declaration of dividends is subject to the discretion of the Board of Directors and will depend upon various factors, including the Company’s earnings, financial condition, restrictions imposed by any indebtedness that may be outstanding, cash requirements, future prospects and other factors deemed relevant by the Board of Directors.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6 — Stock-Based Compensation</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Long-Term Incentive Plans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Equity-Settled Plans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Board of Directors adopted, and the Company’s stockholders approved, the 2017 Long-Term Incentive Plan (as amended, the “2017 Plan”), effective February 16, 2017, to provide incentives to eligible employees, directors and consultants. The initial shares reserved under the 2017 Plan was (i) 650,000 shares plus (ii) 475,000 shares previously reserved for issuance under the Company’s 2010 Long Term Incentive Plan (the “2010 Plan”), including upon cancellation, termination or forfeiture of awards previously granted under the 2010 Plan, plus (iii) shares subject to forfeited or terminated awards, or shares that are withheld or surrendered from an award to pay an award’s exercise price or tax withholding obligations, in each case where such awards have been granted under the 2017 Plan. In February 2018, November 2018, November 2020, November 2022, November 2023, and November 2025, the Company’s stockholders approved amendments to the 2017 Plan to increase the number of shares of the Company’s common stock that are available for issuance under the 2017 Plan by 425,000, 715,000, 650,000, 1,052,000, 1,138,000, and 400,000 shares, respectively. Further, in November 2024, the Company’s stockholders approved an amendment to remove individual grant limitations under the 2017 Plan and certain performance-based provisions, both of which are no longer applicable following the repeal of the performance-based exemption in Section 162(m) of the Internal Revenue Code, as amended. As of March 31, 2026, an aggregate of 5,505,000 shares of the Company’s common stock were authorized to be issued under the 2017 Plan in connection with the grant of awards, which includes up to 475,000 shares previously reserved for issuance under the 2010 Plan, including shares returned upon cancellation, termination or forfeiture of awards that were previously granted under that plan.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March 31, 2026, there were stock option awards outstanding under the 2017 Plan, net of awards expired, for an aggregate of 0.1 million shares of the Company’s common stock. Outstanding stock options awarded under the 2017 Plan have exercise prices of $4.44 per share, and vest over a three-year vesting period. Awards expire in accordance with the terms of each award and, upon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expiration of the award, the shares subject to the award are added back to the 2017 Plan. The contractual term of stock options granted is generally ten years.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160" w:after="283"/>
        <w:jc w:val="left"/>
        <w:rPr>
          <w:rFonts w:ascii="Times New Roman" w:hAnsi="Times New Roman"/>
          <w:sz w:val="20"/>
        </w:rPr>
      </w:pPr>
      <w:r>
        <w:rPr>
          <w:rFonts w:ascii="Times New Roman" w:hAnsi="Times New Roman"/>
          <w:i/>
          <w:color w:val="000000"/>
          <w:sz w:val="20"/>
        </w:rPr>
        <w:t>General.</w:t>
      </w:r>
      <w:r>
        <w:rPr>
          <w:rFonts w:ascii="Times New Roman" w:hAnsi="Times New Roman"/>
          <w:color w:val="000000"/>
          <w:sz w:val="20"/>
        </w:rPr>
        <w:t xml:space="preserve"> The Company’s 2019 ESPP was adopted by the Board of Directors in September 2018 and the Company’s stockholders approved it in November 2018. In August 2024, the Board of Directors approved an amendment to the 2019 ESPP to increase the share reserve thereunder by 0.4 million shares, which amendment and increase was approved by the Company’s stockholders in November 2024. The 2019 ESPP is intended to qualify under Section 423 of the Internal Revenue Code.</w:t>
      </w:r>
    </w:p>
    <w:p>
      <w:pPr>
        <w:pStyle w:val="TextBody"/>
        <w:bidi w:val="0"/>
        <w:spacing w:before="160" w:after="283"/>
        <w:jc w:val="left"/>
        <w:rPr>
          <w:rFonts w:ascii="Times New Roman" w:hAnsi="Times New Roman"/>
          <w:sz w:val="20"/>
        </w:rPr>
      </w:pPr>
      <w:r>
        <w:rPr>
          <w:rFonts w:ascii="Times New Roman" w:hAnsi="Times New Roman"/>
          <w:i/>
          <w:color w:val="000000"/>
          <w:sz w:val="20"/>
        </w:rPr>
        <w:t>Share Reserve.</w:t>
      </w:r>
      <w:r>
        <w:rPr>
          <w:rFonts w:ascii="Times New Roman" w:hAnsi="Times New Roman"/>
          <w:color w:val="000000"/>
          <w:sz w:val="20"/>
        </w:rPr>
        <w:t xml:space="preserve"> The Company has reserved a total of 0.8 million shares of its common stock for issuance under the 2019 ESPP. As of March 31, 2026, 0.4 million shares were available for issuance. The number of shares reserved under the 2019 ESPP will automatically be adjusted in the event of a stock split, stock dividend or a reverse stock split (including an adjustment to the per-purchase period share limit).</w:t>
      </w:r>
    </w:p>
    <w:p>
      <w:pPr>
        <w:pStyle w:val="TextBody"/>
        <w:bidi w:val="0"/>
        <w:spacing w:before="160" w:after="283"/>
        <w:jc w:val="left"/>
        <w:rPr>
          <w:rFonts w:ascii="Times New Roman" w:hAnsi="Times New Roman"/>
          <w:sz w:val="20"/>
        </w:rPr>
      </w:pPr>
      <w:r>
        <w:rPr>
          <w:rFonts w:ascii="Times New Roman" w:hAnsi="Times New Roman"/>
          <w:i/>
          <w:color w:val="000000"/>
          <w:sz w:val="20"/>
        </w:rPr>
        <w:t>Purchase Price.</w:t>
      </w:r>
      <w:r>
        <w:rPr>
          <w:rFonts w:ascii="Times New Roman" w:hAnsi="Times New Roman"/>
          <w:color w:val="000000"/>
          <w:sz w:val="20"/>
        </w:rPr>
        <w:t xml:space="preserve"> Employees may purchase each share of common stock under the 2019 ESPP at a price equal to 85% of the lower of the fair market values of the stock as of the beginning or the end of the six-month offering periods. An employee’s contributions to the 2019 ESPP are limited to 15% of their regular hourly or salary compensation, and up to a maximum of 3,000 shares may be purchased during any offering period. A participant shall not be granted an option under the 2019 ESPP if such option would permit the participant’s rights to purchase stock to accrue at a rate exceeding $25,000 grant date fair market value of stock for each calendar year in which such option is outstanding at any time.</w:t>
      </w:r>
    </w:p>
    <w:p>
      <w:pPr>
        <w:pStyle w:val="TextBody"/>
        <w:bidi w:val="0"/>
        <w:spacing w:before="160" w:after="283"/>
        <w:jc w:val="left"/>
        <w:rPr>
          <w:rFonts w:ascii="Times New Roman" w:hAnsi="Times New Roman"/>
          <w:sz w:val="20"/>
        </w:rPr>
      </w:pPr>
      <w:r>
        <w:rPr>
          <w:rFonts w:ascii="Times New Roman" w:hAnsi="Times New Roman"/>
          <w:i/>
          <w:color w:val="000000"/>
          <w:sz w:val="20"/>
        </w:rPr>
        <w:t>Offering Periods.</w:t>
      </w:r>
      <w:r>
        <w:rPr>
          <w:rFonts w:ascii="Times New Roman" w:hAnsi="Times New Roman"/>
          <w:color w:val="000000"/>
          <w:sz w:val="20"/>
        </w:rPr>
        <w:t xml:space="preserve"> Unless otherwise determined by the compensation committee, the 2019 ESPP will be operated through a series of successive six-month offering periods, which will begin each year on March 1 and September 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During the three months ended March 31, 2026 and 2025, approximately 21,000 and 22,000 shares of common stock were issued under the 2019 ESPP, respectively. During the nine months ended March 31, 2026 and 2025, approximately 34,000 and 44,000 shares of common stock were issued under the 2019 ESPP, respectively.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Stock-Based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the three months ended March 31, 2026 and 2025, compensation of $0.7 million and $1.5 million, respectively, was reflected as an increase to additional paid-in capital, all of which was employee related. For the nine months ended March 31, 2026 and 2025, compensation of $2.1 million and $4.2 million, respectively, was reflected as an increase to additional paid-in capital, all of which was employee related.</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7 — Segment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operates in a single operating segment by selling products directly to customers through an international network of independent consultants that operate in an integrated manner. The Company manages its business primarily by managing its international network of independent consultants through similar commission plans. Most products available to customers in the United States are available to customers across all markets internationally. These products are purchased through third-party manufacturers by the Company's corporate office in the United States and sold to each international market. Pricing for all products is determined at the Company's corporate office in the United States. Accordingly, for disclosure purposes, the Company has a single reporting segment, which is reported on the Company’s consolidated financial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Chief Operating Decision Maker (“CODM”) is the Company’s Chief Executive Officer. The CODM regularly reviews consolidated financial information and performance used to make decisions about the Company as a whole and without distinguishing or grouping of operations based on asset type, revenue, geographic location, tenant or other factors.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CODM evaluates performance through consolidated financial budget-to-actual variances on a monthly and quarterly basis and allocates resources based on net income as reported in the consolidated statements of operations. The measure of segment assets is reported on the balance sheet as total consolidated assets. Total expenditures for long-lived assets are reported on the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presents the Company’s segment revenue and expenses and segment net income for the three and nine months ended March 31, 2026 and 2025 (in thousands):</w:t>
      </w:r>
    </w:p>
    <w:p>
      <w:pPr>
        <w:pStyle w:val="TextBody"/>
        <w:bidi w:val="0"/>
        <w:jc w:val="left"/>
        <w:rPr/>
      </w:pPr>
      <w:r>
        <w:rPr/>
        <w:t> </w:t>
      </w:r>
    </w:p>
    <w:tbl>
      <w:tblPr>
        <w:tblW w:w="9477" w:type="dxa"/>
        <w:jc w:val="left"/>
        <w:tblInd w:w="0" w:type="dxa"/>
        <w:tblLayout w:type="fixed"/>
        <w:tblCellMar>
          <w:top w:w="28" w:type="dxa"/>
          <w:left w:w="28" w:type="dxa"/>
          <w:bottom w:w="28" w:type="dxa"/>
          <w:right w:w="28" w:type="dxa"/>
        </w:tblCellMar>
      </w:tblPr>
      <w:tblGrid>
        <w:gridCol w:w="4306"/>
        <w:gridCol w:w="146"/>
        <w:gridCol w:w="211"/>
        <w:gridCol w:w="736"/>
        <w:gridCol w:w="166"/>
        <w:gridCol w:w="146"/>
        <w:gridCol w:w="211"/>
        <w:gridCol w:w="736"/>
        <w:gridCol w:w="166"/>
        <w:gridCol w:w="146"/>
        <w:gridCol w:w="211"/>
        <w:gridCol w:w="781"/>
        <w:gridCol w:w="166"/>
        <w:gridCol w:w="146"/>
        <w:gridCol w:w="211"/>
        <w:gridCol w:w="781"/>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 incentives, promotions, and recognition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card and bank processing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Other general and administrative expenses include legal, professional services, rent, utilities, and other miscellaneous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presents the Company’s long-lived assets for its most significant geographic markets (in thousands):</w:t>
      </w:r>
    </w:p>
    <w:p>
      <w:pPr>
        <w:pStyle w:val="TextBody"/>
        <w:bidi w:val="0"/>
        <w:jc w:val="left"/>
        <w:rPr/>
      </w:pPr>
      <w:r>
        <w:rPr/>
        <w:t> </w:t>
      </w:r>
    </w:p>
    <w:tbl>
      <w:tblPr>
        <w:tblW w:w="6110" w:type="dxa"/>
        <w:jc w:val="left"/>
        <w:tblInd w:w="0" w:type="dxa"/>
        <w:tblLayout w:type="fixed"/>
        <w:tblCellMar>
          <w:top w:w="28" w:type="dxa"/>
          <w:left w:w="28" w:type="dxa"/>
          <w:bottom w:w="28" w:type="dxa"/>
          <w:right w:w="28" w:type="dxa"/>
        </w:tblCellMar>
      </w:tblPr>
      <w:tblGrid>
        <w:gridCol w:w="2366"/>
        <w:gridCol w:w="146"/>
        <w:gridCol w:w="342"/>
        <w:gridCol w:w="1098"/>
        <w:gridCol w:w="146"/>
        <w:gridCol w:w="146"/>
        <w:gridCol w:w="303"/>
        <w:gridCol w:w="972"/>
        <w:gridCol w:w="591"/>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Japan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foreign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identified two major markets with revenues exceeding 10% of consolidated total revenue: the United States and Japan. There are 16 other markets, each of which individually is less than 10% of consolidated total revenue. Sales are recorded in the market in which the transaction occurred. The following table presents the Company’s revenue disaggregated by these markets (in thousands):</w:t>
      </w:r>
    </w:p>
    <w:p>
      <w:pPr>
        <w:pStyle w:val="TextBody"/>
        <w:bidi w:val="0"/>
        <w:jc w:val="left"/>
        <w:rPr/>
      </w:pPr>
      <w:r>
        <w:rPr/>
        <w:t> </w:t>
      </w:r>
    </w:p>
    <w:tbl>
      <w:tblPr>
        <w:tblW w:w="7447" w:type="dxa"/>
        <w:jc w:val="left"/>
        <w:tblInd w:w="0" w:type="dxa"/>
        <w:tblLayout w:type="fixed"/>
        <w:tblCellMar>
          <w:top w:w="28" w:type="dxa"/>
          <w:left w:w="28" w:type="dxa"/>
          <w:bottom w:w="28" w:type="dxa"/>
          <w:right w:w="28" w:type="dxa"/>
        </w:tblCellMar>
      </w:tblPr>
      <w:tblGrid>
        <w:gridCol w:w="2076"/>
        <w:gridCol w:w="146"/>
        <w:gridCol w:w="211"/>
        <w:gridCol w:w="676"/>
        <w:gridCol w:w="146"/>
        <w:gridCol w:w="146"/>
        <w:gridCol w:w="211"/>
        <w:gridCol w:w="676"/>
        <w:gridCol w:w="146"/>
        <w:gridCol w:w="146"/>
        <w:gridCol w:w="211"/>
        <w:gridCol w:w="781"/>
        <w:gridCol w:w="146"/>
        <w:gridCol w:w="146"/>
        <w:gridCol w:w="211"/>
        <w:gridCol w:w="781"/>
        <w:gridCol w:w="591"/>
      </w:tblGrid>
      <w:tr>
        <w:trPr/>
        <w:tc>
          <w:tcPr>
            <w:tcW w:w="2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Japan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foreign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Major Products</w:t>
      </w:r>
    </w:p>
    <w:p>
      <w:pPr>
        <w:pStyle w:val="TextBody"/>
        <w:bidi w:val="0"/>
        <w:spacing w:before="160" w:after="283"/>
        <w:jc w:val="left"/>
        <w:rPr>
          <w:rFonts w:ascii="Times New Roman" w:hAnsi="Times New Roman"/>
          <w:sz w:val="20"/>
        </w:rPr>
      </w:pPr>
      <w:r>
        <w:rPr>
          <w:rFonts w:ascii="Times New Roman" w:hAnsi="Times New Roman"/>
          <w:color w:val="000000"/>
          <w:sz w:val="20"/>
        </w:rPr>
        <w:t>The Company’s revenue for the three months ended March 31, 2026 and 2025 is largely attributed to three product lines: Protandim</w:t>
      </w:r>
      <w:r>
        <w:rPr>
          <w:rFonts w:ascii="Times New Roman" w:hAnsi="Times New Roman"/>
          <w:color w:val="000000"/>
          <w:sz w:val="13"/>
        </w:rPr>
        <w:t>®</w:t>
      </w:r>
      <w:r>
        <w:rPr>
          <w:rFonts w:ascii="Times New Roman" w:hAnsi="Times New Roman"/>
          <w:color w:val="000000"/>
          <w:sz w:val="20"/>
        </w:rPr>
        <w:t>, TrueScience</w:t>
      </w:r>
      <w:r>
        <w:rPr>
          <w:rFonts w:ascii="Times New Roman" w:hAnsi="Times New Roman"/>
          <w:color w:val="000000"/>
          <w:sz w:val="13"/>
        </w:rPr>
        <w:t>®</w:t>
      </w:r>
      <w:r>
        <w:rPr>
          <w:rFonts w:ascii="Times New Roman" w:hAnsi="Times New Roman"/>
          <w:color w:val="000000"/>
          <w:sz w:val="20"/>
        </w:rPr>
        <w:t>, and LifeVantage</w:t>
      </w:r>
      <w:r>
        <w:rPr>
          <w:rFonts w:ascii="Times New Roman" w:hAnsi="Times New Roman"/>
          <w:color w:val="000000"/>
          <w:sz w:val="13"/>
        </w:rPr>
        <w:t>®</w:t>
      </w:r>
      <w:r>
        <w:rPr>
          <w:rFonts w:ascii="Times New Roman" w:hAnsi="Times New Roman"/>
          <w:color w:val="000000"/>
          <w:sz w:val="20"/>
        </w:rPr>
        <w:t xml:space="preserve">. On a combined basis, these three product lines represent approximately 80.4% and 88.1% of the Company’s total net revenue for the three months ended March 31, 2026 and 2025, respectively. </w:t>
      </w:r>
    </w:p>
    <w:p>
      <w:pPr>
        <w:pStyle w:val="TextBody"/>
        <w:bidi w:val="0"/>
        <w:spacing w:before="160" w:after="283"/>
        <w:jc w:val="left"/>
        <w:rPr>
          <w:rFonts w:ascii="Times New Roman" w:hAnsi="Times New Roman"/>
          <w:sz w:val="20"/>
        </w:rPr>
      </w:pPr>
      <w:r>
        <w:rPr>
          <w:rFonts w:ascii="Times New Roman" w:hAnsi="Times New Roman"/>
          <w:color w:val="000000"/>
          <w:sz w:val="20"/>
        </w:rPr>
        <w:t>The Company’s revenue for the nine months ended March 31, 2026 and 2025 is largely attributed to three product lines: Protandim</w:t>
      </w:r>
      <w:r>
        <w:rPr>
          <w:rFonts w:ascii="Times New Roman" w:hAnsi="Times New Roman"/>
          <w:color w:val="000000"/>
          <w:sz w:val="13"/>
        </w:rPr>
        <w:t>®</w:t>
      </w:r>
      <w:r>
        <w:rPr>
          <w:rFonts w:ascii="Times New Roman" w:hAnsi="Times New Roman"/>
          <w:color w:val="000000"/>
          <w:sz w:val="20"/>
        </w:rPr>
        <w:t>, TrueScience</w:t>
      </w:r>
      <w:r>
        <w:rPr>
          <w:rFonts w:ascii="Times New Roman" w:hAnsi="Times New Roman"/>
          <w:color w:val="000000"/>
          <w:sz w:val="13"/>
        </w:rPr>
        <w:t>®</w:t>
      </w:r>
      <w:r>
        <w:rPr>
          <w:rFonts w:ascii="Times New Roman" w:hAnsi="Times New Roman"/>
          <w:color w:val="000000"/>
          <w:sz w:val="20"/>
        </w:rPr>
        <w:t>, and LifeVantage</w:t>
      </w:r>
      <w:r>
        <w:rPr>
          <w:rFonts w:ascii="Times New Roman" w:hAnsi="Times New Roman"/>
          <w:color w:val="000000"/>
          <w:sz w:val="13"/>
        </w:rPr>
        <w:t>®</w:t>
      </w:r>
      <w:r>
        <w:rPr>
          <w:rFonts w:ascii="Times New Roman" w:hAnsi="Times New Roman"/>
          <w:color w:val="000000"/>
          <w:sz w:val="20"/>
        </w:rPr>
        <w:t xml:space="preserve">. On a combined basis, these three product lines represent approximately 81.6% and 88.6% of the Company’s total net revenue for the nine months ended March 31, 2026 and 2025, respectively.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shows revenue by product line for the three and nine months ended March 31, 2026 and 2025 (in thousands):</w:t>
      </w:r>
    </w:p>
    <w:p>
      <w:pPr>
        <w:pStyle w:val="TextBody"/>
        <w:bidi w:val="0"/>
        <w:jc w:val="left"/>
        <w:rPr/>
      </w:pPr>
      <w:r>
        <w:rPr/>
        <w:t> </w:t>
      </w:r>
    </w:p>
    <w:tbl>
      <w:tblPr>
        <w:tblW w:w="7437" w:type="dxa"/>
        <w:jc w:val="left"/>
        <w:tblInd w:w="0" w:type="dxa"/>
        <w:tblLayout w:type="fixed"/>
        <w:tblCellMar>
          <w:top w:w="28" w:type="dxa"/>
          <w:left w:w="28" w:type="dxa"/>
          <w:bottom w:w="28" w:type="dxa"/>
          <w:right w:w="28" w:type="dxa"/>
        </w:tblCellMar>
      </w:tblPr>
      <w:tblGrid>
        <w:gridCol w:w="2266"/>
        <w:gridCol w:w="146"/>
        <w:gridCol w:w="211"/>
        <w:gridCol w:w="676"/>
        <w:gridCol w:w="146"/>
        <w:gridCol w:w="146"/>
        <w:gridCol w:w="211"/>
        <w:gridCol w:w="676"/>
        <w:gridCol w:w="146"/>
        <w:gridCol w:w="146"/>
        <w:gridCol w:w="211"/>
        <w:gridCol w:w="781"/>
        <w:gridCol w:w="146"/>
        <w:gridCol w:w="146"/>
        <w:gridCol w:w="211"/>
        <w:gridCol w:w="781"/>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Protandim</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TrueScience</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LifeVantage</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AXIO</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LoveBiome</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PhysIQ</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Petandim</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Other revenue includes shipping and handling revenue, event related revenue, and other revenues impracticable to allocate to a specific product line.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8 — Commitments and Contingencies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March 31, 2026, and based on the assessment, there are no probable loss contingencies requiring accrual or disclosures within its financial statements.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Legal Accruals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Other Matters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to the matters described above, the Company also may become involved in other litigation and regulatory matters 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9 — Acquisitions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October 1, 2025, the Company closed on the purchase of critical assets of Global Organics Merchants, LLC, dba LoveBiome (“LoveBiome”) pursuant to an asset purchase agreement between the parties. LoveBiome was a direct sales company focused on comprehensive microbiome care and wellness solutions. The acquisition is being accounted for as a business combination in accordance with ASC 805.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information included herein is based on the preliminary allocation of the purchase price using estimates of the fair value and useful lives of the assets acquired. The purchase price allocation is subject to further adjustment until all pertinent information regarding the assets acquired is fully evaluated by the Company, including but not limited to, the fair value accounting.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has made a provisional allocation of the purchase price of the business combination to the assets acquired as of the closing date. No liabilities were assumed. The following table summarizes the preliminary purchase price allocations relating to the business combination (in thousands):</w:t>
      </w:r>
    </w:p>
    <w:p>
      <w:pPr>
        <w:pStyle w:val="TextBody"/>
        <w:bidi w:val="0"/>
        <w:jc w:val="left"/>
        <w:rPr/>
      </w:pPr>
      <w:r>
        <w:rPr/>
        <w:t> </w:t>
      </w:r>
    </w:p>
    <w:tbl>
      <w:tblPr>
        <w:tblW w:w="3579" w:type="dxa"/>
        <w:jc w:val="left"/>
        <w:tblInd w:w="0" w:type="dxa"/>
        <w:tblLayout w:type="fixed"/>
        <w:tblCellMar>
          <w:top w:w="28" w:type="dxa"/>
          <w:left w:w="28" w:type="dxa"/>
          <w:bottom w:w="28" w:type="dxa"/>
          <w:right w:w="28" w:type="dxa"/>
        </w:tblCellMar>
      </w:tblPr>
      <w:tblGrid>
        <w:gridCol w:w="2086"/>
        <w:gridCol w:w="146"/>
        <w:gridCol w:w="311"/>
        <w:gridCol w:w="845"/>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Preliminary</w:t>
              <w:br/>
              <w:t>Valuation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earnout payments are contingent upon revenue targets of the Company for the fiscal year ending June 30, 2026, as well as LoveBiome standalone revenue targets ending on the first and second anniversaries of the closing date. The fair value of the earnout was estimated using a Monte Carlo simulation option method.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assets acquired were recognized at their estimated acquisition-date fair values, with goodwill representing the excess of the purchase price over the fair value of the identifiable assets acquired. The purchase price includes the fair values of other assets that were not identifiable, not separately recognizable under GAAP (e.g., assembled workforce) or of immaterial value. The goodwill of $0.5 million arising from the acquisition consists largely of the synergies and economies of scale expected from combining the operations of the Company and LoveBiome. All of the goodwill was assigned to the single operating segment. Part of the goodwill recognized will be amortized for tax purposes and more may become amortizable as the earnouts are paid. In addition, certain legal costs have been capitalized as goodwill for tax purposes and are being amortized.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Under ASC 740, the Company is required to recognize part of the identified goodwill as deferred taxes. Therefore, the carrying value of goodwill was reduced to $472,000 and $50,000 was recorded to deferred taxes as of March 31,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recorded changes in fair value of the estimated earnout consideration to be achieved (as a result of lower than forecasted revenue performance). The change in estimates resulted in a reversal of $0.1 million and $0.4 million during the three and nine months ended March 31, 2026, respectively, and is recorded in selling, general, and administrative expenses. As of March 31, 2026, the total estimated earnout was $0.1 million.</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and three and nine months ended March 31, 2026, the Company incurred approximately zero and $0.2 million, respectively, in acquisition-related costs associated with the LoveBiome transaction, which are recorded in selling, general, and administrative expenses in the Company's consolidated statements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connection with the acquisition of LoveBiome, the Company identified and valued the following intangible assets:</w:t>
      </w:r>
    </w:p>
    <w:p>
      <w:pPr>
        <w:pStyle w:val="TextBody"/>
        <w:bidi w:val="0"/>
        <w:jc w:val="left"/>
        <w:rPr/>
      </w:pPr>
      <w:r>
        <w:rPr/>
        <w:t> </w:t>
      </w:r>
    </w:p>
    <w:tbl>
      <w:tblPr>
        <w:tblW w:w="6840" w:type="dxa"/>
        <w:jc w:val="left"/>
        <w:tblInd w:w="0" w:type="dxa"/>
        <w:tblLayout w:type="fixed"/>
        <w:tblCellMar>
          <w:top w:w="28" w:type="dxa"/>
          <w:left w:w="28" w:type="dxa"/>
          <w:bottom w:w="28" w:type="dxa"/>
          <w:right w:w="28" w:type="dxa"/>
        </w:tblCellMar>
      </w:tblPr>
      <w:tblGrid>
        <w:gridCol w:w="3916"/>
        <w:gridCol w:w="146"/>
        <w:gridCol w:w="343"/>
        <w:gridCol w:w="932"/>
        <w:gridCol w:w="146"/>
        <w:gridCol w:w="146"/>
        <w:gridCol w:w="417"/>
        <w:gridCol w:w="603"/>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Know-how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 sales force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acquired identifiable intangible assets(1)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fair value was determined using Level 3 assumptions.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fair values of the trade name and know-how were determined based on the relief-from-royalty method, a form of the income approach, using royalty rates of 1.5% and 1.0%, respectively. The fair value of the consultant sales force was estimated based on the present value of incremental after-tax cash flows, discounted at 28.5%.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Amortization expense related to acquired intangible assets was $0.1 million and $0.3 for the three and nine months ended March 31, 2026,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Unaudited supplemental information on a pro forma basis, as if the LoveBiome transaction had been consummated on July 1, 2024, is as follows (in thousands):</w:t>
      </w:r>
    </w:p>
    <w:tbl>
      <w:tblPr>
        <w:tblW w:w="5812" w:type="dxa"/>
        <w:jc w:val="left"/>
        <w:tblInd w:w="0" w:type="dxa"/>
        <w:tblLayout w:type="fixed"/>
        <w:tblCellMar>
          <w:top w:w="28" w:type="dxa"/>
          <w:left w:w="28" w:type="dxa"/>
          <w:bottom w:w="28" w:type="dxa"/>
          <w:right w:w="28" w:type="dxa"/>
        </w:tblCellMar>
      </w:tblPr>
      <w:tblGrid>
        <w:gridCol w:w="841"/>
        <w:gridCol w:w="146"/>
        <w:gridCol w:w="211"/>
        <w:gridCol w:w="676"/>
        <w:gridCol w:w="146"/>
        <w:gridCol w:w="146"/>
        <w:gridCol w:w="211"/>
        <w:gridCol w:w="676"/>
        <w:gridCol w:w="146"/>
        <w:gridCol w:w="146"/>
        <w:gridCol w:w="211"/>
        <w:gridCol w:w="781"/>
        <w:gridCol w:w="146"/>
        <w:gridCol w:w="146"/>
        <w:gridCol w:w="211"/>
        <w:gridCol w:w="78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unaudited pro forma supplemental information is based on estimates and assumptions, which the Company believes are reasonable. These results are not necessarily indicative of the Company’s consolidated financial condition or statements of operations in future periods or the results that actually would have been realized had the Company and LoveBiome been a combined entity during the periods presented. These pro forma amounts have been calculated after applying the following adjustments that were directly attributable to the LoveBiome transaction: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supplemental pro forma earnings for nine months ended March 31, 2026 were adjusted to exclude the $0.2 million in acquisition-related costs associated with the LoveBiome transaction, and instead, these costs are reflected in the pro forma earnings for the nine months ended March 31, 2025.</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pro forma amounts have been calculated after applying the Company's accounting policies and adjusting the results of LoveBiome to reflect additional amortization that would have been charged assuming the fair value adjustments to intangible assets had been applied from July 1, 2024, as well as adjustments to other selling, general, and administrative expenses for contracts that were not assumed in this transaction, with the consequential tax effects.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Total revenue related to LoveBiome consultants from the date of acquisition to March 31, 2026 was $4.4 million. Determining earnings from the date of acquisition is impracticable as LoveBiome has been fully integrated into the Company and costs are not segregated between LoveBiome and the legacy LifeVantage business.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10 — Related Party Transactions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On February 23, 2026, the Company entered into a Securities Purchase Agreement with a stockholder who owns more than 10% of the Company’s issued and outstanding shares, to repurchase 0.1 million shares of common stock at a price of $0.5 million in exchange for cash. All shares were received and cash was transferred as of March 31, 2026. The purchase of these shares is included in Part II, Item 2, Unregistered Sales of Equity Securities and Use of Proceeds.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9" w:name="item_2_mda_of_finan_condi_and_result"/>
      <w:bookmarkEnd w:id="9"/>
      <w:r>
        <w:rPr>
          <w:rFonts w:ascii="Times New Roman" w:hAnsi="Times New Roman"/>
          <w:b/>
          <w:color w:val="000000"/>
          <w:sz w:val="20"/>
        </w:rPr>
        <w:t>Item 2. Management’s Discussion and Analysis of Financial Condition and Results of Operations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a company focused on nutrigenomics, the study of how nutrition and naturally occurring compounds affect human genes to support good health. We are dedicated to helping people achieve their health, wellness, and financial goals. We provide quality, scientifically validated products to customers and independent consultants as well as a financially rewarding commission-based direct sales opportunity to our independent consultants. We engage in the identification, research, development, formulation and sale of advanced nutrigenomic activators, dietary supplements, weight management products, pre- and pro-biotics, skin and hair care products, and nootropics. We currently sell our products to customers and independent consultants in two geographic regions that we have classified as the Americas region and the Asia/Pacific and Europe region.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success and growth of our business is primarily based on the effectiveness of our independent consultants to attract and retain customers in order to sell our products and our ability to attract and retain independent consultants. When we are successful in attracting and retaining independent consultants and customers, it is largely because of:</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Our products, including our flagship Protandim</w:t>
      </w:r>
      <w:r>
        <w:rPr>
          <w:rFonts w:ascii="Times New Roman" w:hAnsi="Times New Roman"/>
          <w:color w:val="000000"/>
          <w:sz w:val="13"/>
        </w:rPr>
        <w:t>®</w:t>
      </w:r>
      <w:r>
        <w:rPr>
          <w:color w:val="000000"/>
        </w:rPr>
        <w:t xml:space="preserve"> </w:t>
      </w:r>
      <w:r>
        <w:rPr>
          <w:rFonts w:ascii="Times New Roman" w:hAnsi="Times New Roman"/>
          <w:color w:val="000000"/>
          <w:sz w:val="20"/>
        </w:rPr>
        <w:t>family of scientifically validated dietary supplements, our LifeVantage</w:t>
      </w:r>
      <w:r>
        <w:rPr>
          <w:rFonts w:ascii="Times New Roman" w:hAnsi="Times New Roman"/>
          <w:color w:val="000000"/>
          <w:sz w:val="13"/>
        </w:rPr>
        <w:t xml:space="preserve">® </w:t>
      </w:r>
      <w:r>
        <w:rPr>
          <w:rFonts w:ascii="Times New Roman" w:hAnsi="Times New Roman"/>
          <w:color w:val="000000"/>
          <w:sz w:val="20"/>
        </w:rPr>
        <w:t>family of dietary supplements that include the</w:t>
      </w:r>
      <w:r>
        <w:rPr>
          <w:color w:val="000000"/>
        </w:rPr>
        <w:t xml:space="preserve"> </w:t>
      </w:r>
      <w:r>
        <w:rPr>
          <w:rFonts w:ascii="Times New Roman" w:hAnsi="Times New Roman"/>
          <w:color w:val="000000"/>
          <w:sz w:val="20"/>
        </w:rPr>
        <w:t>MindBody GLP-1 System</w:t>
      </w:r>
      <w:r>
        <w:rPr>
          <w:rFonts w:ascii="Times New Roman" w:hAnsi="Times New Roman"/>
          <w:color w:val="000000"/>
          <w:sz w:val="13"/>
        </w:rPr>
        <w:t>®</w:t>
      </w:r>
      <w:r>
        <w:rPr>
          <w:rFonts w:ascii="Times New Roman" w:hAnsi="Times New Roman"/>
          <w:color w:val="000000"/>
          <w:sz w:val="20"/>
        </w:rPr>
        <w:t>, Omega+, ProBio, IC Bright</w:t>
      </w:r>
      <w:r>
        <w:rPr>
          <w:rFonts w:ascii="Times New Roman" w:hAnsi="Times New Roman"/>
          <w:color w:val="000000"/>
          <w:sz w:val="13"/>
        </w:rPr>
        <w:t>®</w:t>
      </w:r>
      <w:r>
        <w:rPr>
          <w:rFonts w:ascii="Times New Roman" w:hAnsi="Times New Roman"/>
          <w:color w:val="000000"/>
          <w:sz w:val="20"/>
        </w:rPr>
        <w:t>, the Rise AM &amp; Reset PM System</w:t>
      </w:r>
      <w:r>
        <w:rPr>
          <w:rFonts w:ascii="Times New Roman" w:hAnsi="Times New Roman"/>
          <w:color w:val="000000"/>
          <w:sz w:val="13"/>
        </w:rPr>
        <w:t>®</w:t>
      </w:r>
      <w:r>
        <w:rPr>
          <w:rFonts w:ascii="Times New Roman" w:hAnsi="Times New Roman"/>
          <w:color w:val="000000"/>
          <w:sz w:val="20"/>
        </w:rPr>
        <w:t>, D3+, and Daily Wellness, our PhysIQ</w:t>
      </w:r>
      <w:r>
        <w:rPr>
          <w:rFonts w:ascii="Times New Roman" w:hAnsi="Times New Roman"/>
          <w:color w:val="000000"/>
          <w:sz w:val="13"/>
        </w:rPr>
        <w:t></w:t>
      </w:r>
      <w:r>
        <w:rPr>
          <w:color w:val="000000"/>
        </w:rPr>
        <w:t xml:space="preserve"> </w:t>
      </w:r>
      <w:r>
        <w:rPr>
          <w:rFonts w:ascii="Times New Roman" w:hAnsi="Times New Roman"/>
          <w:color w:val="000000"/>
          <w:sz w:val="20"/>
        </w:rPr>
        <w:t>Fat Burn and Prebiotic dietary supplements, our TrueScience</w:t>
      </w:r>
      <w:r>
        <w:rPr>
          <w:rFonts w:ascii="Times New Roman" w:hAnsi="Times New Roman"/>
          <w:color w:val="000000"/>
          <w:sz w:val="13"/>
        </w:rPr>
        <w:t>®</w:t>
      </w:r>
      <w:r>
        <w:rPr>
          <w:color w:val="000000"/>
        </w:rPr>
        <w:t xml:space="preserve"> </w:t>
      </w:r>
      <w:r>
        <w:rPr>
          <w:rFonts w:ascii="Times New Roman" w:hAnsi="Times New Roman"/>
          <w:color w:val="000000"/>
          <w:sz w:val="20"/>
        </w:rPr>
        <w:t>line of skin and hair care products and Liquid Collagen, Petandim</w:t>
      </w:r>
      <w:r>
        <w:rPr>
          <w:rFonts w:ascii="Times New Roman" w:hAnsi="Times New Roman"/>
          <w:color w:val="000000"/>
          <w:sz w:val="13"/>
        </w:rPr>
        <w:t>®</w:t>
      </w:r>
      <w:r>
        <w:rPr>
          <w:rFonts w:ascii="Times New Roman" w:hAnsi="Times New Roman"/>
          <w:color w:val="000000"/>
          <w:sz w:val="20"/>
        </w:rPr>
        <w:t>, our companion pet supplement formulated to combat oxidative stress in dogs; AXIO</w:t>
      </w:r>
      <w:r>
        <w:rPr>
          <w:rFonts w:ascii="Times New Roman" w:hAnsi="Times New Roman"/>
          <w:color w:val="000000"/>
          <w:sz w:val="13"/>
        </w:rPr>
        <w:t>®</w:t>
      </w:r>
      <w:r>
        <w:rPr>
          <w:rFonts w:ascii="Times New Roman" w:hAnsi="Times New Roman"/>
          <w:color w:val="000000"/>
          <w:sz w:val="20"/>
        </w:rPr>
        <w:t>, our nootropic energy drink mixes; and LoveBiome</w:t>
      </w:r>
      <w:r>
        <w:rPr>
          <w:rFonts w:ascii="Times New Roman" w:hAnsi="Times New Roman"/>
          <w:color w:val="000000"/>
          <w:sz w:val="13"/>
        </w:rPr>
        <w:t>®</w:t>
      </w:r>
      <w:r>
        <w:rPr>
          <w:color w:val="000000"/>
        </w:rPr>
        <w:t xml:space="preserve"> </w:t>
      </w:r>
      <w:r>
        <w:rPr>
          <w:rFonts w:ascii="Times New Roman" w:hAnsi="Times New Roman"/>
          <w:color w:val="000000"/>
          <w:sz w:val="20"/>
        </w:rPr>
        <w:t>P84 and PhytoPower B, dietary supplements acquired pursuant to the purchase of LoveBiome’s critical assets formulated to support gut health.</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sales compensation plan and other sales initiatives and incentives;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delivery of superior customer service.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Iceland.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 On June 30, 2025, we ceased operations in the Philippines and closed that market. In September 2025, we commenced operations in Iceland.</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Our Products</w:t>
      </w:r>
    </w:p>
    <w:p>
      <w:pPr>
        <w:pStyle w:val="TextBody"/>
        <w:bidi w:val="0"/>
        <w:spacing w:before="160" w:after="283"/>
        <w:jc w:val="left"/>
        <w:rPr>
          <w:rFonts w:ascii="Times New Roman" w:hAnsi="Times New Roman"/>
          <w:sz w:val="20"/>
        </w:rPr>
      </w:pPr>
      <w:r>
        <w:rPr>
          <w:rFonts w:ascii="Times New Roman" w:hAnsi="Times New Roman"/>
          <w:color w:val="000000"/>
          <w:sz w:val="20"/>
        </w:rPr>
        <w:t>Our products are: the Protandim</w:t>
      </w:r>
      <w:r>
        <w:rPr>
          <w:rFonts w:ascii="Times New Roman" w:hAnsi="Times New Roman"/>
          <w:color w:val="000000"/>
          <w:sz w:val="13"/>
        </w:rPr>
        <w:t>®</w:t>
      </w:r>
      <w:r>
        <w:rPr>
          <w:rFonts w:ascii="Times New Roman" w:hAnsi="Times New Roman"/>
          <w:color w:val="000000"/>
          <w:sz w:val="20"/>
        </w:rPr>
        <w:t xml:space="preserve"> line of scientifically validated dietary supplements; the LifeVantage</w:t>
      </w:r>
      <w:r>
        <w:rPr>
          <w:rFonts w:ascii="Times New Roman" w:hAnsi="Times New Roman"/>
          <w:color w:val="000000"/>
          <w:sz w:val="13"/>
        </w:rPr>
        <w:t>®</w:t>
      </w:r>
      <w:r>
        <w:rPr>
          <w:rFonts w:ascii="Times New Roman" w:hAnsi="Times New Roman"/>
          <w:color w:val="000000"/>
          <w:sz w:val="20"/>
        </w:rPr>
        <w:t xml:space="preserve"> line of dietary supplements that include the MindBody GLP-1 System</w:t>
      </w:r>
      <w:r>
        <w:rPr>
          <w:rFonts w:ascii="Times New Roman" w:hAnsi="Times New Roman"/>
          <w:color w:val="000000"/>
          <w:sz w:val="13"/>
        </w:rPr>
        <w:t>®</w:t>
      </w:r>
      <w:r>
        <w:rPr>
          <w:rFonts w:ascii="Times New Roman" w:hAnsi="Times New Roman"/>
          <w:color w:val="000000"/>
          <w:sz w:val="20"/>
        </w:rPr>
        <w:t>, Omega+, ProBio, IC Bright</w:t>
      </w:r>
      <w:r>
        <w:rPr>
          <w:rFonts w:ascii="Times New Roman" w:hAnsi="Times New Roman"/>
          <w:color w:val="000000"/>
          <w:sz w:val="13"/>
        </w:rPr>
        <w:t>®</w:t>
      </w:r>
      <w:r>
        <w:rPr>
          <w:rFonts w:ascii="Times New Roman" w:hAnsi="Times New Roman"/>
          <w:color w:val="000000"/>
          <w:sz w:val="20"/>
        </w:rPr>
        <w:t>, the Rise AM &amp; Reset PM System</w:t>
      </w:r>
      <w:r>
        <w:rPr>
          <w:rFonts w:ascii="Times New Roman" w:hAnsi="Times New Roman"/>
          <w:color w:val="000000"/>
          <w:sz w:val="13"/>
        </w:rPr>
        <w:t>®</w:t>
      </w:r>
      <w:r>
        <w:rPr>
          <w:rFonts w:ascii="Times New Roman" w:hAnsi="Times New Roman"/>
          <w:color w:val="000000"/>
          <w:sz w:val="20"/>
        </w:rPr>
        <w:t>, D3+, and Daily Wellness; the PhysIQ Fat Burn and Prebiotic dietary supplements; the TrueScience</w:t>
      </w:r>
      <w:r>
        <w:rPr>
          <w:rFonts w:ascii="Times New Roman" w:hAnsi="Times New Roman"/>
          <w:color w:val="000000"/>
          <w:sz w:val="13"/>
        </w:rPr>
        <w:t xml:space="preserve">® </w:t>
      </w:r>
      <w:r>
        <w:rPr>
          <w:rFonts w:ascii="Times New Roman" w:hAnsi="Times New Roman"/>
          <w:color w:val="000000"/>
          <w:sz w:val="20"/>
        </w:rPr>
        <w:t>line of skin and hair care products and Liquid Collagen; the Petandim</w:t>
      </w:r>
      <w:r>
        <w:rPr>
          <w:rFonts w:ascii="Times New Roman" w:hAnsi="Times New Roman"/>
          <w:color w:val="000000"/>
          <w:sz w:val="13"/>
        </w:rPr>
        <w:t xml:space="preserve">® </w:t>
      </w:r>
      <w:r>
        <w:rPr>
          <w:rFonts w:ascii="Times New Roman" w:hAnsi="Times New Roman"/>
          <w:color w:val="000000"/>
          <w:sz w:val="20"/>
        </w:rPr>
        <w:t>companion pet supplement formulated to combat oxidative stress in dogs; AXIO</w:t>
      </w:r>
      <w:r>
        <w:rPr>
          <w:rFonts w:ascii="Times New Roman" w:hAnsi="Times New Roman"/>
          <w:color w:val="000000"/>
          <w:sz w:val="13"/>
        </w:rPr>
        <w:t>®</w:t>
      </w:r>
      <w:r>
        <w:rPr>
          <w:rFonts w:ascii="Times New Roman" w:hAnsi="Times New Roman"/>
          <w:color w:val="000000"/>
          <w:sz w:val="20"/>
        </w:rPr>
        <w:t>, our nootropic energy drink mixes; and LoveBiome</w:t>
      </w:r>
      <w:r>
        <w:rPr>
          <w:rFonts w:ascii="Times New Roman" w:hAnsi="Times New Roman"/>
          <w:color w:val="000000"/>
          <w:sz w:val="13"/>
        </w:rPr>
        <w:t>®</w:t>
      </w:r>
      <w:r>
        <w:rPr>
          <w:rFonts w:ascii="Times New Roman" w:hAnsi="Times New Roman"/>
          <w:color w:val="000000"/>
          <w:sz w:val="20"/>
        </w:rPr>
        <w:t xml:space="preserve"> P84 and PhytoPower B, dietary supplements acquired pursuant to the purchase of LoveBiome’s critical assets formulated to support gut health. We believe the significant number of customers who regularly and repeatedly purchase our products is a strong indicator of the health benefits of our products.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rPr>
        <w:t>The Protandim</w:t>
      </w:r>
      <w:r>
        <w:rPr>
          <w:rFonts w:ascii="Times New Roman" w:hAnsi="Times New Roman"/>
          <w:color w:val="000000"/>
          <w:sz w:val="13"/>
        </w:rPr>
        <w:t>®</w:t>
      </w:r>
      <w:r>
        <w:rPr>
          <w:rFonts w:ascii="Times New Roman" w:hAnsi="Times New Roman"/>
          <w:color w:val="000000"/>
          <w:sz w:val="20"/>
        </w:rPr>
        <w:t xml:space="preserve"> product line includes Protandim</w:t>
      </w:r>
      <w:r>
        <w:rPr>
          <w:rFonts w:ascii="Times New Roman" w:hAnsi="Times New Roman"/>
          <w:color w:val="000000"/>
          <w:sz w:val="13"/>
        </w:rPr>
        <w:t>®</w:t>
      </w:r>
      <w:r>
        <w:rPr>
          <w:rFonts w:ascii="Times New Roman" w:hAnsi="Times New Roman"/>
          <w:color w:val="000000"/>
          <w:sz w:val="20"/>
        </w:rPr>
        <w:t xml:space="preserve"> NRF1 Synergizer</w:t>
      </w:r>
      <w:r>
        <w:rPr>
          <w:rFonts w:ascii="Times New Roman" w:hAnsi="Times New Roman"/>
          <w:color w:val="000000"/>
          <w:sz w:val="13"/>
        </w:rPr>
        <w:t>®</w:t>
      </w:r>
      <w:r>
        <w:rPr>
          <w:rFonts w:ascii="Times New Roman" w:hAnsi="Times New Roman"/>
          <w:color w:val="000000"/>
          <w:sz w:val="20"/>
        </w:rPr>
        <w:t>,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and Protandim</w:t>
      </w:r>
      <w:r>
        <w:rPr>
          <w:rFonts w:ascii="Times New Roman" w:hAnsi="Times New Roman"/>
          <w:color w:val="000000"/>
          <w:sz w:val="13"/>
        </w:rPr>
        <w:t>®</w:t>
      </w:r>
      <w:r>
        <w:rPr>
          <w:rFonts w:ascii="Times New Roman" w:hAnsi="Times New Roman"/>
          <w:color w:val="000000"/>
          <w:sz w:val="20"/>
        </w:rPr>
        <w:t xml:space="preserve"> NAD Synergizer</w:t>
      </w:r>
      <w:r>
        <w:rPr>
          <w:rFonts w:ascii="Times New Roman" w:hAnsi="Times New Roman"/>
          <w:color w:val="000000"/>
          <w:sz w:val="13"/>
        </w:rPr>
        <w:t>®</w:t>
      </w:r>
      <w:r>
        <w:rPr>
          <w:rFonts w:ascii="Times New Roman" w:hAnsi="Times New Roman"/>
          <w:color w:val="000000"/>
          <w:sz w:val="20"/>
        </w:rPr>
        <w:t>. The Protandim</w:t>
      </w:r>
      <w:r>
        <w:rPr>
          <w:rFonts w:ascii="Times New Roman" w:hAnsi="Times New Roman"/>
          <w:color w:val="000000"/>
          <w:sz w:val="13"/>
        </w:rPr>
        <w:t>®</w:t>
      </w:r>
      <w:r>
        <w:rPr>
          <w:rFonts w:ascii="Times New Roman" w:hAnsi="Times New Roman"/>
          <w:color w:val="000000"/>
          <w:sz w:val="20"/>
        </w:rPr>
        <w:t xml:space="preserve"> NRF1 Synergizer</w:t>
      </w:r>
      <w:r>
        <w:rPr>
          <w:rFonts w:ascii="Times New Roman" w:hAnsi="Times New Roman"/>
          <w:color w:val="000000"/>
          <w:sz w:val="13"/>
        </w:rPr>
        <w:t>®</w:t>
      </w:r>
      <w:r>
        <w:rPr>
          <w:rFonts w:ascii="Times New Roman" w:hAnsi="Times New Roman"/>
          <w:color w:val="000000"/>
          <w:sz w:val="20"/>
        </w:rPr>
        <w:t xml:space="preserve"> is formulated to increase cellular energy and performance by boosting mitochondria production to improve cellular repair and slow cellular aging. The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 w:hAnsi="Times New Roman"/>
          <w:color w:val="000000"/>
          <w:sz w:val="13"/>
        </w:rPr>
        <w:t>®</w:t>
      </w:r>
      <w:r>
        <w:rPr>
          <w:rFonts w:ascii="Times New Roman" w:hAnsi="Times New Roman"/>
          <w:color w:val="000000"/>
          <w:sz w:val="20"/>
        </w:rPr>
        <w:t xml:space="preserve"> NAD Synergizer</w:t>
      </w:r>
      <w:r>
        <w:rPr>
          <w:rFonts w:ascii="Times New Roman" w:hAnsi="Times New Roman"/>
          <w:color w:val="000000"/>
          <w:sz w:val="13"/>
        </w:rPr>
        <w:t>®</w:t>
      </w:r>
      <w:r>
        <w:rPr>
          <w:rFonts w:ascii="Times New Roman" w:hAnsi="Times New Roman"/>
          <w:color w:val="000000"/>
          <w:sz w:val="20"/>
        </w:rPr>
        <w:t xml:space="preserve"> 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 w:hAnsi="Times New Roman"/>
          <w:color w:val="000000"/>
          <w:sz w:val="13"/>
        </w:rPr>
        <w:t>®</w:t>
      </w:r>
      <w:r>
        <w:rPr>
          <w:rFonts w:ascii="Times New Roman" w:hAnsi="Times New Roman"/>
          <w:color w:val="000000"/>
          <w:sz w:val="20"/>
        </w:rPr>
        <w:t xml:space="preserve"> products together, marketed as the Protandim</w:t>
      </w:r>
      <w:r>
        <w:rPr>
          <w:rFonts w:ascii="Times New Roman" w:hAnsi="Times New Roman"/>
          <w:color w:val="000000"/>
          <w:sz w:val="13"/>
        </w:rPr>
        <w:t>®</w:t>
      </w:r>
      <w:r>
        <w:rPr>
          <w:rFonts w:ascii="Times New Roman" w:hAnsi="Times New Roman"/>
          <w:color w:val="000000"/>
          <w:sz w:val="20"/>
        </w:rPr>
        <w:t xml:space="preserve"> Tri-Synergizer</w:t>
      </w:r>
      <w:r>
        <w:rPr>
          <w:rFonts w:ascii="Times New Roman" w:hAnsi="Times New Roman"/>
          <w:color w:val="000000"/>
          <w:sz w:val="13"/>
        </w:rPr>
        <w:t>®</w:t>
      </w:r>
      <w:r>
        <w:rPr>
          <w:rFonts w:ascii="Times New Roman" w:hAnsi="Times New Roman"/>
          <w:color w:val="000000"/>
          <w:sz w:val="20"/>
        </w:rPr>
        <w:t xml:space="preserve">, has been shown to produce synergistic benefits greater than using the single products on their own. </w:t>
      </w:r>
    </w:p>
    <w:p>
      <w:pPr>
        <w:pStyle w:val="TextBody"/>
        <w:bidi w:val="0"/>
        <w:spacing w:before="160" w:after="283"/>
        <w:jc w:val="left"/>
        <w:rPr>
          <w:rFonts w:ascii="Times New Roman" w:hAnsi="Times New Roman"/>
          <w:sz w:val="20"/>
        </w:rPr>
      </w:pPr>
      <w:r>
        <w:rPr>
          <w:rFonts w:ascii="Times New Roman" w:hAnsi="Times New Roman"/>
          <w:color w:val="000000"/>
          <w:sz w:val="20"/>
        </w:rPr>
        <w:t>The LifeVantage</w:t>
      </w:r>
      <w:r>
        <w:rPr>
          <w:rFonts w:ascii="Times New Roman" w:hAnsi="Times New Roman"/>
          <w:color w:val="000000"/>
          <w:sz w:val="13"/>
        </w:rPr>
        <w:t>®</w:t>
      </w:r>
      <w:r>
        <w:rPr>
          <w:rFonts w:ascii="Times New Roman" w:hAnsi="Times New Roman"/>
          <w:color w:val="000000"/>
          <w:sz w:val="20"/>
        </w:rPr>
        <w:t xml:space="preserve"> product line includes: the new MindBody GLP-1 System</w:t>
      </w:r>
      <w:r>
        <w:rPr>
          <w:rFonts w:ascii="Times New Roman" w:hAnsi="Times New Roman"/>
          <w:color w:val="000000"/>
          <w:sz w:val="13"/>
        </w:rPr>
        <w:t>®</w:t>
      </w:r>
      <w:r>
        <w:rPr>
          <w:rFonts w:ascii="Times New Roman" w:hAnsi="Times New Roman"/>
          <w:color w:val="000000"/>
          <w:sz w:val="20"/>
        </w:rPr>
        <w:t>, a dietary supplement that combines two products MB Core</w:t>
      </w:r>
      <w:r>
        <w:rPr>
          <w:rFonts w:ascii="Times New Roman" w:hAnsi="Times New Roman"/>
          <w:color w:val="000000"/>
          <w:sz w:val="13"/>
        </w:rPr>
        <w:t></w:t>
      </w:r>
      <w:r>
        <w:rPr>
          <w:rFonts w:ascii="Times New Roman" w:hAnsi="Times New Roman"/>
          <w:color w:val="000000"/>
          <w:sz w:val="20"/>
        </w:rPr>
        <w:t xml:space="preserve"> and MB Enhance</w:t>
      </w:r>
      <w:r>
        <w:rPr>
          <w:rFonts w:ascii="Times New Roman" w:hAnsi="Times New Roman"/>
          <w:color w:val="000000"/>
          <w:sz w:val="13"/>
        </w:rPr>
        <w:t></w:t>
      </w:r>
      <w:r>
        <w:rPr>
          <w:rFonts w:ascii="Times New Roman" w:hAnsi="Times New Roman"/>
          <w:color w:val="000000"/>
          <w:sz w:val="20"/>
        </w:rPr>
        <w:t xml:space="preserve"> designed to support weight loss and wellness by activating GLP-1 naturally and balancing signals along the gut-brain axis; Omega+, a dietary supplement that combines DHA and EPA Omega-3 fatty acids, omega-7 fatty acids, and vitamin D3 to support cognitive health, cardiovascular health, skin health, and the immune system; ProBio, a dietary supplement designed to support optimal digestion and immune system function; Daily Wellness, a dietary supplement designed to support immune health. IC Bright</w:t>
      </w:r>
      <w:r>
        <w:rPr>
          <w:rFonts w:ascii="Times New Roman" w:hAnsi="Times New Roman"/>
          <w:color w:val="000000"/>
          <w:sz w:val="13"/>
        </w:rPr>
        <w:t>®</w:t>
      </w:r>
      <w:r>
        <w:rPr>
          <w:rFonts w:ascii="Times New Roman" w:hAnsi="Times New Roman"/>
          <w:color w:val="000000"/>
          <w:sz w:val="20"/>
        </w:rPr>
        <w:t>, a dietary supplement to help support eye and brain health, reduce eye fatigue and strain, support cognitive functions, and may help support normal sleep patterns; the Rise AM &amp; Reset PM System</w:t>
      </w:r>
      <w:r>
        <w:rPr>
          <w:rFonts w:ascii="Times New Roman" w:hAnsi="Times New Roman"/>
          <w:color w:val="000000"/>
          <w:sz w:val="13"/>
        </w:rPr>
        <w:t>®</w:t>
      </w:r>
      <w:r>
        <w:rPr>
          <w:rFonts w:ascii="Times New Roman" w:hAnsi="Times New Roman"/>
          <w:color w:val="000000"/>
          <w:sz w:val="20"/>
        </w:rPr>
        <w:t>, a dietary supplement that uses Timewise Nutrient Delivery</w:t>
      </w:r>
      <w:r>
        <w:rPr>
          <w:rFonts w:ascii="Times New Roman" w:hAnsi="Times New Roman"/>
          <w:color w:val="000000"/>
          <w:sz w:val="13"/>
        </w:rPr>
        <w:t></w:t>
      </w:r>
      <w:r>
        <w:rPr>
          <w:rFonts w:ascii="Times New Roman" w:hAnsi="Times New Roman"/>
          <w:color w:val="000000"/>
          <w:sz w:val="20"/>
        </w:rPr>
        <w:t xml:space="preserve"> to provide the body with the right nutrients in the right amounts at the right time and D3+, a dietary supplement that provides vitamin D3, vitamin K2, magnesium, calcium, and other trace minerals to support a balanced immune system, strong bones, and cardiovascular health.</w:t>
      </w:r>
    </w:p>
    <w:p>
      <w:pPr>
        <w:pStyle w:val="TextBody"/>
        <w:bidi w:val="0"/>
        <w:spacing w:before="160" w:after="283"/>
        <w:jc w:val="left"/>
        <w:rPr>
          <w:rFonts w:ascii="Times New Roman" w:hAnsi="Times New Roman"/>
          <w:sz w:val="20"/>
        </w:rPr>
      </w:pPr>
      <w:r>
        <w:rPr>
          <w:rFonts w:ascii="Times New Roman" w:hAnsi="Times New Roman"/>
          <w:color w:val="000000"/>
          <w:sz w:val="20"/>
        </w:rPr>
        <w:t>PhysIQ</w:t>
      </w:r>
      <w:r>
        <w:rPr>
          <w:rFonts w:ascii="Times New Roman" w:hAnsi="Times New Roman"/>
          <w:color w:val="000000"/>
          <w:sz w:val="13"/>
        </w:rPr>
        <w:t></w:t>
      </w:r>
      <w:r>
        <w:rPr>
          <w:rFonts w:ascii="Times New Roman" w:hAnsi="Times New Roman"/>
          <w:color w:val="000000"/>
          <w:sz w:val="20"/>
        </w:rPr>
        <w:t xml:space="preserve"> Fat Burn is a dietary supplement designed to support weight management, and PhysIQ</w:t>
      </w:r>
      <w:r>
        <w:rPr>
          <w:rFonts w:ascii="Times New Roman" w:hAnsi="Times New Roman"/>
          <w:color w:val="000000"/>
          <w:sz w:val="13"/>
        </w:rPr>
        <w:t xml:space="preserve"> </w:t>
      </w:r>
      <w:r>
        <w:rPr>
          <w:rFonts w:ascii="Times New Roman" w:hAnsi="Times New Roman"/>
          <w:color w:val="000000"/>
          <w:sz w:val="20"/>
        </w:rPr>
        <w:t xml:space="preserve">Prebiotic is a dietary supplement designed to support a healthy digestive tract. </w:t>
      </w:r>
    </w:p>
    <w:p>
      <w:pPr>
        <w:pStyle w:val="TextBody"/>
        <w:bidi w:val="0"/>
        <w:spacing w:before="160" w:after="283"/>
        <w:jc w:val="left"/>
        <w:rPr>
          <w:rFonts w:ascii="Times New Roman" w:hAnsi="Times New Roman"/>
          <w:sz w:val="20"/>
        </w:rPr>
      </w:pPr>
      <w:r>
        <w:rPr>
          <w:rFonts w:ascii="Times New Roman" w:hAnsi="Times New Roman"/>
          <w:color w:val="000000"/>
          <w:sz w:val="20"/>
        </w:rPr>
        <w:t>Our TrueScience</w:t>
      </w:r>
      <w:r>
        <w:rPr>
          <w:rFonts w:ascii="Times New Roman" w:hAnsi="Times New Roman"/>
          <w:color w:val="000000"/>
          <w:sz w:val="13"/>
        </w:rPr>
        <w:t>®</w:t>
      </w:r>
      <w:r>
        <w:rPr>
          <w:rFonts w:ascii="Times New Roman" w:hAnsi="Times New Roman"/>
          <w:color w:val="000000"/>
          <w:sz w:val="20"/>
        </w:rPr>
        <w:t xml:space="preserve"> line of skin and hair care products includes TrueScience</w:t>
      </w:r>
      <w:r>
        <w:rPr>
          <w:rFonts w:ascii="Times New Roman" w:hAnsi="Times New Roman"/>
          <w:color w:val="000000"/>
          <w:sz w:val="13"/>
        </w:rPr>
        <w:t>®</w:t>
      </w:r>
      <w:r>
        <w:rPr>
          <w:rFonts w:ascii="Times New Roman" w:hAnsi="Times New Roman"/>
          <w:color w:val="000000"/>
          <w:sz w:val="20"/>
        </w:rPr>
        <w:t xml:space="preserve"> TrueClean Refining Cleanser, TrueScience</w:t>
      </w:r>
      <w:r>
        <w:rPr>
          <w:rFonts w:ascii="Times New Roman" w:hAnsi="Times New Roman"/>
          <w:color w:val="000000"/>
          <w:sz w:val="13"/>
        </w:rPr>
        <w:t>®</w:t>
      </w:r>
      <w:r>
        <w:rPr>
          <w:rFonts w:ascii="Times New Roman" w:hAnsi="Times New Roman"/>
          <w:color w:val="000000"/>
          <w:sz w:val="20"/>
        </w:rPr>
        <w:t xml:space="preserve"> TrueRenew Daily Firming Complex, TrueScience</w:t>
      </w:r>
      <w:r>
        <w:rPr>
          <w:rFonts w:ascii="Times New Roman" w:hAnsi="Times New Roman"/>
          <w:color w:val="000000"/>
          <w:sz w:val="13"/>
        </w:rPr>
        <w:t>®</w:t>
      </w:r>
      <w:r>
        <w:rPr>
          <w:rFonts w:ascii="Times New Roman" w:hAnsi="Times New Roman"/>
          <w:color w:val="000000"/>
          <w:sz w:val="20"/>
        </w:rPr>
        <w:t xml:space="preserve"> TrueLift Illuminating Eye Cream, TrueScience</w:t>
      </w:r>
      <w:r>
        <w:rPr>
          <w:rFonts w:ascii="Times New Roman" w:hAnsi="Times New Roman"/>
          <w:color w:val="000000"/>
          <w:sz w:val="13"/>
        </w:rPr>
        <w:t>®</w:t>
      </w:r>
      <w:r>
        <w:rPr>
          <w:rFonts w:ascii="Times New Roman" w:hAnsi="Times New Roman"/>
          <w:color w:val="000000"/>
          <w:sz w:val="20"/>
        </w:rPr>
        <w:t xml:space="preserve"> TrueHydrate Brightening Moisturizer, TrueScience</w:t>
      </w:r>
      <w:r>
        <w:rPr>
          <w:rFonts w:ascii="Times New Roman" w:hAnsi="Times New Roman"/>
          <w:color w:val="000000"/>
          <w:sz w:val="13"/>
        </w:rPr>
        <w:t>®</w:t>
      </w:r>
      <w:r>
        <w:rPr>
          <w:rFonts w:ascii="Times New Roman" w:hAnsi="Times New Roman"/>
          <w:color w:val="000000"/>
          <w:sz w:val="20"/>
        </w:rPr>
        <w:t xml:space="preserve"> TrueTone Perfecting Lotion, TrueScience</w:t>
      </w:r>
      <w:r>
        <w:rPr>
          <w:rFonts w:ascii="Times New Roman" w:hAnsi="Times New Roman"/>
          <w:color w:val="000000"/>
          <w:sz w:val="13"/>
        </w:rPr>
        <w:t>®</w:t>
      </w:r>
      <w:r>
        <w:rPr>
          <w:rFonts w:ascii="Times New Roman" w:hAnsi="Times New Roman"/>
          <w:color w:val="000000"/>
          <w:sz w:val="20"/>
        </w:rPr>
        <w:t xml:space="preserve"> TrueProtect Daily Mineral Sunstick SPF 30, TrueScience</w:t>
      </w:r>
      <w:r>
        <w:rPr>
          <w:rFonts w:ascii="Times New Roman" w:hAnsi="Times New Roman"/>
          <w:color w:val="000000"/>
          <w:sz w:val="13"/>
        </w:rPr>
        <w:t>®</w:t>
      </w:r>
      <w:r>
        <w:rPr>
          <w:rFonts w:ascii="Times New Roman" w:hAnsi="Times New Roman"/>
          <w:color w:val="000000"/>
          <w:sz w:val="20"/>
        </w:rPr>
        <w:t xml:space="preserve"> Perfecting Lotion, TrueScience</w:t>
      </w:r>
      <w:r>
        <w:rPr>
          <w:rFonts w:ascii="Times New Roman" w:hAnsi="Times New Roman"/>
          <w:color w:val="000000"/>
          <w:sz w:val="13"/>
        </w:rPr>
        <w:t>®</w:t>
      </w:r>
      <w:r>
        <w:rPr>
          <w:rFonts w:ascii="Times New Roman" w:hAnsi="Times New Roman"/>
          <w:color w:val="000000"/>
          <w:sz w:val="20"/>
        </w:rPr>
        <w:t xml:space="preserve"> Hand Cream, TrueScience</w:t>
      </w:r>
      <w:r>
        <w:rPr>
          <w:rFonts w:ascii="Times New Roman" w:hAnsi="Times New Roman"/>
          <w:color w:val="000000"/>
          <w:sz w:val="13"/>
        </w:rPr>
        <w:t>®</w:t>
      </w:r>
      <w:r>
        <w:rPr>
          <w:rFonts w:ascii="Times New Roman" w:hAnsi="Times New Roman"/>
          <w:color w:val="000000"/>
          <w:sz w:val="20"/>
        </w:rPr>
        <w:t xml:space="preserve"> Invigorating Shampoo, TrueScience</w:t>
      </w:r>
      <w:r>
        <w:rPr>
          <w:rFonts w:ascii="Times New Roman" w:hAnsi="Times New Roman"/>
          <w:color w:val="000000"/>
          <w:sz w:val="13"/>
        </w:rPr>
        <w:t>®</w:t>
      </w:r>
      <w:r>
        <w:rPr>
          <w:rFonts w:ascii="Times New Roman" w:hAnsi="Times New Roman"/>
          <w:color w:val="000000"/>
          <w:sz w:val="20"/>
        </w:rPr>
        <w:t xml:space="preserve"> Nourishing Conditioner, TrueScience</w:t>
      </w:r>
      <w:r>
        <w:rPr>
          <w:rFonts w:ascii="Times New Roman" w:hAnsi="Times New Roman"/>
          <w:color w:val="000000"/>
          <w:sz w:val="13"/>
        </w:rPr>
        <w:t>®</w:t>
      </w:r>
      <w:r>
        <w:rPr>
          <w:rFonts w:ascii="Times New Roman" w:hAnsi="Times New Roman"/>
          <w:color w:val="000000"/>
          <w:sz w:val="20"/>
        </w:rPr>
        <w:t xml:space="preserve"> Scalp Serum, and TrueScience</w:t>
      </w:r>
      <w:r>
        <w:rPr>
          <w:rFonts w:ascii="Times New Roman" w:hAnsi="Times New Roman"/>
          <w:color w:val="000000"/>
          <w:sz w:val="13"/>
        </w:rPr>
        <w:t>®</w:t>
      </w:r>
      <w:r>
        <w:rPr>
          <w:rFonts w:ascii="Times New Roman" w:hAnsi="Times New Roman"/>
          <w:color w:val="000000"/>
          <w:sz w:val="20"/>
        </w:rPr>
        <w:t xml:space="preserve"> Liquid Collagen, a dietary supplement that activates, replenishes, and maintains collagen to support firmness and elasticity from within. </w:t>
      </w:r>
    </w:p>
    <w:p>
      <w:pPr>
        <w:pStyle w:val="TextBody"/>
        <w:bidi w:val="0"/>
        <w:spacing w:before="160" w:after="283"/>
        <w:jc w:val="left"/>
        <w:rPr>
          <w:rFonts w:ascii="Times New Roman" w:hAnsi="Times New Roman"/>
          <w:sz w:val="20"/>
        </w:rPr>
      </w:pPr>
      <w:r>
        <w:rPr>
          <w:rFonts w:ascii="Times New Roman" w:hAnsi="Times New Roman"/>
          <w:color w:val="000000"/>
          <w:sz w:val="20"/>
        </w:rPr>
        <w:t>Petandim</w:t>
      </w:r>
      <w:r>
        <w:rPr>
          <w:rFonts w:ascii="Times New Roman" w:hAnsi="Times New Roman"/>
          <w:color w:val="000000"/>
          <w:sz w:val="13"/>
        </w:rPr>
        <w:t>®</w:t>
      </w:r>
      <w:r>
        <w:rPr>
          <w:rFonts w:ascii="Times New Roman" w:hAnsi="Times New Roman"/>
          <w:color w:val="000000"/>
          <w:sz w:val="20"/>
        </w:rPr>
        <w:t xml:space="preserve"> is a supplement specially formulated to combat oxidative stress in dogs through Nrf2 activation. </w:t>
      </w:r>
    </w:p>
    <w:p>
      <w:pPr>
        <w:pStyle w:val="TextBody"/>
        <w:bidi w:val="0"/>
        <w:spacing w:before="160" w:after="283"/>
        <w:jc w:val="left"/>
        <w:rPr>
          <w:rFonts w:ascii="Times New Roman" w:hAnsi="Times New Roman"/>
          <w:sz w:val="20"/>
        </w:rPr>
      </w:pPr>
      <w:r>
        <w:rPr>
          <w:rFonts w:ascii="Times New Roman" w:hAnsi="Times New Roman"/>
          <w:color w:val="000000"/>
          <w:sz w:val="20"/>
        </w:rPr>
        <w:t>AXIO</w:t>
      </w:r>
      <w:r>
        <w:rPr>
          <w:rFonts w:ascii="Times New Roman" w:hAnsi="Times New Roman"/>
          <w:color w:val="000000"/>
          <w:sz w:val="13"/>
        </w:rPr>
        <w:t>®</w:t>
      </w:r>
      <w:r>
        <w:rPr>
          <w:rFonts w:ascii="Times New Roman" w:hAnsi="Times New Roman"/>
          <w:color w:val="000000"/>
          <w:sz w:val="20"/>
        </w:rPr>
        <w:t xml:space="preserve"> is our line of our nootropic energy drink mixes formulated to promote alertness and support mental performance. </w:t>
      </w:r>
    </w:p>
    <w:p>
      <w:pPr>
        <w:pStyle w:val="TextBody"/>
        <w:bidi w:val="0"/>
        <w:spacing w:before="160" w:after="283"/>
        <w:jc w:val="left"/>
        <w:rPr>
          <w:rFonts w:ascii="Times New Roman" w:hAnsi="Times New Roman"/>
          <w:sz w:val="20"/>
        </w:rPr>
      </w:pPr>
      <w:r>
        <w:rPr>
          <w:rFonts w:ascii="Times New Roman" w:hAnsi="Times New Roman"/>
          <w:color w:val="000000"/>
          <w:sz w:val="20"/>
        </w:rPr>
        <w:t>LoveBiome</w:t>
      </w:r>
      <w:r>
        <w:rPr>
          <w:rFonts w:ascii="Times New Roman" w:hAnsi="Times New Roman"/>
          <w:color w:val="000000"/>
          <w:sz w:val="13"/>
        </w:rPr>
        <w:t>®</w:t>
      </w:r>
      <w:r>
        <w:rPr>
          <w:rFonts w:ascii="Times New Roman" w:hAnsi="Times New Roman"/>
          <w:color w:val="000000"/>
          <w:sz w:val="20"/>
        </w:rPr>
        <w:t xml:space="preserve"> P84 is a dietary supplement formulated to activate 14 key peptides that regulate, repair, and restore gut health. PhytoPower B is a dietary supplement formulated to slow carb-to-sugar conversion and support healthy metabolism.</w:t>
      </w:r>
    </w:p>
    <w:p>
      <w:pPr>
        <w:pStyle w:val="TextBody"/>
        <w:bidi w:val="0"/>
        <w:spacing w:before="160" w:after="283"/>
        <w:jc w:val="left"/>
        <w:rPr>
          <w:rFonts w:ascii="Times New Roman" w:hAnsi="Times New Roman"/>
          <w:sz w:val="20"/>
        </w:rPr>
      </w:pPr>
      <w:r>
        <w:rPr>
          <w:rFonts w:ascii="Times New Roman" w:hAnsi="Times New Roman"/>
          <w:color w:val="000000"/>
          <w:sz w:val="20"/>
        </w:rPr>
        <w:t>We sell our products both individually and in stacks. A stack consists of multiple products bundled together that are designed to achieve a specific result. In fiscal year 2025, our stack strategy continued to focus on the brand message of activation. During the year, we introduced a number of new stacks to meet customer and independent consultant needs. Prior to the launch of our latest activator, the MindBody GLP-1 System</w:t>
      </w:r>
      <w:r>
        <w:rPr>
          <w:rFonts w:ascii="Times New Roman" w:hAnsi="Times New Roman"/>
          <w:color w:val="000000"/>
          <w:sz w:val="13"/>
        </w:rPr>
        <w:t>®</w:t>
      </w:r>
      <w:r>
        <w:rPr>
          <w:rFonts w:ascii="Times New Roman" w:hAnsi="Times New Roman"/>
          <w:color w:val="000000"/>
          <w:sz w:val="20"/>
        </w:rPr>
        <w:t>, we introduced the Kickstart Bundle, which features a selection of products (varies by market) to help prepare the body for GLP-1 activation. Additionally, several stacks were introduced that incorporated the MindBody GLP-1 System</w:t>
      </w:r>
      <w:r>
        <w:rPr>
          <w:rFonts w:ascii="Times New Roman" w:hAnsi="Times New Roman"/>
          <w:color w:val="000000"/>
          <w:sz w:val="13"/>
        </w:rPr>
        <w:t>®</w:t>
      </w:r>
      <w:r>
        <w:rPr>
          <w:rFonts w:ascii="Times New Roman" w:hAnsi="Times New Roman"/>
          <w:color w:val="000000"/>
          <w:sz w:val="20"/>
        </w:rPr>
        <w:t xml:space="preserve"> to offer consumers support for weight management and wellness along with delivering other targeted benefits as part of their activated lifestyle. </w:t>
      </w:r>
    </w:p>
    <w:p>
      <w:pPr>
        <w:pStyle w:val="TextBody"/>
        <w:bidi w:val="0"/>
        <w:spacing w:before="160" w:after="283"/>
        <w:jc w:val="left"/>
        <w:rPr>
          <w:rFonts w:ascii="Times New Roman" w:hAnsi="Times New Roman"/>
          <w:sz w:val="20"/>
        </w:rPr>
      </w:pPr>
      <w:r>
        <w:rPr>
          <w:rFonts w:ascii="Times New Roman" w:hAnsi="Times New Roman"/>
          <w:color w:val="000000"/>
          <w:sz w:val="20"/>
        </w:rPr>
        <w:t>We also introduced our Healthy Weight Stack, which includes the MindBody GLP-1 System</w:t>
      </w:r>
      <w:r>
        <w:rPr>
          <w:rFonts w:ascii="Times New Roman" w:hAnsi="Times New Roman"/>
          <w:color w:val="000000"/>
          <w:sz w:val="13"/>
        </w:rPr>
        <w:t>®</w:t>
      </w:r>
      <w:r>
        <w:rPr>
          <w:rFonts w:ascii="Times New Roman" w:hAnsi="Times New Roman"/>
          <w:color w:val="000000"/>
          <w:sz w:val="20"/>
        </w:rPr>
        <w:t xml:space="preserve"> and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Results of an in vitro study were released that showed beneficial “activation synergies” when both products were used together, including enhanced fatty acid metabolism, improved defense against oxidative stress, and activation of 22 new genes that help cells make what they need to support organ strength, structure, and signaling. </w:t>
      </w:r>
    </w:p>
    <w:p>
      <w:pPr>
        <w:pStyle w:val="TextBody"/>
        <w:bidi w:val="0"/>
        <w:spacing w:before="160" w:after="283"/>
        <w:jc w:val="left"/>
        <w:rPr>
          <w:rFonts w:ascii="Times New Roman" w:hAnsi="Times New Roman"/>
          <w:sz w:val="20"/>
        </w:rPr>
      </w:pPr>
      <w:r>
        <w:rPr>
          <w:rFonts w:ascii="Times New Roman" w:hAnsi="Times New Roman"/>
          <w:color w:val="000000"/>
          <w:sz w:val="20"/>
        </w:rPr>
        <w:t>Subsequent to acquiring the critical assets of LoveBiome, we introduced our Healthy Edge Stack, which includes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and LoveBiome</w:t>
      </w:r>
      <w:r>
        <w:rPr>
          <w:rFonts w:ascii="Times New Roman" w:hAnsi="Times New Roman"/>
          <w:color w:val="000000"/>
          <w:sz w:val="13"/>
        </w:rPr>
        <w:t>®</w:t>
      </w:r>
      <w:r>
        <w:rPr>
          <w:rFonts w:ascii="Times New Roman" w:hAnsi="Times New Roman"/>
          <w:color w:val="000000"/>
          <w:sz w:val="20"/>
        </w:rPr>
        <w:t xml:space="preserve"> P84; and our Healthy Edge + MindBody GLP-1 System Stack, which includes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the MindBody GLP-1 System</w:t>
      </w:r>
      <w:r>
        <w:rPr>
          <w:rFonts w:ascii="Times New Roman" w:hAnsi="Times New Roman"/>
          <w:color w:val="000000"/>
          <w:sz w:val="13"/>
        </w:rPr>
        <w:t>®</w:t>
      </w:r>
      <w:r>
        <w:rPr>
          <w:rFonts w:ascii="Times New Roman" w:hAnsi="Times New Roman"/>
          <w:color w:val="000000"/>
          <w:sz w:val="20"/>
        </w:rPr>
        <w:t xml:space="preserve"> and LoveBiome</w:t>
      </w:r>
      <w:r>
        <w:rPr>
          <w:rFonts w:ascii="Times New Roman" w:hAnsi="Times New Roman"/>
          <w:color w:val="000000"/>
          <w:sz w:val="13"/>
        </w:rPr>
        <w:t>®</w:t>
      </w:r>
      <w:r>
        <w:rPr>
          <w:rFonts w:ascii="Times New Roman" w:hAnsi="Times New Roman"/>
          <w:color w:val="000000"/>
          <w:sz w:val="20"/>
        </w:rPr>
        <w:t xml:space="preserve"> P84.</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continue to offer other popular stacks with products that complement one another with inner activation power for internal benefits that can be felt, external benefits that can be seen, or both.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currently have additional products in development and additional product offerings that come with our acquisition of LoveBiome’s critical assets in October 2025. Any delays or difficulties in introducing compelling products or attractive initiatives or tools into our markets may have a negative impact on our revenue and our ability to attract new independent consultants and customers.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Compensation Plan for our Independent Consultants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On March 1, 2023, we launched a new compensation plan for our independent consultants in the United States, Japan, Australia, and New Zealand markets. We refer to this compensation plan as our Evolve Compensation Plan. On February 1, 2024, we launched the Evolve Compensation Plan in the Canada, Mexico, and Europe markets. On November 1, 2024, we launched an optimized version of the Evolve Compensation Plan in the United States, Japan, Australia, New Zealand, Canada, Mexico, and Europe markets. On March 1, 2025, we launched the Evolve Compensation Plan in other markets, including Taiwan, Hong Kong, and Singapore. In September 2025, we launched Iceland with the Evolve Compensation Plan and plan to do the same in any new markets.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typically are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tables summarize the changes in our active accounts base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6"/>
        <w:gridCol w:w="146"/>
        <w:gridCol w:w="146"/>
        <w:gridCol w:w="781"/>
        <w:gridCol w:w="146"/>
        <w:gridCol w:w="146"/>
        <w:gridCol w:w="146"/>
        <w:gridCol w:w="571"/>
        <w:gridCol w:w="271"/>
        <w:gridCol w:w="146"/>
        <w:gridCol w:w="146"/>
        <w:gridCol w:w="781"/>
        <w:gridCol w:w="146"/>
        <w:gridCol w:w="146"/>
        <w:gridCol w:w="146"/>
        <w:gridCol w:w="571"/>
        <w:gridCol w:w="271"/>
        <w:gridCol w:w="146"/>
        <w:gridCol w:w="161"/>
        <w:gridCol w:w="817"/>
        <w:gridCol w:w="166"/>
        <w:gridCol w:w="146"/>
        <w:gridCol w:w="163"/>
        <w:gridCol w:w="588"/>
        <w:gridCol w:w="756"/>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br/>
              <w:t>from Prior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Independent Consultants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Active Independent Consultants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Active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Active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Three and nine months ended March 31, 2026 and 2025</w:t>
      </w:r>
    </w:p>
    <w:p>
      <w:pPr>
        <w:pStyle w:val="TextBody"/>
        <w:bidi w:val="0"/>
        <w:spacing w:before="16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We generated net revenue of $43.7 million and $58.4 million during the three months ended March 31, 2026 and 2025, respectively. We generated net revenue of $140.2 million and $173.4 million during the nine months ended March 31, 2026 and 2025, respectively. The decrease in revenue for the three and nine months ended March 31, 2026 was primarily driven by declines in sales of our MindBody GLP-1 System</w:t>
      </w:r>
      <w:r>
        <w:rPr>
          <w:rFonts w:ascii="Times New Roman" w:hAnsi="Times New Roman"/>
          <w:color w:val="000000"/>
          <w:sz w:val="13"/>
        </w:rPr>
        <w:t>®</w:t>
      </w:r>
      <w:r>
        <w:rPr>
          <w:rFonts w:ascii="Times New Roman" w:hAnsi="Times New Roman"/>
          <w:color w:val="000000"/>
          <w:sz w:val="20"/>
        </w:rPr>
        <w:t>. Total sales of our MindBody GLP-1 System</w:t>
      </w:r>
      <w:r>
        <w:rPr>
          <w:rFonts w:ascii="Times New Roman" w:hAnsi="Times New Roman"/>
          <w:color w:val="000000"/>
          <w:sz w:val="13"/>
        </w:rPr>
        <w:t xml:space="preserve">® </w:t>
      </w:r>
      <w:r>
        <w:rPr>
          <w:rFonts w:ascii="Times New Roman" w:hAnsi="Times New Roman"/>
          <w:color w:val="000000"/>
          <w:sz w:val="20"/>
        </w:rPr>
        <w:t>decreased $9.6 million and $20.1 million during the three and nine months ended March 31, 2026, respectively. The decline in sales of our MindBody GLP-1 System</w:t>
      </w:r>
      <w:r>
        <w:rPr>
          <w:rFonts w:ascii="Times New Roman" w:hAnsi="Times New Roman"/>
          <w:color w:val="000000"/>
          <w:sz w:val="13"/>
        </w:rPr>
        <w:t>®</w:t>
      </w:r>
      <w:r>
        <w:rPr>
          <w:rFonts w:ascii="Times New Roman" w:hAnsi="Times New Roman"/>
          <w:color w:val="000000"/>
          <w:sz w:val="20"/>
        </w:rPr>
        <w:t xml:space="preserve"> during the three months ended March 31, 2026 was slightly offset by sales of the LoveBiome product line, which we acquired in October 2025.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Foreign currency fluctuations positively impacted our revenue by $0.3 million, or 0.5%, during the three months ended March 31, 2026. Foreign currency fluctuations positively impacted our revenue by $0.7 million, or 0.4%, during the nine months ended March 31, 2026.</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Americas</w:t>
      </w:r>
      <w:r>
        <w:rPr>
          <w:rFonts w:ascii="Times New Roman" w:hAnsi="Times New Roman"/>
          <w:color w:val="000000"/>
          <w:sz w:val="20"/>
        </w:rPr>
        <w:t>. The following table sets forth revenue for the three and nine months ended March 31, 2026 and 2025 for the Americas region (in thousands):</w:t>
      </w:r>
    </w:p>
    <w:p>
      <w:pPr>
        <w:pStyle w:val="TextBody"/>
        <w:bidi w:val="0"/>
        <w:jc w:val="left"/>
        <w:rPr/>
      </w:pPr>
      <w:r>
        <w:rPr/>
        <w:t> </w:t>
      </w:r>
    </w:p>
    <w:tbl>
      <w:tblPr>
        <w:tblW w:w="9598" w:type="dxa"/>
        <w:jc w:val="left"/>
        <w:tblInd w:w="0" w:type="dxa"/>
        <w:tblLayout w:type="fixed"/>
        <w:tblCellMar>
          <w:top w:w="28" w:type="dxa"/>
          <w:left w:w="28" w:type="dxa"/>
          <w:bottom w:w="28" w:type="dxa"/>
          <w:right w:w="28" w:type="dxa"/>
        </w:tblCellMar>
      </w:tblPr>
      <w:tblGrid>
        <w:gridCol w:w="1551"/>
        <w:gridCol w:w="146"/>
        <w:gridCol w:w="211"/>
        <w:gridCol w:w="676"/>
        <w:gridCol w:w="146"/>
        <w:gridCol w:w="146"/>
        <w:gridCol w:w="211"/>
        <w:gridCol w:w="676"/>
        <w:gridCol w:w="146"/>
        <w:gridCol w:w="146"/>
        <w:gridCol w:w="215"/>
        <w:gridCol w:w="776"/>
        <w:gridCol w:w="331"/>
        <w:gridCol w:w="146"/>
        <w:gridCol w:w="211"/>
        <w:gridCol w:w="781"/>
        <w:gridCol w:w="146"/>
        <w:gridCol w:w="146"/>
        <w:gridCol w:w="211"/>
        <w:gridCol w:w="781"/>
        <w:gridCol w:w="146"/>
        <w:gridCol w:w="146"/>
        <w:gridCol w:w="215"/>
        <w:gridCol w:w="776"/>
        <w:gridCol w:w="516"/>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Revenue in the Americas region for the three and nine months ended March 31, 2026 decreased $13.9 million, or 28.9%, and $32.2 million or 22.7%, respectively, from the prior year periods. The decrease in revenue for the three and nine months ended March 31, 2026 was primarily driven by decreased sales of our MindBody GLP-1 System</w:t>
      </w:r>
      <w:r>
        <w:rPr>
          <w:rFonts w:ascii="Times New Roman" w:hAnsi="Times New Roman"/>
          <w:color w:val="000000"/>
          <w:sz w:val="13"/>
        </w:rPr>
        <w:t xml:space="preserve">® </w:t>
      </w:r>
      <w:r>
        <w:rPr>
          <w:rFonts w:ascii="Times New Roman" w:hAnsi="Times New Roman"/>
          <w:color w:val="000000"/>
          <w:sz w:val="20"/>
        </w:rPr>
        <w:t>of $8.7 million and $17.4 million, respectively, and reductions in our total Active Accounts which decreased 25.7% compared to the prior year period.</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Asia/Pacific &amp; Europe</w:t>
      </w:r>
      <w:r>
        <w:rPr>
          <w:rFonts w:ascii="Times New Roman" w:hAnsi="Times New Roman"/>
          <w:color w:val="000000"/>
          <w:sz w:val="20"/>
        </w:rPr>
        <w:t>. The following table sets forth revenue for the three and nine months ended March 31, 2026 and 2025 for the Asia/Pacific &amp; Europe region and its principal markets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6"/>
        <w:gridCol w:w="146"/>
        <w:gridCol w:w="211"/>
        <w:gridCol w:w="571"/>
        <w:gridCol w:w="146"/>
        <w:gridCol w:w="146"/>
        <w:gridCol w:w="211"/>
        <w:gridCol w:w="676"/>
        <w:gridCol w:w="146"/>
        <w:gridCol w:w="146"/>
        <w:gridCol w:w="215"/>
        <w:gridCol w:w="776"/>
        <w:gridCol w:w="324"/>
        <w:gridCol w:w="146"/>
        <w:gridCol w:w="211"/>
        <w:gridCol w:w="676"/>
        <w:gridCol w:w="146"/>
        <w:gridCol w:w="146"/>
        <w:gridCol w:w="211"/>
        <w:gridCol w:w="676"/>
        <w:gridCol w:w="146"/>
        <w:gridCol w:w="146"/>
        <w:gridCol w:w="255"/>
        <w:gridCol w:w="736"/>
        <w:gridCol w:w="570"/>
      </w:tblGrid>
      <w:tr>
        <w:trPr/>
        <w:tc>
          <w:tcPr>
            <w:tcW w:w="2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Revenue in the Asia/Pacific &amp; Europe region decreased $0.8 million, or 7.7%, and $1.0 million, or 3.1%, for the three and nine months ended March 31, 2026, respectively, as compared to the prior year periods. Total Active Accounts in the region decreased 9.7% compared to the prior year period. In March 2025, we launched our MindBody GLP-1 System</w:t>
      </w:r>
      <w:r>
        <w:rPr>
          <w:rFonts w:ascii="Times New Roman" w:hAnsi="Times New Roman"/>
          <w:color w:val="000000"/>
          <w:sz w:val="13"/>
        </w:rPr>
        <w:t>®</w:t>
      </w:r>
      <w:r>
        <w:rPr>
          <w:rFonts w:ascii="Times New Roman" w:hAnsi="Times New Roman"/>
          <w:color w:val="000000"/>
          <w:sz w:val="20"/>
        </w:rPr>
        <w:t xml:space="preserve"> in Japan and exclusively to our independent consultants in Australia, New Zealand, Europe, United Kingdom, Mexico and Thailand. Revenue within the Asia/Pacific &amp; Europe region from our MindBody GLP-1 System</w:t>
      </w:r>
      <w:r>
        <w:rPr>
          <w:rFonts w:ascii="Times New Roman" w:hAnsi="Times New Roman"/>
          <w:color w:val="000000"/>
          <w:sz w:val="13"/>
        </w:rPr>
        <w:t>®</w:t>
      </w:r>
      <w:r>
        <w:rPr>
          <w:rFonts w:ascii="Times New Roman" w:hAnsi="Times New Roman"/>
          <w:color w:val="000000"/>
          <w:sz w:val="20"/>
        </w:rPr>
        <w:t xml:space="preserve"> was $0.9 million and $2.7 million for the three and nine months ended March 31, 2026, respectively. Decreases in total Active Accounts and sales throughout our other product lines contributed to an overall decline in sales for the respective periods.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Overall, revenue in the Asia/Pacific &amp; Europe region was positively impacted by foreign currency exchange rate fluctuations of approximately $0.1 million, or 1.2%, and $0.4 million, or 1.3%, during the three and nine months ended March 31, 2026, respectively, as compared to the prior year periods. Revenue in Japan was negatively impacted by foreign exchange rate fluctuations in the amount of approximately $0.2 million, or 2.8%, and $0.2 million or 1.1%, during the three and nine months ended March 31, 2026, respectively, as compared to the prior year periods. On a constant currency basis, revenue in Japan decreased 7.5% and 1.4% for the three and nine months ended March 31, 2026, respectively, as compared to the prior year periods. The decrease in revenue on a constant currency basis in Japan during three and nine months ended March 31, 2026 was due to decreases in total Active Accounts during the respective periods.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Globally, our sales and marketing efforts continue to be directed toward strengthening our core business through our fiscal year initiatives and building our worldwide sales. We plan to continue the refinement and expansion of our product offerings internationally during the remainder of fiscal year 2026 and beyond.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 xml:space="preserve">Cost of Sales. </w:t>
      </w:r>
      <w:r>
        <w:rPr>
          <w:rFonts w:ascii="Times New Roman" w:hAnsi="Times New Roman"/>
          <w:color w:val="000000"/>
          <w:sz w:val="20"/>
        </w:rPr>
        <w:t>Cost of sales were $9.2 million and $11.1 million for the three months ended March 31, 2026 and 2025, respectively, resulting in gross profit percentages of 79.0% and 81.0%, respectively. Cost of sales were $31.6 million and $33.8 million for the nine months ended March 31, 2026 and 2025, respectively, resulting in gross profit percentages of 77.4% and 80.5%, respectively. The increase in cost of sales as a percentage of revenue is primarily due to increases in inventory obsolescence costs related to our MindBody GLP-1 System</w:t>
      </w:r>
      <w:r>
        <w:rPr>
          <w:rFonts w:ascii="Times New Roman" w:hAnsi="Times New Roman"/>
          <w:color w:val="000000"/>
          <w:sz w:val="13"/>
        </w:rPr>
        <w:t>®</w:t>
      </w:r>
      <w:r>
        <w:rPr>
          <w:rFonts w:ascii="Times New Roman" w:hAnsi="Times New Roman"/>
          <w:color w:val="000000"/>
          <w:sz w:val="20"/>
        </w:rPr>
        <w:t xml:space="preserve"> of $0.2 and $2.6 million, along with increases in shipping and warehouse expenses during the three and three and nine months ended March 31, 2026, respectively.</w:t>
      </w:r>
    </w:p>
    <w:p>
      <w:pPr>
        <w:pStyle w:val="TextBody"/>
        <w:bidi w:val="0"/>
        <w:spacing w:before="160" w:after="283"/>
        <w:jc w:val="left"/>
        <w:rPr>
          <w:rFonts w:ascii="Times New Roman" w:hAnsi="Times New Roman"/>
          <w:sz w:val="20"/>
        </w:rPr>
      </w:pPr>
      <w:r>
        <w:rPr>
          <w:rFonts w:ascii="Times New Roman" w:hAnsi="Times New Roman"/>
          <w:i/>
          <w:color w:val="000000"/>
          <w:sz w:val="20"/>
        </w:rPr>
        <w:t>Commissions and Incentives.</w:t>
      </w:r>
      <w:r>
        <w:rPr>
          <w:rFonts w:ascii="Times New Roman" w:hAnsi="Times New Roman"/>
          <w:color w:val="000000"/>
          <w:sz w:val="20"/>
        </w:rPr>
        <w:t xml:space="preserve"> Commissions and incentives expenses during the three months ended March 31, 2026 were $19.0 million, or 43.5% of revenue, as compared to $26.2 million, or 44.8% of revenue, for the three months ended March 31, 2025. Commissions and incentives expenses during the nine months ended March 31, 2026 were $59.6 million, or 42.5% of revenue, as compared to $79.0 million, or 45.6% of revenue, for the nine months ended March 31, 2025. The decrease in commissions and incentives expenses as a percentage of revenue compared to the prior year periods is primarily due to the timing and magnitude of promotional and incentive programs and changes to the mix of customers and independent consultants in our overall Active Accounts.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Commissions and incentives expenses, as a percentage of revenue, may fluctuate in future periods based on our ability to hold incentive trips and events and the timing and magnitude of compensation, incentive and promotional programs.</w:t>
      </w:r>
    </w:p>
    <w:p>
      <w:pPr>
        <w:pStyle w:val="TextBody"/>
        <w:bidi w:val="0"/>
        <w:spacing w:before="1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Selling, general and administrative expenses during the three months ended March 31, 2026 were $13.9 million, or 31.7% of revenue, as compared to $17.1 million, or 29.2% of revenue, for the three months ended March 31, 2025. Selling, general and administrative expenses during the nine months ended March 31, 2026 were $44.5 million, or 31.8% of revenue, as compared to $50.5 million, or 29.1% of revenue, for the nine months ended March 31, 2025. The increase in selling, general and administrative expenses as a percentage of revenue during the three and nine months ended March 31, 2026 compared to the prior year periods is primarily due to overall decreases in sales for the comparable periods. </w:t>
      </w:r>
    </w:p>
    <w:p>
      <w:pPr>
        <w:pStyle w:val="TextBody"/>
        <w:bidi w:val="0"/>
        <w:spacing w:before="160" w:after="283"/>
        <w:jc w:val="left"/>
        <w:rPr>
          <w:rFonts w:ascii="Times New Roman" w:hAnsi="Times New Roman"/>
          <w:sz w:val="20"/>
        </w:rPr>
      </w:pPr>
      <w:r>
        <w:rPr>
          <w:rFonts w:ascii="Times New Roman" w:hAnsi="Times New Roman"/>
          <w:i/>
          <w:color w:val="000000"/>
          <w:sz w:val="20"/>
        </w:rPr>
        <w:t>Total Other Income (Expense).</w:t>
      </w:r>
      <w:r>
        <w:rPr>
          <w:rFonts w:ascii="Times New Roman" w:hAnsi="Times New Roman"/>
          <w:color w:val="000000"/>
          <w:sz w:val="20"/>
        </w:rPr>
        <w:t xml:space="preserve"> During the three months ended March 31, 2026 we recognized total net other expense of $22,000 as compared to total net other income of $0.1 million for the three months ended March 31, 2025. During the nine months ended March 31, 2026 we recognized total net other expense of $0.1 million as compared to $0.2 million for the nine months ended March 31, 2025. Total net other income (expense) for the three and nine months ended March 31, 2026 and 2025 consisted primarily of interest income, offset by foreign currency gains and losses. </w:t>
      </w:r>
    </w:p>
    <w:p>
      <w:pPr>
        <w:pStyle w:val="TextBody"/>
        <w:bidi w:val="0"/>
        <w:spacing w:before="16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We recognized income tax expense of $0.3 million and $0.6 million for the three and nine months ended March 31, 2026, respectively, as compared to $0.7 million and $2.0 million for the three and nine months ended March 31, 2025, respectively. The effective tax rate for the three and nine months ended March 31, 2026 was 17.8% and 13.2%, respectively, compared to 17.0% and 20.3% for the three and nine months ended March 31, 2025,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change in the effective tax rate for the three and three and nine months ended March 31, 2026 compared to the prior year periods was primarily due to changes in taxable income and the impact of discrete items.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expect that our effective tax rate will fluctuate slightly during the remainder of fiscal 2026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Liquidity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primary liquidity and capital resource requirements are to finance the cost of our planned operating expenses and working capital (principally inventory purchases), fund capital expenditures, and service our debt, which includes any outstanding balances under our credit facility. We have generally relied on cash flow from operations to fund operating activities and we have, at times, incurred long-term debt in order to fund stock repurchases and strategic transactions.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March 31, 2026, our available liquidity was $12.5 million, which consisted of available cash and cash equivalents. This represents a decrease of $7.7 million from the $20.2 million in cash and cash equivalents as of June 30, 2025.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nine months ended March 31, 2026, our net cash provided by operating activities was $5.5 million as compared to $10.8 million during the nine months ended March 31, 2025. The decrease in cash provided by operating activities is primarily related to the payment of employee related incentive compensation and incentive trip expenses during the nine months ended March 31, 2026, previously accrued at June 30, 2025.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nine months ended March 31, 2026, our net cash used in investing activities was $6.3 million, as a result of the acquisition of LoveBiome in October 2025 and the purchase of fixed assets. During the nine months ended March 31, 2025, our net cash used in investing activities was $1.2 million, as a result of the purchase of fixed assets.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Cash used in financing activities during the nine months ended March 31, 2026 was $6.6 million as a result of our payment of cash dividends, repurchases of common stock, and shares purchased as payment of tax withholding upon vesting of equity awards, partially offset by proceeds from stock issued under our 2019 Employee Stock Purchase Plan (as amended, the “2019 ESPP”). Cash used in financing activities during the nine months ended March 31, 2025 was $4.4 million as a result of our payment of cash dividends, the repurchase of common stock, and shares purchased as payment of tax withholding upon vesting of equity awards, partially offset by proceeds from stock issued under our 2019 ESPP and stock option exercises.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At March 31, 2026 and June 30, 2025, the total amount of our foreign subsidiary cash was $6.1 million and $6.4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At March 31, 2026, we had working capital (current assets minus current liabilities) of $19.2 million, compared to working capital of $23.7 million at June 30, 2025.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2024 Credit Facility (as defined below), provides for a revolving line of credit in an aggregate principal amount not to exceed $5.0 million. We would also consider realigning our strategic plans including a reduction in capital spending and expenses.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Capital Resources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Shelf Registration Statement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March 10, 2026, we filed a shelf registration statement on Form S-3 (the “2026 Shelf Registration”) with the Securities and Exchange Commission (“SEC”) that was declared effective on March 20, 2026, which permits us to offer up to $75 million of common stock, preferred stock, debt securities and warrants in one or more offerings and in any combination, including in units from time to time. Our 2026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2024 Credit Facility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On April 12, 2024, we entered into a Loan Agreement, as amended (the “Loan Agreement”) with Bank of America, N.A., as Lender (the “Lender”). In connection with the Loan Agreement and on the same date, we,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the Continuing and Unconditional Guaranty and the Security and Pledge Agreement, the “2024 Credit Facility”).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September 22, 2025, we entered into an amendment to the Loan Agreement, which amended the 2024 Credit Facility (“Amendment No. 1”) to allow the proceeds of the credit to be also used for permitted acquisitions. On September 22, 2025, we also entered into a collateral assignment of, and grant of security interest in, the LoveBiome assets purchased by the Company.</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event we borrow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0.00%, plus (ii) 2.00%. Amounts under the Line of Credit may be repaid and re-borrowed from time to time until the Expiration Date.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obligations under the Loan Agreement are secured by a security interest in substantially all of the assets of the Company and the Guarantor, as further provided for in the Security and Pledge Agreement. Pursuant to the Continuing and Unconditional Guaranty, the Guarantor guarantees and promises to pay promptly to the Lender all indebtedness of the Company when due.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Loan Agreement contains customary covenants, including affirmative and negative covenants that in certain circumstances restrict our ability to incur additional indebtedness, make certain investments, purchase or otherwise acquire all or substantially all the assets or equity interests of other companies, or transfer any part of the business or any assets of the Company or the Guarantor. The Loan Agreement requires us to maintain specified financial ratios and satisfy certain financial condition tests.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Loan Agreement contains certain customary events of default, including, among other things, our failure to make required payments under the Loan Agreement, certain breaches of representations made by us or the Guarantor, insolvency or bankruptcy of the Company or the Guarantor, failure to have an enforceable first lien or security interest in any property given as security for the Loan Agreement, or our failure to comply with covenants set forth in the Loan Agreement. If an event of default occurs under the Loan Agreement, the obligation of the Lender to make any additional credit available to us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 </w:t>
      </w:r>
    </w:p>
    <w:p>
      <w:pPr>
        <w:pStyle w:val="TextBody"/>
        <w:bidi w:val="0"/>
        <w:spacing w:before="160" w:after="283"/>
        <w:jc w:val="left"/>
        <w:rPr>
          <w:rFonts w:ascii="Times New Roman" w:hAnsi="Times New Roman"/>
          <w:sz w:val="20"/>
        </w:rPr>
      </w:pPr>
      <w:r>
        <w:rPr>
          <w:rFonts w:ascii="Times New Roman" w:hAnsi="Times New Roman"/>
          <w:color w:val="000000"/>
          <w:sz w:val="20"/>
        </w:rPr>
        <w:t>As of the date of this report, there is no balance outstanding under the 2024 Credit Facility</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Commitments and Obligations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Please refer to Note 8 to the condensed consolidated financial statements contained in this report for information regarding our contingent liabilities.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our audit committee has reviewed the disclosures noted below.</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Stock-Based Compensation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Historically, our estimates and underlying assumptions have not materially deviated from our actual reported results and rates. However, we base the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Income Taxes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provision for income taxes includes income from U.S. and foreign subsidiaries taxed at statutory rates, the accrual or release of amounts for tax uncertainties, and U.S. tax impacts of foreign income in the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pStyle w:val="TextBody"/>
        <w:bidi w:val="0"/>
        <w:spacing w:before="160" w:after="283"/>
        <w:jc w:val="left"/>
        <w:rPr>
          <w:rFonts w:ascii="Times New Roman" w:hAnsi="Times New Roman"/>
          <w:b/>
          <w:color w:val="000000"/>
          <w:sz w:val="20"/>
        </w:rPr>
      </w:pPr>
      <w:bookmarkStart w:id="10" w:name="item3_quantitative_and_qualitative_disc"/>
      <w:bookmarkEnd w:id="10"/>
      <w:r>
        <w:rPr>
          <w:rFonts w:ascii="Times New Roman" w:hAnsi="Times New Roman"/>
          <w:b/>
          <w:color w:val="000000"/>
          <w:sz w:val="20"/>
        </w:rPr>
        <w:t>Item 3. Quantitative and Qualitative Disclosures About Market Risk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item is not required for smaller reporting companies.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6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March 31, 2026.</w:t>
      </w:r>
    </w:p>
    <w:p>
      <w:pPr>
        <w:pStyle w:val="TextBody"/>
        <w:bidi w:val="0"/>
        <w:spacing w:before="1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March 31, 2026 that have materially affected, or are reasonably likely to materially affect, our internal control over financial reporting.</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Inherent Limitations of Internal Control Over Financial Reporting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pStyle w:val="TextBody"/>
        <w:bidi w:val="0"/>
        <w:spacing w:before="160" w:after="283"/>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16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See Note 8 to our unaudited condensed consolidated financial statements contained within this quarterly report on Form 10-Q for a discussion of our legal proceedings.</w:t>
      </w:r>
    </w:p>
    <w:p>
      <w:pPr>
        <w:pStyle w:val="TextBody"/>
        <w:bidi w:val="0"/>
        <w:spacing w:before="1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“Part I. Item 1A — Risk Factors” in our annual report on Form 10-K for the fiscal year ended June 30, 2025, filed on September 4, 2025.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5" w:name="item2_unregister_sales_of_eqty_securitie"/>
      <w:bookmarkEnd w:id="15"/>
      <w:r>
        <w:rPr>
          <w:rFonts w:ascii="Times New Roman" w:hAnsi="Times New Roman"/>
          <w:b/>
          <w:color w:val="000000"/>
          <w:sz w:val="20"/>
        </w:rPr>
        <w:t>Item 2. Unregistered Sales of Equity Securities and Use of Proceeds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following table provides information with respect to all purchases of our common stock made by or on behalf of the Company or any “affiliated purchaser,” as defined in Rule 10b-18 under the Exchange Act, during the three months ended March 31, 2026. </w:t>
      </w:r>
    </w:p>
    <w:p>
      <w:pPr>
        <w:pStyle w:val="TextBody"/>
        <w:bidi w:val="0"/>
        <w:jc w:val="left"/>
        <w:rPr/>
      </w:pPr>
      <w:r>
        <w:rPr/>
        <w:t> </w:t>
      </w:r>
    </w:p>
    <w:tbl>
      <w:tblPr>
        <w:tblW w:w="7725" w:type="dxa"/>
        <w:jc w:val="left"/>
        <w:tblInd w:w="0" w:type="dxa"/>
        <w:tblLayout w:type="fixed"/>
        <w:tblCellMar>
          <w:top w:w="28" w:type="dxa"/>
          <w:left w:w="28" w:type="dxa"/>
          <w:bottom w:w="28" w:type="dxa"/>
          <w:right w:w="28" w:type="dxa"/>
        </w:tblCellMar>
      </w:tblPr>
      <w:tblGrid>
        <w:gridCol w:w="2116"/>
        <w:gridCol w:w="146"/>
        <w:gridCol w:w="156"/>
        <w:gridCol w:w="835"/>
        <w:gridCol w:w="146"/>
        <w:gridCol w:w="146"/>
        <w:gridCol w:w="261"/>
        <w:gridCol w:w="579"/>
        <w:gridCol w:w="146"/>
        <w:gridCol w:w="146"/>
        <w:gridCol w:w="205"/>
        <w:gridCol w:w="1100"/>
        <w:gridCol w:w="146"/>
        <w:gridCol w:w="146"/>
        <w:gridCol w:w="213"/>
        <w:gridCol w:w="1047"/>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br/>
              <w:t>Price</w:t>
              <w:br/>
              <w:t>Paid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Total Number</w:t>
              <w:br/>
              <w:t>of Shares</w:t>
              <w:br/>
              <w:t>Purchased as</w:t>
              <w:br/>
              <w:t>Part of</w:t>
              <w:br/>
              <w:t>Publicly</w:t>
              <w:br/>
              <w:t>Announced</w:t>
              <w:br/>
              <w:t>Plans or</w:t>
              <w:br/>
              <w:t>Programs</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Maximum</w:t>
              <w:br/>
              <w:t>Dollar</w:t>
              <w:br/>
              <w:t>Value of</w:t>
              <w:br/>
              <w:t>Shares</w:t>
              <w:br/>
              <w:t>that May Yet</w:t>
              <w:br/>
              <w:t>Be Purchased</w:t>
              <w:br/>
              <w:t>Under the</w:t>
              <w:br/>
              <w:t>Plans or</w:t>
              <w:br/>
              <w:t>Programs</w:t>
            </w:r>
            <w:r>
              <w:rPr>
                <w:rFonts w:ascii="Times New Roman" w:hAnsi="Times New Roman"/>
                <w:b/>
                <w:color w:val="000000"/>
                <w:sz w:val="13"/>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 January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 February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59,454,375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 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58,994,272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 January 2026, our Board of Directors approved a new stock repurchase program. Under the program, we are authorized to repurchase up to $60.0 million of our outstanding shares through December 31, 2027.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authorized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w:t>
      </w:r>
    </w:p>
    <w:p>
      <w:pPr>
        <w:pStyle w:val="TextBody"/>
        <w:bidi w:val="0"/>
        <w:spacing w:before="1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November 11, 2025, Darwin Lewis, a director, adopted a stock purchase plan that is intended to satisfy the affirmative defense of Rule 10b5-1(c) under the Exchange Act. The purchase plan, which Mr. Lewis adopted in compliance with restrictions imposed by our Insider Trading Policy, provides for purchase of LifeVantage Corporation common stock, at market price, upon the receipt of quarterly cash dividends, beginning in the third quarter of fiscal year 2026 and continuing until the purchase of stock in the second quarter of fiscal year 2027.</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months ended March 31, 2026, no other Company director or officer (as defined in Rule 16a-1(f) of the Exchange Act) informed the Company of adoption, modification or termination of a “Rule 10b5-1 trading arrangement” or non-Rule 10b5-1 trading arrangement,” as defined in Item 408 of Regulation S-K.</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4"/>
        <w:gridCol w:w="146"/>
        <w:gridCol w:w="7628"/>
        <w:gridCol w:w="146"/>
        <w:gridCol w:w="1611"/>
      </w:tblGrid>
      <w:tr>
        <w:trPr/>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67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2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 or Incorporate by Reference From</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Incorporation, as filed with the Delaware Secretary of State on March 9, 2018</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the Current Report on Form 8-K filed with the SEC on March 13, 2018.</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dated as of August 9, 2019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the Current Report on Form 8-K filed with the SEC on August 15, 2019.</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hyperlink w:anchor="lfvn-ex31_1.htm">
              <w:r>
                <w:rPr>
                  <w:rStyle w:val="InternetLink"/>
                  <w:rFonts w:ascii="Times New Roman" w:hAnsi="Times New Roman"/>
                  <w:color w:val="0000FF"/>
                  <w:sz w:val="20"/>
                  <w:u w:val="single"/>
                </w:rPr>
                <w:t>Certification of principal executive officer pursuant to Rule 13a-14(a)/15d-14(a)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hyperlink w:anchor="lfvn-ex31_2.htm">
              <w:r>
                <w:rPr>
                  <w:rStyle w:val="InternetLink"/>
                  <w:rFonts w:ascii="Times New Roman" w:hAnsi="Times New Roman"/>
                  <w:color w:val="0000FF"/>
                  <w:sz w:val="20"/>
                  <w:u w:val="single"/>
                </w:rPr>
                <w:t>Certification of principal financial officer pursuant to Rule 13a-14(a)/15d-14(a)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hyperlink w:anchor="lfvn-ex32_1.htm">
              <w:r>
                <w:rPr>
                  <w:rStyle w:val="InternetLink"/>
                  <w:rFonts w:ascii="Times New Roman" w:hAnsi="Times New Roman"/>
                  <w:color w:val="0000FF"/>
                  <w:sz w:val="20"/>
                  <w:u w:val="single"/>
                </w:rPr>
                <w:t>Certification of principal executive officer pursuant to 18 U.S.C.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hyperlink w:anchor="lfvn-ex32_2.htm">
              <w:r>
                <w:rPr>
                  <w:rStyle w:val="InternetLink"/>
                  <w:rFonts w:ascii="Times New Roman" w:hAnsi="Times New Roman"/>
                  <w:color w:val="0000FF"/>
                  <w:sz w:val="20"/>
                  <w:u w:val="single"/>
                </w:rPr>
                <w:t>Certification of principal financial officer pursuant to 18 U.S.C.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information from the Company’s quarterly report on Form 10-Q for the quarter ended March 31, 2026 formatted in Inline XBRL (extensible Business Reporting Language): (i) Unaudited Condensed Consolidated Balance Sheets at March 31, 2026 and June 30, 2025; (ii) Unaudited Condensed Consolidated Statements of Operations and Other Comprehensive Income for the three and nine months ended March 31, 2026 and 2025; (iii) Unaudited Condensed Consolidated Statement of Stockholders’ Equity for the three and nine months ended March 31, 2026 and 2025; (iv) Unaudited Condensed Consolidated Statements of Cash Flows for the nine months ended March 31, 2026 and 2024; and (v) Notes to Unaudited Condensed Consolidated Financial Statements, tagged as blocks of text.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tc>
      </w:tr>
    </w:tbl>
    <w:p>
      <w:pPr>
        <w:pStyle w:val="TextBody"/>
        <w:bidi w:val="0"/>
        <w:jc w:val="left"/>
        <w:rPr/>
      </w:pPr>
      <w:r>
        <w:rPr/>
        <w:t> </w:t>
      </w:r>
    </w:p>
    <w:p>
      <w:pPr>
        <w:pStyle w:val="TextBody"/>
        <w:bidi w:val="0"/>
        <w:spacing w:before="0" w:after="16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843" w:type="dxa"/>
        <w:jc w:val="left"/>
        <w:tblInd w:w="0" w:type="dxa"/>
        <w:tblLayout w:type="fixed"/>
        <w:tblCellMar>
          <w:top w:w="28" w:type="dxa"/>
          <w:left w:w="28" w:type="dxa"/>
          <w:bottom w:w="28" w:type="dxa"/>
          <w:right w:w="28" w:type="dxa"/>
        </w:tblCellMar>
      </w:tblPr>
      <w:tblGrid>
        <w:gridCol w:w="556"/>
        <w:gridCol w:w="1141"/>
        <w:gridCol w:w="514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LIFEVANTAGE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2026</w:t>
            </w:r>
          </w:p>
        </w:tc>
        <w:tc>
          <w:tcPr>
            <w:tcW w:w="51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Beindorff</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Beindorff</w:t>
            </w:r>
          </w:p>
          <w:p>
            <w:pPr>
              <w:pStyle w:val="TableContents"/>
              <w:bidi w:val="0"/>
              <w:jc w:val="left"/>
              <w:rPr>
                <w:rFonts w:ascii="Times New Roman" w:hAnsi="Times New Roman"/>
                <w:color w:val="000000"/>
                <w:sz w:val="20"/>
              </w:rPr>
            </w:pPr>
            <w:r>
              <w:rPr>
                <w:rFonts w:ascii="Times New Roman" w:hAnsi="Times New Roman"/>
                <w:color w:val="000000"/>
                <w:sz w:val="20"/>
              </w:rPr>
              <w:t>Interim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2026</w:t>
            </w:r>
          </w:p>
        </w:tc>
        <w:tc>
          <w:tcPr>
            <w:tcW w:w="51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Carl A. Aure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Carl A. Aure</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lfvn-ex31_1.htm"/>
      <w:bookmarkStart w:id="22" w:name="kslfvnex31_1"/>
      <w:bookmarkEnd w:id="21"/>
      <w:bookmarkEnd w:id="22"/>
      <w:r>
        <w:rPr>
          <w:rFonts w:ascii="Times New Roman" w:hAnsi="Times New Roman"/>
          <w:b/>
          <w:color w:val="000000"/>
          <w:sz w:val="20"/>
        </w:rPr>
        <w:t>Exhibit 31.1</w:t>
      </w:r>
      <w:r>
        <w:br w:type="page"/>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Michael Beindorff,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LifeVantage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Beindorff</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Beindorff</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6,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lfvn-ex31_2.htm"/>
      <w:bookmarkStart w:id="24" w:name="kslfvnex31_2"/>
      <w:bookmarkEnd w:id="23"/>
      <w:bookmarkEnd w:id="24"/>
      <w:r>
        <w:rPr>
          <w:rFonts w:ascii="Times New Roman" w:hAnsi="Times New Roman"/>
          <w:b/>
          <w:color w:val="000000"/>
          <w:sz w:val="20"/>
        </w:rPr>
        <w:t>Exhibit 31.2</w:t>
      </w:r>
      <w:r>
        <w:br w:type="page"/>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Carl A. Aure,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LifeVantage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Carl A. Aure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 Aure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6,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lfvn-ex32_1.htm"/>
      <w:bookmarkStart w:id="26" w:name="kslfvnex32_1"/>
      <w:bookmarkEnd w:id="25"/>
      <w:bookmarkEnd w:id="26"/>
      <w:r>
        <w:rPr>
          <w:rFonts w:ascii="Times New Roman" w:hAnsi="Times New Roman"/>
          <w:b/>
          <w:color w:val="000000"/>
          <w:sz w:val="20"/>
        </w:rPr>
        <w:t>Exhibit 32.1</w:t>
      </w:r>
      <w:r>
        <w:br w:type="page"/>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CERTIFICATION PURSUANT TO 18 U.S.C. SECTION 1350, AS ADOPTED</w:t>
      </w:r>
    </w:p>
    <w:p>
      <w:pPr>
        <w:pStyle w:val="TextBody"/>
        <w:bidi w:val="0"/>
        <w:jc w:val="center"/>
        <w:rPr>
          <w:rFonts w:ascii="Times New Roman" w:hAnsi="Times New Roman"/>
          <w:color w:val="000000"/>
          <w:sz w:val="20"/>
        </w:rPr>
      </w:pPr>
      <w:r>
        <w:rPr>
          <w:rFonts w:ascii="Times New Roman" w:hAnsi="Times New Roman"/>
          <w:color w:val="000000"/>
          <w:sz w:val="20"/>
        </w:rPr>
        <w:t>PURSUANT TO SECTION 906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filing of this quarterly report on Form 10-Q of LifeVantage Corporation (the “Company”) for the period ended March 31, 2026, with the Securities and Exchange Commission on the date hereof (the “report”), I, Michael Beindorff, Principal Executive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certification is being furnished solely pursuant to 18 U.S.C. § 1350 and is not being filed as part of the report or as a separate disclosure document.</w:t>
      </w:r>
    </w:p>
    <w:p>
      <w:pPr>
        <w:pStyle w:val="TextBody"/>
        <w:bidi w:val="0"/>
        <w:jc w:val="left"/>
        <w:rPr/>
      </w:pPr>
      <w:r>
        <w:rPr/>
        <w:t> </w:t>
      </w:r>
    </w:p>
    <w:tbl>
      <w:tblPr>
        <w:tblW w:w="2862" w:type="dxa"/>
        <w:jc w:val="left"/>
        <w:tblInd w:w="0" w:type="dxa"/>
        <w:tblLayout w:type="fixed"/>
        <w:tblCellMar>
          <w:top w:w="28" w:type="dxa"/>
          <w:left w:w="28" w:type="dxa"/>
          <w:bottom w:w="28" w:type="dxa"/>
          <w:right w:w="28" w:type="dxa"/>
        </w:tblCellMar>
      </w:tblPr>
      <w:tblGrid>
        <w:gridCol w:w="161"/>
        <w:gridCol w:w="2701"/>
      </w:tblGrid>
      <w:tr>
        <w:trPr/>
        <w:tc>
          <w:tcPr>
            <w:tcW w:w="16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Beindorff</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Beindorff</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 May 6,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lfvn-ex32_2.htm"/>
      <w:bookmarkStart w:id="28" w:name="kslfvnex32_2"/>
      <w:bookmarkEnd w:id="27"/>
      <w:bookmarkEnd w:id="28"/>
      <w:r>
        <w:rPr>
          <w:rFonts w:ascii="Times New Roman" w:hAnsi="Times New Roman"/>
          <w:b/>
          <w:color w:val="000000"/>
          <w:sz w:val="20"/>
        </w:rPr>
        <w:t>Exhibit 32.2</w:t>
      </w:r>
      <w:r>
        <w:br w:type="page"/>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CERTIFICATION PURSUANT TO 18 U.S.C. SECTION 1350, AS ADOPTED</w:t>
      </w:r>
    </w:p>
    <w:p>
      <w:pPr>
        <w:pStyle w:val="TextBody"/>
        <w:bidi w:val="0"/>
        <w:jc w:val="center"/>
        <w:rPr>
          <w:rFonts w:ascii="Times New Roman" w:hAnsi="Times New Roman"/>
          <w:color w:val="000000"/>
          <w:sz w:val="20"/>
        </w:rPr>
      </w:pPr>
      <w:r>
        <w:rPr>
          <w:rFonts w:ascii="Times New Roman" w:hAnsi="Times New Roman"/>
          <w:color w:val="000000"/>
          <w:sz w:val="20"/>
        </w:rPr>
        <w:t>PURSUANT TO SECTION 906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filing of this quarterly report on Form 10-Q of LifeVantage Corporation (the “Company”) for the period ended March 31, 2026, with the Securities and Exchange Commission on the date hereof (the “report”), I, Carl A. Aure, Principal Financial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certification is being furnished solely pursuant to 18 U.S.C. § 1350 and is not being filed as part of the report or as a separate disclosure document.</w:t>
      </w:r>
    </w:p>
    <w:p>
      <w:pPr>
        <w:pStyle w:val="TextBody"/>
        <w:bidi w:val="0"/>
        <w:jc w:val="left"/>
        <w:rPr/>
      </w:pPr>
      <w:r>
        <w:rPr/>
        <w:t> </w:t>
      </w:r>
    </w:p>
    <w:tbl>
      <w:tblPr>
        <w:tblW w:w="2577" w:type="dxa"/>
        <w:jc w:val="left"/>
        <w:tblInd w:w="0" w:type="dxa"/>
        <w:tblLayout w:type="fixed"/>
        <w:tblCellMar>
          <w:top w:w="28" w:type="dxa"/>
          <w:left w:w="28" w:type="dxa"/>
          <w:bottom w:w="28" w:type="dxa"/>
          <w:right w:w="28" w:type="dxa"/>
        </w:tblCellMar>
      </w:tblPr>
      <w:tblGrid>
        <w:gridCol w:w="161"/>
        <w:gridCol w:w="2416"/>
      </w:tblGrid>
      <w:tr>
        <w:trPr/>
        <w:tc>
          <w:tcPr>
            <w:tcW w:w="16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 Aure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 May 6,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49146/000084914618000046/ex31-certificateofincorpor.htm" TargetMode="External"/><Relationship Id="rId3" Type="http://schemas.openxmlformats.org/officeDocument/2006/relationships/hyperlink" Target="https://www.sec.gov/Archives/edgar/data/849146/000084914619000066/lifevantage-amendedandrest.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19706</Words>
  <Characters>108139</Characters>
  <CharactersWithSpaces>128770</CharactersWithSpaces>
  <Paragraphs>5113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