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UNDER SECTION 13 OR 15 (d)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DECEMBER 31, 2023</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 (d)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001-35647</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LIFEVANTAGE CORPORATION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tbl>
      <w:tblPr>
        <w:tblW w:w="7150"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40"/>
        <w:gridCol w:w="740"/>
        <w:gridCol w:w="10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90-0224471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3300 Triumph Blvd, Suite 700, Lehi, UT 84043</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(801) 432-9000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472"/>
        <w:gridCol w:w="472"/>
        <w:gridCol w:w="480"/>
        <w:gridCol w:w="109"/>
        <w:gridCol w:w="109"/>
        <w:gridCol w:w="109"/>
        <w:gridCol w:w="941"/>
        <w:gridCol w:w="941"/>
        <w:gridCol w:w="134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LFVN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bl>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________________________________________________________________________________</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9"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769"/>
        <w:gridCol w:w="769"/>
        <w:gridCol w:w="773"/>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Indicate by check mark whether the registrant is a shell company (as defined in Rule 12b-2 of the Exchange Act). Yes  ☐  No  ☒</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The number of shares outstanding of the issuer’s common stock, par value $0.0001 per share, as of January 29, 2024 was 12,868,462.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are among those that may cause actual results to differ materially from our forward-looking statements:</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The widespread outbreak of an illness or communicable disease or any other public health crisis, similar to the recent COVID-19 pandemic, could adversely affect our business, results of operations and financial condition;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protect against cyber security risks and to maintain the integrity of data;</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manage existing markets, open new international markets or expand our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Non-compliance by our independent consultants with applicable legal requirements or our policies and procedures, including making improper and/or illegal claims about our products or earnings opportunity;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of new products and technological innovations to gain customer or independent consultant or market acceptance;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business and stock price may be adversely affected if our internal controls over financial reporting is not effective;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execute our product launch process due to increased pressure on our supply chain, information systems and management;</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appropriately manage our inventory;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in our information technology systems;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International trade or foreign exchange restrictions, increased tariffs, foreign currency exchange fluctuations;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raise additional capital or complete desired acquisitions;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Inability to comply with financial covenants imposed by our credit facility and the impact of debt service obligations and restrictive debt covenants;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upon a few products for revenue;</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unable to retain our existing consultant force or customer base or attract additional customers and/or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Changes to the Company’s independent consultant compensation plans;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High quality materials for our products may become difficult to obtain or expensive;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Improper actions by our independent consultants that violate laws or regulations could harm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Dependence on third parties to manufacture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Disruptions to the transportation channels used to distribute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subject to a product recall;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 xml:space="preserve">Unfavorable publicity on our business or products; </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Risks related to Global Not For Resale programs;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direct selling program could be found to not be in compliance with current or newly adopted laws or regulations in various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The impact of actions by activist stockholders;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Legal proceedings may be expensive and time consuming;</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Strict government regulations on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Regulations governing the production or marketing of our products;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Risk of investigatory and enforcement action;</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Government authorities may question our tax positions or transfer pricing policies or change their laws in a manner that could increase our effective tax rate or otherwise harm our business;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Failure to comply with anti-corruption laws;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Loss of or inability to attract key personnel;</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We may be held responsible for certain taxes or assessments and other obligations relating to the activity of our independent consultants;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Competition in the dietary supplement and personal care markets;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Our inability to protect our intellectual property rights;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Third party claims that we infringe on their intellectual property;</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Product liability claims against us;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Consumer discretionary spending habits factor into our economic success;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Economic, political, foreign exchange and other risks associated with international operations;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Unfavorable global economic conditions, including high inflation, and other macroeconomic conditions;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Potential delisting of our common stock due to non-compliance with Nasdaq's continued listing requirements;</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Volatility of the market price of our common stock; and</w:t>
      </w:r>
    </w:p>
    <w:p>
      <w:pPr>
        <w:pStyle w:val="TextBody"/>
        <w:bidi w:val="0"/>
        <w:spacing w:lineRule="auto" w:line="288" w:before="160" w:after="160"/>
        <w:ind w:left="0" w:right="0" w:hanging="360"/>
        <w:jc w:val="left"/>
        <w:rPr/>
      </w:pPr>
      <w:r>
        <w:rPr>
          <w:color w:val="000000"/>
        </w:rPr>
        <w:t>•</w:t>
      </w:r>
      <w:r>
        <w:rPr>
          <w:rFonts w:ascii="Times New Roman;sans-serif" w:hAnsi="Times New Roman;sans-serif"/>
          <w:b w:val="false"/>
          <w:color w:val="000000"/>
          <w:sz w:val="20"/>
        </w:rPr>
        <w:t>Substantial sales of shares may negatively impact the market price of our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p>
      <w:pPr>
        <w:pStyle w:val="TextBody"/>
        <w:bidi w:val="0"/>
        <w:spacing w:lineRule="auto" w:line="288" w:before="0" w:after="0"/>
        <w:jc w:val="left"/>
        <w:rPr>
          <w:color w:val="000000"/>
        </w:rPr>
      </w:pPr>
      <w:r>
        <w:rPr>
          <w:color w:val="000000"/>
        </w:rPr>
        <w:t> </w:t>
      </w:r>
    </w:p>
    <w:tbl>
      <w:tblPr>
        <w:tblW w:w="10002" w:type="dxa"/>
        <w:jc w:val="left"/>
        <w:tblInd w:w="0" w:type="dxa"/>
        <w:tblLayout w:type="fixed"/>
        <w:tblCellMar>
          <w:top w:w="28" w:type="dxa"/>
          <w:left w:w="28" w:type="dxa"/>
          <w:bottom w:w="28" w:type="dxa"/>
          <w:right w:w="28" w:type="dxa"/>
        </w:tblCellMar>
      </w:tblPr>
      <w:tblGrid>
        <w:gridCol w:w="477"/>
        <w:gridCol w:w="420"/>
        <w:gridCol w:w="420"/>
        <w:gridCol w:w="2685"/>
        <w:gridCol w:w="2685"/>
        <w:gridCol w:w="2699"/>
        <w:gridCol w:w="180"/>
        <w:gridCol w:w="180"/>
        <w:gridCol w:w="25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3">
              <w:r>
                <w:rPr>
                  <w:rStyle w:val="InternetLink"/>
                  <w:rFonts w:ascii="Times New Roman;sans-serif" w:hAnsi="Times New Roman;sans-serif"/>
                  <w:b w:val="false"/>
                  <w:color w:val="0000FF"/>
                  <w:sz w:val="20"/>
                  <w:u w:val="single"/>
                </w:rPr>
                <w:t>PART I. 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9fa0b0a52eb427596920464840258a9_13">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6">
              <w:r>
                <w:rPr>
                  <w:rStyle w:val="InternetLink"/>
                  <w:rFonts w:ascii="Times New Roman;sans-serif" w:hAnsi="Times New Roman;sans-serif"/>
                  <w:b w:val="false"/>
                  <w:color w:val="0000FF"/>
                  <w:sz w:val="20"/>
                  <w:u w:val="single"/>
                </w:rPr>
                <w:t>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6">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9">
              <w:r>
                <w:rPr>
                  <w:rStyle w:val="InternetLink"/>
                  <w:rFonts w:ascii="Times New Roman;sans-serif" w:hAnsi="Times New Roman;sans-serif"/>
                  <w:b w:val="false"/>
                  <w:color w:val="0000FF"/>
                  <w:sz w:val="20"/>
                  <w:u w:val="single"/>
                </w:rPr>
                <w:t xml:space="preserve">Condensed Consolidated Balance Sheets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9">
              <w:r>
                <w:rPr>
                  <w:rStyle w:val="InternetLink"/>
                  <w:rFonts w:ascii="Times New Roman;sans-serif" w:hAnsi="Times New Roman;sans-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22">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22">
              <w:r>
                <w:rPr>
                  <w:rStyle w:val="InternetLink"/>
                  <w:rFonts w:ascii="Times New Roman;sans-serif" w:hAnsi="Times New Roman;sans-serif"/>
                  <w:b w:val="false"/>
                  <w:color w:val="0000FF"/>
                  <w:sz w:val="20"/>
                  <w:u w:val="single"/>
                </w:rPr>
                <w:t>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25">
              <w:r>
                <w:rPr>
                  <w:rStyle w:val="InternetLink"/>
                  <w:rFonts w:ascii="Times New Roman;sans-serif" w:hAnsi="Times New Roman;sans-serif"/>
                  <w:b w:val="false"/>
                  <w:color w:val="0000FF"/>
                  <w:sz w:val="20"/>
                  <w:u w:val="single"/>
                </w:rPr>
                <w:t>Condensed Consolidated Statement of Stockholders’ Equity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25">
              <w:r>
                <w:rPr>
                  <w:rStyle w:val="InternetLink"/>
                  <w:rFonts w:ascii="Times New Roman;sans-serif" w:hAnsi="Times New Roman;sans-serif"/>
                  <w:b w:val="false"/>
                  <w:color w:val="0000FF"/>
                  <w:sz w:val="20"/>
                  <w:u w:val="single"/>
                </w:rPr>
                <w:t>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31">
              <w:r>
                <w:rPr>
                  <w:rStyle w:val="InternetLink"/>
                  <w:rFonts w:ascii="Times New Roman;sans-serif" w:hAnsi="Times New Roman;sans-serif"/>
                  <w:b w:val="false"/>
                  <w:color w:val="0000FF"/>
                  <w:sz w:val="20"/>
                  <w:u w:val="single"/>
                </w:rPr>
                <w:t xml:space="preserve">Condensed Consolidated Statements of Cash Flows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31">
              <w:r>
                <w:rPr>
                  <w:rStyle w:val="InternetLink"/>
                  <w:rFonts w:ascii="Times New Roman;sans-serif" w:hAnsi="Times New Roman;sans-serif"/>
                  <w:b w:val="false"/>
                  <w:color w:val="0000FF"/>
                  <w:sz w:val="20"/>
                  <w:u w:val="single"/>
                </w:rPr>
                <w:t>9</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34">
              <w:r>
                <w:rPr>
                  <w:rStyle w:val="InternetLink"/>
                  <w:rFonts w:ascii="Times New Roman;sans-serif" w:hAnsi="Times New Roman;sans-serif"/>
                  <w:b w:val="false"/>
                  <w:color w:val="0000FF"/>
                  <w:sz w:val="20"/>
                  <w:u w:val="single"/>
                </w:rPr>
                <w:t>Notes to Condensed Consolidated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34">
              <w:r>
                <w:rPr>
                  <w:rStyle w:val="InternetLink"/>
                  <w:rFonts w:ascii="Times New Roman;sans-serif" w:hAnsi="Times New Roman;sans-serif"/>
                  <w:b w:val="false"/>
                  <w:color w:val="0000FF"/>
                  <w:sz w:val="20"/>
                  <w:u w:val="single"/>
                </w:rPr>
                <w:t>10</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6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61">
              <w:r>
                <w:rPr>
                  <w:rStyle w:val="InternetLink"/>
                  <w:rFonts w:ascii="Times New Roman;sans-serif" w:hAnsi="Times New Roman;sans-serif"/>
                  <w:b w:val="false"/>
                  <w:color w:val="0000FF"/>
                  <w:sz w:val="20"/>
                  <w:u w:val="single"/>
                </w:rPr>
                <w:t>18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82">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82">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85">
              <w:r>
                <w:rPr>
                  <w:rStyle w:val="InternetLink"/>
                  <w:rFonts w:ascii="Times New Roman;sans-serif" w:hAnsi="Times New Roman;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85">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88">
              <w:r>
                <w:rPr>
                  <w:rStyle w:val="InternetLink"/>
                  <w:rFonts w:ascii="Times New Roman;sans-serif" w:hAnsi="Times New Roman;sans-serif"/>
                  <w:b w:val="false"/>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88">
              <w:r>
                <w:rPr>
                  <w:rStyle w:val="InternetLink"/>
                  <w:rFonts w:ascii="Times New Roman;sans-serif" w:hAnsi="Times New Roman;sans-serif"/>
                  <w:b w:val="false"/>
                  <w:color w:val="0000FF"/>
                  <w:sz w:val="20"/>
                  <w:u w:val="single"/>
                </w:rPr>
                <w:t>26</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91">
              <w:r>
                <w:rPr>
                  <w:rStyle w:val="InternetLink"/>
                  <w:rFonts w:ascii="Times New Roman;sans-serif" w:hAnsi="Times New Roman;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91">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94">
              <w:r>
                <w:rPr>
                  <w:rStyle w:val="InternetLink"/>
                  <w:rFonts w:ascii="Times New Roman;sans-serif" w:hAnsi="Times New Roman;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94">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97">
              <w:r>
                <w:rPr>
                  <w:rStyle w:val="InternetLink"/>
                  <w:rFonts w:ascii="Times New Roman;sans-serif" w:hAnsi="Times New Roman;sans-serif"/>
                  <w:b w:val="false"/>
                  <w:color w:val="0000FF"/>
                  <w:sz w:val="20"/>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97">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00">
              <w:r>
                <w:rPr>
                  <w:rStyle w:val="InternetLink"/>
                  <w:rFonts w:ascii="Times New Roman;sans-serif" w:hAnsi="Times New Roman;sans-serif"/>
                  <w:b w:val="false"/>
                  <w:color w:val="0000FF"/>
                  <w:sz w:val="20"/>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00">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03">
              <w:r>
                <w:rPr>
                  <w:rStyle w:val="InternetLink"/>
                  <w:rFonts w:ascii="Times New Roman;sans-serif" w:hAnsi="Times New Roman;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03">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06">
              <w:r>
                <w:rPr>
                  <w:rStyle w:val="InternetLink"/>
                  <w:rFonts w:ascii="Times New Roman;sans-serif" w:hAnsi="Times New Roman;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06">
              <w:r>
                <w:rPr>
                  <w:rStyle w:val="InternetLink"/>
                  <w:rFonts w:ascii="Times New Roman;sans-serif" w:hAnsi="Times New Roman;sans-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09">
              <w:r>
                <w:rPr>
                  <w:rStyle w:val="InternetLink"/>
                  <w:rFonts w:ascii="Times New Roman;sans-serif" w:hAnsi="Times New Roman;sans-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09">
              <w:r>
                <w:rPr>
                  <w:rStyle w:val="InternetLink"/>
                  <w:rFonts w:ascii="Times New Roman;sans-serif" w:hAnsi="Times New Roman;sans-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a0b0a52eb427596920464840258a9_112">
              <w:r>
                <w:rPr>
                  <w:rStyle w:val="InternetLink"/>
                  <w:rFonts w:ascii="Times New Roman;sans-serif" w:hAnsi="Times New Roman;sans-serif"/>
                  <w:b w:val="false"/>
                  <w:color w:val="0000FF"/>
                  <w:sz w:val="20"/>
                  <w:u w:val="single"/>
                </w:rPr>
                <w:t>Signatures</w:t>
              </w:r>
            </w:hyperlink>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a0b0a52eb427596920464840258a9_112">
              <w:r>
                <w:rPr>
                  <w:rStyle w:val="InternetLink"/>
                  <w:rFonts w:ascii="Times New Roman;sans-serif" w:hAnsi="Times New Roman;sans-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6"/>
        <w:gridCol w:w="2266"/>
        <w:gridCol w:w="2281"/>
        <w:gridCol w:w="253"/>
        <w:gridCol w:w="865"/>
        <w:gridCol w:w="130"/>
        <w:gridCol w:w="109"/>
        <w:gridCol w:w="109"/>
        <w:gridCol w:w="109"/>
        <w:gridCol w:w="218"/>
        <w:gridCol w:w="746"/>
        <w:gridCol w:w="163"/>
      </w:tblGrid>
      <w:tr>
        <w:trPr/>
        <w:tc>
          <w:tcPr>
            <w:tcW w:w="295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 thousands, except per share data)</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38,661 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asset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62,682 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AND STOCKHOLDERS’ EQUITY</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Commissions payable</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accrued expenses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23,017 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lease liabilities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 Note 7</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 par value $0.0001 per share, 5,000 shares authorized, no shares issued or outstanding</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 par value $0.0001 per share, 40,000 shares authorized and 12,880 and 12,622 issued and outstanding as of December 31, 2023 and June 30, 2023, respectively</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135,490 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134,314 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(106,992)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(98,305)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27,307 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62,682 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66,123 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(LOSS)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032" w:type="dxa"/>
        <w:jc w:val="center"/>
        <w:tblInd w:w="0" w:type="dxa"/>
        <w:tblLayout w:type="fixed"/>
        <w:tblCellMar>
          <w:top w:w="28" w:type="dxa"/>
          <w:left w:w="28" w:type="dxa"/>
          <w:bottom w:w="28" w:type="dxa"/>
          <w:right w:w="28" w:type="dxa"/>
        </w:tblCellMar>
      </w:tblPr>
      <w:tblGrid>
        <w:gridCol w:w="1232"/>
        <w:gridCol w:w="1082"/>
        <w:gridCol w:w="1090"/>
        <w:gridCol w:w="231"/>
        <w:gridCol w:w="790"/>
        <w:gridCol w:w="119"/>
        <w:gridCol w:w="119"/>
        <w:gridCol w:w="119"/>
        <w:gridCol w:w="119"/>
        <w:gridCol w:w="231"/>
        <w:gridCol w:w="790"/>
        <w:gridCol w:w="119"/>
        <w:gridCol w:w="109"/>
        <w:gridCol w:w="109"/>
        <w:gridCol w:w="109"/>
        <w:gridCol w:w="211"/>
        <w:gridCol w:w="826"/>
        <w:gridCol w:w="109"/>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and incentives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01"/>
        <w:gridCol w:w="608"/>
        <w:gridCol w:w="612"/>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53"/>
        <w:gridCol w:w="109"/>
        <w:gridCol w:w="109"/>
        <w:gridCol w:w="109"/>
        <w:gridCol w:w="109"/>
        <w:gridCol w:w="285"/>
        <w:gridCol w:w="854"/>
        <w:gridCol w:w="149"/>
        <w:gridCol w:w="109"/>
        <w:gridCol w:w="109"/>
        <w:gridCol w:w="109"/>
        <w:gridCol w:w="211"/>
        <w:gridCol w:w="736"/>
        <w:gridCol w:w="157"/>
      </w:tblGrid>
      <w:tr>
        <w:trPr/>
        <w:tc>
          <w:tcPr>
            <w:tcW w:w="100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12,622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34,649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134,953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29,294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12,880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(106,992)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(1,192)</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27,307</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 OF STOCKHOLDERS’ EQUITY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69"/>
        <w:gridCol w:w="572"/>
        <w:gridCol w:w="576"/>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746"/>
        <w:gridCol w:w="109"/>
        <w:gridCol w:w="109"/>
        <w:gridCol w:w="109"/>
        <w:gridCol w:w="109"/>
        <w:gridCol w:w="283"/>
        <w:gridCol w:w="849"/>
        <w:gridCol w:w="148"/>
        <w:gridCol w:w="109"/>
        <w:gridCol w:w="109"/>
        <w:gridCol w:w="109"/>
        <w:gridCol w:w="211"/>
        <w:gridCol w:w="736"/>
        <w:gridCol w:w="109"/>
        <w:gridCol w:w="109"/>
        <w:gridCol w:w="158"/>
      </w:tblGrid>
      <w:tr>
        <w:trPr/>
        <w:tc>
          <w:tcPr>
            <w:tcW w:w="9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June 30,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12,493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September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12,560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131,726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(98,204)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equity award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12,707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132,530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(99,643)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958" w:type="dxa"/>
        <w:jc w:val="center"/>
        <w:tblInd w:w="0" w:type="dxa"/>
        <w:tblLayout w:type="fixed"/>
        <w:tblCellMar>
          <w:top w:w="28" w:type="dxa"/>
          <w:left w:w="28" w:type="dxa"/>
          <w:bottom w:w="28" w:type="dxa"/>
          <w:right w:w="28" w:type="dxa"/>
        </w:tblCellMar>
      </w:tblPr>
      <w:tblGrid>
        <w:gridCol w:w="2706"/>
        <w:gridCol w:w="2379"/>
        <w:gridCol w:w="2385"/>
        <w:gridCol w:w="211"/>
        <w:gridCol w:w="738"/>
        <w:gridCol w:w="109"/>
        <w:gridCol w:w="109"/>
        <w:gridCol w:w="109"/>
        <w:gridCol w:w="109"/>
        <w:gridCol w:w="211"/>
        <w:gridCol w:w="738"/>
        <w:gridCol w:w="154"/>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company stock</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cash dividends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canceled or surrendered as payment of tax withholding and other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employee stock purchase plan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Effect on Cash</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LIFEVANTAGE CORPORATION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notes should be read in conjunction with the audited financial statements and notes of LifeVantage Corporation (the “Company”) as of and for the year ended June 30, 2023 included in the annual report on Form 10-K filed with the Securities and Exchange Commission (“SEC”) on August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 (the "Company")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the Philippines. The Company sold its products in China through a China approved cross-border e-commerce business model until March 15, 2023, at which time the Company closed its e-commerce business in China.</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 validated dietary supplements includes its flagship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family of products, LifeVantage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the Company's Nrf2 enhanced line of skin, hair, bath &amp; body, and targeted relief products. The Company also markets and sells Petandim</w:t>
      </w:r>
      <w:r>
        <w:rPr>
          <w:rFonts w:ascii="Times New Roman;sans-serif" w:hAnsi="Times New Roman;sans-serif"/>
          <w:b w:val="false"/>
          <w:color w:val="000000"/>
          <w:sz w:val="13"/>
        </w:rPr>
        <w:t>®</w:t>
      </w:r>
      <w:r>
        <w:rPr>
          <w:rFonts w:ascii="Times New Roman;sans-serif" w:hAnsi="Times New Roman;sans-serif"/>
          <w:b w:val="false"/>
          <w:color w:val="000000"/>
          <w:sz w:val="20"/>
        </w:rPr>
        <w:t>, its companion pet supplement formulated to combat oxidative stress in dogs,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its nootropic energy drink mixes, and PhysIQ</w:t>
      </w:r>
      <w:r>
        <w:rPr>
          <w:color w:val="000000"/>
        </w:rPr>
        <w:t>™</w:t>
      </w:r>
      <w:r>
        <w:rPr>
          <w:rFonts w:ascii="Times New Roman;sans-serif" w:hAnsi="Times New Roman;sans-serif"/>
          <w:b w:val="false"/>
          <w:color w:val="000000"/>
          <w:sz w:val="20"/>
        </w:rPr>
        <w:t>, its smart weight management system.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2023, and the results of operations for the three and six months ended December 31, 2023 and 2022, and the cash flows for the six months ended December 31, 2023 and 2022. Interim results are not necessarily indicative of results for a full year or for any future period.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2023, pursuant to the rules and regulations of the SEC. For further information, refer to the financial statements and notes thereto as of and for the year ended June 30, 2023, and included in the annual report on Form 10-K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as a separate component of stockholders’ equity in the condensed consolidated balance sheets and as a component of com</w:t>
      </w:r>
      <w:r>
        <w:rPr>
          <w:rFonts w:ascii="Times New Roman;sans-serif" w:hAnsi="Times New Roman;sans-serif"/>
          <w:b w:val="false"/>
          <w:color w:val="000000"/>
          <w:sz w:val="20"/>
          <w:shd w:fill="FFFFFF" w:val="clear"/>
        </w:rPr>
        <w:t xml:space="preserve">prehensive income. Transaction gains and losses are included in other expense, net in the condensed consolidated statements of operations and comprehensive income. For the three months ended December 31, 2023 and 2022, net foreign currency gains of $37,000 and $0.2 million, respectively, are recorded in other income (expense), net. For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2022, net foreign currency losses of $0.1 million and $0.3 million, respectively, are recorded in other income (expense), net.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only its monetary liquid assets with original maturities of three months or less as cash and cash equivalents.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Accounting guidance for financial instruments requires disclosure of significant concentrations of credit risk regardless of the degree of </w:t>
      </w:r>
      <w:r>
        <w:rPr>
          <w:rFonts w:ascii="Times New Roman;sans-serif" w:hAnsi="Times New Roman;sans-serif"/>
          <w:b w:val="false"/>
          <w:color w:val="000000"/>
          <w:sz w:val="20"/>
          <w:shd w:fill="FFFFFF" w:val="clear"/>
        </w:rPr>
        <w:t xml:space="preserve">such risk. Financial instruments with significant credit risk include cash and investments. At December 31, 2023, the Company had $12.6 million in cash accounts at one financial institution and $4.7 million in </w:t>
      </w:r>
      <w:r>
        <w:rPr>
          <w:rFonts w:ascii="Times New Roman;sans-serif" w:hAnsi="Times New Roman;sans-serif"/>
          <w:b w:val="false"/>
          <w:color w:val="000000"/>
          <w:sz w:val="20"/>
        </w:rPr>
        <w:t xml:space="preserve">accounts at other financial institutions. At June 30, 2023, </w:t>
      </w:r>
      <w:r>
        <w:rPr>
          <w:rFonts w:ascii="Times New Roman;sans-serif" w:hAnsi="Times New Roman;sans-serif"/>
          <w:b w:val="false"/>
          <w:color w:val="000000"/>
          <w:sz w:val="20"/>
          <w:shd w:fill="FFFFFF" w:val="clear"/>
        </w:rPr>
        <w:t xml:space="preserve">the Company had $17.0 million in cash accounts at one financial institution and $4.6 million in </w:t>
      </w:r>
      <w:r>
        <w:rPr>
          <w:rFonts w:ascii="Times New Roman;sans-serif" w:hAnsi="Times New Roman;sans-serif"/>
          <w:b w:val="false"/>
          <w:color w:val="000000"/>
          <w:sz w:val="20"/>
        </w:rPr>
        <w:t>accounts at other financial institutions. As of December 31, 2023 and June 30, 2023, and during the periods then ended, the Company’s cash balances exceeded federally insured limits.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accounts receivable as of December 31, 2023 and June 30, 2023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2023 and June 30, 2023 is not necessary. No bad debt expense was recorded during the three and six months ended December 31, 2023 and 2022.</w:t>
      </w: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Inventory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June 30, 2023, inventory consisted of (in thousands):</w:t>
      </w:r>
    </w:p>
    <w:tbl>
      <w:tblPr>
        <w:tblW w:w="6277"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Inventories are carried at the lower of cost or net realizable value, using the first-in, first-out method, which includes a reduction in inventory values </w:t>
      </w:r>
      <w:r>
        <w:rPr>
          <w:rFonts w:ascii="Times New Roman;sans-serif" w:hAnsi="Times New Roman;sans-serif"/>
          <w:b w:val="false"/>
          <w:color w:val="000000"/>
          <w:sz w:val="20"/>
          <w:shd w:fill="FFFFFF" w:val="clear"/>
        </w:rPr>
        <w:t xml:space="preserve">of $1.3 million </w:t>
      </w:r>
      <w:r>
        <w:rPr>
          <w:rFonts w:ascii="Times New Roman;sans-serif" w:hAnsi="Times New Roman;sans-serif"/>
          <w:b w:val="false"/>
          <w:color w:val="000000"/>
          <w:sz w:val="20"/>
        </w:rPr>
        <w:t>and $1.3 million at December 31, 2023 and June 30, 2023, respectively, related to obsolete and slow-moving inventory.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 xml:space="preserve">Level 1—Quoted prices for identical instruments in active markets; </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consisting primarily of cash and cash equivalents, accounts receivable, and accounts payable,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generates the majority of its revenue through product sales to customers. These products include the Protandim</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line of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skin, hair, bath &amp; body and targeted relief, Petandim</w:t>
      </w:r>
      <w:r>
        <w:rPr>
          <w:rFonts w:ascii="Times New Roman;sans-serif" w:hAnsi="Times New Roman;sans-serif"/>
          <w:b w:val="false"/>
          <w:color w:val="000000"/>
          <w:sz w:val="13"/>
        </w:rPr>
        <w:t>®</w:t>
      </w:r>
      <w:r>
        <w:rPr>
          <w:rFonts w:ascii="Times New Roman;sans-serif" w:hAnsi="Times New Roman;sans-serif"/>
          <w:b w:val="false"/>
          <w:color w:val="000000"/>
          <w:sz w:val="20"/>
        </w:rPr>
        <w:t>, Axio</w:t>
      </w: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nootropic energy drink mixes, and the PhysIQ</w:t>
      </w:r>
      <w:r>
        <w:rPr>
          <w:color w:val="000000"/>
        </w:rPr>
        <w:t>™ </w:t>
      </w:r>
      <w:r>
        <w:rPr>
          <w:rFonts w:ascii="Times New Roman;sans-serif" w:hAnsi="Times New Roman;sans-serif"/>
          <w:b w:val="false"/>
          <w:color w:val="000000"/>
          <w:sz w:val="20"/>
        </w:rPr>
        <w:t>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rPr>
        <w:t>Contract liabilities, recorded as deferred revenue, include loyalty program credit deferrals with certain customers which are accounted for as a reduction in the transaction price and are generally recognized as credits are redeemed for additional products at a later date. The Company also records deferred revenue when cash payments are received or due in advance of performance, including amounts which are refundable. In addition, the Company pre-sells tickets to its events. When cash p</w:t>
      </w:r>
      <w:r>
        <w:rPr>
          <w:rFonts w:ascii="Times New Roman;sans-serif" w:hAnsi="Times New Roman;sans-serif"/>
          <w:b w:val="false"/>
          <w:color w:val="000000"/>
          <w:sz w:val="20"/>
          <w:shd w:fill="FFFFFF" w:val="clear"/>
        </w:rPr>
        <w:t>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revenue is included in accrued expenses in the consolidated balance sheets. The balance of deferred revenue related to contract liabilities was $0.9 million and $0.8 million as of December 31, 2023 and June 30, 2023, respectively. The contract liabilities impact to revenue for the three months ended December 31, 2023 and 2022 was an increase of $0.1 million and a decrease of $0.1 million, respectively. The contract liabilities impact to revenue for the six months ended December 31, 2023 and 2022 was a decrease of $40,000 and $0.1 million,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December 31, 2023 and June 30, 2023, the returns liability reserve, net was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and $0.1 million, respectively.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Shipping and Handling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Research and Development Costs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expenses all costs related to research and development activities, as incurred. Research and development expens</w:t>
      </w:r>
      <w:r>
        <w:rPr>
          <w:rFonts w:ascii="Times New Roman;sans-serif" w:hAnsi="Times New Roman;sans-serif"/>
          <w:b w:val="false"/>
          <w:color w:val="000000"/>
          <w:sz w:val="20"/>
          <w:shd w:fill="FFFFFF" w:val="clear"/>
        </w:rPr>
        <w:t xml:space="preserve">es for the three months ended December 31, 2023 and 2022 were $0.1 million and $0.2 million, respectively. </w:t>
      </w:r>
      <w:r>
        <w:rPr>
          <w:rFonts w:ascii="Times New Roman;sans-serif" w:hAnsi="Times New Roman;sans-serif"/>
          <w:b w:val="false"/>
          <w:color w:val="000000"/>
          <w:sz w:val="20"/>
        </w:rPr>
        <w:t>Research and development expens</w:t>
      </w:r>
      <w:r>
        <w:rPr>
          <w:rFonts w:ascii="Times New Roman;sans-serif" w:hAnsi="Times New Roman;sans-serif"/>
          <w:b w:val="false"/>
          <w:color w:val="000000"/>
          <w:sz w:val="20"/>
          <w:shd w:fill="FFFFFF" w:val="clear"/>
        </w:rPr>
        <w:t xml:space="preserve">es for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2022 were $0.3 million and $0.3 million, respectively.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is recognized on a straight-line basis over the lease term. Leases with a term of 12 months or less are not recorded on the balance sheet. The Company’s lease agreements do not contain any residual value guarantees.</w:t>
      </w:r>
    </w:p>
    <w:p>
      <w:pPr>
        <w:pStyle w:val="TextBody"/>
        <w:bidi w:val="0"/>
        <w:spacing w:lineRule="auto" w:line="268" w:before="0" w:after="0"/>
        <w:ind w:left="0" w:right="0" w:firstLine="450"/>
        <w:jc w:val="left"/>
        <w:rPr/>
      </w:pPr>
      <w:r>
        <w:rPr>
          <w:rFonts w:ascii="Times New Roman;sans-serif" w:hAnsi="Times New Roman;sans-serif"/>
          <w:b w:val="false"/>
          <w:color w:val="000000"/>
          <w:sz w:val="20"/>
          <w:shd w:fill="FFFFFF" w:val="clear"/>
        </w:rPr>
        <w:t xml:space="preserve">Changes in the Company's strategies have resulted in operation modifications in certain Asia/Pacific markets resulting in the closure of showrooms and changes to selling models. As of December 31, 2022, the Company abandoned the ROU assets related to the Hong Kong and Singapore showroom leases. These leases were terminated in February 2023 and the Company has no remaining lease liability for these showrooms. Total expenses related to the abandonment of the ROU assets and costs associated with the change in operations in these markets for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 xml:space="preserve">December 31, 2022 was $0.4 million and is included in selling, general, and administrative expenses.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w:t>
      </w:r>
      <w:r>
        <w:rPr>
          <w:rFonts w:ascii="Times New Roman;sans-serif" w:hAnsi="Times New Roman;sans-serif"/>
          <w:b w:val="false"/>
          <w:color w:val="000000"/>
          <w:sz w:val="20"/>
          <w:shd w:fill="FFFFFF" w:val="clear"/>
        </w:rPr>
        <w: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six months ended December 31, 2023 and 2022, the Company recognized income tax benefit of $0.3 million and tax expense of $0.2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Income (loss) Per Share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common share is computed by dividing the net income (loss) by the weighted-average number of common shares outstanding during the period, less unvested restricted stock awards. Diluted income (loss) per common share is computed by dividing net income by the weighted-average common shares and potentially dilutive common share equivalents using the treasury stock method.</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For the three months ended December 31, 2023 and 2022, the effects of approximately 26,000 and 0.2 million common shares, respectively, issuable upon exercise of options and non-vested shares of restricted stock are not included in computations as their effect was anti-dilutive. For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2022, the effects of approximately 0.1 million and 0.4 million common shares, respectively, issuable upon exercise of options and non-vested shares of restricted stock are not included in computations as their effect was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(loss) per share and the weighted-average common shares outstanding for purposes of computing basic and diluted net income (loss) per share (in thousands, except per share amounts):</w:t>
      </w:r>
    </w:p>
    <w:tbl>
      <w:tblPr>
        <w:tblW w:w="9980" w:type="dxa"/>
        <w:jc w:val="left"/>
        <w:tblInd w:w="0" w:type="dxa"/>
        <w:tblLayout w:type="fixed"/>
        <w:tblCellMar>
          <w:top w:w="28" w:type="dxa"/>
          <w:left w:w="28" w:type="dxa"/>
          <w:bottom w:w="28" w:type="dxa"/>
          <w:right w:w="28" w:type="dxa"/>
        </w:tblCellMar>
      </w:tblPr>
      <w:tblGrid>
        <w:gridCol w:w="1633"/>
        <w:gridCol w:w="1439"/>
        <w:gridCol w:w="1457"/>
        <w:gridCol w:w="248"/>
        <w:gridCol w:w="689"/>
        <w:gridCol w:w="128"/>
        <w:gridCol w:w="128"/>
        <w:gridCol w:w="128"/>
        <w:gridCol w:w="128"/>
        <w:gridCol w:w="248"/>
        <w:gridCol w:w="813"/>
        <w:gridCol w:w="128"/>
        <w:gridCol w:w="109"/>
        <w:gridCol w:w="109"/>
        <w:gridCol w:w="109"/>
        <w:gridCol w:w="249"/>
        <w:gridCol w:w="603"/>
        <w:gridCol w:w="128"/>
        <w:gridCol w:w="128"/>
        <w:gridCol w:w="128"/>
        <w:gridCol w:w="128"/>
        <w:gridCol w:w="249"/>
        <w:gridCol w:w="692"/>
        <w:gridCol w:w="181"/>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and options</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diluted</w:t>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Segment Information and Disaggregated Revenue</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by selling products directly to customers and through an international network of independent consultants that operates in an integrated manner from market to market. Commissions and incentives expenses are the Company’s largest expense comprised of the commissions paid to its independent consultants. The Company manages its business primarily by managing its international network of independent consultants. The Company disaggregates revenue in two geographic regions: the Americas region and the Asia/Pacific &amp; Europe region.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these two geographic regions (in thousands):</w:t>
      </w:r>
    </w:p>
    <w:tbl>
      <w:tblPr>
        <w:tblW w:w="7547" w:type="dxa"/>
        <w:jc w:val="left"/>
        <w:tblInd w:w="0" w:type="dxa"/>
        <w:tblLayout w:type="fixed"/>
        <w:tblCellMar>
          <w:top w:w="28" w:type="dxa"/>
          <w:left w:w="28" w:type="dxa"/>
          <w:bottom w:w="28" w:type="dxa"/>
          <w:right w:w="28" w:type="dxa"/>
        </w:tblCellMar>
      </w:tblPr>
      <w:tblGrid>
        <w:gridCol w:w="692"/>
        <w:gridCol w:w="609"/>
        <w:gridCol w:w="618"/>
        <w:gridCol w:w="231"/>
        <w:gridCol w:w="790"/>
        <w:gridCol w:w="119"/>
        <w:gridCol w:w="119"/>
        <w:gridCol w:w="119"/>
        <w:gridCol w:w="119"/>
        <w:gridCol w:w="231"/>
        <w:gridCol w:w="790"/>
        <w:gridCol w:w="119"/>
        <w:gridCol w:w="109"/>
        <w:gridCol w:w="109"/>
        <w:gridCol w:w="109"/>
        <w:gridCol w:w="211"/>
        <w:gridCol w:w="826"/>
        <w:gridCol w:w="109"/>
        <w:gridCol w:w="109"/>
        <w:gridCol w:w="109"/>
        <w:gridCol w:w="109"/>
        <w:gridCol w:w="211"/>
        <w:gridCol w:w="826"/>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as to the Company’s revenue from operations in the most significant geographical areas is set forth below (in thousands):</w:t>
      </w:r>
    </w:p>
    <w:tbl>
      <w:tblPr>
        <w:tblW w:w="6649" w:type="dxa"/>
        <w:jc w:val="left"/>
        <w:tblInd w:w="0" w:type="dxa"/>
        <w:tblLayout w:type="fixed"/>
        <w:tblCellMar>
          <w:top w:w="28" w:type="dxa"/>
          <w:left w:w="28" w:type="dxa"/>
          <w:bottom w:w="28" w:type="dxa"/>
          <w:right w:w="28" w:type="dxa"/>
        </w:tblCellMar>
      </w:tblPr>
      <w:tblGrid>
        <w:gridCol w:w="435"/>
        <w:gridCol w:w="381"/>
        <w:gridCol w:w="383"/>
        <w:gridCol w:w="231"/>
        <w:gridCol w:w="790"/>
        <w:gridCol w:w="119"/>
        <w:gridCol w:w="119"/>
        <w:gridCol w:w="119"/>
        <w:gridCol w:w="119"/>
        <w:gridCol w:w="231"/>
        <w:gridCol w:w="790"/>
        <w:gridCol w:w="119"/>
        <w:gridCol w:w="109"/>
        <w:gridCol w:w="109"/>
        <w:gridCol w:w="109"/>
        <w:gridCol w:w="214"/>
        <w:gridCol w:w="731"/>
        <w:gridCol w:w="110"/>
        <w:gridCol w:w="110"/>
        <w:gridCol w:w="110"/>
        <w:gridCol w:w="110"/>
        <w:gridCol w:w="214"/>
        <w:gridCol w:w="731"/>
        <w:gridCol w:w="15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long-lived assets for its most significant geographic markets (in thousands):</w:t>
      </w:r>
    </w:p>
    <w:tbl>
      <w:tblPr>
        <w:tblW w:w="3707" w:type="dxa"/>
        <w:jc w:val="left"/>
        <w:tblInd w:w="0" w:type="dxa"/>
        <w:tblLayout w:type="fixed"/>
        <w:tblCellMar>
          <w:top w:w="28" w:type="dxa"/>
          <w:left w:w="28" w:type="dxa"/>
          <w:bottom w:w="28" w:type="dxa"/>
          <w:right w:w="28" w:type="dxa"/>
        </w:tblCellMar>
      </w:tblPr>
      <w:tblGrid>
        <w:gridCol w:w="435"/>
        <w:gridCol w:w="381"/>
        <w:gridCol w:w="383"/>
        <w:gridCol w:w="222"/>
        <w:gridCol w:w="759"/>
        <w:gridCol w:w="114"/>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Leases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The Company has operating leases for current corporate offices and certain equipment. These leases have remaining terms of appro</w:t>
      </w:r>
      <w:r>
        <w:rPr>
          <w:rFonts w:ascii="Times New Roman;sans-serif" w:hAnsi="Times New Roman;sans-serif"/>
          <w:b w:val="false"/>
          <w:color w:val="000000"/>
          <w:sz w:val="20"/>
          <w:shd w:fill="FFFFFF" w:val="clear"/>
        </w:rPr>
        <w:t xml:space="preserve">ximately one to eight years. </w:t>
      </w:r>
      <w:r>
        <w:rPr>
          <w:rFonts w:ascii="Times New Roman;sans-serif" w:hAnsi="Times New Roman;sans-serif"/>
          <w:b w:val="false"/>
          <w:color w:val="000000"/>
          <w:sz w:val="20"/>
        </w:rPr>
        <w:t>As of December 31, 2023, the weighted average remaining lease term and weighted average discount rate for operating leases was 7.56 years and 3.17%, respectively. As of June 30, 2023, the weighted average remaining lease term and weighted average discount rate for operating leases was 8.27 years and 3.25%, respectively.</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December 31, 2023 and 2022, operating lease expense was $0.5 million and $0.8 million, respectively. For the six months ended December 31, 2023 and 2022, operating lease expense was $1.1 million and $1.5 million, respectively. </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and six months ended December 31, 2023 and 2022,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7533" w:type="dxa"/>
        <w:jc w:val="left"/>
        <w:tblInd w:w="0" w:type="dxa"/>
        <w:tblLayout w:type="fixed"/>
        <w:tblCellMar>
          <w:top w:w="28" w:type="dxa"/>
          <w:left w:w="28" w:type="dxa"/>
          <w:bottom w:w="28" w:type="dxa"/>
          <w:right w:w="28" w:type="dxa"/>
        </w:tblCellMar>
      </w:tblPr>
      <w:tblGrid>
        <w:gridCol w:w="755"/>
        <w:gridCol w:w="663"/>
        <w:gridCol w:w="667"/>
        <w:gridCol w:w="293"/>
        <w:gridCol w:w="648"/>
        <w:gridCol w:w="151"/>
        <w:gridCol w:w="151"/>
        <w:gridCol w:w="151"/>
        <w:gridCol w:w="151"/>
        <w:gridCol w:w="293"/>
        <w:gridCol w:w="648"/>
        <w:gridCol w:w="151"/>
        <w:gridCol w:w="109"/>
        <w:gridCol w:w="109"/>
        <w:gridCol w:w="109"/>
        <w:gridCol w:w="234"/>
        <w:gridCol w:w="683"/>
        <w:gridCol w:w="120"/>
        <w:gridCol w:w="120"/>
        <w:gridCol w:w="120"/>
        <w:gridCol w:w="120"/>
        <w:gridCol w:w="234"/>
        <w:gridCol w:w="683"/>
        <w:gridCol w:w="170"/>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was as follows (in thousands):</w:t>
      </w:r>
    </w:p>
    <w:tbl>
      <w:tblPr>
        <w:tblW w:w="10205" w:type="dxa"/>
        <w:jc w:val="left"/>
        <w:tblInd w:w="0" w:type="dxa"/>
        <w:tblLayout w:type="fixed"/>
        <w:tblCellMar>
          <w:top w:w="28" w:type="dxa"/>
          <w:left w:w="28" w:type="dxa"/>
          <w:bottom w:w="28" w:type="dxa"/>
          <w:right w:w="28" w:type="dxa"/>
        </w:tblCellMar>
      </w:tblPr>
      <w:tblGrid>
        <w:gridCol w:w="1759"/>
        <w:gridCol w:w="1530"/>
        <w:gridCol w:w="1542"/>
        <w:gridCol w:w="286"/>
        <w:gridCol w:w="633"/>
        <w:gridCol w:w="147"/>
        <w:gridCol w:w="147"/>
        <w:gridCol w:w="147"/>
        <w:gridCol w:w="147"/>
        <w:gridCol w:w="286"/>
        <w:gridCol w:w="633"/>
        <w:gridCol w:w="147"/>
        <w:gridCol w:w="109"/>
        <w:gridCol w:w="109"/>
        <w:gridCol w:w="109"/>
        <w:gridCol w:w="232"/>
        <w:gridCol w:w="677"/>
        <w:gridCol w:w="119"/>
        <w:gridCol w:w="119"/>
        <w:gridCol w:w="119"/>
        <w:gridCol w:w="119"/>
        <w:gridCol w:w="232"/>
        <w:gridCol w:w="677"/>
        <w:gridCol w:w="180"/>
      </w:tblGrid>
      <w:tr>
        <w:trPr/>
        <w:tc>
          <w:tcPr>
            <w:tcW w:w="175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at December 31, 2023 are as follows (in thousands):</w:t>
      </w:r>
    </w:p>
    <w:tbl>
      <w:tblPr>
        <w:tblW w:w="5672" w:type="dxa"/>
        <w:jc w:val="left"/>
        <w:tblInd w:w="0" w:type="dxa"/>
        <w:tblLayout w:type="fixed"/>
        <w:tblCellMar>
          <w:top w:w="28" w:type="dxa"/>
          <w:left w:w="28" w:type="dxa"/>
          <w:bottom w:w="28" w:type="dxa"/>
          <w:right w:w="28" w:type="dxa"/>
        </w:tblCellMar>
      </w:tblPr>
      <w:tblGrid>
        <w:gridCol w:w="1543"/>
        <w:gridCol w:w="1354"/>
        <w:gridCol w:w="1362"/>
        <w:gridCol w:w="109"/>
        <w:gridCol w:w="109"/>
        <w:gridCol w:w="109"/>
        <w:gridCol w:w="211"/>
        <w:gridCol w:w="72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six months ending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4 — Long-Term Debt</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March 30, 2016, t</w:t>
      </w:r>
      <w:r>
        <w:rPr>
          <w:rFonts w:ascii="Times New Roman;sans-serif" w:hAnsi="Times New Roman;sans-serif"/>
          <w:b w:val="false"/>
          <w:color w:val="000000"/>
          <w:sz w:val="20"/>
          <w:shd w:fill="FFFFFF" w:val="clear"/>
        </w:rPr>
        <w:t xml:space="preserve">he Company entered into a loan agreement (the "2016 Loan Agreement") and a security agreement (the "Security Agreement"). The 2016 Loan Agreement provides for a term loan in an aggregate principal amount of </w:t>
      </w:r>
      <w:r>
        <w:rPr>
          <w:rFonts w:ascii="Times New Roman;sans-serif" w:hAnsi="Times New Roman;sans-serif"/>
          <w:b w:val="false"/>
          <w:color w:val="000000"/>
          <w:sz w:val="20"/>
        </w:rPr>
        <w:t>$10.0 million (</w:t>
      </w:r>
      <w:r>
        <w:rPr>
          <w:rFonts w:ascii="Times New Roman;sans-serif" w:hAnsi="Times New Roman;sans-serif"/>
          <w:b w:val="false"/>
          <w:color w:val="000000"/>
          <w:sz w:val="20"/>
          <w:shd w:fill="FFFFFF" w:val="clear"/>
        </w:rPr>
        <w:t>the "2016 Term Loan") and a revolving loan facility in an aggregate principal amount not to exceed</w:t>
      </w:r>
      <w:r>
        <w:rPr>
          <w:color w:val="000000"/>
        </w:rPr>
        <w:t xml:space="preserve"> </w:t>
      </w:r>
      <w:r>
        <w:rPr>
          <w:rFonts w:ascii="Times New Roman;sans-serif" w:hAnsi="Times New Roman;sans-serif"/>
          <w:b w:val="false"/>
          <w:color w:val="000000"/>
          <w:sz w:val="20"/>
        </w:rPr>
        <w:t xml:space="preserve">$2.0 million </w:t>
      </w:r>
      <w:r>
        <w:rPr>
          <w:rFonts w:ascii="Times New Roman;sans-serif" w:hAnsi="Times New Roman;sans-serif"/>
          <w:b w:val="false"/>
          <w:color w:val="000000"/>
          <w:sz w:val="20"/>
          <w:shd w:fill="FFFFFF" w:val="clear"/>
        </w:rPr>
        <w:t>(the "2016 Revolving Loan," and collectively with the 2016 Term Loan, the 2016 Loan Agreement and the Security Agreement, the "2016 Credit Facility" and together with the amendments described below, the "Credit Facility"). During the fiscal year ended June 30, 2020, the Company repaid, in full, the balance of the 2016 Term Loan.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On May 4, 2018 and February 1, 2019, </w:t>
      </w:r>
      <w:r>
        <w:rPr>
          <w:rFonts w:ascii="Times New Roman;sans-serif" w:hAnsi="Times New Roman;sans-serif"/>
          <w:b w:val="false"/>
          <w:color w:val="000000"/>
          <w:sz w:val="20"/>
          <w:shd w:fill="FFFFFF" w:val="clear"/>
        </w:rPr>
        <w:t>the Company entered into loan modification agreements (“Amendment No. 1” and “Amendment No. 2”, respectively). These loan modification agreements amended certain financial covenants and the available borrowing amount under the 2016 Revolving Loan.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April 1, 2021,</w:t>
      </w:r>
      <w:r>
        <w:rPr>
          <w:color w:val="000000"/>
          <w:shd w:fill="FFFFFF" w:val="clear"/>
        </w:rPr>
        <w:t xml:space="preserve"> </w:t>
      </w:r>
      <w:r>
        <w:rPr>
          <w:rFonts w:ascii="Times New Roman;sans-serif" w:hAnsi="Times New Roman;sans-serif"/>
          <w:b w:val="false"/>
          <w:color w:val="000000"/>
          <w:sz w:val="20"/>
          <w:shd w:fill="FFFFFF" w:val="clear"/>
        </w:rPr>
        <w:t xml:space="preserve">the Company entered into a loan modification agreement ("Amendment No. 3"), which amended the Credit Facility. Amendment No. 3, with an available borrowing amount of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a revised maturity date from March 31, 2021 to March 31, 2024, and a modified variable interest rate based on the one-month United States Treasury Rate, plus a margin of</w:t>
      </w:r>
      <w:r>
        <w:rPr>
          <w:color w:val="000000"/>
        </w:rPr>
        <w:t xml:space="preserve"> </w:t>
      </w:r>
      <w:r>
        <w:rPr>
          <w:rFonts w:ascii="Times New Roman;sans-serif" w:hAnsi="Times New Roman;sans-serif"/>
          <w:b w:val="false"/>
          <w:color w:val="000000"/>
          <w:sz w:val="20"/>
        </w:rPr>
        <w:t>3.00%</w:t>
      </w:r>
      <w:r>
        <w:rPr>
          <w:rFonts w:ascii="Times New Roman;sans-serif" w:hAnsi="Times New Roman;sans-serif"/>
          <w:b w:val="false"/>
          <w:color w:val="000000"/>
          <w:sz w:val="20"/>
          <w:shd w:fill="FFFFFF" w:val="clear"/>
        </w:rPr>
        <w:t>, with an interest rate floor of</w:t>
      </w:r>
      <w:r>
        <w:rPr>
          <w:color w:val="000000"/>
        </w:rPr>
        <w:t xml:space="preserve"> </w:t>
      </w:r>
      <w:r>
        <w:rPr>
          <w:rFonts w:ascii="Times New Roman;sans-serif" w:hAnsi="Times New Roman;sans-serif"/>
          <w:b w:val="false"/>
          <w:color w:val="000000"/>
          <w:sz w:val="20"/>
        </w:rPr>
        <w:t xml:space="preserve">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w:t>
      </w:r>
      <w:r>
        <w:rPr>
          <w:rFonts w:ascii="Times New Roman;sans-serif" w:hAnsi="Times New Roman;sans-serif"/>
          <w:b w:val="false"/>
          <w:color w:val="000000"/>
          <w:sz w:val="20"/>
          <w:shd w:fill="FFFFFF" w:val="clear"/>
        </w:rPr>
        <w:t>There were no other changes to the minimum fixed charge coverage ratio of</w:t>
      </w:r>
      <w:r>
        <w:rPr>
          <w:color w:val="000000"/>
        </w:rPr>
        <w:t xml:space="preserve"> </w:t>
      </w:r>
      <w:r>
        <w:rPr>
          <w:rFonts w:ascii="Times New Roman;sans-serif" w:hAnsi="Times New Roman;sans-serif"/>
          <w:b w:val="false"/>
          <w:color w:val="000000"/>
          <w:sz w:val="20"/>
        </w:rPr>
        <w:t xml:space="preserve">1.10 to 1.00 </w:t>
      </w:r>
      <w:r>
        <w:rPr>
          <w:rFonts w:ascii="Times New Roman;sans-serif" w:hAnsi="Times New Roman;sans-serif"/>
          <w:b w:val="false"/>
          <w:color w:val="000000"/>
          <w:sz w:val="20"/>
          <w:shd w:fill="FFFFFF" w:val="clear"/>
        </w:rPr>
        <w:t xml:space="preserve">or the minimum working capital of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as set forth in previous amendments.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Credit Facility, contains customary covenants, including affirmative and negative covenants that, among other things, restrict the Company's ability to create certain types of liens, incur additional indebtedness, declare or pay dividends on or redeem capital stock without prior approval,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Credit Facility. The Company’s obligations under the Credit Facility, are secured by a security interest in substantially all of the Company’s assets.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entered into a loan modification agreement ("Amendment No. 4"), effective September 30, 2022, which further amended the Credit Facility. Amendment No. 4 revised the calculation of the minimum fixed charge coverage ratio (as defined in Amendment No. 4) and allows the Company to declare and pay dividends, up to $500,000 per quarter, through September 30, 2023. There were no other changes to the covenants or revolving loan facility as set forth in Amendment No. 3. As of December 31, 2023, the effective interest rate is 8.60%. If the Company borrows under the 2016 Revolving Loan, interest will be payable quarterly in arrears on the last day of each fiscal quarter. </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28, 2023, the Company received approval, without modifying Amendment No. 4, to declare and pay a one-time cash dividend of $0.40 per share of common stock, to be paid on September 22, 2023. The Company also received approval to declare and pay dividends, up to $750,000, per quarter, through September 30, 2024.</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the Company was in compliance with its financial covenants under the Credit Facility other than its covenant related to the minimum fixed charge coverage ratio. The Company requested, and was granted, a waiver related to this covenant violation as of December 31, 2023. As of December 31, 2023, there was no balance outstanding on this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5 — Stockholders’ Equity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December 31, 2023 and 2022</w:t>
      </w:r>
      <w:r>
        <w:rPr>
          <w:rFonts w:ascii="Times New Roman;sans-serif" w:hAnsi="Times New Roman;sans-serif"/>
          <w:b w:val="false"/>
          <w:color w:val="000000"/>
          <w:sz w:val="20"/>
          <w:shd w:fill="FFFFFF" w:val="clear"/>
        </w:rPr>
        <w:t xml:space="preserve">, the Company issued 0.5 million and 0.2 million shares of common stock, respectively, under equity award plans. During the </w:t>
      </w:r>
      <w:r>
        <w:rPr>
          <w:rFonts w:ascii="Times New Roman;sans-serif" w:hAnsi="Times New Roman;sans-serif"/>
          <w:b w:val="false"/>
          <w:color w:val="000000"/>
          <w:sz w:val="20"/>
        </w:rPr>
        <w:t>three months ended December 31, 2023 and 2022</w:t>
      </w:r>
      <w:r>
        <w:rPr>
          <w:rFonts w:ascii="Times New Roman;sans-serif" w:hAnsi="Times New Roman;sans-serif"/>
          <w:b w:val="false"/>
          <w:color w:val="000000"/>
          <w:sz w:val="20"/>
          <w:shd w:fill="FFFFFF" w:val="clear"/>
        </w:rPr>
        <w:t xml:space="preserve">, the Company issued zero shares of common stock upon the exercise of stock options. During the </w:t>
      </w:r>
      <w:r>
        <w:rPr>
          <w:rFonts w:ascii="Times New Roman;sans-serif" w:hAnsi="Times New Roman;sans-serif"/>
          <w:b w:val="false"/>
          <w:color w:val="000000"/>
          <w:sz w:val="20"/>
        </w:rPr>
        <w:t xml:space="preserve">three months ended December 31, 2023 and 2022, </w:t>
      </w:r>
      <w:r>
        <w:rPr>
          <w:rFonts w:ascii="Times New Roman;sans-serif" w:hAnsi="Times New Roman;sans-serif"/>
          <w:b w:val="false"/>
          <w:color w:val="000000"/>
          <w:sz w:val="20"/>
          <w:shd w:fill="FFFFFF" w:val="clear"/>
        </w:rPr>
        <w:t xml:space="preserve">34,000 and 5,000 shares of restricted stock, respectively, were canceled or surrendered as payment of tax withholding upon vesting.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six months ended December 31, 2023 and 2022</w:t>
      </w:r>
      <w:r>
        <w:rPr>
          <w:rFonts w:ascii="Times New Roman;sans-serif" w:hAnsi="Times New Roman;sans-serif"/>
          <w:b w:val="false"/>
          <w:color w:val="000000"/>
          <w:sz w:val="20"/>
          <w:shd w:fill="FFFFFF" w:val="clear"/>
        </w:rPr>
        <w:t xml:space="preserve">, the Company issued 0.8 million and 0.2 million shares of common stock, respectively, under equity award plans. During the </w:t>
      </w:r>
      <w:r>
        <w:rPr>
          <w:rFonts w:ascii="Times New Roman;sans-serif" w:hAnsi="Times New Roman;sans-serif"/>
          <w:b w:val="false"/>
          <w:color w:val="000000"/>
          <w:sz w:val="20"/>
        </w:rPr>
        <w:t>six months ended December 31, 2023 and 2022</w:t>
      </w:r>
      <w:r>
        <w:rPr>
          <w:rFonts w:ascii="Times New Roman;sans-serif" w:hAnsi="Times New Roman;sans-serif"/>
          <w:b w:val="false"/>
          <w:color w:val="000000"/>
          <w:sz w:val="20"/>
          <w:shd w:fill="FFFFFF" w:val="clear"/>
        </w:rPr>
        <w:t xml:space="preserve">, the Company issued zero shares of common stock upon the exercise of stock options. During the </w:t>
      </w:r>
      <w:r>
        <w:rPr>
          <w:rFonts w:ascii="Times New Roman;sans-serif" w:hAnsi="Times New Roman;sans-serif"/>
          <w:b w:val="false"/>
          <w:color w:val="000000"/>
          <w:sz w:val="20"/>
        </w:rPr>
        <w:t>six months ended December 31, 2023 and 2022,</w:t>
      </w:r>
      <w:r>
        <w:rPr>
          <w:color w:val="000000"/>
          <w:shd w:fill="FFFFFF" w:val="clear"/>
        </w:rPr>
        <w:t xml:space="preserve"> </w:t>
      </w:r>
      <w:r>
        <w:rPr>
          <w:rFonts w:ascii="Times New Roman;sans-serif" w:hAnsi="Times New Roman;sans-serif"/>
          <w:b w:val="false"/>
          <w:color w:val="000000"/>
          <w:sz w:val="20"/>
          <w:shd w:fill="FFFFFF" w:val="clear"/>
        </w:rPr>
        <w:t xml:space="preserve">0.1 million and 22,000 shares of restricted stock, respectively, were canceled or surrendered as payment of tax withholding upon vesting.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Company's board of directors (the "Board of Directors") approved an amendment to increase the authorized share repurchase amount from $5.0 million to $15.0 million. On August 27, 2020, the Board of Directors approved an amendment to increase the authorized share repurchase amount from $15.0 million to $35.0 million and to extend the duration of the program through November 30, 20</w:t>
      </w:r>
      <w:r>
        <w:rPr>
          <w:rFonts w:ascii="Times New Roman;sans-serif" w:hAnsi="Times New Roman;sans-serif"/>
          <w:b w:val="false"/>
          <w:color w:val="000000"/>
          <w:sz w:val="20"/>
          <w:shd w:fill="FFFFFF" w:val="clear"/>
        </w:rPr>
        <w:t xml:space="preserve">23 and, on February 17, 2022, the board of directors approved an </w:t>
      </w:r>
      <w:r>
        <w:rPr>
          <w:rFonts w:ascii="Times New Roman;sans-serif" w:hAnsi="Times New Roman;sans-serif"/>
          <w:b w:val="false"/>
          <w:color w:val="000000"/>
          <w:sz w:val="20"/>
        </w:rPr>
        <w:t xml:space="preserve">amendment to increase the authorized share repurchase amount from $35.0 million to $60.0 million. On June 12, 2023, the Board of Directors approved an amendment to extend the duration of the repurchase program period to December 31, 2026.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and six months ended December 31, 2023, </w:t>
      </w:r>
      <w:r>
        <w:rPr>
          <w:rFonts w:ascii="Times New Roman;sans-serif" w:hAnsi="Times New Roman;sans-serif"/>
          <w:b w:val="false"/>
          <w:color w:val="000000"/>
          <w:sz w:val="20"/>
          <w:shd w:fill="FFFFFF" w:val="clear"/>
        </w:rPr>
        <w:t xml:space="preserve">the Company purchased 0.3 million shares and 0.4 million shares of common stock at an aggregate price of $1.9 million and $2.7 million under this repurchase program, respectively. During the </w:t>
      </w:r>
      <w:r>
        <w:rPr>
          <w:rFonts w:ascii="Times New Roman;sans-serif" w:hAnsi="Times New Roman;sans-serif"/>
          <w:b w:val="false"/>
          <w:color w:val="000000"/>
          <w:sz w:val="20"/>
        </w:rPr>
        <w:t xml:space="preserve">three and six months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Company purchased no shares of common stock under this repurchase program, respectively. At December 31, 2023, there is $24.2 million remaining under this repurchase program.</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30, 2023, the Board of Directors approved a stockholder rights agreement (the “Rights Plan”) and declared a dividend of one right for each outstanding share of common stock to stockholders of record on September 11, 2023. Each right entitles holders to purchase one newly issued share of preferred stock at an exercise price of $20 per right, subject to adjustment. Initially, the rights are not exercisable and trade with shares of the Company’s common stock.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rights become exercisable following a public announcement that a person acquires 12% (or, in the case of passive investors, 20%) or more of the outstanding shares of the Company’s common stock. If a person becomes an acquiring person, each holder of rights (except the acquiring person) will have the right to purchase, for the purchase price, a number of shares of the Company’s common stock at a 50% discount to the then-current trading price. Rather than allowing the rights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be exercised in those circumstances, the Board of Directors may exchange each right, other than the rights owned by the acquiring person, for a share of the Company’s common stock. The agreement provides for exceptions and additional terms for other certain situations and circumstances.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Rights Plan is intended to protect the interests of LifeVantage and its stockholders by reducing the likelihood that any entity, person or group gains control of the Company through open-market accumulation or other means without payment of an adequate control premium and expires August 24, 2024, unless it is earlier terminated or the rights are earlier redeemed or exchanged by the Board of Directors. There is currently no impact to the Company’s Consolidated Financial Statements.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The Company’s Certificate of Incorporation authorizes the issuance of preferred stock. However</w:t>
      </w:r>
      <w:r>
        <w:rPr>
          <w:rFonts w:ascii="Times New Roman;sans-serif" w:hAnsi="Times New Roman;sans-serif"/>
          <w:b w:val="false"/>
          <w:color w:val="000000"/>
          <w:sz w:val="20"/>
        </w:rPr>
        <w:t>, as of December 31, 2023, none have been issued nor have any rights or preferences been assigned to the preferred stock by the Company’s board of directors.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2023, the Board of Directors declared a quarterly cash dividend of $0.035 per share of common stock and a one-time cash dividend of $0.40 per share of common stock to be paid on September 22, 2023 to stockholders of record on September 8, 2023. In November 2023, the Board of Directors declared a quarterly cash dividend of $0.035 per share of common stock to be paid on December 15, 2023 to stockholders of record on December 1, 2023. Cash dividends for the three and six months ended December 31, 2023 totaled $0.5 million and $6.0 million, or $0.035 and $0.47 per share, respectively. Cash dividends for the three and six months ended December 31, 2022 totaled $0.4 million and $0.8 million, or $0.03 and $0.06 per share,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6 — Stock-Based Compensation</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Long-Term Incentive Plans</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Equity-Settled Plans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adopted, and the stockholders approved, the 2017 Long-Term Incentive Plan (the “2017 Plan”), effective February 16, 2017, to provide incentives to eligible employees, directors and consultants.    The initial share pool approved was 650,000 shares. On November 9, 2023, the stockholders approved amendments to the 2017 Plan to increase the number of shares of the Company's common stock that are available for issuance under the 2017 plan by 1,138,000 shares. As of December 31, 2023, a maximum of 5.1 million shares of the Company's common stock can be issued under the 2017 Plan in connection with the grant of awards which is calculated as the sum of (i) 4,630,000 shares and (ii) up to 475,000 shares previously reserved for issuance under the Company's 2010 Long Term Incentive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is generally ten years. As of December 31, 2023, under the 2017 Plan, there were stock option awards outstanding, net of awards expired, for an aggregate of 0.1 million shares of the Company's common stock.</w:t>
      </w:r>
    </w:p>
    <w:p>
      <w:pPr>
        <w:pStyle w:val="TextBody"/>
        <w:bidi w:val="0"/>
        <w:spacing w:lineRule="auto" w:line="288" w:before="160" w:after="16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The Company's 2019 Employee Stock Purchase Plan ("ESPP") was adopted by the Board of Directors in September 2018 and the Company's stockholders approved it in November 2018. The ESPP is intended to qualify under Section 423 of the Internal Revenue Code.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Share Reserve.</w:t>
      </w:r>
      <w:r>
        <w:rPr>
          <w:color w:val="000000"/>
        </w:rPr>
        <w:t xml:space="preserve"> </w:t>
      </w:r>
      <w:r>
        <w:rPr>
          <w:rFonts w:ascii="Times New Roman;sans-serif" w:hAnsi="Times New Roman;sans-serif"/>
          <w:b w:val="false"/>
          <w:color w:val="000000"/>
          <w:sz w:val="20"/>
        </w:rPr>
        <w:t>The Company has reserved 0.4 million shares of its common stock for issuance under the ESPP. As of December 31, 2023, 0.1 million shares were available for issuance. The number of shares reserved under the ESPP will automatically be adjusted in the event of a stock split, stock dividend or a reverse stock split (including an adjustment to the per-purchase period share limit).</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Purchase Price.</w:t>
      </w:r>
      <w:r>
        <w:rPr>
          <w:color w:val="000000"/>
        </w:rPr>
        <w:t xml:space="preserve"> </w:t>
      </w:r>
      <w:r>
        <w:rPr>
          <w:rFonts w:ascii="Times New Roman;sans-serif" w:hAnsi="Times New Roman;sans-serif"/>
          <w:b w:val="false"/>
          <w:color w:val="000000"/>
          <w:sz w:val="20"/>
        </w:rPr>
        <w:t xml:space="preserve">Employees may purchase each share of common stock under the ESPP at a price equal to 85% of the lower of the fair market values 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would permit the participant's rights to purchase stock to accrue at a rate exceeding $25,000 grant date fair market value of stock for each calendar year in which such option is outstanding at any time.</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Offering Periods.</w:t>
      </w:r>
      <w:r>
        <w:rPr>
          <w:color w:val="000000"/>
        </w:rPr>
        <w:t xml:space="preserve"> </w:t>
      </w:r>
      <w:r>
        <w:rPr>
          <w:rFonts w:ascii="Times New Roman;sans-serif" w:hAnsi="Times New Roman;sans-serif"/>
          <w:b w:val="false"/>
          <w:color w:val="000000"/>
          <w:sz w:val="20"/>
        </w:rPr>
        <w:t>Unless otherwise determined by the compensation committee, the ESPP will be operated through a series of successive six-month offering periods, which will begin each year on March 1 and September 1.</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Duri</w:t>
      </w:r>
      <w:r>
        <w:rPr>
          <w:rFonts w:ascii="Times New Roman;sans-serif" w:hAnsi="Times New Roman;sans-serif"/>
          <w:b w:val="false"/>
          <w:color w:val="000000"/>
          <w:sz w:val="20"/>
          <w:shd w:fill="FFFFFF" w:val="clear"/>
        </w:rPr>
        <w:t xml:space="preserve">ng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approximately 39,000 and 36,000 shares of common stock were issued under the ESPP, respectively. </w:t>
      </w:r>
    </w:p>
    <w:p>
      <w:pPr>
        <w:pStyle w:val="TextBody"/>
        <w:bidi w:val="0"/>
        <w:spacing w:lineRule="auto" w:line="288" w:before="160" w:after="160"/>
        <w:ind w:left="0" w:right="0" w:firstLine="45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Stock-Based Compensation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December 31, 2023</w:t>
      </w:r>
      <w:r>
        <w:rPr>
          <w:color w:val="000000"/>
          <w:shd w:fill="FFFFFF" w:val="clear"/>
        </w:rPr>
        <w:t xml:space="preserve"> </w:t>
      </w:r>
      <w:r>
        <w:rPr>
          <w:rFonts w:ascii="Times New Roman;sans-serif" w:hAnsi="Times New Roman;sans-serif"/>
          <w:b w:val="false"/>
          <w:color w:val="000000"/>
          <w:sz w:val="20"/>
          <w:shd w:fill="FFFFFF" w:val="clear"/>
        </w:rPr>
        <w:t>and 2022, compensation of $0.8 million and $0.8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r>
        <w:rPr>
          <w:rFonts w:ascii="Times New Roman;sans-serif" w:hAnsi="Times New Roman;sans-serif"/>
          <w:b w:val="false"/>
          <w:color w:val="000000"/>
          <w:sz w:val="20"/>
          <w:shd w:fill="FFFFFF" w:val="clear"/>
        </w:rPr>
        <w:t>For the six months ended December 31, 2023 and 2022, compensation of $1.7 million and $1.4 million, respectively, was reflected as an increase to additional</w:t>
      </w:r>
      <w:r>
        <w:rPr>
          <w:color w:val="000000"/>
        </w:rPr>
        <w:t xml:space="preserve"> </w:t>
      </w:r>
      <w:r>
        <w:rPr>
          <w:rFonts w:ascii="Times New Roman;sans-serif" w:hAnsi="Times New Roman;sans-serif"/>
          <w:b w:val="false"/>
          <w:color w:val="000000"/>
          <w:sz w:val="20"/>
        </w:rPr>
        <w:t xml:space="preserve">paid-in capital, all of which was employee related.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Note 7 — Commitments and Contingencies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2023, and based on the assessment, there are no probable loss contingencies requiring accrual or disclosures within its financial statements.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Accruals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spacing w:lineRule="auto" w:line="288" w:before="160" w:after="160"/>
        <w:ind w:left="0" w:right="0" w:firstLine="450"/>
        <w:jc w:val="left"/>
        <w:rPr/>
      </w:pPr>
      <w:r>
        <w:rPr>
          <w:rFonts w:ascii="Times New Roman;sans-serif" w:hAnsi="Times New Roman;sans-serif"/>
          <w:b/>
          <w:color w:val="000000"/>
          <w:sz w:val="20"/>
        </w:rPr>
        <w:t>Other Matters.</w:t>
      </w:r>
      <w:r>
        <w:rPr>
          <w:color w:val="000000"/>
        </w:rPr>
        <w:t xml:space="preserve"> </w:t>
      </w:r>
      <w:r>
        <w:rPr>
          <w:rFonts w:ascii="Times New Roman;sans-serif" w:hAnsi="Times New Roman;sans-serif"/>
          <w:b w:val="false"/>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LifeVantage Corporation (the “Company,”, “we,” “us,” or “our”) is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w:t>
      </w:r>
      <w:r>
        <w:rPr>
          <w:rFonts w:ascii="Times New Roman;sans-serif" w:hAnsi="Times New Roman;sans-serif"/>
          <w:b w:val="false"/>
          <w:color w:val="000000"/>
          <w:sz w:val="20"/>
          <w:shd w:fill="FFFFFF" w:val="clear"/>
        </w:rPr>
        <w:t xml:space="preserve">d independent consultants as </w:t>
      </w:r>
      <w:r>
        <w:rPr>
          <w:rFonts w:ascii="Times New Roman;sans-serif" w:hAnsi="Times New Roman;sans-serif"/>
          <w:b w:val="false"/>
          <w:color w:val="000000"/>
          <w:sz w:val="20"/>
        </w:rPr>
        <w:t>well as a financially rewarding commission-based direct sales opportunity to our independent consultants.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consultants in two geographic regions that we have classified as the Americas region and the Asia/Pacific &amp; Europe region.</w:t>
      </w:r>
    </w:p>
    <w:p>
      <w:pPr>
        <w:pStyle w:val="TextBody"/>
        <w:bidi w:val="0"/>
        <w:spacing w:lineRule="auto" w:line="288" w:before="160" w:after="160"/>
        <w:ind w:left="0" w:right="0" w:firstLine="461"/>
        <w:jc w:val="left"/>
        <w:rPr/>
      </w:pPr>
      <w:r>
        <w:rPr>
          <w:rFonts w:ascii="Times New Roman;sans-serif" w:hAnsi="Times New Roman;sans-serif"/>
          <w:b w:val="false"/>
          <w:color w:val="000000"/>
          <w:sz w:val="20"/>
        </w:rPr>
        <w:t xml:space="preserve">The success and growth of our business is primarily based on the effectiveness of our independent consultants to attract and </w:t>
      </w:r>
      <w:r>
        <w:rPr>
          <w:rFonts w:ascii="Times New Roman;sans-serif" w:hAnsi="Times New Roman;sans-serif"/>
          <w:b w:val="false"/>
          <w:color w:val="000000"/>
          <w:sz w:val="20"/>
          <w:shd w:fill="FFFFFF" w:val="clear"/>
        </w:rPr>
        <w:t>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lineRule="auto" w:line="288" w:before="160" w:after="160"/>
        <w:ind w:left="0" w:right="0" w:hanging="270"/>
        <w:jc w:val="left"/>
        <w:rPr/>
      </w:pPr>
      <w:r>
        <w:rPr>
          <w:color w:val="000000"/>
          <w:shd w:fill="FFFFFF" w:val="clear"/>
        </w:rPr>
        <w:t>•</w:t>
      </w:r>
      <w:r>
        <w:rPr>
          <w:rFonts w:ascii="Times New Roman;sans-serif" w:hAnsi="Times New Roman;sans-serif"/>
          <w:b w:val="false"/>
          <w:color w:val="000000"/>
          <w:sz w:val="20"/>
          <w:shd w:fill="FFFFFF" w:val="clear"/>
        </w:rPr>
        <w:t>Our products, including our flagship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family of scientifically validated dietary supplements,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Daily Wellness, Rise AM, Reset PM, and D3+ dietary supplements, our line of Nrf2 enhanced TrueScience® skin, hair, bath &amp; body, and targeted relief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w:t>
      </w:r>
      <w:r>
        <w:rPr>
          <w:color w:val="000000"/>
        </w:rPr>
        <w:t>™</w:t>
      </w:r>
      <w:r>
        <w:rPr>
          <w:rFonts w:ascii="Times New Roman;sans-serif" w:hAnsi="Times New Roman;sans-serif"/>
          <w:b w:val="false"/>
          <w:color w:val="000000"/>
          <w:sz w:val="20"/>
        </w:rPr>
        <w:t>, our smart weight management system;</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Our sales compensation plan and other sales initiatives and incentives; and</w:t>
      </w:r>
    </w:p>
    <w:p>
      <w:pPr>
        <w:pStyle w:val="TextBody"/>
        <w:bidi w:val="0"/>
        <w:spacing w:lineRule="auto" w:line="288" w:before="160" w:after="160"/>
        <w:ind w:left="0" w:right="0" w:hanging="270"/>
        <w:jc w:val="left"/>
        <w:rPr/>
      </w:pPr>
      <w:r>
        <w:rPr>
          <w:color w:val="000000"/>
        </w:rPr>
        <w:t>•</w:t>
      </w:r>
      <w:r>
        <w:rPr>
          <w:rFonts w:ascii="Times New Roman;sans-serif" w:hAnsi="Times New Roman;sans-serif"/>
          <w:b w:val="false"/>
          <w:color w:val="000000"/>
          <w:sz w:val="20"/>
        </w:rPr>
        <w:t>Our delivery of superior customer service.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the Philippines. We sold our products in China through a China approved cross-border e-commerce business model until March 15, 2023, at which time we closed our e-commerce business in China.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COVID-19 Influence on Business Operations and Work Environment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both virtual and in person business operations in hybrid form, which started in 2020 as a result of the COVID-19 pandemic. We have continued to provide successful virtual events and trainings for our independent consultants and have been successful in conducting day to day business operations both in person, and over virtual platforms. During the COVID-19 pandemic, we implemented and continue to operate, a hybrid model with our employees working from home a few days a week and in the office a few days a week. We believe that this has worked well for employee productivity. We remain focused on being digital first and committed to increasing our investments in digital technologies and tools for independent consultants and employees to function effectively in the current hybrid working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color w:val="000000"/>
          <w:sz w:val="20"/>
        </w:rPr>
        <w:t>Our</w:t>
      </w:r>
      <w:r>
        <w:rPr>
          <w:color w:val="000000"/>
          <w:shd w:fill="FFFFFF" w:val="clear"/>
        </w:rPr>
        <w:t xml:space="preserve"> </w:t>
      </w:r>
      <w:r>
        <w:rPr>
          <w:rFonts w:ascii="Times New Roman;sans-serif" w:hAnsi="Times New Roman;sans-serif"/>
          <w:b/>
          <w:color w:val="000000"/>
          <w:sz w:val="20"/>
          <w:shd w:fill="FFFFFF" w:val="clear"/>
        </w:rPr>
        <w:t>Products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Our products are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scientifically-validated dietary supplements,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ProBio, IC Bright</w:t>
      </w:r>
      <w:r>
        <w:rPr>
          <w:rFonts w:ascii="Times New Roman;sans-serif" w:hAnsi="Times New Roman;sans-serif"/>
          <w:b w:val="false"/>
          <w:color w:val="000000"/>
          <w:sz w:val="13"/>
        </w:rPr>
        <w:t>®</w:t>
      </w:r>
      <w:r>
        <w:rPr>
          <w:rFonts w:ascii="Times New Roman;sans-serif" w:hAnsi="Times New Roman;sans-serif"/>
          <w:b w:val="false"/>
          <w:color w:val="000000"/>
          <w:sz w:val="20"/>
        </w:rPr>
        <w:t>, Rise AM, Reset PM, D3+ and Daily Wellness dietary supplements, TrueScience</w:t>
      </w:r>
      <w:r>
        <w:rPr>
          <w:rFonts w:ascii="Times New Roman;sans-serif" w:hAnsi="Times New Roman;sans-serif"/>
          <w:b w:val="false"/>
          <w:color w:val="000000"/>
          <w:sz w:val="13"/>
        </w:rPr>
        <w:t>®</w:t>
      </w:r>
      <w:r>
        <w:rPr>
          <w:rFonts w:ascii="Times New Roman;sans-serif" w:hAnsi="Times New Roman;sans-serif"/>
          <w:b w:val="false"/>
          <w:color w:val="000000"/>
          <w:sz w:val="20"/>
        </w:rPr>
        <w:t>, our line of skin, bath &amp; body, target relief, and hair care products, Petandim</w:t>
      </w:r>
      <w:r>
        <w:rPr>
          <w:rFonts w:ascii="Times New Roman;sans-serif" w:hAnsi="Times New Roman;sans-serif"/>
          <w:b w:val="false"/>
          <w:color w:val="000000"/>
          <w:sz w:val="13"/>
        </w:rPr>
        <w:t>®</w:t>
      </w:r>
      <w:r>
        <w:rPr>
          <w:rFonts w:ascii="Times New Roman;sans-serif" w:hAnsi="Times New Roman;sans-serif"/>
          <w:b w:val="false"/>
          <w:color w:val="000000"/>
          <w:sz w:val="20"/>
        </w:rPr>
        <w:t>, our companion pet supplement formulated to combat oxidative stress in dogs, AXIO</w:t>
      </w:r>
      <w:r>
        <w:rPr>
          <w:rFonts w:ascii="Times New Roman;sans-serif" w:hAnsi="Times New Roman;sans-serif"/>
          <w:b w:val="false"/>
          <w:color w:val="000000"/>
          <w:sz w:val="13"/>
        </w:rPr>
        <w:t>®</w:t>
      </w:r>
      <w:r>
        <w:rPr>
          <w:rFonts w:ascii="Times New Roman;sans-serif" w:hAnsi="Times New Roman;sans-serif"/>
          <w:b w:val="false"/>
          <w:color w:val="000000"/>
          <w:sz w:val="20"/>
        </w:rPr>
        <w:t>, our nootropic energy drink mixes, and PhysIQ</w:t>
      </w:r>
      <w:r>
        <w:rPr>
          <w:color w:val="000000"/>
        </w:rPr>
        <w:t xml:space="preserve">™ </w:t>
      </w:r>
      <w:r>
        <w:rPr>
          <w:rFonts w:ascii="Times New Roman;sans-serif" w:hAnsi="Times New Roman;sans-serif"/>
          <w:b w:val="false"/>
          <w:color w:val="000000"/>
          <w:sz w:val="20"/>
        </w:rPr>
        <w:t>our smart weight management system.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 line includes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rFonts w:ascii="Times New Roman;sans-serif" w:hAnsi="Times New Roman;sans-serif"/>
          <w:b w:val="false"/>
          <w:color w:val="000000"/>
          <w:sz w:val="20"/>
        </w:rPr>
        <w:t>,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rFonts w:ascii="Times New Roman;sans-serif" w:hAnsi="Times New Roman;sans-serif"/>
          <w:b w:val="false"/>
          <w:color w:val="000000"/>
          <w:sz w:val="20"/>
        </w:rPr>
        <w:t>, and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rFonts w:ascii="Times New Roman;sans-serif" w:hAnsi="Times New Roman;sans-serif"/>
          <w:b w:val="false"/>
          <w:color w:val="000000"/>
          <w:sz w:val="20"/>
        </w:rPr>
        <w:t>.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NRF1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formulated to increase cellular energy and performance by boosting mitochondria production to improve cellular repair and slow cellular aging.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Nrf2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NAD Synergizer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products together, marketed as the Protandim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Tri-Synergizer, has been shown to produce synergistic benefits greater than using the single products on their own.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Omega+ is a dietary supplement that combines DHA and EPA Omega-3 fatty acids, omega-7 fatty acids, and vitamin D3 to support cognitive health, cardiovascular health, skin health, and the immune system.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ProBio is a dietary supplement designed to support optimal digestion and immune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system function. LifeVantage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Daily Wellness is a dietary supplement designed to support immune health. IC Bright</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to help support eye and brain health, reduce eye fatigue and strain, supports cognitive functions and may help support normal sleep patterns. Our Nrf2 enhanced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line of anti-aging skin and hair care, bath &amp; body, and targeted relief products includes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Facial Cleanser,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Perfecting Lotion,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Eye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Anti-Aging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Hand Cream,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Invigorating Shampoo,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Nourishing Conditioner,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Scalp Serum,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TrueRenew Daily Firming Complex,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TruePout Advanced Lip Duo, and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TrueScience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Liquid Collagen activates, replenishes, and maintains collagen to support firmness and elasticity from within. Petandim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supplement specially formulated to combat oxidative stress in dogs through Nrf2 activation. AXIO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our line of our nootropic energy drink mixes formulated to promote alertness and support mental performance. PhysIQ</w:t>
      </w:r>
      <w:r>
        <w:rPr>
          <w:color w:val="000000"/>
        </w:rPr>
        <w:t xml:space="preserve">™ </w:t>
      </w:r>
      <w:r>
        <w:rPr>
          <w:rFonts w:ascii="Times New Roman;sans-serif" w:hAnsi="Times New Roman;sans-serif"/>
          <w:b w:val="false"/>
          <w:color w:val="000000"/>
          <w:sz w:val="20"/>
        </w:rPr>
        <w:t>is our smart weight management system, which includes PhysIQ</w:t>
      </w:r>
      <w:r>
        <w:rPr>
          <w:color w:val="000000"/>
        </w:rPr>
        <w:t xml:space="preserve">™ </w:t>
      </w:r>
      <w:r>
        <w:rPr>
          <w:rFonts w:ascii="Times New Roman;sans-serif" w:hAnsi="Times New Roman;sans-serif"/>
          <w:b w:val="false"/>
          <w:color w:val="000000"/>
          <w:sz w:val="20"/>
        </w:rPr>
        <w:t>Fat Burn, and PhysIQ</w:t>
      </w:r>
      <w:r>
        <w:rPr>
          <w:color w:val="000000"/>
        </w:rPr>
        <w:t xml:space="preserve">™ </w:t>
      </w:r>
      <w:r>
        <w:rPr>
          <w:rFonts w:ascii="Times New Roman;sans-serif" w:hAnsi="Times New Roman;sans-serif"/>
          <w:b w:val="false"/>
          <w:color w:val="000000"/>
          <w:sz w:val="20"/>
        </w:rPr>
        <w:t xml:space="preserve">Prebiotic, all formulated to aid in weight management. We believe our significant number of customers who regularly and repeatedly purchase our products is a strong indicator of the health benefits of our products. </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sell our products both individually and in stacks. A stack consists of multiple products bundled together that are designed to achieve a specific result. The Vitality Stack includes four of our nutrigenomics products —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NRF1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Protandim</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Nrf2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rPr>
        <w:t>Omega+</w:t>
      </w:r>
      <w:r>
        <w:rPr>
          <w:color w:val="000000"/>
          <w:shd w:fill="FFFFFF" w:val="clear"/>
        </w:rPr>
        <w:t xml:space="preserve"> </w:t>
      </w:r>
      <w:r>
        <w:rPr>
          <w:rFonts w:ascii="Times New Roman;sans-serif" w:hAnsi="Times New Roman;sans-serif"/>
          <w:b w:val="false"/>
          <w:color w:val="000000"/>
          <w:sz w:val="20"/>
          <w:shd w:fill="FFFFFF" w:val="clear"/>
        </w:rPr>
        <w:t>and LifeVantage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ProBio. This product stack was designed to provide a foundation for wellness, supporting healthy organs, including the brain, heart, eyes, and other vitals. With the Ultimate Stack, we added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NAD Synergizer</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and PhysIQ</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Prebiotic to our Vitality Stack to support gut health and increase sirtuin activity, supporting increased health, focus, energy, mental clarity and mood. The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Tri-Synergizer</w:t>
      </w:r>
      <w:r>
        <w:rPr>
          <w:color w:val="000000"/>
          <w:shd w:fill="FFFFFF" w:val="clear"/>
        </w:rPr>
        <w:t xml:space="preserve">™ </w:t>
      </w:r>
      <w:r>
        <w:rPr>
          <w:rFonts w:ascii="Times New Roman;sans-serif" w:hAnsi="Times New Roman;sans-serif"/>
          <w:b w:val="false"/>
          <w:color w:val="000000"/>
          <w:sz w:val="20"/>
          <w:shd w:fill="FFFFFF" w:val="clear"/>
        </w:rPr>
        <w:t>consists of our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NRF1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Nrf2 Synergizer</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and Protandim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NAD Synergizer</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We currently have additional products in development. Any delays or difficulties in intr</w:t>
      </w:r>
      <w:r>
        <w:rPr>
          <w:rFonts w:ascii="Times New Roman;sans-serif" w:hAnsi="Times New Roman;sans-serif"/>
          <w:b w:val="false"/>
          <w:color w:val="000000"/>
          <w:sz w:val="20"/>
        </w:rPr>
        <w:t xml:space="preserve">oducing compelling products or attractive initiatives or tools into our markets may have a negative impact on our revenue and our ability to attract new independent consultants and customers. </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Compensation Plan for our Independent Consultants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 2023, we launched a new compensation plan for our Independent Consultants in the United States, Japan, Australia, and New Zealand markets. We refer to this compensation plan as our Evolve Compensation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Accounts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W w:w="10205" w:type="dxa"/>
        <w:jc w:val="left"/>
        <w:tblInd w:w="0" w:type="dxa"/>
        <w:tblLayout w:type="fixed"/>
        <w:tblCellMar>
          <w:top w:w="28" w:type="dxa"/>
          <w:left w:w="28" w:type="dxa"/>
          <w:bottom w:w="28" w:type="dxa"/>
          <w:right w:w="28" w:type="dxa"/>
        </w:tblCellMar>
      </w:tblPr>
      <w:tblGrid>
        <w:gridCol w:w="825"/>
        <w:gridCol w:w="725"/>
        <w:gridCol w:w="729"/>
        <w:gridCol w:w="412"/>
        <w:gridCol w:w="414"/>
        <w:gridCol w:w="109"/>
        <w:gridCol w:w="109"/>
        <w:gridCol w:w="109"/>
        <w:gridCol w:w="109"/>
        <w:gridCol w:w="307"/>
        <w:gridCol w:w="309"/>
        <w:gridCol w:w="271"/>
        <w:gridCol w:w="109"/>
        <w:gridCol w:w="109"/>
        <w:gridCol w:w="109"/>
        <w:gridCol w:w="412"/>
        <w:gridCol w:w="414"/>
        <w:gridCol w:w="109"/>
        <w:gridCol w:w="109"/>
        <w:gridCol w:w="109"/>
        <w:gridCol w:w="109"/>
        <w:gridCol w:w="307"/>
        <w:gridCol w:w="309"/>
        <w:gridCol w:w="271"/>
        <w:gridCol w:w="109"/>
        <w:gridCol w:w="109"/>
        <w:gridCol w:w="109"/>
        <w:gridCol w:w="580"/>
        <w:gridCol w:w="446"/>
        <w:gridCol w:w="448"/>
        <w:gridCol w:w="109"/>
        <w:gridCol w:w="109"/>
        <w:gridCol w:w="109"/>
        <w:gridCol w:w="280"/>
        <w:gridCol w:w="278"/>
        <w:gridCol w:w="615"/>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Independent Consultants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Active Independent Consultants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Customers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Accounts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Active Accounts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Three and Six Months Ended December 31, 2023 and 2022</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We generated net revenue of $51.6 million and $53.7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three months ended December 31, 2023 and 2022, respectively. </w:t>
      </w:r>
      <w:r>
        <w:rPr>
          <w:rFonts w:ascii="Times New Roman;sans-serif" w:hAnsi="Times New Roman;sans-serif"/>
          <w:b w:val="false"/>
          <w:color w:val="000000"/>
          <w:sz w:val="20"/>
        </w:rPr>
        <w:t>We generated net revenue of $103.0 million and $105.4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and 2022, respectively. Foreign currency fluctuations negatively impacted our revenue $0.2 million, or 0.4% and $0.5 million, or 0.4%, during the three and six months ended December 31, 2023,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Americas</w:t>
      </w:r>
      <w:r>
        <w:rPr>
          <w:rFonts w:ascii="Times New Roman;sans-serif" w:hAnsi="Times New Roman;sans-serif"/>
          <w:b w:val="false"/>
          <w:color w:val="000000"/>
          <w:sz w:val="20"/>
        </w:rPr>
        <w:t>. The following table sets forth revenue for the three and six months ended December 31, 2023 and 2022 for the Americas region (in thousands):</w:t>
      </w:r>
    </w:p>
    <w:tbl>
      <w:tblPr>
        <w:tblW w:w="9323" w:type="dxa"/>
        <w:jc w:val="left"/>
        <w:tblInd w:w="0" w:type="dxa"/>
        <w:tblLayout w:type="fixed"/>
        <w:tblCellMar>
          <w:top w:w="28" w:type="dxa"/>
          <w:left w:w="28" w:type="dxa"/>
          <w:bottom w:w="28" w:type="dxa"/>
          <w:right w:w="28" w:type="dxa"/>
        </w:tblCellMar>
      </w:tblPr>
      <w:tblGrid>
        <w:gridCol w:w="490"/>
        <w:gridCol w:w="429"/>
        <w:gridCol w:w="431"/>
        <w:gridCol w:w="231"/>
        <w:gridCol w:w="790"/>
        <w:gridCol w:w="119"/>
        <w:gridCol w:w="119"/>
        <w:gridCol w:w="119"/>
        <w:gridCol w:w="119"/>
        <w:gridCol w:w="231"/>
        <w:gridCol w:w="790"/>
        <w:gridCol w:w="119"/>
        <w:gridCol w:w="109"/>
        <w:gridCol w:w="109"/>
        <w:gridCol w:w="109"/>
        <w:gridCol w:w="239"/>
        <w:gridCol w:w="241"/>
        <w:gridCol w:w="483"/>
        <w:gridCol w:w="109"/>
        <w:gridCol w:w="109"/>
        <w:gridCol w:w="109"/>
        <w:gridCol w:w="214"/>
        <w:gridCol w:w="732"/>
        <w:gridCol w:w="110"/>
        <w:gridCol w:w="110"/>
        <w:gridCol w:w="110"/>
        <w:gridCol w:w="110"/>
        <w:gridCol w:w="214"/>
        <w:gridCol w:w="732"/>
        <w:gridCol w:w="110"/>
        <w:gridCol w:w="109"/>
        <w:gridCol w:w="109"/>
        <w:gridCol w:w="109"/>
        <w:gridCol w:w="203"/>
        <w:gridCol w:w="203"/>
        <w:gridCol w:w="54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rPr>
        <w:t>Re</w:t>
      </w:r>
      <w:r>
        <w:rPr>
          <w:rFonts w:ascii="Times New Roman;sans-serif" w:hAnsi="Times New Roman;sans-serif"/>
          <w:b w:val="false"/>
          <w:color w:val="000000"/>
          <w:sz w:val="20"/>
          <w:shd w:fill="FFFFFF" w:val="clear"/>
        </w:rPr>
        <w:t>venue in the Americas region for the three and six months ended December 31, 2023 decreased $0.6 million, or 1.6%, and increased $1.5 million, or 2.0%, respectively, from the prior year periods. Total Active Accounts decreased 9.5% in the region compared to the prior year period. The average revenue per account increased due to changes in our product sales mix, driven primarily by our new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product. Total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 xml:space="preserve">Liquid Collagen related revenue, including the product when sold as part of a bundle, was approximately $10.5 million and $20.4 million for the three and six months ended December 31, 2023, respectively, compared to approximately $9.3 million and $16.4 million in the prior year periods,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ans-serif" w:hAnsi="Times New Roman;sans-serif"/>
          <w:b w:val="false"/>
          <w:color w:val="000000"/>
          <w:sz w:val="20"/>
          <w:u w:val="single"/>
        </w:rPr>
        <w:t>Asia/Pacific &amp; Europe</w:t>
      </w:r>
      <w:r>
        <w:rPr>
          <w:rFonts w:ascii="Times New Roman;sans-serif" w:hAnsi="Times New Roman;sans-serif"/>
          <w:b w:val="false"/>
          <w:color w:val="000000"/>
          <w:sz w:val="20"/>
        </w:rPr>
        <w:t>. The following table sets forth revenue for the three and six months ended December 31, 2023 and 2022 for the Asia/Pacific &amp; Europe region and its principal markets (in thousands):</w:t>
      </w:r>
    </w:p>
    <w:tbl>
      <w:tblPr>
        <w:tblW w:w="10205" w:type="dxa"/>
        <w:jc w:val="left"/>
        <w:tblInd w:w="0" w:type="dxa"/>
        <w:tblLayout w:type="fixed"/>
        <w:tblCellMar>
          <w:top w:w="28" w:type="dxa"/>
          <w:left w:w="28" w:type="dxa"/>
          <w:bottom w:w="28" w:type="dxa"/>
          <w:right w:w="28" w:type="dxa"/>
        </w:tblCellMar>
      </w:tblPr>
      <w:tblGrid>
        <w:gridCol w:w="743"/>
        <w:gridCol w:w="642"/>
        <w:gridCol w:w="653"/>
        <w:gridCol w:w="226"/>
        <w:gridCol w:w="773"/>
        <w:gridCol w:w="116"/>
        <w:gridCol w:w="116"/>
        <w:gridCol w:w="116"/>
        <w:gridCol w:w="116"/>
        <w:gridCol w:w="226"/>
        <w:gridCol w:w="773"/>
        <w:gridCol w:w="116"/>
        <w:gridCol w:w="109"/>
        <w:gridCol w:w="109"/>
        <w:gridCol w:w="109"/>
        <w:gridCol w:w="284"/>
        <w:gridCol w:w="286"/>
        <w:gridCol w:w="483"/>
        <w:gridCol w:w="109"/>
        <w:gridCol w:w="109"/>
        <w:gridCol w:w="109"/>
        <w:gridCol w:w="213"/>
        <w:gridCol w:w="729"/>
        <w:gridCol w:w="109"/>
        <w:gridCol w:w="109"/>
        <w:gridCol w:w="109"/>
        <w:gridCol w:w="109"/>
        <w:gridCol w:w="213"/>
        <w:gridCol w:w="729"/>
        <w:gridCol w:w="109"/>
        <w:gridCol w:w="109"/>
        <w:gridCol w:w="109"/>
        <w:gridCol w:w="109"/>
        <w:gridCol w:w="284"/>
        <w:gridCol w:w="286"/>
        <w:gridCol w:w="556"/>
      </w:tblGrid>
      <w:tr>
        <w:trPr/>
        <w:tc>
          <w:tcPr>
            <w:tcW w:w="74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 &amp; New Zealand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 &amp; Europe 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Revenue in the Asia/Pacific &amp; Europe region decreased $1.4 million, or 10.0% and $4.0 million, or 13.5%, for the three and six months ended December 31, 2023, respectively as com</w:t>
      </w:r>
      <w:r>
        <w:rPr>
          <w:rFonts w:ascii="Times New Roman;sans-serif" w:hAnsi="Times New Roman;sans-serif"/>
          <w:b w:val="false"/>
          <w:color w:val="000000"/>
          <w:sz w:val="20"/>
        </w:rPr>
        <w:t>pared to the prior year periods. Total Active Accounts in the region decreased 18.2% compared to the prior year</w:t>
      </w:r>
      <w:r>
        <w:rPr>
          <w:color w:val="000000"/>
          <w:shd w:fill="FFFFFF" w:val="clear"/>
        </w:rPr>
        <w:t xml:space="preserve"> </w:t>
      </w:r>
      <w:r>
        <w:rPr>
          <w:rFonts w:ascii="Times New Roman;sans-serif" w:hAnsi="Times New Roman;sans-serif"/>
          <w:b w:val="false"/>
          <w:color w:val="000000"/>
          <w:sz w:val="20"/>
          <w:shd w:fill="FFFFFF" w:val="clear"/>
        </w:rPr>
        <w:t>period. Decreases in total Active Accounts, the closure of our e-commerce business in China, along with negative impacts from foreign currency exchange rate fluctuations, have contributed to the overall decrease in revenue within the Asia/Pacific &amp; Europe region.</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Overall, revenue in the Asia/Pacific &amp; Europe region was negatively impacted by foreign currency exchange rate fluctuations in the amount of approximately $0.3 million, or 2.0% and $0.6 million, or 2.1%, during the three and six months ended December 31, 2023, respectively, as compared to the prior year periods, mainly due to currency fluctuations in Japan. Revenue in Japan was negatively impacted by foreign exchange rate fluctuations in the amount of approximately $0.3 million, or 4.5% and $0.7 million, or 4.2%, during the three and six months ended December 31, 2023, respectively, as compared to the prior year periods. On a constant currency basis, revenue in Japan increased 3.9% and decreased 0.3% for the three and six months ended December 31, 2023, respectively, as compared to the prior year periods. The decrease in revenue on a constant currency basis in Japan during the six months ended December 31, 2023 was due to our Active Accounts in that region increasing their purchases in September 2022, ahead of price increases that went into effect on October 1, 2022. The decrease was offset by increases in the average revenue per account, primarily from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related revenue which started selling in Japan in March 2023. Revenue related to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was approximately $1.8 million and $2.9 million for the three and six months ended December 31, 2023, respectively.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Globally, our sales and marketing efforts continue to be directed toward strengthening our core business through our fiscal year initiatives and building our worldwide revenue. During fiscal year 2023, we launched our TrueScience</w:t>
      </w:r>
      <w:r>
        <w:rPr>
          <w:rFonts w:ascii="Times New Roman;sans-serif" w:hAnsi="Times New Roman;sans-serif"/>
          <w:b w:val="false"/>
          <w:color w:val="000000"/>
          <w:sz w:val="13"/>
          <w:shd w:fill="FFFFFF" w:val="clear"/>
        </w:rPr>
        <w:t xml:space="preserve">® </w:t>
      </w:r>
      <w:r>
        <w:rPr>
          <w:rFonts w:ascii="Times New Roman;sans-serif" w:hAnsi="Times New Roman;sans-serif"/>
          <w:b w:val="false"/>
          <w:color w:val="000000"/>
          <w:sz w:val="20"/>
          <w:shd w:fill="FFFFFF" w:val="clear"/>
        </w:rPr>
        <w:t>Liquid Collagen to our Japan, Australia, and New Zealand markets along with launching our new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Rise AM,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Reset PM and LifeVantage</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D3+ products. Revenue related to these products has offset decreases in our Active Accounts in these regions by increasing our overall average revenue per account. We have seen and continue to expect that these product launches will help drive revenue growth globally through increased average order size and increased ability to attract and retain new independent consultants and customers with a compelling product lineup.</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 xml:space="preserve">Cost of sales were $11.1 million and $11.8 million for the three months ended December 31, 2023 and 2022, respectively, resulting in gross profit percentages of 78.6% and 78.1%, respectively. Cost of sales were $21.2 million and $21.7 million for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and 2022, respectively, resulting in gross profit percentages of 79.4% and 79.4%, respectively. The decrease in cost of sales as a percentage of revenue is primarily due to price increases and higher shipping revenues, together with a shift in product mix, changes in raw material and manufacturing related costs, shipping to customer expenses, and warehouse fulfillment expenses during the current period.</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Commissions and Incentives.</w:t>
      </w:r>
      <w:r>
        <w:rPr>
          <w:color w:val="000000"/>
          <w:shd w:fill="FFFFFF" w:val="clear"/>
        </w:rPr>
        <w:t xml:space="preserve"> </w:t>
      </w:r>
      <w:r>
        <w:rPr>
          <w:rFonts w:ascii="Times New Roman;sans-serif" w:hAnsi="Times New Roman;sans-serif"/>
          <w:b w:val="false"/>
          <w:color w:val="000000"/>
          <w:sz w:val="20"/>
          <w:shd w:fill="FFFFFF" w:val="clear"/>
        </w:rPr>
        <w:t xml:space="preserve">Commissions and incentives expenses during the three months ended December 31, 2023 were $21.8 million or 42.1% of revenue as compared to $23.6 million or 43.9% of revenue for the three months ended December 31, 2022. Commissions and incentives expenses during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 xml:space="preserve">were $44.2 million or 42.9% of revenue as compared to $47.4 million or 44.9% of revenue for the </w:t>
      </w:r>
      <w:r>
        <w:rPr>
          <w:rFonts w:ascii="Times New Roman;sans-serif" w:hAnsi="Times New Roman;sans-serif"/>
          <w:b w:val="false"/>
          <w:color w:val="000000"/>
          <w:sz w:val="20"/>
        </w:rPr>
        <w:t>six months ended December 31, 2022</w:t>
      </w:r>
      <w:r>
        <w:rPr>
          <w:rFonts w:ascii="Times New Roman;sans-serif" w:hAnsi="Times New Roman;sans-serif"/>
          <w:b w:val="false"/>
          <w:color w:val="000000"/>
          <w:sz w:val="20"/>
          <w:shd w:fill="FFFFFF" w:val="clear"/>
        </w:rPr>
        <w:t xml:space="preserve">. The decrease in commissions and incentives expenses as a percentage of revenue compared to the prior year periods is due to decreases in commission expenses as a result of the change to our Evolve Compensation Plan in March 2023 in the United States, Australia, New Zealand, and Japan markets. In addition, the timing and magnitude of our various promotional and incentive programs has resulted in decreased promotional and incentives expenses.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Commissions and incentives expenses, as a percentage of revenue, may fluctuate in future periods based on ability to hold incentive trips and events and the timing and magnitude of compensation, incentive and promotional programs.</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Selling, General and Administrative.</w:t>
      </w:r>
      <w:r>
        <w:rPr>
          <w:color w:val="000000"/>
        </w:rPr>
        <w:t xml:space="preserve"> </w:t>
      </w:r>
      <w:r>
        <w:rPr>
          <w:rFonts w:ascii="Times New Roman;sans-serif" w:hAnsi="Times New Roman;sans-serif"/>
          <w:b w:val="false"/>
          <w:color w:val="000000"/>
          <w:sz w:val="20"/>
        </w:rPr>
        <w:t xml:space="preserve">Selling, general and administrative expenses during the three months ended December 31, 2023 were $20.1 million or 38.9% of revenue as compared to $19.6 million or 36.5% of revenue for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rPr>
        <w:t>months ended December 31, 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Selling, general and administrative expenses during the six months ended December 31, 2023 were $38.0 million or 36.9% of revenue as compared to $36.3 million or 34.4% of revenue for the six months ended December 31, 2022</w:t>
      </w:r>
      <w:r>
        <w:rPr>
          <w:rFonts w:ascii="Times New Roman;sans-serif" w:hAnsi="Times New Roman;sans-serif"/>
          <w:b w:val="false"/>
          <w:color w:val="000000"/>
          <w:sz w:val="20"/>
          <w:shd w:fill="FFFFFF" w:val="clear"/>
        </w:rPr>
        <w:t xml:space="preserve">. The increase in selling, general and administrative expenses as a percentage of revenue during the three and six months ended December 31, 2023 compared to the prior year periods is primarily due to increased proxy contest related expenses. These increases have been offset by decreases in event, office lease and professional services expenses.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Total Other Income (Expens</w:t>
      </w:r>
      <w:r>
        <w:rPr>
          <w:rFonts w:ascii="Times New Roman;sans-serif" w:hAnsi="Times New Roman;sans-serif"/>
          <w:b w:val="false"/>
          <w:i/>
          <w:color w:val="000000"/>
          <w:sz w:val="20"/>
          <w:shd w:fill="FFFFFF" w:val="clear"/>
        </w:rPr>
        <w:t>e).</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December 31, 2023</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income of $0.1 million as compared to $0.2 million for the </w:t>
      </w:r>
      <w:r>
        <w:rPr>
          <w:rFonts w:ascii="Times New Roman;sans-serif" w:hAnsi="Times New Roman;sans-serif"/>
          <w:b w:val="false"/>
          <w:color w:val="000000"/>
          <w:sz w:val="20"/>
        </w:rPr>
        <w:t>three months ended December 31, 2022</w:t>
      </w:r>
      <w:r>
        <w:rPr>
          <w:rFonts w:ascii="Times New Roman;sans-serif" w:hAnsi="Times New Roman;sans-serif"/>
          <w:b w:val="false"/>
          <w:color w:val="000000"/>
          <w:sz w:val="20"/>
          <w:shd w:fill="FFFFFF" w:val="clear"/>
        </w:rPr>
        <w:t xml:space="preserve">. During the </w:t>
      </w:r>
      <w:r>
        <w:rPr>
          <w:rFonts w:ascii="Times New Roman;sans-serif" w:hAnsi="Times New Roman;sans-serif"/>
          <w:b w:val="false"/>
          <w:color w:val="000000"/>
          <w:sz w:val="20"/>
        </w:rPr>
        <w:t>six months ended December 31, 2023</w:t>
      </w:r>
      <w:r>
        <w:rPr>
          <w:color w:val="000000"/>
          <w:shd w:fill="FFFFFF" w:val="clear"/>
        </w:rPr>
        <w:t xml:space="preserve"> </w:t>
      </w:r>
      <w:r>
        <w:rPr>
          <w:rFonts w:ascii="Times New Roman;sans-serif" w:hAnsi="Times New Roman;sans-serif"/>
          <w:b w:val="false"/>
          <w:color w:val="000000"/>
          <w:sz w:val="20"/>
          <w:shd w:fill="FFFFFF" w:val="clear"/>
        </w:rPr>
        <w:t xml:space="preserve">we recognized total net other income of $0.2 million as compared to expense of $0.3 million for the </w:t>
      </w:r>
      <w:r>
        <w:rPr>
          <w:rFonts w:ascii="Times New Roman;sans-serif" w:hAnsi="Times New Roman;sans-serif"/>
          <w:b w:val="false"/>
          <w:color w:val="000000"/>
          <w:sz w:val="20"/>
        </w:rPr>
        <w:t>six months ended December 31, 2022</w:t>
      </w:r>
      <w:r>
        <w:rPr>
          <w:rFonts w:ascii="Times New Roman;sans-serif" w:hAnsi="Times New Roman;sans-serif"/>
          <w:b w:val="false"/>
          <w:color w:val="000000"/>
          <w:sz w:val="20"/>
          <w:shd w:fill="FFFFFF" w:val="clear"/>
        </w:rPr>
        <w:t xml:space="preserve">. Total net other income (expense) for the three and six months ended December 31, 2023 and 2022 consisted primarily of interest income, offset by foreign currency gains and losses. </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shd w:fill="FFFFFF" w:val="clear"/>
        </w:rPr>
        <w:t>Income Tax Expense</w:t>
      </w:r>
      <w:r>
        <w:rPr>
          <w:rFonts w:ascii="Times New Roman;sans-serif" w:hAnsi="Times New Roman;sans-serif"/>
          <w:b w:val="false"/>
          <w:color w:val="000000"/>
          <w:sz w:val="20"/>
          <w:shd w:fill="FFFFFF" w:val="clear"/>
        </w:rPr>
        <w:t>. We recognized income tax benefit of $0.5 million and $0.3 million for the three and six months ended December 31, 2023, respectively, as compared to income tax benefit of $17,000 and income tax expense of $0.2 million for the three and six months ended December 31, 2022, respectively.</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the effective tax rate for the six months ended December 31, 2023 compared to the prior year period was primarily due to changes in taxable income and the impact of discrete items.</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that our effective tax rate will fluctuate slightly during the remainder of fiscal 2023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Liquidity</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Our primary liquidity and capital resource requirements are to finance the cost of our planned operating expenses and working capital (principally inventory purchases), fund capital expenditures, and service our debt, which includes any outstanding balances under the Credit Facility. </w:t>
      </w:r>
      <w:r>
        <w:rPr>
          <w:rFonts w:ascii="Times New Roman;sans-serif" w:hAnsi="Times New Roman;sans-serif"/>
          <w:b w:val="false"/>
          <w:color w:val="000000"/>
          <w:sz w:val="20"/>
        </w:rPr>
        <w:t>We have generally relied on cash flow from operations to fund operating activities and we have, at times, incurred long-term debt in order to fund stock repurchases and strategic transactions.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available liquidity was $17.3 million, which consisted of available cash and cash equivalents. This represents a decrease of $4.3 million from the $21.6 million in cash and cash equivalents as of June 30, 2023. </w:t>
      </w:r>
    </w:p>
    <w:p>
      <w:pPr>
        <w:pStyle w:val="TextBody"/>
        <w:bidi w:val="0"/>
        <w:spacing w:lineRule="auto" w:line="288" w:before="160" w:after="16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six months ended December 31, 2023, our net cash provided by operating activities was $6.5 million as compared to net cash used in operating activities of $0.4 million during the six months ended December 31, 2022.</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December 31, 2023, our net cash used in investing activities was $1.7 million, as a result of the purchase of fixed assets. During the six months ended December 31, 2022, our net cash used in investing activities was $1.6 million, as a result of the purchase of fixed assets.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Cash used in financing activities during the six months ended December 31, 2023 was $9.2 million as a result of our payment of cash dividends, repurchases of common stock, and shares purchased as payment of tax withholding upon vesting of equity awards, partially offset by proceeds from stock issued under our employee stock purchase plan. Cash used in financing activities during the six months ended December 31, 2022 was $0.7 million as a result of our repurchas</w:t>
      </w:r>
      <w:r>
        <w:rPr>
          <w:rFonts w:ascii="Times New Roman;sans-serif" w:hAnsi="Times New Roman;sans-serif"/>
          <w:b w:val="false"/>
          <w:color w:val="000000"/>
          <w:sz w:val="20"/>
          <w:shd w:fill="FFFFFF" w:val="clear"/>
        </w:rPr>
        <w:t xml:space="preserve">e of common stock, and shares purchased as payment of tax </w:t>
      </w:r>
      <w:r>
        <w:rPr>
          <w:rFonts w:ascii="Times New Roman;sans-serif" w:hAnsi="Times New Roman;sans-serif"/>
          <w:b w:val="false"/>
          <w:color w:val="000000"/>
          <w:sz w:val="20"/>
        </w:rPr>
        <w:t>withholding upon vesting of equity awards, partially offset by proceeds from stock issued under our employee stock purchase plan and stock option exercises.</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rPr>
        <w:t xml:space="preserve">At December 31, 2023 and June 30, 2023, the total amount of our foreign subsidiary cash </w:t>
      </w:r>
      <w:r>
        <w:rPr>
          <w:rFonts w:ascii="Times New Roman;sans-serif" w:hAnsi="Times New Roman;sans-serif"/>
          <w:b w:val="false"/>
          <w:color w:val="000000"/>
          <w:sz w:val="20"/>
          <w:shd w:fill="FFFFFF" w:val="clear"/>
        </w:rPr>
        <w:t xml:space="preserve">was $8.2 million </w:t>
      </w:r>
      <w:r>
        <w:rPr>
          <w:rFonts w:ascii="Times New Roman;sans-serif" w:hAnsi="Times New Roman;sans-serif"/>
          <w:b w:val="false"/>
          <w:color w:val="000000"/>
          <w:sz w:val="20"/>
        </w:rPr>
        <w:t>and $6.2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working capital (current assets minus current liabilities) of $15.6 million, compared to working capital of $24.7 million at June 30, 2023.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amended, provides for a revolving loan facility in an aggregate principal amount up to $5.0 million. We would also consider realigning our strategic plans including a reduction in capital spending and expenses.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Capital Resources</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Shelf Registration Statement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31, 2023, we filed a shelf registration statement on Form S-3 (the “2023 Shelf Registration”) with the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On March 30, 2016, we entered into a loan agreement (the "2016 Loan Agreement") and a security agreement (the "Security Agreement"). The 2016 Loan Agreement provides for a term loan in an aggregate principal amount of </w:t>
      </w:r>
      <w:r>
        <w:rPr>
          <w:rFonts w:ascii="Times New Roman;sans-serif" w:hAnsi="Times New Roman;sans-serif"/>
          <w:b w:val="false"/>
          <w:color w:val="000000"/>
          <w:sz w:val="20"/>
        </w:rPr>
        <w:t>$10.0 million</w:t>
      </w:r>
      <w:r>
        <w:rPr>
          <w:color w:val="000000"/>
          <w:shd w:fill="FFFFFF" w:val="clear"/>
        </w:rPr>
        <w:t xml:space="preserve"> </w:t>
      </w:r>
      <w:r>
        <w:rPr>
          <w:rFonts w:ascii="Times New Roman;sans-serif" w:hAnsi="Times New Roman;sans-serif"/>
          <w:b w:val="false"/>
          <w:color w:val="000000"/>
          <w:sz w:val="20"/>
          <w:shd w:fill="FFFFFF" w:val="clear"/>
        </w:rPr>
        <w:t xml:space="preserve">(the "2016 Term Loan") and a revolving loan facility in an aggregate principal amount not to exceed </w:t>
      </w:r>
      <w:r>
        <w:rPr>
          <w:rFonts w:ascii="Times New Roman;sans-serif" w:hAnsi="Times New Roman;sans-serif"/>
          <w:b w:val="false"/>
          <w:color w:val="000000"/>
          <w:sz w:val="20"/>
        </w:rPr>
        <w:t>$2.0 million</w:t>
      </w:r>
      <w:r>
        <w:rPr>
          <w:color w:val="000000"/>
          <w:shd w:fill="FFFFFF" w:val="clear"/>
        </w:rPr>
        <w:t xml:space="preserve"> </w:t>
      </w:r>
      <w:r>
        <w:rPr>
          <w:rFonts w:ascii="Times New Roman;sans-serif" w:hAnsi="Times New Roman;sans-serif"/>
          <w:b w:val="false"/>
          <w:color w:val="000000"/>
          <w:sz w:val="20"/>
          <w:shd w:fill="FFFFFF" w:val="clear"/>
        </w:rPr>
        <w:t>(the "2016 Revolving Loan," and collectively with the 2016 Term Loan, the 2016 Loan Agreement and the Security Agreement, the "2016 Credit Facility" and together with the amendments described below, the "Credit Facility"). During the fiscal year ended June 30, 2020, we repaid, in full, the balance of the 2016 Term Loan.</w:t>
      </w:r>
    </w:p>
    <w:p>
      <w:pPr>
        <w:pStyle w:val="TextBody"/>
        <w:bidi w:val="0"/>
        <w:spacing w:lineRule="auto" w:line="276"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4, 2018 and February 1, 2019, we entered into loan modification agreements (“Amendment No. 1” and “Amendment No. 2”, respectively). These loan modification agreements amended certain financial covenants and the available borrowing amount under the 2016 Revolving Loan.</w:t>
      </w:r>
    </w:p>
    <w:p>
      <w:pPr>
        <w:pStyle w:val="TextBody"/>
        <w:bidi w:val="0"/>
        <w:spacing w:lineRule="auto" w:line="288" w:before="160" w:after="160"/>
        <w:ind w:left="0" w:right="0" w:firstLine="360"/>
        <w:jc w:val="left"/>
        <w:rPr/>
      </w:pPr>
      <w:r>
        <w:rPr>
          <w:rFonts w:ascii="Times New Roman;sans-serif" w:hAnsi="Times New Roman;sans-serif"/>
          <w:b w:val="false"/>
          <w:color w:val="000000"/>
          <w:sz w:val="20"/>
          <w:shd w:fill="FFFFFF" w:val="clear"/>
        </w:rPr>
        <w:t xml:space="preserve">On April 1, 2021, we entered into a loan modification agreement ("Amendment No. 3"), which further amended the Credit Facility, as previously amended, to provide for an available borrowing amount of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xml:space="preserve">, a revised maturity date from March 31, 2021 to March 31, 2024, and a modified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minimum fixed charge coverage ratio of 1.10 to 1.00 or the minimum working capital of </w:t>
      </w:r>
      <w:r>
        <w:rPr>
          <w:rFonts w:ascii="Times New Roman;sans-serif" w:hAnsi="Times New Roman;sans-serif"/>
          <w:b w:val="false"/>
          <w:color w:val="000000"/>
          <w:sz w:val="20"/>
        </w:rPr>
        <w:t>$6.0 million</w:t>
      </w:r>
      <w:r>
        <w:rPr>
          <w:color w:val="000000"/>
          <w:shd w:fill="FFFFFF" w:val="clear"/>
        </w:rPr>
        <w:t xml:space="preserve"> </w:t>
      </w:r>
      <w:r>
        <w:rPr>
          <w:rFonts w:ascii="Times New Roman;sans-serif" w:hAnsi="Times New Roman;sans-serif"/>
          <w:b w:val="false"/>
          <w:color w:val="000000"/>
          <w:sz w:val="20"/>
          <w:shd w:fill="FFFFFF" w:val="clear"/>
        </w:rPr>
        <w:t>as set forth in previous amendments.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entered into a loan modification agreement ("Amendment No. 4"), effective September 30, 2022, which further amended the Credit Facility. Amendment No. 4 revised the calculation of the minimum fixed charge coverage ratio (as defined in Amendment No. 4) and allows us to declare and pay dividends, up to $500,000 per quarter, through September 30, 2023. There were no other changes to the covenants or revolving loan facility as set forth in Amendment No. 3.</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28, 2023, we received approval, without modifying Amendment No. 4, to declare and pay a one-time cash dividend of $0.40 per share of common stock, to be paid on September 22, 2023. We also received approval to declare and pay dividends, up to $750,000 per quarter, through September 30, 2024.</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Credit Facility, as amended, contains customary covenants, including affirmative and negative covenants that, among other things, restrict our ability to create certain types of liens, incur additional indebtedness, declare or pay dividends on or redeem capital stock without prior approval,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Credit Facility, as amended, contains cross-default provisions, whereby a default under the terms of certain indebtedness or an uncured default of a payment or other material obligation of ours under a material contract of ours will cause a default on the remaining indebtedness under the 2016 Credit Facility, as amended. Our obligations under the 2016 Credit Facility, as amended, are secured by a security interest in substantially all of our assets.</w:t>
      </w:r>
    </w:p>
    <w:p>
      <w:pPr>
        <w:pStyle w:val="TextBody"/>
        <w:bidi w:val="0"/>
        <w:spacing w:lineRule="auto" w:line="288" w:before="160" w:after="16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were in compliance with our financial covenants under the Credit Facility other than the minimum fixed charge coverage ratio. We requested, and were granted, a waiver related to this covenant violation as of December 31, 2023. As of December 31, 2023, there was no balance outstanding on this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ans-serif" w:hAnsi="Times New Roman;sans-serif"/>
          <w:b w:val="false"/>
          <w:color w:val="000000"/>
          <w:sz w:val="20"/>
          <w:u w:val="single"/>
          <w:shd w:fill="FFFFFF" w:val="clear"/>
        </w:rPr>
        <w:t>Commitments and Obligations</w:t>
      </w:r>
      <w:r>
        <w:rPr>
          <w:color w:val="000000"/>
          <w:shd w:fill="FFFFFF" w:val="clear"/>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Please refer to Note 7 to the condensed consolidated financial statements contained in this report for information regarding our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pStyle w:val="TextBody"/>
        <w:bidi w:val="0"/>
        <w:spacing w:lineRule="auto" w:line="288" w:before="160" w:after="160"/>
        <w:jc w:val="left"/>
        <w:rPr/>
      </w:pPr>
      <w:r>
        <w:rPr>
          <w:rFonts w:ascii="Times New Roman;sans-serif" w:hAnsi="Times New Roman;sans-serif"/>
          <w:b w:val="false"/>
          <w:color w:val="000000"/>
          <w:sz w:val="20"/>
          <w:u w:val="single"/>
        </w:rPr>
        <w:t>Inventory Valuation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pStyle w:val="TextBody"/>
        <w:bidi w:val="0"/>
        <w:spacing w:lineRule="auto" w:line="288" w:before="160" w:after="160"/>
        <w:ind w:left="0" w:right="0" w:firstLine="45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 xml:space="preserve">December 31, 2023 we recognized expenses of approximately $0.1 million and $0.3 million, respectively, related to obsolete and slow-moving inventory. During the </w:t>
      </w:r>
      <w:r>
        <w:rPr>
          <w:rFonts w:ascii="Times New Roman;sans-serif" w:hAnsi="Times New Roman;sans-serif"/>
          <w:b w:val="false"/>
          <w:color w:val="000000"/>
          <w:sz w:val="20"/>
        </w:rPr>
        <w:t>three and six months ended</w:t>
      </w:r>
      <w:r>
        <w:rPr>
          <w:color w:val="000000"/>
          <w:shd w:fill="FFFFFF" w:val="clear"/>
        </w:rPr>
        <w:t xml:space="preserve"> </w:t>
      </w:r>
      <w:r>
        <w:rPr>
          <w:rFonts w:ascii="Times New Roman;sans-serif" w:hAnsi="Times New Roman;sans-serif"/>
          <w:b w:val="false"/>
          <w:color w:val="000000"/>
          <w:sz w:val="20"/>
          <w:shd w:fill="FFFFFF" w:val="clear"/>
        </w:rPr>
        <w:t>December 31, 2022 we recognized expenses of approximately $0.3 million and $0.5 million, respectively, related to obsolete and slow-moving inventory.</w:t>
      </w:r>
    </w:p>
    <w:p>
      <w:pPr>
        <w:pStyle w:val="TextBody"/>
        <w:bidi w:val="0"/>
        <w:spacing w:lineRule="auto" w:line="288" w:before="160" w:after="160"/>
        <w:jc w:val="left"/>
        <w:rPr/>
      </w:pPr>
      <w:r>
        <w:rPr>
          <w:rFonts w:ascii="Times New Roman;sans-serif" w:hAnsi="Times New Roman;sans-serif"/>
          <w:b w:val="false"/>
          <w:color w:val="000000"/>
          <w:sz w:val="20"/>
          <w:u w:val="single"/>
        </w:rPr>
        <w:t>Stock-Based Compensation</w:t>
      </w:r>
      <w:r>
        <w:rPr>
          <w:color w:val="000000"/>
        </w:rPr>
        <w:t xml:space="preserve">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pStyle w:val="TextBody"/>
        <w:bidi w:val="0"/>
        <w:spacing w:lineRule="auto" w:line="288" w:before="160" w:after="1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substantial changes to our market risks during the quarter ended December 31, 2023 when compared to the disclosures in “Item 7A. Quantitative and Qualitative Disclosures About Market Risk” in our Annual Report on Form 10-K for the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December 31, 2023.</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2023 that have materially affected, or are reasonably likely to materially affect, our internal control over financial reporting.</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Inherent Limitations of Internal Control Over Financial Reporting</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unaudited condensed consolidated financial statements contained within this quarterly report on Form 10-Q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discussed in “Part I. Item 1A — Risk Factors” in our annual report on Form 10-K for the fiscal year ended June 30, 2023, filed on August 28, 2023.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 as updated by our Quarterly Report on Form 10-Q for the quarter ended September 30, 2023, filed on November 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all purchases of our common stock made by or on behalf of the Company or any “affiliated purchaser,” as defined in Rule 10b-18 under the Exchange Act, during the three months ended December 31, 2023. All purchases listed below were made in the open market at prevailing market prices.</w:t>
      </w:r>
    </w:p>
    <w:tbl>
      <w:tblPr>
        <w:tblW w:w="10205" w:type="dxa"/>
        <w:jc w:val="left"/>
        <w:tblInd w:w="0" w:type="dxa"/>
        <w:tblLayout w:type="fixed"/>
        <w:tblCellMar>
          <w:top w:w="28" w:type="dxa"/>
          <w:left w:w="28" w:type="dxa"/>
          <w:bottom w:w="28" w:type="dxa"/>
          <w:right w:w="28" w:type="dxa"/>
        </w:tblCellMar>
      </w:tblPr>
      <w:tblGrid>
        <w:gridCol w:w="571"/>
        <w:gridCol w:w="362"/>
        <w:gridCol w:w="364"/>
        <w:gridCol w:w="109"/>
        <w:gridCol w:w="109"/>
        <w:gridCol w:w="109"/>
        <w:gridCol w:w="590"/>
        <w:gridCol w:w="454"/>
        <w:gridCol w:w="455"/>
        <w:gridCol w:w="109"/>
        <w:gridCol w:w="109"/>
        <w:gridCol w:w="109"/>
        <w:gridCol w:w="293"/>
        <w:gridCol w:w="711"/>
        <w:gridCol w:w="151"/>
        <w:gridCol w:w="109"/>
        <w:gridCol w:w="109"/>
        <w:gridCol w:w="109"/>
        <w:gridCol w:w="838"/>
        <w:gridCol w:w="735"/>
        <w:gridCol w:w="737"/>
        <w:gridCol w:w="109"/>
        <w:gridCol w:w="109"/>
        <w:gridCol w:w="109"/>
        <w:gridCol w:w="383"/>
        <w:gridCol w:w="1967"/>
        <w:gridCol w:w="286"/>
      </w:tblGrid>
      <w:tr>
        <w:trPr/>
        <w:tc>
          <w:tcPr>
            <w:tcW w:w="57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Maximum Dollar Value of Shares that May Yet Be Purchased Under the Plans or Programs</w:t>
            </w:r>
            <w:r>
              <w:rPr>
                <w:rFonts w:ascii="Times New Roman;sans-serif" w:hAnsi="Times New Roman;sans-serif"/>
                <w:b/>
                <w:color w:val="000000"/>
                <w:sz w:val="13"/>
              </w:rPr>
              <w:t>(1)</w:t>
            </w:r>
          </w:p>
        </w:tc>
      </w:tr>
      <w:tr>
        <w:trPr/>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 October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26,603 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25,859,165 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November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116,561 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25,154,068 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144,694 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24,181,010 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287,858 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287,858 </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On November 27, 2017, our Board of Directors approved a stock repurchase plan, as amended on February 1, 2019, August 27, 2020, February 17, 2022, and June 12, 2023. Under the plan,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none of the Company’s directors or officers (as defined in Rule 16a-1(f) of the Exchange Act) informed the Company of adoption, modification or termination of a “Rule 10b5-1 trading arrangement” or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641"/>
        <w:gridCol w:w="2361"/>
        <w:gridCol w:w="2304"/>
        <w:gridCol w:w="109"/>
        <w:gridCol w:w="109"/>
        <w:gridCol w:w="109"/>
        <w:gridCol w:w="459"/>
        <w:gridCol w:w="459"/>
        <w:gridCol w:w="65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 or Incorporate by Reference From</w:t>
            </w:r>
          </w:p>
        </w:tc>
      </w:tr>
      <w:tr>
        <w:trPr/>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Incorporation, as filed with the Delaware Secretary of State on March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March 13, 2018.</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August 9,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15, 2019</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A Junior Participating Preferred Stock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with the SEC on August 31, 2023.</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Rights Agreement, dated as of August 30, 2023, between the Registrant and Computershare Trust Company, N.A., as Rights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on Form 8-K filed with the SEC on August 31, 2023.</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123123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123123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123123xex321.htm">
              <w:r>
                <w:rPr>
                  <w:rStyle w:val="InternetLink"/>
                  <w:rFonts w:ascii="Times New Roman;sans-serif" w:hAnsi="Times New Roman;sans-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123123xex322.htm">
              <w:r>
                <w:rPr>
                  <w:rStyle w:val="InternetLink"/>
                  <w:rFonts w:ascii="Times New Roman;sans-serif" w:hAnsi="Times New Roman;sans-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December 31, 2023 formatted in Inline XBRL (extensible Business Reporting Language): (i) Unaudited Condensed Consolidated Balance Sheets at December 31, 2023 and June 30, 2023; (ii) Unaudited Condensed Consolidated Statements of Operations and Other Comprehensive Income for the three and six months ended December 31, 2023 and 2022; (iii) Unaudited Condensed Consolidated Statement of Stockholders’ Equity for the three and six months ended December 31, 2023 and 2022; (iv) Unaudited Condensed Consolidated Statements of Cash Flows for the six months ended December 31, 2023 and 2022; and (v) Notes to Unaudited Condensed Consolidated Financial Statements, tagged as blocks of text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198" w:type="dxa"/>
        <w:jc w:val="left"/>
        <w:tblInd w:w="0" w:type="dxa"/>
        <w:tblLayout w:type="fixed"/>
        <w:tblCellMar>
          <w:top w:w="28" w:type="dxa"/>
          <w:left w:w="28" w:type="dxa"/>
          <w:bottom w:w="28" w:type="dxa"/>
          <w:right w:w="28" w:type="dxa"/>
        </w:tblCellMar>
      </w:tblPr>
      <w:tblGrid>
        <w:gridCol w:w="200"/>
        <w:gridCol w:w="177"/>
        <w:gridCol w:w="178"/>
        <w:gridCol w:w="499"/>
        <w:gridCol w:w="499"/>
        <w:gridCol w:w="501"/>
        <w:gridCol w:w="1506"/>
        <w:gridCol w:w="1506"/>
        <w:gridCol w:w="21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LIFEVANTAGE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b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30, 2024</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br/>
              <w:t>Chief Financial Officer</w:t>
              <w:br/>
              <w:t>(Principal Financial Officer and Principal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Steven R. Fife,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30, 2024</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Carl A. Aure, certify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30, 2024</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December 31, 2023, with the Securities and Exchange Commission on the date hereof (the “report”), I, Steven R. Fife, Principal Executive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30, 2024</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quarterly report on Form 10-Q of LifeVantage Corporation (the “Company”) for the period ended December 31, 2023,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30, 2024</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49146/000084914618000046/ex31-certificateofincorpor.htm" TargetMode="External"/><Relationship Id="rId3" Type="http://schemas.openxmlformats.org/officeDocument/2006/relationships/hyperlink" Target="http://www.sec.gov/Archives/edgar/data/849146/000084914619000066/lifevantage-amendedandrest.htm" TargetMode="External"/><Relationship Id="rId4" Type="http://schemas.openxmlformats.org/officeDocument/2006/relationships/hyperlink" Target="https://www.sec.gov/Archives/edgar/data/849146/000084914623000114/lfvn-certificateofdesign.htm" TargetMode="External"/><Relationship Id="rId5" Type="http://schemas.openxmlformats.org/officeDocument/2006/relationships/hyperlink" Target="https://www.sec.gov/Archives/edgar/data/849146/000084914623000114/lifevantage-rightsplanfi.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17498</Words>
  <Characters>97429</Characters>
  <CharactersWithSpaces>114111</CharactersWithSpaces>
  <Paragraphs>1647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