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Kristen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TRIUMPH BLVD, SUITE 700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32,850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152,375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Restricted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stock unit award, in which each stock unit represents a right to receive one share of issuer common stock, which award will vest, subject to the reporting person's continued service with the issuer, as follows: (i) 1/3 of the total number of units will vest on October 7, 2027, (ii) 1/3 of the total number of units will vest on October 7, 2028 and (iii) 1/3 of the total number of units will vest on October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Restricted Stock Unit ("PRSU") represents a right to receive one share of issuer common stock. Upon achievement of the maximum level of the applicable performance criteria, the reporting person may become eligible to earn 150% of the target number of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PRSUs will vest only to the extent certain financial performance targets are achieved over a three and a half-year period commencing in October 2026 and ending in March 2030, subject to the reporting person's continued service with the issuer through the applicable vesting date. To the extent the first financial performance target is achieved, 25% of the PRSUs will vest on the achievement date and 25% shall vest on the 1-year anniversary of the achievement date. To the extent subsequent financial performance targets are achieved, 12.5% of the PRSUs will vest on the achievement date and 12.5% shall vest on the 1-year anniversary of the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Kristen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042" TargetMode="External"/><Relationship Id="rId5" Type="http://schemas.openxmlformats.org/officeDocument/2006/relationships/hyperlink" Target="http://www.sec.gov/cgi-bin/browse-edgar?action=getcompany&amp;CIK=00008491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4292</Characters>
  <CharactersWithSpaces>5023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