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3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 (d) OF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145"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1363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001-35647</w:t>
      </w:r>
    </w:p>
    <w:p>
      <w:pPr>
        <w:spacing w:after="0" w:line="2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LIFEVANTAGE CORPORATION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8"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ectPr>
          <w:pgSz w:w="11900" w:h="16838" w:orient="portrait"/>
          <w:cols w:equalWidth="0" w:num="1">
            <w:col w:w="11420"/>
          </w:cols>
          <w:pgMar w:left="240" w:top="733" w:right="239" w:bottom="1440" w:gutter="0" w:footer="0" w:header="0"/>
        </w:sectPr>
      </w:pPr>
    </w:p>
    <w:p>
      <w:pPr>
        <w:spacing w:after="0" w:line="153"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COLORADO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90-0224471</w:t>
      </w:r>
    </w:p>
    <w:p>
      <w:pPr>
        <w:spacing w:after="0" w:line="81" w:lineRule="exact"/>
        <w:rPr>
          <w:sz w:val="24"/>
          <w:szCs w:val="24"/>
          <w:color w:val="auto"/>
        </w:rPr>
      </w:pPr>
    </w:p>
    <w:p>
      <w:pPr>
        <w:sectPr>
          <w:pgSz w:w="11900" w:h="16838" w:orient="portrait"/>
          <w:cols w:equalWidth="0" w:num="2">
            <w:col w:w="7540" w:space="720"/>
            <w:col w:w="3160"/>
          </w:cols>
          <w:pgMar w:left="240" w:top="733" w:right="23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180"/>
        <w:spacing w:after="0"/>
        <w:rPr>
          <w:sz w:val="20"/>
          <w:szCs w:val="20"/>
          <w:color w:val="auto"/>
        </w:rPr>
      </w:pPr>
      <w:r>
        <w:rPr>
          <w:rFonts w:ascii="Arial" w:cs="Arial" w:eastAsia="Arial" w:hAnsi="Arial"/>
          <w:sz w:val="13"/>
          <w:szCs w:val="13"/>
          <w:b w:val="1"/>
          <w:bCs w:val="1"/>
          <w:color w:val="auto"/>
        </w:rPr>
        <w:t>Identification No.)</w:t>
      </w:r>
    </w:p>
    <w:p>
      <w:pPr>
        <w:spacing w:after="0" w:line="177" w:lineRule="exact"/>
        <w:rPr>
          <w:sz w:val="24"/>
          <w:szCs w:val="24"/>
          <w:color w:val="auto"/>
        </w:rPr>
      </w:pPr>
    </w:p>
    <w:p>
      <w:pPr>
        <w:sectPr>
          <w:pgSz w:w="11900" w:h="16838" w:orient="portrait"/>
          <w:cols w:equalWidth="0" w:num="2">
            <w:col w:w="7400" w:space="720"/>
            <w:col w:w="3300"/>
          </w:cols>
          <w:pgMar w:left="240" w:top="73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9785 S. Monroe Street, Ste 300, Sandy, UT 84070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(801) 432-9000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w:t>
      </w:r>
    </w:p>
    <w:p>
      <w:pPr>
        <w:spacing w:after="0" w:line="6" w:lineRule="exact"/>
        <w:rPr>
          <w:sz w:val="24"/>
          <w:szCs w:val="24"/>
          <w:color w:val="auto"/>
        </w:rPr>
      </w:pPr>
    </w:p>
    <w:p>
      <w:pPr>
        <w:ind w:left="356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w:t>
      </w:r>
    </w:p>
    <w:p>
      <w:pPr>
        <w:sectPr>
          <w:pgSz w:w="11900" w:h="16838" w:orient="portrait"/>
          <w:cols w:equalWidth="0" w:num="1">
            <w:col w:w="11420"/>
          </w:cols>
          <w:pgMar w:left="240" w:top="733" w:right="239" w:bottom="1440" w:gutter="0" w:footer="0" w:header="0"/>
          <w:type w:val="continuous"/>
        </w:sectPr>
      </w:pPr>
    </w:p>
    <w:p>
      <w:pPr>
        <w:spacing w:after="0" w:line="168"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474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2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42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issuer’s common stock, par value $0.001 per share, as of November 3, 2017 was 14,225,780.</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86"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properly manage, motivate and retain our independent distributors or to attract new independent distributors on an ongoing basis;</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distributor or market acceptance;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execute our product launch process due to increased pressure on our supply chain, information systems and management;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w:t>
      </w:r>
    </w:p>
    <w:p>
      <w:pPr>
        <w:spacing w:after="0" w:line="144"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financial reporting and internal control systems and processes and maintain appropriate level of internal control over financial reporting;</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comply with financial covenants imposed by our credit facility and the impact of debt service obligations and restrictive debt covenants;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of global economic conditions;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or complete desired acquisitions;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environmental liabilities stemming from past operations and property ownership;</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a few products for revenue;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direct selling program could be found to not be in compliance with current or newly adopted laws or regulations in various markets;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skin care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 by the Federal Trade Commission;</w:t>
      </w:r>
    </w:p>
    <w:p>
      <w:pPr>
        <w:spacing w:after="0" w:line="14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build and integrate our new management team could harm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held responsible for certain taxes or assessments relating to the activity of our independent distributors;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market;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 and</w:t>
      </w:r>
    </w:p>
    <w:p>
      <w:pPr>
        <w:spacing w:after="0" w:line="144"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outstanding common shares may occur if holders of our existing options exercise their securities or upon future vesting of performance restricted stock units.</w:t>
      </w:r>
    </w:p>
    <w:p>
      <w:pPr>
        <w:spacing w:after="0" w:line="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4" w:right="2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LIFEVANTAGE CORPORATION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w:t>
            </w:r>
          </w:p>
        </w:tc>
      </w:tr>
      <w:tr>
        <w:trPr>
          <w:trHeight w:val="196"/>
        </w:trPr>
        <w:tc>
          <w:tcPr>
            <w:tcW w:w="2460" w:type="dxa"/>
            <w:vAlign w:val="bottom"/>
            <w:tcBorders>
              <w:bottom w:val="single" w:sz="8" w:color="0000FF"/>
            </w:tcBorders>
            <w:gridSpan w:val="7"/>
          </w:tcPr>
          <w:p>
            <w:pPr>
              <w:spacing w:after="0" w:line="170" w:lineRule="exact"/>
              <w:rPr>
                <w:rFonts w:ascii="Arial" w:cs="Arial" w:eastAsia="Arial" w:hAnsi="Arial"/>
                <w:sz w:val="18"/>
                <w:szCs w:val="18"/>
                <w:color w:val="0000FF"/>
              </w:rPr>
            </w:pPr>
            <w:hyperlink w:anchor="page5">
              <w:r>
                <w:rPr>
                  <w:rFonts w:ascii="Arial" w:cs="Arial" w:eastAsia="Arial" w:hAnsi="Arial"/>
                  <w:sz w:val="18"/>
                  <w:szCs w:val="18"/>
                  <w:color w:val="0000FF"/>
                </w:rPr>
                <w:t>PART I. Financial Information</w:t>
              </w:r>
            </w:hyperlink>
          </w:p>
        </w:tc>
        <w:tc>
          <w:tcPr>
            <w:tcW w:w="7900" w:type="dxa"/>
            <w:vAlign w:val="bottom"/>
            <w:gridSpan w:val="11"/>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17"/>
                <w:szCs w:val="17"/>
                <w:color w:val="auto"/>
              </w:rPr>
            </w:pPr>
          </w:p>
        </w:tc>
      </w:tr>
      <w:tr>
        <w:trPr>
          <w:trHeight w:val="257"/>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Financial Statements:</w:t>
              </w:r>
            </w:hyperlink>
          </w:p>
        </w:tc>
        <w:tc>
          <w:tcPr>
            <w:tcW w:w="7660" w:type="dxa"/>
            <w:vAlign w:val="bottom"/>
            <w:gridSpan w:val="10"/>
          </w:tcPr>
          <w:p>
            <w:pPr>
              <w:spacing w:after="0"/>
              <w:rPr>
                <w:sz w:val="22"/>
                <w:szCs w:val="22"/>
                <w:color w:val="auto"/>
              </w:rPr>
            </w:pPr>
          </w:p>
        </w:tc>
        <w:tc>
          <w:tcPr>
            <w:tcW w:w="9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2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(unaudited)</w:t>
              </w:r>
            </w:hyperlink>
          </w:p>
        </w:tc>
        <w:tc>
          <w:tcPr>
            <w:tcW w:w="5400" w:type="dxa"/>
            <w:vAlign w:val="bottom"/>
            <w:gridSpan w:val="7"/>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2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and Comprehensive Income (unaudited)</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0" w:type="dxa"/>
            <w:vAlign w:val="bottom"/>
            <w:tcBorders>
              <w:top w:val="single" w:sz="8" w:color="0000FF"/>
            </w:tcBorders>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 of Stockholders’ Equity (unaudited)</w:t>
              </w:r>
            </w:hyperlink>
          </w:p>
        </w:tc>
        <w:tc>
          <w:tcPr>
            <w:tcW w:w="26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Cash Flows (unaudited)</w:t>
              </w:r>
            </w:hyperlink>
          </w:p>
        </w:tc>
        <w:tc>
          <w:tcPr>
            <w:tcW w:w="600" w:type="dxa"/>
            <w:vAlign w:val="bottom"/>
            <w:tcBorders>
              <w:top w:val="single" w:sz="8" w:color="0000FF"/>
            </w:tcBorders>
            <w:gridSpan w:val="2"/>
          </w:tcPr>
          <w:p>
            <w:pPr>
              <w:spacing w:after="0"/>
              <w:rPr>
                <w:sz w:val="21"/>
                <w:szCs w:val="21"/>
                <w:color w:val="auto"/>
              </w:rPr>
            </w:pPr>
          </w:p>
        </w:tc>
        <w:tc>
          <w:tcPr>
            <w:tcW w:w="402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8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Condensed Consolidated Financial Statements (unaudited)</w:t>
              </w:r>
            </w:hyperlink>
          </w:p>
        </w:tc>
        <w:tc>
          <w:tcPr>
            <w:tcW w:w="434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16"/>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080" w:type="dxa"/>
            <w:vAlign w:val="bottom"/>
            <w:tcBorders>
              <w:left w:val="single" w:sz="8" w:color="0000FF"/>
            </w:tcBorders>
            <w:gridSpan w:val="4"/>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Quantitative and Qualitative Disclosures About Market Risk</w:t>
              </w:r>
            </w:hyperlink>
          </w:p>
        </w:tc>
        <w:tc>
          <w:tcPr>
            <w:tcW w:w="2080" w:type="dxa"/>
            <w:vAlign w:val="bottom"/>
            <w:gridSpan w:val="4"/>
          </w:tcPr>
          <w:p>
            <w:pPr>
              <w:spacing w:after="0"/>
              <w:rPr>
                <w:sz w:val="21"/>
                <w:szCs w:val="21"/>
                <w:color w:val="auto"/>
              </w:rPr>
            </w:pPr>
          </w:p>
        </w:tc>
        <w:tc>
          <w:tcPr>
            <w:tcW w:w="278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88"/>
              </w:rPr>
            </w:pPr>
            <w:hyperlink w:anchor="page25">
              <w:r>
                <w:rPr>
                  <w:rFonts w:ascii="Arial" w:cs="Arial" w:eastAsia="Arial" w:hAnsi="Arial"/>
                  <w:sz w:val="18"/>
                  <w:szCs w:val="18"/>
                  <w:color w:val="0000FF"/>
                  <w:w w:val="88"/>
                </w:rPr>
                <w:t>Controls and Procedures</w:t>
              </w:r>
            </w:hyperlink>
          </w:p>
        </w:tc>
        <w:tc>
          <w:tcPr>
            <w:tcW w:w="2580" w:type="dxa"/>
            <w:vAlign w:val="bottom"/>
            <w:gridSpan w:val="3"/>
          </w:tcPr>
          <w:p>
            <w:pPr>
              <w:spacing w:after="0"/>
              <w:rPr>
                <w:sz w:val="21"/>
                <w:szCs w:val="21"/>
                <w:color w:val="auto"/>
              </w:rPr>
            </w:pPr>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000" w:type="dxa"/>
            <w:vAlign w:val="bottom"/>
            <w:gridSpan w:val="4"/>
          </w:tcPr>
          <w:p>
            <w:pPr>
              <w:spacing w:after="0"/>
              <w:rPr>
                <w:rFonts w:ascii="Arial" w:cs="Arial" w:eastAsia="Arial" w:hAnsi="Arial"/>
                <w:sz w:val="18"/>
                <w:szCs w:val="18"/>
                <w:color w:val="0000FF"/>
                <w:w w:val="92"/>
              </w:rPr>
            </w:pPr>
            <w:hyperlink w:anchor="page25">
              <w:r>
                <w:rPr>
                  <w:rFonts w:ascii="Arial" w:cs="Arial" w:eastAsia="Arial" w:hAnsi="Arial"/>
                  <w:sz w:val="18"/>
                  <w:szCs w:val="18"/>
                  <w:color w:val="0000FF"/>
                  <w:w w:val="92"/>
                </w:rPr>
                <w:t>PART II. Other Information</w:t>
              </w:r>
            </w:hyperlink>
          </w:p>
        </w:tc>
        <w:tc>
          <w:tcPr>
            <w:tcW w:w="8360" w:type="dxa"/>
            <w:vAlign w:val="bottom"/>
            <w:gridSpan w:val="14"/>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5"/>
          </w:tcPr>
          <w:p>
            <w:pPr>
              <w:spacing w:after="0"/>
              <w:rPr>
                <w:rFonts w:ascii="Arial" w:cs="Arial" w:eastAsia="Arial" w:hAnsi="Arial"/>
                <w:sz w:val="18"/>
                <w:szCs w:val="18"/>
                <w:color w:val="0000FF"/>
                <w:w w:val="85"/>
              </w:rPr>
            </w:pPr>
            <w:hyperlink w:anchor="page25">
              <w:r>
                <w:rPr>
                  <w:rFonts w:ascii="Arial" w:cs="Arial" w:eastAsia="Arial" w:hAnsi="Arial"/>
                  <w:sz w:val="18"/>
                  <w:szCs w:val="18"/>
                  <w:color w:val="0000FF"/>
                  <w:w w:val="85"/>
                </w:rPr>
                <w:t>Legal Proceedings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Risk Factors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0"/>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Unregistered Sales of Equity Securities and Use of Proceeds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Defaults Upon Senior Securities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91"/>
              </w:rPr>
            </w:pPr>
            <w:hyperlink w:anchor="page25">
              <w:r>
                <w:rPr>
                  <w:rFonts w:ascii="Arial" w:cs="Arial" w:eastAsia="Arial" w:hAnsi="Arial"/>
                  <w:sz w:val="18"/>
                  <w:szCs w:val="18"/>
                  <w:color w:val="0000FF"/>
                  <w:w w:val="91"/>
                </w:rPr>
                <w:t>Mine Safety Disclosures</w:t>
              </w:r>
            </w:hyperlink>
          </w:p>
        </w:tc>
        <w:tc>
          <w:tcPr>
            <w:tcW w:w="540" w:type="dxa"/>
            <w:vAlign w:val="bottom"/>
          </w:tcPr>
          <w:p>
            <w:pPr>
              <w:spacing w:after="0"/>
              <w:rPr>
                <w:sz w:val="21"/>
                <w:szCs w:val="21"/>
                <w:color w:val="auto"/>
              </w:rPr>
            </w:pPr>
          </w:p>
        </w:tc>
        <w:tc>
          <w:tcPr>
            <w:tcW w:w="690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Other Information</w:t>
              </w:r>
            </w:hyperlink>
          </w:p>
        </w:tc>
        <w:tc>
          <w:tcPr>
            <w:tcW w:w="460" w:type="dxa"/>
            <w:vAlign w:val="bottom"/>
            <w:gridSpan w:val="2"/>
          </w:tcPr>
          <w:p>
            <w:pPr>
              <w:spacing w:after="0"/>
              <w:rPr>
                <w:sz w:val="21"/>
                <w:szCs w:val="21"/>
                <w:color w:val="auto"/>
              </w:rPr>
            </w:pPr>
          </w:p>
        </w:tc>
        <w:tc>
          <w:tcPr>
            <w:tcW w:w="744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Exhibits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Signatures</w:t>
              </w:r>
            </w:hyperlink>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507"/>
        </w:trPr>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600" w:type="dxa"/>
            <w:vAlign w:val="bottom"/>
            <w:gridSpan w:val="11"/>
          </w:tcPr>
          <w:p>
            <w:pPr>
              <w:ind w:left="4480"/>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2017</w:t>
            </w:r>
          </w:p>
        </w:tc>
        <w:tc>
          <w:tcPr>
            <w:tcW w:w="300" w:type="dxa"/>
            <w:vAlign w:val="bottom"/>
          </w:tcPr>
          <w:p>
            <w:pPr>
              <w:spacing w:after="0"/>
              <w:rPr>
                <w:sz w:val="16"/>
                <w:szCs w:val="16"/>
                <w:color w:val="auto"/>
              </w:rPr>
            </w:pPr>
          </w:p>
        </w:tc>
        <w:tc>
          <w:tcPr>
            <w:tcW w:w="1520" w:type="dxa"/>
            <w:vAlign w:val="bottom"/>
          </w:tcPr>
          <w:p>
            <w:pPr>
              <w:jc w:val="right"/>
              <w:ind w:right="411"/>
              <w:spacing w:after="0"/>
              <w:rPr>
                <w:sz w:val="20"/>
                <w:szCs w:val="20"/>
                <w:color w:val="auto"/>
              </w:rPr>
            </w:pPr>
            <w:r>
              <w:rPr>
                <w:rFonts w:ascii="Arial" w:cs="Arial" w:eastAsia="Arial" w:hAnsi="Arial"/>
                <w:sz w:val="14"/>
                <w:szCs w:val="14"/>
                <w:b w:val="1"/>
                <w:bCs w:val="1"/>
                <w:color w:val="auto"/>
              </w:rPr>
              <w:t>June 30, 2017</w:t>
            </w: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11,458</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1,334</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Inventory,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15,360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16,575</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deposits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5,266</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34,034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35,546</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84"/>
        </w:trPr>
        <w:tc>
          <w:tcPr>
            <w:tcW w:w="7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3,990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3,127</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Long-term deferred income tax asset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4,210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4,087</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44,793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45,249</w:t>
            </w:r>
          </w:p>
        </w:tc>
      </w:tr>
      <w:tr>
        <w:trPr>
          <w:trHeight w:val="67"/>
        </w:trPr>
        <w:tc>
          <w:tcPr>
            <w:tcW w:w="7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51"/>
        </w:trPr>
        <w:tc>
          <w:tcPr>
            <w:tcW w:w="7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4,850</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payable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Income tax payable</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2,000</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23,355</w:t>
            </w:r>
          </w:p>
        </w:tc>
      </w:tr>
      <w:tr>
        <w:trPr>
          <w:trHeight w:val="270"/>
        </w:trPr>
        <w:tc>
          <w:tcPr>
            <w:tcW w:w="7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Principal amount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5,500</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unamortized discount and deferred offering costs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Long-term debt, net of unamortized discount and deferred offering costs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5,440</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1,927</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29,021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30,722</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 Note 6</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Preferred stock — par value $0.001 per share, 50,000 shares authorized, no shares issued or</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3"/>
              </w:rPr>
              <w:t>Common stock — par value $0.001 per share, 250,000 shares authorized and 14,228 and 14,232</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issued and outstanding as of September 30, 2017 and June 30, 2017, respectively</w:t>
            </w:r>
          </w:p>
        </w:tc>
        <w:tc>
          <w:tcPr>
            <w:tcW w:w="22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121,599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(106,175)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(106,992)</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15,772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14,527</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45,249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spacing w:after="0" w:line="272" w:lineRule="auto"/>
        <w:rPr>
          <w:sz w:val="20"/>
          <w:szCs w:val="20"/>
          <w:color w:val="auto"/>
        </w:rPr>
      </w:pPr>
      <w:r>
        <w:rPr>
          <w:rFonts w:ascii="Arial" w:cs="Arial" w:eastAsia="Arial" w:hAnsi="Arial"/>
          <w:sz w:val="18"/>
          <w:szCs w:val="18"/>
          <w:color w:val="auto"/>
        </w:rPr>
        <w:t>LIFEVANTAGE CORPORATION AND SUBSIDIARIES CONDENSED CONSOLIDATED STATEMENTS OF OPERATIONS AND COMPREHENSIVE INCOME (Unaudited)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6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49,127</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54,894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8,739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8,832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40,388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46,062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and incentives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26,296</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15,581</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17,780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38,990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44,076</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other expense</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1140" w:type="dxa"/>
            <w:vAlign w:val="bottom"/>
          </w:tcPr>
          <w:p>
            <w:pPr>
              <w:jc w:val="right"/>
              <w:ind w:right="93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Basic</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13,963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13,820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140" w:type="dxa"/>
            <w:vAlign w:val="bottom"/>
            <w:tcBorders>
              <w:top w:val="single" w:sz="8" w:color="auto"/>
            </w:tcBorders>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93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6" w:name="page7"/>
    <w:bookmarkEnd w:id="6"/>
    <w:p>
      <w:pPr>
        <w:jc w:val="center"/>
        <w:spacing w:after="0" w:line="264" w:lineRule="auto"/>
        <w:rPr>
          <w:sz w:val="20"/>
          <w:szCs w:val="20"/>
          <w:color w:val="auto"/>
        </w:rPr>
      </w:pPr>
      <w:r>
        <w:rPr>
          <w:rFonts w:ascii="Arial" w:cs="Arial" w:eastAsia="Arial" w:hAnsi="Arial"/>
          <w:sz w:val="18"/>
          <w:szCs w:val="18"/>
          <w:color w:val="auto"/>
        </w:rPr>
        <w:t>LIFEVANTAGE CORPORATION AND SUBSIDIARIES CONDENSED CONSOLIDATED STATEMENT OF STOCKHOLDERS’ EQUITY (Unaudited)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32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4"/>
                <w:szCs w:val="4"/>
                <w:color w:val="auto"/>
              </w:rPr>
            </w:pPr>
          </w:p>
        </w:tc>
        <w:tc>
          <w:tcPr>
            <w:tcW w:w="120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28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200" w:type="dxa"/>
            <w:vAlign w:val="bottom"/>
          </w:tcPr>
          <w:p>
            <w:pPr>
              <w:spacing w:after="0"/>
              <w:rPr>
                <w:sz w:val="5"/>
                <w:szCs w:val="5"/>
                <w:color w:val="auto"/>
              </w:rPr>
            </w:pPr>
          </w:p>
        </w:tc>
        <w:tc>
          <w:tcPr>
            <w:tcW w:w="14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2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June 30, 2017</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14,232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121,599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(106,992)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14,527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Shares canceled or surrendered as payment</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 withholding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Currency translation adjustment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Balances, September 30, 2017</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14,228</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122,007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(106,175)</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15,772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6"/>
                <w:szCs w:val="16"/>
                <w:color w:val="auto"/>
              </w:rPr>
            </w:pPr>
          </w:p>
        </w:tc>
      </w:tr>
      <w:tr>
        <w:trPr>
          <w:trHeight w:val="263"/>
        </w:trPr>
        <w:tc>
          <w:tcPr>
            <w:tcW w:w="76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1,180</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412</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Amortization of deferred financing fees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discount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Deferred income tax</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receivable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Inventory, net</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1,249</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deposits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accrued expenses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Other long-term liabilities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(1,071)</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2,880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equipment</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(1,176)</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Payment on term loan</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 of options and warrants</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(495)</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Effect on Cash</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Increase in Cash and Cash Equivalents: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830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2,342</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 beginning of period</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11,458</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7,883</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 end of period</w:t>
            </w:r>
          </w:p>
        </w:tc>
        <w:tc>
          <w:tcPr>
            <w:tcW w:w="1140" w:type="dxa"/>
            <w:vAlign w:val="bottom"/>
            <w:tcBorders>
              <w:top w:val="single" w:sz="8" w:color="auto"/>
            </w:tcBorders>
          </w:tcPr>
          <w:p>
            <w:pPr>
              <w:jc w:val="right"/>
              <w:ind w:right="9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12,288</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934"/>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10,225</w:t>
            </w:r>
          </w:p>
        </w:tc>
      </w:tr>
      <w:tr>
        <w:trPr>
          <w:trHeight w:val="67"/>
        </w:trPr>
        <w:tc>
          <w:tcPr>
            <w:tcW w:w="766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1140"/>
              <w:spacing w:after="0"/>
              <w:rPr>
                <w:sz w:val="20"/>
                <w:szCs w:val="20"/>
                <w:color w:val="auto"/>
              </w:rPr>
            </w:pPr>
            <w:r>
              <w:rPr>
                <w:rFonts w:ascii="Arial" w:cs="Arial" w:eastAsia="Arial" w:hAnsi="Arial"/>
                <w:sz w:val="18"/>
                <w:szCs w:val="18"/>
                <w:color w:val="auto"/>
              </w:rPr>
              <w:t>Cash paid for interest</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6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Cash paid for income taxes</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2,162</w:t>
            </w:r>
          </w:p>
        </w:tc>
      </w:tr>
      <w:tr>
        <w:trPr>
          <w:trHeight w:val="27"/>
        </w:trPr>
        <w:tc>
          <w:tcPr>
            <w:tcW w:w="7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These unaudited condensed consolidated financial statements and notes should be read in conjunction with the audited financial statements and notes of LifeVantage Corporation (the “Company”) as of and for the year ended June 30, 2017 included in the annual report on Form 10-K filed with the Securities and Exchange Commission (“SEC”) on September 7, 2017.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48"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LifeVantage Corporation is a company focused on bio-hacking the aging code through nutrigenomics, the study of how nutrition and naturally occurring compounds affect our genes. The Company is dedicated to helping people achieve their health, wellness and financial independence goals. The Company provides quality, scientifically-validated products and a financially rewarding direct sales business opportunity to preferred customers, retail customers and independent distributors who seek a healthy lifestyle and financial freedom. The Company sells its products in the United States, Japan, Hong Kong, Australia, Canada, Mexico, Thailand, the United Kingdom, the Netherlands and Germany.</w:t>
      </w:r>
    </w:p>
    <w:p>
      <w:pPr>
        <w:spacing w:after="0" w:line="9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Company engages in the identification, research, development and distribution of advanced nutraceutical dietary supplements and skin care products, including Protandim®, its line of scientifically-validated dietary supplements, TrueScience®, its line of anti-aging skin care products, Petandim™ for Dogs, its companion pet supplement formulated to combat oxidative stress in dogs, Axio®, its Smart Energy Drink mixes, and PhysIQ™, its Smart Weight Management System.</w:t>
      </w:r>
    </w:p>
    <w:p>
      <w:pPr>
        <w:spacing w:after="0" w:line="10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September 30, 2017, and the results of operations for the three months ended September 30, 2017 and 2016, and the cash flows for the three months ended September 30, 2017 and 2016. Interim results are not necessarily indicative of results for a full year or for any future period. Certain amounts in the prior year financial statements have been reclassified for comparative purposes in order to conform with current year presentation.</w:t>
      </w:r>
    </w:p>
    <w:p>
      <w:pPr>
        <w:spacing w:after="0" w:line="11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2017 pursuant to the rules and regulations of the SEC. For further information, refer to the financial statements and notes thereto as of and for the year ended June 30, 2017, and included in the annual report on Form 10-K on file with the SEC.</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materially from those estimates and assumptions. On an ongoing basis, the Company reviews its estimates, including those related to inventory valuation and obsolescence, sales returns, income taxes and tax valuation reserves, share-based compensation and loss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4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 comprehensive income. Transaction gains and losses are included in other income (expense), net in the condensed consolidated statements of operations and comprehensive income. For the three months ended September 30, 2017 and 2016, a net foreign</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9" w:name="page10"/>
    <w:bookmarkEnd w:id="9"/>
    <w:p>
      <w:pPr>
        <w:ind w:right="1720"/>
        <w:spacing w:after="0" w:line="407" w:lineRule="auto"/>
        <w:rPr>
          <w:sz w:val="20"/>
          <w:szCs w:val="20"/>
          <w:color w:val="auto"/>
        </w:rPr>
      </w:pPr>
      <w:r>
        <w:rPr>
          <w:rFonts w:ascii="Arial" w:cs="Arial" w:eastAsia="Arial" w:hAnsi="Arial"/>
          <w:sz w:val="18"/>
          <w:szCs w:val="18"/>
          <w:color w:val="auto"/>
        </w:rPr>
        <w:t xml:space="preserve">currency gain of $0.1 million and a net foreign currency loss of $0.1 million, respectively, are recorded in other income (expense), net. </w:t>
      </w:r>
      <w:r>
        <w:rPr>
          <w:rFonts w:ascii="Arial" w:cs="Arial" w:eastAsia="Arial" w:hAnsi="Arial"/>
          <w:sz w:val="18"/>
          <w:szCs w:val="18"/>
          <w:b w:val="1"/>
          <w:bCs w:val="1"/>
          <w:color w:val="auto"/>
        </w:rPr>
        <w:t>Derivative Instruments and Hedging Activities</w:t>
      </w:r>
    </w:p>
    <w:p>
      <w:pPr>
        <w:ind w:right="20" w:firstLine="405"/>
        <w:spacing w:after="0" w:line="264" w:lineRule="auto"/>
        <w:rPr>
          <w:sz w:val="20"/>
          <w:szCs w:val="20"/>
          <w:color w:val="auto"/>
        </w:rPr>
      </w:pPr>
      <w:r>
        <w:rPr>
          <w:rFonts w:ascii="Arial" w:cs="Arial" w:eastAsia="Arial" w:hAnsi="Arial"/>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10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To hedge risks associated with the foreign-currency-denominated intercompany transactions, the Company entered into forward foreign exchange contracts which were settled in September 2017 and were not designated for hedge accounting. For the three months ended September 30, 2017 and 2016, a realized gain of $3,000 and a realized loss of $0.1 million, respectively, related to forward contracts, are recorded in other income (expense), net. The Company did not hold any derivative instruments at September 30, 2017.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as cash and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September 30, 2017, the Company had $8.5 million in cash accounts at one financial institution and $3.8 million in accounts at other financial institutions. As of September 30, 2017 and June 30, 2017, and during the periods then ended, the Company’s cash balances exceeded federally insured limits.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Company’s accounts receivable as of September 30, 2017 and June 30, 2017 consist primarily of credit card receivables. Based on the Company’s verification process for customer credit cards and historical information available, management has determined that an allowance for doubtful accounts on credit card sales related to its customer sales as of September 30, 2017 is not necessary. No bad debt expense has been recorded for the three months ended September 30, 2017 and 2016.</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2017 and June 30, 2017, inventory consisted of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1440" w:type="dxa"/>
            <w:vAlign w:val="bottom"/>
          </w:tcPr>
          <w:p>
            <w:pPr>
              <w:jc w:val="right"/>
              <w:ind w:right="597"/>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7,817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7,938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8,758</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inventory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15,360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16,575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Inventories are carried and depicted above at the lower of cost or market, using the first-in, first-out method, which includes a reduction in inventory values of $1.1 million and $0.9 million at September 30, 2017 and June 30, 2017, respectively, related to obsolete and slow-moving inventory.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The Company ships the majority of its product directly to the consumer and receives substantially all payment for these sales in the form of credit card receipts. Revenue from direct product sales to customers is recognized upon shipment, which is when passage of title and risk of loss occurs. 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direct sales customers for returned product. The Company allows terminating distributors to return up to 30% of unopened, unexpired product that they have purchased within the prior twelve months for a full refund, less a 10% restocking fee. The Company establishes the returns reserve based on historical experience. The returns reserve is evaluated on a quarterly basis. As of September 30, 2017 and June 30, 2017, the Company’s reserve balance for returns and allowances was $0.3 million and $0.4 million, respectively.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Shipping and Handling</w:t>
      </w:r>
    </w:p>
    <w:p>
      <w:pPr>
        <w:spacing w:after="0" w:line="14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Shipping and handling costs associated with inbound freight and freight out to customers, including independent distributors, are included in cost of sales. Shipping and handling fees charged to customers are included in sales.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three months ended September 30, 2017 and 2016 were $0.3 million and $0.3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8"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7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Black-Scholes option 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volatility as the expected volatility assumption required in the Black-Scholes model. The Company utilizes a simplified method for estimating the expected life of the options. The Company uses this method because it believes that it provides a better estimate than the Company’s historical data as post vesting exercises have been limited. The risk-free interest rate assumption is based on observed interest rates appropriate for the expected terms of the stock options.</w:t>
      </w:r>
    </w:p>
    <w:p>
      <w:pPr>
        <w:spacing w:after="0" w:line="112"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11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For the three months ended September 30, 2017 and 2016, the Company recognized income tax expense of $0.4 million and $0.5 million, respectively, which is reflective of the Company’s current estimated federal, state and foreign effective tax rate. Realization of deferred tax assets is dependent upon future earnings in specific tax jurisdictions, the timing and amount of which are uncertain. The Company continues to evaluate the realizability of the deferred tax asset based upon achieved and estimated future results. The difference between the three months ended September 30, 2017 effective rate of 35.1% and the Federal statutory rate of 35.0% is due primarily to the effect of discrete items, return to provision adjustments, permanent items and benefits from the permanent reinvestment assertion.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Share</w:t>
      </w:r>
    </w:p>
    <w:p>
      <w:pPr>
        <w:spacing w:after="0" w:line="1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ind w:right="640" w:firstLine="432"/>
        <w:spacing w:after="0" w:line="308" w:lineRule="auto"/>
        <w:rPr>
          <w:sz w:val="20"/>
          <w:szCs w:val="20"/>
          <w:color w:val="auto"/>
        </w:rPr>
      </w:pPr>
      <w:r>
        <w:rPr>
          <w:rFonts w:ascii="Arial" w:cs="Arial" w:eastAsia="Arial" w:hAnsi="Arial"/>
          <w:sz w:val="17"/>
          <w:szCs w:val="17"/>
          <w:color w:val="auto"/>
        </w:rPr>
        <w:t>The effects of approximately 0.2 million and 46,000 common shares issuable upon exercise of options and non-vested shares of restricted stock outstanding as of September 30, 2017 and 2016, respectively, are not included in computations as their effect was anti-dilutive.</w:t>
      </w:r>
    </w:p>
    <w:p>
      <w:pPr>
        <w:spacing w:after="0" w:line="6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937"/>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Basic weighted-average common shares outstanding</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13,963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13,820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Stock awards and options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Warrants</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14,080</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14,466</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Net income per share, basic</w:t>
            </w:r>
          </w:p>
        </w:tc>
        <w:tc>
          <w:tcPr>
            <w:tcW w:w="1140" w:type="dxa"/>
            <w:vAlign w:val="bottom"/>
            <w:tcBorders>
              <w:bottom w:val="single" w:sz="8" w:color="CCEEFF"/>
            </w:tcBorders>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Net income per share, diluted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vMerge w:val="continue"/>
          </w:tcPr>
          <w:p>
            <w:pPr>
              <w:spacing w:after="0"/>
              <w:rPr>
                <w:sz w:val="19"/>
                <w:szCs w:val="19"/>
                <w:color w:val="auto"/>
              </w:rPr>
            </w:pPr>
          </w:p>
        </w:tc>
        <w:tc>
          <w:tcPr>
            <w:tcW w:w="1140" w:type="dxa"/>
            <w:vAlign w:val="bottom"/>
          </w:tcPr>
          <w:p>
            <w:pPr>
              <w:jc w:val="right"/>
              <w:ind w:right="937"/>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48"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Company operates in a single operating segment by selling products to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does not use profitability reports on a regional or divisional basis for making business decisions. However, the Company does report revenue in two geographic regions: the Americas region and the Asia/Pacific &amp; Europe region. Revenues by geographic region are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36,163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40,135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12,964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14,759</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49,127</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54,894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Additional information as to the Company’s revenue from operations in the most significant geographical areas is set forth below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34,115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38,618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Japan</w:t>
            </w: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10,856</w:t>
            </w:r>
          </w:p>
        </w:tc>
        <w:tc>
          <w:tcPr>
            <w:tcW w:w="120" w:type="dxa"/>
            <w:vAlign w:val="bottom"/>
          </w:tcPr>
          <w:p>
            <w:pPr>
              <w:spacing w:after="0"/>
              <w:rPr>
                <w:sz w:val="21"/>
                <w:szCs w:val="21"/>
                <w:color w:val="auto"/>
              </w:rPr>
            </w:pP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10,607</w:t>
            </w:r>
          </w:p>
        </w:tc>
      </w:tr>
    </w:tbl>
    <w:p>
      <w:pPr>
        <w:spacing w:after="0" w:line="14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As of September 30, 2017, long-lived assets were $8.3 million in the United States and $0.9 million in Japan. As of June 30, 2017, long-lived assets were $6.2 million in the United States and $0.9 million in Japan.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w:t>
      </w:r>
    </w:p>
    <w:p>
      <w:pPr>
        <w:spacing w:after="0" w:line="148"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 (Topic 606)</w:t>
      </w:r>
      <w:r>
        <w:rPr>
          <w:rFonts w:ascii="Arial" w:cs="Arial" w:eastAsia="Arial" w:hAnsi="Arial"/>
          <w:sz w:val="17"/>
          <w:szCs w:val="17"/>
          <w:color w:val="auto"/>
        </w:rPr>
        <w:t>, and has subsequently issued ASU 2015-14,</w:t>
      </w:r>
      <w:r>
        <w:rPr>
          <w:rFonts w:ascii="Arial" w:cs="Arial" w:eastAsia="Arial" w:hAnsi="Arial"/>
          <w:sz w:val="17"/>
          <w:szCs w:val="17"/>
          <w:i w:val="1"/>
          <w:iCs w:val="1"/>
          <w:color w:val="auto"/>
        </w:rPr>
        <w:t xml:space="preserve"> Revenue from Contracts with Customers (Topic 606): Deferral of the Effective Date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ASU 2016-08, </w:t>
      </w:r>
      <w:r>
        <w:rPr>
          <w:rFonts w:ascii="Arial" w:cs="Arial" w:eastAsia="Arial" w:hAnsi="Arial"/>
          <w:sz w:val="17"/>
          <w:szCs w:val="17"/>
          <w:i w:val="1"/>
          <w:iCs w:val="1"/>
          <w:color w:val="auto"/>
        </w:rPr>
        <w:t>Revenue from Contracts with Customers (Topic 606): Principal versus Agent Considerations (Reporting Revenue Gross versus Net)</w:t>
      </w:r>
      <w:r>
        <w:rPr>
          <w:rFonts w:ascii="Arial" w:cs="Arial" w:eastAsia="Arial" w:hAnsi="Arial"/>
          <w:sz w:val="17"/>
          <w:szCs w:val="17"/>
          <w:color w:val="auto"/>
        </w:rPr>
        <w:t xml:space="preserve">, ASU 2016-10, </w:t>
      </w:r>
      <w:r>
        <w:rPr>
          <w:rFonts w:ascii="Arial" w:cs="Arial" w:eastAsia="Arial" w:hAnsi="Arial"/>
          <w:sz w:val="17"/>
          <w:szCs w:val="17"/>
          <w:i w:val="1"/>
          <w:iCs w:val="1"/>
          <w:color w:val="auto"/>
        </w:rPr>
        <w:t>Revenue from Contracts with Customers (Topic 606): Identifying Performance Obligations and Licensing</w:t>
      </w:r>
      <w:r>
        <w:rPr>
          <w:rFonts w:ascii="Arial" w:cs="Arial" w:eastAsia="Arial" w:hAnsi="Arial"/>
          <w:sz w:val="17"/>
          <w:szCs w:val="17"/>
          <w:color w:val="auto"/>
        </w:rPr>
        <w:t xml:space="preserve">, ASU 2016-11,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w:t>
      </w:r>
      <w:r>
        <w:rPr>
          <w:rFonts w:ascii="Arial" w:cs="Arial" w:eastAsia="Arial" w:hAnsi="Arial"/>
          <w:sz w:val="17"/>
          <w:szCs w:val="17"/>
          <w:i w:val="1"/>
          <w:iCs w:val="1"/>
          <w:color w:val="auto"/>
        </w:rPr>
        <w:t>(Topic 605) and Derivatives and Hedging (Topic 815)</w:t>
      </w:r>
      <w:r>
        <w:rPr>
          <w:rFonts w:ascii="Arial" w:cs="Arial" w:eastAsia="Arial" w:hAnsi="Arial"/>
          <w:sz w:val="17"/>
          <w:szCs w:val="17"/>
          <w:color w:val="auto"/>
        </w:rPr>
        <w:t>, ASU 2016-12,</w:t>
      </w:r>
      <w:r>
        <w:rPr>
          <w:rFonts w:ascii="Arial" w:cs="Arial" w:eastAsia="Arial" w:hAnsi="Arial"/>
          <w:sz w:val="17"/>
          <w:szCs w:val="17"/>
          <w:i w:val="1"/>
          <w:iCs w:val="1"/>
          <w:color w:val="auto"/>
        </w:rPr>
        <w:t xml:space="preserve"> Revenue from Contracts with Customers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right="80"/>
        <w:spacing w:after="0" w:line="277" w:lineRule="auto"/>
        <w:rPr>
          <w:sz w:val="20"/>
          <w:szCs w:val="20"/>
          <w:color w:val="auto"/>
        </w:rPr>
      </w:pPr>
      <w:r>
        <w:rPr>
          <w:rFonts w:ascii="Arial" w:cs="Arial" w:eastAsia="Arial" w:hAnsi="Arial"/>
          <w:sz w:val="18"/>
          <w:szCs w:val="18"/>
          <w:i w:val="1"/>
          <w:iCs w:val="1"/>
          <w:color w:val="auto"/>
        </w:rPr>
        <w:t xml:space="preserve">(Topic 606): Narrow-Scope Improvements and Practical Expedients </w:t>
      </w:r>
      <w:r>
        <w:rPr>
          <w:rFonts w:ascii="Arial" w:cs="Arial" w:eastAsia="Arial" w:hAnsi="Arial"/>
          <w:sz w:val="18"/>
          <w:szCs w:val="18"/>
          <w:color w:val="auto"/>
        </w:rPr>
        <w:t>and ASU 2016-20,</w:t>
      </w:r>
      <w:r>
        <w:rPr>
          <w:rFonts w:ascii="Arial" w:cs="Arial" w:eastAsia="Arial" w:hAnsi="Arial"/>
          <w:sz w:val="18"/>
          <w:szCs w:val="18"/>
          <w:i w:val="1"/>
          <w:iCs w:val="1"/>
          <w:color w:val="auto"/>
        </w:rPr>
        <w:t xml:space="preserve"> Technical Corrections and Improvements to Topic 606, Revenue from Contracts with Customers </w:t>
      </w:r>
      <w:r>
        <w:rPr>
          <w:rFonts w:ascii="Arial" w:cs="Arial" w:eastAsia="Arial" w:hAnsi="Arial"/>
          <w:sz w:val="18"/>
          <w:szCs w:val="18"/>
          <w:color w:val="auto"/>
        </w:rPr>
        <w:t>(collectively, Topic 606).</w:t>
      </w:r>
    </w:p>
    <w:p>
      <w:pPr>
        <w:spacing w:after="0" w:line="89"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Topic 606 outlines a single comprehensive model for entities to use in accounting for revenue arising from contracts with customers and supersedes most current revenue recognition guidance, including industry-specific guidance. The core principle of the new guidance is for companies to recognize revenue to depict the transfer of goods or services to customers in amounts that reflect the consideration it expects to receive in exchange for those goods or services. The guidance also requires additional disclosure about the nature, amount, timing and uncertainty of revenue and cash flows arising from customer contracts, including significant judgments and changes in judgments and assets recognized from costs incurred to fulfill a contract. This guidance is effective for the Company beginning on July 1, 2018 with the option to adopt using either a full retrospective or a modified retrospective approach. The Company expects to adopt Topic 606 using the modified retrospective approach, under which the cumulative effect of initially applying Topic 606 is recognized as an adjustment to the opening balance of retained earnings in the first quarter of fiscal 2019.</w:t>
      </w:r>
    </w:p>
    <w:p>
      <w:pPr>
        <w:spacing w:after="0" w:line="98"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The Company is concluding the assessment phase of implementing this guidance. The Company has evaluated each of its revenue streams and has identified similar performance obligations under Topic 606 as compared to current revenue recognition guidance. As a result, the Company expects that the timing of the recognition of revenue will remain materially unchanged compared to the current guidance.</w:t>
      </w:r>
    </w:p>
    <w:p>
      <w:pPr>
        <w:spacing w:after="0" w:line="84"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There are also considerations related to internal control over financial reporting associated with implementing Topic 606. The Company is currently evaluating its control framework for revenue recognition and identifying any changes that may need to be made in response to the new guidance. Disclosure requirements under Topic 606 have been expanded compared to the disclosure requirements under the current guidance. The Company is currently in the process of designing and implementing the appropriate controls over gathering and reporting the information required under Topic 606.</w:t>
      </w:r>
    </w:p>
    <w:p>
      <w:pPr>
        <w:spacing w:after="0" w:line="73"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 xml:space="preserve">In February 2016, FASB issued ASU No. 2016-02, </w:t>
      </w:r>
      <w:r>
        <w:rPr>
          <w:rFonts w:ascii="Arial" w:cs="Arial" w:eastAsia="Arial" w:hAnsi="Arial"/>
          <w:sz w:val="18"/>
          <w:szCs w:val="18"/>
          <w:i w:val="1"/>
          <w:iCs w:val="1"/>
          <w:color w:val="auto"/>
        </w:rPr>
        <w:t>Leases (Topic 841)</w:t>
      </w:r>
      <w:r>
        <w:rPr>
          <w:rFonts w:ascii="Arial" w:cs="Arial" w:eastAsia="Arial" w:hAnsi="Arial"/>
          <w:sz w:val="18"/>
          <w:szCs w:val="18"/>
          <w:color w:val="auto"/>
        </w:rPr>
        <w:t>. For lessees, the amendments in this update require that for all leases not considered to be short term, a company recognize both a lease liability and right-of-use asset on its balance sheet, representing the obligation to make payments and the right to use or control the use of a specified asset for the lease term. The amendments in this update are effective for annual periods beginning after December 15, 2018 and interim periods within those annual periods. The Company is currently evaluating the impact that this amendment will have on its consolidated financial statements.</w:t>
      </w:r>
    </w:p>
    <w:p>
      <w:pPr>
        <w:spacing w:after="0" w:line="10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In May 2017, FASB issued ASU No.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The amendments in this update provide guidance about which changes to the terms or conditions of a share-based award require an entity to apply modification accounting in Topic 718. An entity should account for the effects of a modification unless all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current disclosure requirements in Topic 718 apply regardless of whether an entity is required to apply modification accounting under the amendments in this update. The amendments in this update are effective for all annual periods, and interim periods within those annual periods, beginning after December 15, 2017. Early adoption is permitted. The amendments in this update should be applied prospectively to an award modified on or after the adoption date. The Company will apply this amendment to any award modifications made on or after the adoption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Long-Term Debt</w:t>
      </w:r>
    </w:p>
    <w:p>
      <w:pPr>
        <w:spacing w:after="0" w:line="14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 March 30, 2016, the Company entered into a loan agreement (the “March 2016 Loan Agreement”) to refinance its then outstanding debt. In connection with the March 2016 Loan Agreement and on the same date, the Company entered into a security agreement (the “Security Agreement”). The March 2016 Loan Agreement provides for a term loan in an aggregate principal amount of $10.0 million (the “March 2016 Term Loan") and a revolving loan facility in an aggregate principal amount not to exceed $2.0 million (the “March 2016 Revolving Loan,” and collectively with the March 2016 Term Loan, the March 2016 Loan Agreement and the Security Agreement, the “March 2016 Credit Facility”).</w:t>
      </w:r>
    </w:p>
    <w:p>
      <w:pPr>
        <w:spacing w:after="0" w:line="107"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The principal amount of the March 2016 Term Loan is payable in consecutive quarterly installments in the amount of $0.5 million plus accrued interest beginning with the fiscal quarter ended June 30, 2016 and maturing on March 30, 2019 (the “Maturity Date”). The March 2016 Term Loan bears interest at a fixed rate of 4.93%. If the Company borrows under the March 2016 Revolving Loan, interest will be payable quarterly in arrears on the last day of each fiscal quarter at a variable rate equal to the 30 day LIBOR Rate plus 3.50%.</w:t>
      </w:r>
    </w:p>
    <w:p>
      <w:pPr>
        <w:spacing w:after="0" w:line="10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Company’s obligations under the March 2016 Credit Facility are secured by a security interest in substantially all of the Company’s assets. Loans outstanding under the March 2016 Credit Facility may be prepaid in whole or in part at any time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right="160"/>
        <w:spacing w:after="0" w:line="264" w:lineRule="auto"/>
        <w:rPr>
          <w:sz w:val="20"/>
          <w:szCs w:val="20"/>
          <w:color w:val="auto"/>
        </w:rPr>
      </w:pPr>
      <w:r>
        <w:rPr>
          <w:rFonts w:ascii="Arial" w:cs="Arial" w:eastAsia="Arial" w:hAnsi="Arial"/>
          <w:sz w:val="18"/>
          <w:szCs w:val="18"/>
          <w:color w:val="auto"/>
        </w:rPr>
        <w:t>without premium or penalty. In addition, if, at any time, the aggregate principal amount outstanding under the March 2016 Revolving Loan exceeds $2.0 million, the Company must prepay an amount equal to such excess. Any principal amount of the March 2016 Term Loan which is prepaid or repaid may not be re-borrowed.</w:t>
      </w:r>
    </w:p>
    <w:p>
      <w:pPr>
        <w:spacing w:after="0" w:line="10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March 2016 Credit Facility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March 2016 Credit Facility also contains various financial covenants that require the Company to maintain a certain consolidated minimum tangible net worth, minimum working capital amounts, and debt to EBITDA and fixed charge coverage ratios. Additionally, the March 2016 Credit Facility contains cross-default provisions, whereby a default under the terms of certain indebtedness or an uncured default of a payment or other material obligation of the Company under a material contract of the Company will cause a default on the remaining indebtedness under the March 2016 Credit Facility. As of September 30, 2017, the Company was in compliance with all applicable covenants under the March 2016 Credit Facility.</w:t>
      </w:r>
    </w:p>
    <w:p>
      <w:pPr>
        <w:spacing w:after="0" w:line="10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Company’s book value for the March 2016 Credit Facility approximates the fair value. Aggregate future principal payments required in accordance with the terms of the March 2016 Credit Facility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Ending June 30,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 (remaining nine months ending June 30, 2018)</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5,500</w:t>
            </w:r>
          </w:p>
        </w:tc>
      </w:tr>
      <w:tr>
        <w:trPr>
          <w:trHeight w:val="27"/>
        </w:trPr>
        <w:tc>
          <w:tcPr>
            <w:tcW w:w="9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Stockholders’ Equity</w:t>
      </w:r>
    </w:p>
    <w:p>
      <w:pPr>
        <w:spacing w:after="0" w:line="148"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During the three months ended September 30, 2017, the Company did not issue shares of restricted stock or shares of common stock upon the exercise of warrants and options. During the three months ended September 30, 2017, 4,000 shares of restricted stock were canceled or surrendered as payment of tax withholding upon vesting.</w:t>
      </w:r>
    </w:p>
    <w:p>
      <w:pPr>
        <w:spacing w:after="0" w:line="10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Company’s Articles of Incorporation authorize the issuance of preferred shares. However, as of September 30, 2017, none have been issued and no rights or preferences have been assigned to the preferred shares by the Company’s board of directors.</w:t>
      </w:r>
    </w:p>
    <w:p>
      <w:pPr>
        <w:spacing w:after="0" w:line="85" w:lineRule="exact"/>
        <w:rPr>
          <w:sz w:val="20"/>
          <w:szCs w:val="20"/>
          <w:color w:val="auto"/>
        </w:rPr>
      </w:pPr>
    </w:p>
    <w:p>
      <w:pPr>
        <w:jc w:val="center"/>
        <w:ind w:right="8540"/>
        <w:spacing w:after="0"/>
        <w:rPr>
          <w:sz w:val="20"/>
          <w:szCs w:val="20"/>
          <w:color w:val="auto"/>
        </w:rPr>
      </w:pPr>
      <w:r>
        <w:rPr>
          <w:rFonts w:ascii="Arial" w:cs="Arial" w:eastAsia="Arial" w:hAnsi="Arial"/>
          <w:sz w:val="16"/>
          <w:szCs w:val="16"/>
          <w:b w:val="1"/>
          <w:bCs w:val="1"/>
          <w:color w:val="auto"/>
        </w:rPr>
        <w:t>Note 5 — Stock-Based Compensation</w:t>
      </w:r>
    </w:p>
    <w:p>
      <w:pPr>
        <w:spacing w:after="0" w:line="171" w:lineRule="exact"/>
        <w:rPr>
          <w:sz w:val="20"/>
          <w:szCs w:val="20"/>
          <w:color w:val="auto"/>
        </w:rPr>
      </w:pPr>
    </w:p>
    <w:p>
      <w:pPr>
        <w:jc w:val="center"/>
        <w:ind w:right="8580"/>
        <w:spacing w:after="0"/>
        <w:rPr>
          <w:sz w:val="20"/>
          <w:szCs w:val="20"/>
          <w:color w:val="auto"/>
        </w:rPr>
      </w:pPr>
      <w:r>
        <w:rPr>
          <w:rFonts w:ascii="Arial" w:cs="Arial" w:eastAsia="Arial" w:hAnsi="Arial"/>
          <w:sz w:val="18"/>
          <w:szCs w:val="18"/>
          <w:u w:val="single" w:color="auto"/>
          <w:color w:val="auto"/>
        </w:rPr>
        <w:t>Long-Term Incentive Plans</w:t>
      </w:r>
    </w:p>
    <w:p>
      <w:pPr>
        <w:spacing w:after="0" w:line="144"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Company adopted and the shareholders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$1.47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Effective November 21, 2016, no new awards can be granted under the 2007 Plan.</w:t>
      </w:r>
    </w:p>
    <w:p>
      <w:pPr>
        <w:spacing w:after="0" w:line="10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Company adopted and the shareholders approved the 2010 Long-Term Incentive Plan (the “2010 Plan”), effective September 27, 2010, as amended on August 21, 2014, to provide incentives to certain employees, directors and consultants. A maximum of 1.1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$5.60 and $20.09 per share, and vest over one to four year vesting periods. Awards expire in accordance with the terms of each award and, upon expiration of the award, the shares subject to the award will be added to the 2017 Plan pool as described below. The contractual term of stock options granted is generally ten years. No new awards will be granted under the 2010 Plan and forfeited or terminated shares will be added to the 2017 Plan pool as described below.</w:t>
      </w:r>
    </w:p>
    <w:p>
      <w:pPr>
        <w:spacing w:after="0" w:line="86"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The Company adopted a performance incentive plan effective July 1, 2015 (the "Fiscal 2016 Performance Plan"). The Fiscal 2016 Performance Plan is intended to provide selected employees an opportunity to earn performance-based cash bonuses whose value is based upon the Company’s stock value and to encourage such employees to provide services to the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ind w:right="160"/>
        <w:spacing w:after="0" w:line="269" w:lineRule="auto"/>
        <w:rPr>
          <w:sz w:val="20"/>
          <w:szCs w:val="20"/>
          <w:color w:val="auto"/>
        </w:rPr>
      </w:pPr>
      <w:r>
        <w:rPr>
          <w:rFonts w:ascii="Arial" w:cs="Arial" w:eastAsia="Arial" w:hAnsi="Arial"/>
          <w:sz w:val="17"/>
          <w:szCs w:val="17"/>
          <w:color w:val="auto"/>
        </w:rPr>
        <w:t>Company and to attract new individuals with outstanding qualifications. The Fiscal 2016 Performance Plan seeks to achieve this purpose by providing for awards in the form of performance share units (the “Units”). No shares will be issued under the Fiscal 2016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 The Company adopted separate performance incentive plans effective July 1, 2016 (the "Fiscal 2017 Performance Plan") and July 1, 2017 (the "Fiscal 2018 Performance Plan"). The Fiscal 2017 Performance Plan and Fiscal 2018 Performance Plan include performance-based and service-based vesting requirements and payment terms that are substantially the same as described above the Fiscal 2016 Performance Plan.</w:t>
      </w:r>
    </w:p>
    <w:p>
      <w:pPr>
        <w:spacing w:after="0" w:line="102"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Company adopted and the shareholders approved the 2017 Long-Term Incentive Plan (the “2017 Plan”), effective February 16, 2017, to provide incentives to eligible employees, directors and consultants. The maximum number of shares that can be issued under the 2017 Plan is not to exceed 1,125,000 shares, calculated as the sum of (i) 650,000 shares and (ii) up to 475,000 shares previously reserved for issuance under the 2010 Plan, including shares returned upon cancellation, termination or forfeiture of awards that were previously granted under that plan. As of September 30, 2017, a maximum of 1.0 million shares of the Company's common stock can be issued under the 2017 Plan in connection with the grant of awards. Awards expire in accordance with the terms of each award and the shares subject to the award are added back to the 2017 Plan upon expiration of the award.</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accordance with accounting guidance for stock-based compensation, payments in equity instruments for goods or services are accounted for by the fair value method. For the three months ended September 30, 2017, stock-based compensation of $0.4 million was reflected as an increase to additional paid-in capital and an increase of $0.2 million was included in other accrued expenses, all of which was employee related. For the three months ended September 30, 2016, stock-based compensation of $0.7 million was reflected as an increase to additional paid-in capital and an increase of $0.2 million was included in other accrued expenses, all of which was employee related.</w:t>
      </w:r>
    </w:p>
    <w:p>
      <w:pPr>
        <w:spacing w:after="0" w:line="107"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On January 4, 2016, the Company awarded performance restricted stock units under the 2010 Long-Term Incentive Plan to its executive officers (the "Recipients") and, in March 2016, the Company and each Recipient entered into an amended and restated stock unit agreement (the "Restated Stock Unit Agreement") amending the terms of the January 2016 awards. Under the Restated Stock Unit Agreements, vesting for the performance restricted stock units occurs at the end of a three-year performance period beginning January 1, 2016 (the "Performance Period") and is subject to achievement of both service-based and market-based performance vesting requirements. Subject generally to the Recipient's continued service with the Company (the service-based requirement) and limitations otherwise set forth in the 2010 Long-Term Incentive Plan, each performance restricted stock unit represents a contingent right for the Recipient to receive, within thirty days after the end of the performance period, a distribution of shares of common stock of the Company equal to 0% to 200% of the target number of performance restricted stock units subject to the award. The actual number of shares distributed will be based on the Company's total stockholder return ("TSR") performance during the Performance Period, subject to acceleration upon a change in control of the Company. The vesting for 50% of the performance restricted stock units is based upon the Company's absolute TSR for the performance period compared to a matrix of fixed numeric values and the vesting for the other 50% of the performance restricted stock units is based upon the relative comparison of the Company's TSR to the Vanguard Russell 2000 exchange traded fund TSR. The fair value of the performance restricted stock units will be recognized on a straight-line basis over the requisite service period of the awards, regardless of when, if ever, the market-based performance conditions are satisfied. On March 28, 2017, the Company awarded new performance restricted stock units under the 2017 Long-Term Incentive Plan to its executive officers. These awards have a three-year performance period beginning on January 1, 2017 and otherwise include the same performance-based and service-based vesting requirements as the previous awards.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The Company accounts for contingent liabilities in accordance with Accounting Standards Codification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584" w:right="279" w:bottom="1440" w:gutter="0" w:footer="0" w:header="0"/>
        </w:sectPr>
      </w:pPr>
    </w:p>
    <w:bookmarkStart w:id="15" w:name="page16"/>
    <w:bookmarkEnd w:id="15"/>
    <w:p>
      <w:pPr>
        <w:spacing w:after="0" w:line="302" w:lineRule="auto"/>
        <w:rPr>
          <w:sz w:val="20"/>
          <w:szCs w:val="20"/>
          <w:color w:val="auto"/>
        </w:rPr>
      </w:pPr>
      <w:r>
        <w:rPr>
          <w:rFonts w:ascii="Arial" w:cs="Arial" w:eastAsia="Arial" w:hAnsi="Arial"/>
          <w:sz w:val="16"/>
          <w:szCs w:val="16"/>
          <w:color w:val="auto"/>
        </w:rPr>
        <w:t>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September 30, 2017, and based on the assessment, there are no probable loss contingencies requiring accrual or disclosures within its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Accruals</w:t>
      </w:r>
    </w:p>
    <w:p>
      <w:pPr>
        <w:spacing w:after="0" w:line="144"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 impact any such losses, damages or remedies may have on the consolidated financial statements; and the unique facts and circumstances of the particular matter that may give rise to additional factors.</w:t>
      </w:r>
    </w:p>
    <w:p>
      <w:pPr>
        <w:spacing w:after="0" w:line="84"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b w:val="1"/>
          <w:bCs w:val="1"/>
          <w:color w:val="auto"/>
        </w:rPr>
        <w:t xml:space="preserve">Class Action Lawsuit: </w:t>
      </w:r>
      <w:r>
        <w:rPr>
          <w:rFonts w:ascii="Arial" w:cs="Arial" w:eastAsia="Arial" w:hAnsi="Arial"/>
          <w:sz w:val="16"/>
          <w:szCs w:val="16"/>
          <w:color w:val="auto"/>
        </w:rPr>
        <w:t>On September 15, 2016, a purported securities class action was filed in the United States District Court for the District of Utah,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entitled </w:t>
      </w:r>
      <w:r>
        <w:rPr>
          <w:rFonts w:ascii="Arial" w:cs="Arial" w:eastAsia="Arial" w:hAnsi="Arial"/>
          <w:sz w:val="16"/>
          <w:szCs w:val="16"/>
          <w:i w:val="1"/>
          <w:iCs w:val="1"/>
          <w:color w:val="auto"/>
        </w:rPr>
        <w:t>Zhang v. LifeVantage Corp</w:t>
      </w:r>
      <w:r>
        <w:rPr>
          <w:rFonts w:ascii="Arial" w:cs="Arial" w:eastAsia="Arial" w:hAnsi="Arial"/>
          <w:sz w:val="16"/>
          <w:szCs w:val="16"/>
          <w:color w:val="auto"/>
        </w:rPr>
        <w:t xml:space="preserve">., Case No. 2:16-cv-00965-BCW (D. Utah filed Sept. 15, 2016). In this action (later recaptioned as </w:t>
      </w:r>
      <w:r>
        <w:rPr>
          <w:rFonts w:ascii="Arial" w:cs="Arial" w:eastAsia="Arial" w:hAnsi="Arial"/>
          <w:sz w:val="16"/>
          <w:szCs w:val="16"/>
          <w:i w:val="1"/>
          <w:iCs w:val="1"/>
          <w:color w:val="auto"/>
        </w:rPr>
        <w:t>In re LifeVantage Corp.</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Litigation</w:t>
      </w:r>
      <w:r>
        <w:rPr>
          <w:rFonts w:ascii="Arial" w:cs="Arial" w:eastAsia="Arial" w:hAnsi="Arial"/>
          <w:sz w:val="16"/>
          <w:szCs w:val="16"/>
          <w:color w:val="auto"/>
        </w:rPr>
        <w:t>), plaintiff alleged that the Company, its Chief Executive Officer and former Chief Financial Officer violated Sections 10(b) and/or 20(a)</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Securities Exchange Act of 1934, 15 U.S.C. §§ 78j(b), 78t(a), and Rule 10b-5, 17 C.F.R. § 240.10b-5, promulgated thereunder, by making false or misleading statements or omissions in public filings with the Securities and Exchange Commission regarding the Company's internal controls and financial results for the first, second and third quarters of fiscal year 2016. The initial complaint sought unspecified damages against the defendants on behalf of a class of purchasers of the Company’s stock between November 4, 2015 and September 13, 2016. On December 13, 2016, the Court appointed Dale Blanch and Yvonne Cohen as lead plaintiffs and approved their selection of lead plaintiffs’ counsel. On January 27, 2017, lead plaintiffs filed an amended complaint largely reiterating the claims asserted in the original initial complaint and expanding the putative class period. On June 15, 2017, the Court granted defendants’ motion to dismiss the amended complaint, without prejudice, and permitted lead plaintiffs to file a motion for leave to file a second amended complaint. On July 6, 2017, lead plaintiffs filed a motion for leave to amend. On September 18, 2017, the Court denied lead plaintiffs’ motion for leave to amend and entered final judgment in favor of defendants and dismissed the case with prejudice. On October 17, 2017, the parties executed a stipulation whereby lead plaintiffs agreed not to take an appeal from the final judgment of dismissal in favor of defendants in exchange for mutual releases, without payment of any consideration by defendants. This case is now concluded.</w:t>
      </w:r>
    </w:p>
    <w:p>
      <w:pPr>
        <w:spacing w:after="0" w:line="9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b w:val="1"/>
          <w:bCs w:val="1"/>
          <w:color w:val="auto"/>
        </w:rPr>
        <w:t xml:space="preserve">Derivative Action Lawsuits: </w:t>
      </w:r>
      <w:r>
        <w:rPr>
          <w:rFonts w:ascii="Arial" w:cs="Arial" w:eastAsia="Arial" w:hAnsi="Arial"/>
          <w:sz w:val="17"/>
          <w:szCs w:val="17"/>
          <w:color w:val="auto"/>
        </w:rPr>
        <w:t>On October 11, 2016, two purported shareholder derivative actions were filed in the Third District Court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Utah, Salt Lake County, entitled Johnson v. Jensen, Case No. 160906320 MI (Utah Dist. filed Oct. 11, 2016), and Rupp v. Jensen, Case No. 160906321 MI (Utah Dist. filed Oct. 11, 2016). In these actions (which are substantively identical), plaintiffs, purportedly on behalf of the Company, allege that the Company's Chief Executive Officer, former Chief Financial Officer and members of the board of directors breached their fiduciary duties owed to the Company by, among other things, causing or permitting the Company to issue false and misleading statements or omissions in public filings with the Securities and Exchange Commission, as alleged in the class action lawsuit noted above. On October 19, 2016, the Court entered an order consolidating the two actions under the Johnson case number, with the new caption In re LifeVantage Corp. Derivative Litigation, providing that defendants and nominal defendant need not respond to the initial complaints and directing the parties to meet and confer within thirty days on a schedule for further proceedings in this action. On November 21, 2016, the Court approved a stipulation between the parties providing that (a) defendants and nominal defendant need not respond to the initial complaints and (b) within thirty days from the earlier of (i) the Company’s filing of its Form 10-K for fiscal year 2016 and (ii) plaintiffs’ filing of a consolidated amended complaint, the parties will meet and confer on a schedule regarding further proceedings in this action. On January 10, 2017, the Court approved a stipulation between the parties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6" w:name="page17"/>
    <w:bookmarkEnd w:id="16"/>
    <w:p>
      <w:pPr>
        <w:ind w:right="260"/>
        <w:spacing w:after="0" w:line="259" w:lineRule="auto"/>
        <w:rPr>
          <w:sz w:val="20"/>
          <w:szCs w:val="20"/>
          <w:color w:val="auto"/>
        </w:rPr>
      </w:pPr>
      <w:r>
        <w:rPr>
          <w:rFonts w:ascii="Arial" w:cs="Arial" w:eastAsia="Arial" w:hAnsi="Arial"/>
          <w:sz w:val="18"/>
          <w:szCs w:val="18"/>
          <w:color w:val="auto"/>
        </w:rPr>
        <w:t>providing that this action would be deferred (i.e., stayed) pending a ruling on defendants’ then-anticipated motion to dismiss the amended complaint in the Class Action Lawsuit. On March 13, 2017, plaintiffs filed a consolidated amended complaint. On July 14, 2017, the parties agree to continue the deferral (stay) of this action pending a ruling denying lead plaintiffs’ motion for leave to amend or on defendants’ anticipated motion to dismiss the amended complaint in the Class Action Lawsuit.</w:t>
      </w:r>
    </w:p>
    <w:p>
      <w:pPr>
        <w:spacing w:after="0" w:line="10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On January 30, 2017, another purported shareholder derivative action was filed in the United States District Court for the District of Utah, entitled </w:t>
      </w:r>
      <w:r>
        <w:rPr>
          <w:rFonts w:ascii="Arial" w:cs="Arial" w:eastAsia="Arial" w:hAnsi="Arial"/>
          <w:sz w:val="17"/>
          <w:szCs w:val="17"/>
          <w:i w:val="1"/>
          <w:iCs w:val="1"/>
          <w:color w:val="auto"/>
        </w:rPr>
        <w:t>Hansen v. Jensen</w:t>
      </w:r>
      <w:r>
        <w:rPr>
          <w:rFonts w:ascii="Arial" w:cs="Arial" w:eastAsia="Arial" w:hAnsi="Arial"/>
          <w:sz w:val="17"/>
          <w:szCs w:val="17"/>
          <w:color w:val="auto"/>
        </w:rPr>
        <w:t>, Case No. 2:17-cv-00075-DN (D. Utah filed Jan. 30, 2017). In this action, plaintiff, purportedly on behalf of the Company, alleges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Company’s Chief Executive Officer, former Chief Financial Officer and members of the board of directors violated Section 14(a) of the Securities Exchange Act of 1934, 15 U.S.C. § 78n(a), and breached their fiduciary duties owed to the Company by, among other things, causing or permitting the Company to issue false and misleading statements or omissions in public filings with the SEC, as alleged in the class action lawsuit noted above. On March 30, 2017, the parties entered into a stipulation providing that this action would be stayed pending a ruling on defendants’ motion to dismiss the amended complaint in the Class Action Lawsuit. On February 27, 2017, another purported shareholder derivative action was filed in the United States District Court for the District of Utah, entitled </w:t>
      </w:r>
      <w:r>
        <w:rPr>
          <w:rFonts w:ascii="Arial" w:cs="Arial" w:eastAsia="Arial" w:hAnsi="Arial"/>
          <w:sz w:val="17"/>
          <w:szCs w:val="17"/>
          <w:i w:val="1"/>
          <w:iCs w:val="1"/>
          <w:color w:val="auto"/>
        </w:rPr>
        <w:t>Baker v. Jensen</w:t>
      </w:r>
      <w:r>
        <w:rPr>
          <w:rFonts w:ascii="Arial" w:cs="Arial" w:eastAsia="Arial" w:hAnsi="Arial"/>
          <w:sz w:val="17"/>
          <w:szCs w:val="17"/>
          <w:color w:val="auto"/>
        </w:rPr>
        <w:t xml:space="preserve">, Case No. 2:17-cv-00141-PMW (D. Utah filed Feb. 27, 2017). Also, on April 24, 2017, another purported shareholder derivative action was filed in the United States District Court for the District of Utah, entitled </w:t>
      </w:r>
      <w:r>
        <w:rPr>
          <w:rFonts w:ascii="Arial" w:cs="Arial" w:eastAsia="Arial" w:hAnsi="Arial"/>
          <w:sz w:val="17"/>
          <w:szCs w:val="17"/>
          <w:i w:val="1"/>
          <w:iCs w:val="1"/>
          <w:color w:val="auto"/>
        </w:rPr>
        <w:t>Inforzato v. Jensen</w:t>
      </w:r>
      <w:r>
        <w:rPr>
          <w:rFonts w:ascii="Arial" w:cs="Arial" w:eastAsia="Arial" w:hAnsi="Arial"/>
          <w:sz w:val="17"/>
          <w:szCs w:val="17"/>
          <w:color w:val="auto"/>
        </w:rPr>
        <w:t xml:space="preserve">, Case No. 2:17-cv-00317-JNP (D. Utah filed Apr. 24, 2017). In these actions, plaintiffs, also purportedly on behalf of the Company, make similar allegations as the plaintiff in </w:t>
      </w:r>
      <w:r>
        <w:rPr>
          <w:rFonts w:ascii="Arial" w:cs="Arial" w:eastAsia="Arial" w:hAnsi="Arial"/>
          <w:sz w:val="17"/>
          <w:szCs w:val="17"/>
          <w:i w:val="1"/>
          <w:iCs w:val="1"/>
          <w:color w:val="auto"/>
        </w:rPr>
        <w:t>Hansen v. Jensen</w:t>
      </w:r>
      <w:r>
        <w:rPr>
          <w:rFonts w:ascii="Arial" w:cs="Arial" w:eastAsia="Arial" w:hAnsi="Arial"/>
          <w:sz w:val="17"/>
          <w:szCs w:val="17"/>
          <w:color w:val="auto"/>
        </w:rPr>
        <w:t xml:space="preserve">, described above. The parties in </w:t>
      </w:r>
      <w:r>
        <w:rPr>
          <w:rFonts w:ascii="Arial" w:cs="Arial" w:eastAsia="Arial" w:hAnsi="Arial"/>
          <w:sz w:val="17"/>
          <w:szCs w:val="17"/>
          <w:i w:val="1"/>
          <w:iCs w:val="1"/>
          <w:color w:val="auto"/>
        </w:rPr>
        <w:t>Baker</w:t>
      </w:r>
      <w:r>
        <w:rPr>
          <w:rFonts w:ascii="Arial" w:cs="Arial" w:eastAsia="Arial" w:hAnsi="Arial"/>
          <w:sz w:val="17"/>
          <w:szCs w:val="17"/>
          <w:color w:val="auto"/>
        </w:rPr>
        <w:t xml:space="preserve"> and </w:t>
      </w:r>
      <w:r>
        <w:rPr>
          <w:rFonts w:ascii="Arial" w:cs="Arial" w:eastAsia="Arial" w:hAnsi="Arial"/>
          <w:sz w:val="17"/>
          <w:szCs w:val="17"/>
          <w:i w:val="1"/>
          <w:iCs w:val="1"/>
          <w:color w:val="auto"/>
        </w:rPr>
        <w:t>Inforzato</w:t>
      </w:r>
      <w:r>
        <w:rPr>
          <w:rFonts w:ascii="Arial" w:cs="Arial" w:eastAsia="Arial" w:hAnsi="Arial"/>
          <w:sz w:val="17"/>
          <w:szCs w:val="17"/>
          <w:color w:val="auto"/>
        </w:rPr>
        <w:t xml:space="preserve"> similarly have agreed to stays of those actions pending a ruling on defendants’ motion to dismiss in the Class Action Lawsuit. All Derivative Action Lawsuits remain stayed.</w:t>
      </w:r>
    </w:p>
    <w:p>
      <w:pPr>
        <w:spacing w:after="0" w:line="9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 notes that although the plaintiffs in the Derivative Action Lawsuits purport to seek unspecified damages against the individual defendants on behalf of the Company, the Company owes certain indemnification obligations to these individual defendants under Colorado law and existing indemnification agreements. The Company has not established a loss contingency accrual for this lawsuit as it believes liability is not probable or estimable, and the defendants plan to vigorously defend against this lawsuit. Nonetheless, an unfavorable resolution of this matter could have a material adverse effect on the Company's business, results of operations or financial condition.</w:t>
      </w:r>
    </w:p>
    <w:p>
      <w:pPr>
        <w:spacing w:after="0" w:line="103" w:lineRule="exact"/>
        <w:rPr>
          <w:sz w:val="20"/>
          <w:szCs w:val="20"/>
          <w:color w:val="auto"/>
        </w:rPr>
      </w:pPr>
    </w:p>
    <w:p>
      <w:pPr>
        <w:ind w:right="100" w:firstLine="324"/>
        <w:spacing w:after="0" w:line="303" w:lineRule="auto"/>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In addition to the matters described above, the Company also may become involved in other litigation and regulatory matters incidental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148"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Effective January 2014, the Company commenced a partnership with Real Salt Lake of Major League Soccer, which includes the placement of the Company's logo on the front of the team’s jersey as well as strategic placement of the Company's logo around the stadium and on televised broadcasts of the games. In July 2015, Dell Loy Hansen, the sole owner of Real Salt Lake and Real Monarchs SLC, became a major stockholder of the Company. During the three months ended September 30, 2017, the Company paid $1.0 million to Real Salt Lake pursuant to the terms of this partnership, and other various amounts for the endorsement of Real Monarchs SLC and product marketing expenses. During fiscal year 2018, the Company will additionally pay approximately $3.0 million to Real Salt Lake pursuant to the terms of this partnership. During the three months ended September 30, 2016, no amounts were paid by the Company.</w:t>
      </w:r>
    </w:p>
    <w:p>
      <w:pPr>
        <w:spacing w:after="0" w:line="10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During the three months ended September 30, 2017, Gig Economy Group ("GEG") provided outsourced software application development services to the Company pursuant to an agreement entered into between the Company and GEG in the amount of $0.9 million. During the three months ended September 30, 2016, GEG did not provide services to the Company. David Toole, a member of the Company's board of directors, is a majority owner and an officer of GEG.</w:t>
      </w:r>
    </w:p>
    <w:p>
      <w:pPr>
        <w:spacing w:after="0" w:line="102" w:lineRule="exact"/>
        <w:rPr>
          <w:sz w:val="20"/>
          <w:szCs w:val="20"/>
          <w:color w:val="auto"/>
        </w:rPr>
      </w:pPr>
    </w:p>
    <w:p>
      <w:pPr>
        <w:ind w:right="3980"/>
        <w:spacing w:after="0" w:line="409"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are a company focused on bio-hacking the aging code through nutrigenomics, the study of how nutrition and naturally occurring compounds affect human genes. We are dedicated to helping people achieve their health, wellness and financial independence goals. We provide quality, scientifically-validated products and a financially rewarding direct sales business opportunity to preferred customers, retail customers and independent distributors who seek a healthy lifestyle and financial freedom. We engage in the identification, research, development and distribution of advanced nutraceutical dietary supplements and skin care products. We currently sell our products to preferred customers, retail customers and independent distributors in two geographic regions that we have classified as the Americas region and the Asia/Pacific &amp; Europe region.</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17" w:name="page18"/>
    <w:bookmarkEnd w:id="17"/>
    <w:p>
      <w:pPr>
        <w:ind w:firstLine="405"/>
        <w:spacing w:after="0" w:line="277" w:lineRule="auto"/>
        <w:rPr>
          <w:sz w:val="20"/>
          <w:szCs w:val="20"/>
          <w:color w:val="auto"/>
        </w:rPr>
      </w:pPr>
      <w:r>
        <w:rPr>
          <w:rFonts w:ascii="Arial" w:cs="Arial" w:eastAsia="Arial" w:hAnsi="Arial"/>
          <w:sz w:val="18"/>
          <w:szCs w:val="18"/>
          <w:color w:val="auto"/>
        </w:rPr>
        <w:t>Our revenue depends on the number and productivity of our independent distributors and the number of our retail and preferred customers. When we are successful in attracting and retaining independent distributors and preferred customers, it is largely because of:</w:t>
      </w:r>
    </w:p>
    <w:p>
      <w:pPr>
        <w:spacing w:after="0" w:line="89" w:lineRule="exact"/>
        <w:rPr>
          <w:sz w:val="20"/>
          <w:szCs w:val="20"/>
          <w:color w:val="auto"/>
        </w:rPr>
      </w:pPr>
    </w:p>
    <w:p>
      <w:pPr>
        <w:ind w:left="740" w:right="20" w:hanging="327"/>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scientifically-validated products, including our Protandim® product line, TrueScience® anti-aging skin care line, Petandim™ for Dogs, Axio® Smart Energy Drink mixes and PhysIQ™ Smart Weight Management System;</w:t>
      </w:r>
    </w:p>
    <w:p>
      <w:pPr>
        <w:spacing w:after="0" w:line="89"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compensation plan and other sales initiatives; and</w:t>
      </w:r>
    </w:p>
    <w:p>
      <w:pPr>
        <w:spacing w:after="0" w:line="144"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14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a result, it is vital to our success that we leverage our product development resources to develop and introduce compelling and innovative products and provide opportunities for our independent distributors to sell these products in a variety of markets.</w:t>
      </w:r>
    </w:p>
    <w:p>
      <w:pPr>
        <w:spacing w:after="0" w:line="8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We have begun selling our products and attracting new independent distributors and preferred customers in several new markets since the beginning of our direct selling activities in 2009, including Japan, Hong Kong, Australia, Canada, Mexico, Thailand, the United Kingdom, the Netherlands and Germany. In addition, we expect to expand into China in the near term through a new e-commerce business model. Entering a new market requires a considerable amount of time, resources and continued support. If we are unable to properly support an existing or new market, our revenue growth may be negatively impacted.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8" w:lineRule="exact"/>
        <w:rPr>
          <w:sz w:val="20"/>
          <w:szCs w:val="20"/>
          <w:color w:val="auto"/>
        </w:rPr>
      </w:pPr>
    </w:p>
    <w:p>
      <w:pPr>
        <w:ind w:right="40" w:firstLine="405"/>
        <w:spacing w:after="0" w:line="224" w:lineRule="auto"/>
        <w:rPr>
          <w:sz w:val="20"/>
          <w:szCs w:val="20"/>
          <w:color w:val="auto"/>
        </w:rPr>
      </w:pPr>
      <w:r>
        <w:rPr>
          <w:rFonts w:ascii="Arial" w:cs="Arial" w:eastAsia="Arial" w:hAnsi="Arial"/>
          <w:sz w:val="16"/>
          <w:szCs w:val="16"/>
          <w:color w:val="auto"/>
        </w:rPr>
        <w:t>Our products are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the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skin care line, Axio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Energy Drink mixes,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Weight Management System and Petandim™ for Dogs.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includes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and Nrf2 Synergizers™.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Synergizer is formulated to increase cellular energy and performance by boosting mitochondria production to improve cellular repair and slow cellular aging.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Our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skin care line includes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Facial Cleanser,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Perfecting Lotion,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Eye Serum,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Cream and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Micro-Lift Serum. Axio</w:t>
      </w:r>
      <w:r>
        <w:rPr>
          <w:rFonts w:ascii="Arial" w:cs="Arial" w:eastAsia="Arial" w:hAnsi="Arial"/>
          <w:sz w:val="22"/>
          <w:szCs w:val="22"/>
          <w:b w:val="1"/>
          <w:bCs w:val="1"/>
          <w:color w:val="auto"/>
          <w:vertAlign w:val="superscript"/>
        </w:rPr>
        <w:t>®</w:t>
      </w:r>
      <w:r>
        <w:rPr>
          <w:rFonts w:ascii="Arial" w:cs="Arial" w:eastAsia="Arial" w:hAnsi="Arial"/>
          <w:sz w:val="16"/>
          <w:szCs w:val="16"/>
          <w:color w:val="auto"/>
        </w:rPr>
        <w:t xml:space="preserve"> is our line of Smart Energy Drink mixes formulated to promote alertness and support mental performance.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our Smart Weight Management System which includes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Fat Burn,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ProBio,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Cleanse and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Protein Shake mix, all formulated to aid in weight management. Petandim™ for Dogs is a supplement specially formulated to combat oxidative stress in dogs through Nrf2 activation.</w:t>
      </w:r>
    </w:p>
    <w:p>
      <w:pPr>
        <w:spacing w:after="0" w:line="128"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preferred customers and retail customers.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Because we utilize a direct selling model for the distribution of our products, the success and growth of our business is primarily based on the effectiveness of our independent distributors in selling our products and on our ability to attract new and retain existing independent distributors. Changes in our product sales are typically the result of variations in product sales volume relating to fluctuations in the number of active independent distributors and preferred customers purchasing our products. The number of active independent distributors and preferred customers is, therefore, used by management as a key non-financial measure.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4" w:right="259" w:bottom="1440" w:gutter="0" w:footer="0" w:header="0"/>
        </w:sectPr>
      </w:pPr>
    </w:p>
    <w:bookmarkStart w:id="18" w:name="page19"/>
    <w:bookmarkEnd w:id="18"/>
    <w:p>
      <w:pPr>
        <w:ind w:right="80" w:firstLine="405"/>
        <w:spacing w:after="0" w:line="286" w:lineRule="auto"/>
        <w:rPr>
          <w:sz w:val="20"/>
          <w:szCs w:val="20"/>
          <w:color w:val="auto"/>
        </w:rPr>
      </w:pPr>
      <w:r>
        <w:rPr>
          <w:rFonts w:ascii="Arial" w:cs="Arial" w:eastAsia="Arial" w:hAnsi="Arial"/>
          <w:sz w:val="17"/>
          <w:szCs w:val="17"/>
          <w:color w:val="auto"/>
        </w:rPr>
        <w:t>The following tables summarize the changes in our active customer base by geographic region. These numbers have been rounded to the nearest thousand as of the dates indicated. For purposes of this report, we only count as active customers those independent distributors and preferred customers who have purchased from us at any time during the most recent three-month period, either for personal use or for resale.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2"/>
              </w:rPr>
              <w:t>Active Preferred Customers By Region</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center"/>
              <w:ind w:right="740"/>
              <w:spacing w:after="0"/>
              <w:rPr>
                <w:sz w:val="20"/>
                <w:szCs w:val="20"/>
                <w:color w:val="auto"/>
              </w:rPr>
            </w:pPr>
            <w:r>
              <w:rPr>
                <w:rFonts w:ascii="Arial" w:cs="Arial" w:eastAsia="Arial" w:hAnsi="Arial"/>
                <w:sz w:val="14"/>
                <w:szCs w:val="14"/>
                <w:b w:val="1"/>
                <w:bCs w:val="1"/>
                <w:color w:val="auto"/>
                <w:w w:val="92"/>
              </w:rPr>
              <w:t>As of September 30,</w:t>
            </w: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1600" w:type="dxa"/>
            <w:vAlign w:val="bottom"/>
            <w:gridSpan w:val="3"/>
            <w:vMerge w:val="restart"/>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Change from</w:t>
            </w:r>
          </w:p>
        </w:tc>
        <w:tc>
          <w:tcPr>
            <w:tcW w:w="100" w:type="dxa"/>
            <w:vAlign w:val="bottom"/>
          </w:tcPr>
          <w:p>
            <w:pPr>
              <w:spacing w:after="0"/>
              <w:rPr>
                <w:sz w:val="12"/>
                <w:szCs w:val="12"/>
                <w:color w:val="auto"/>
              </w:rPr>
            </w:pP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Prior Year</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109,000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114,000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8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w w:val="93"/>
              </w:rPr>
              <w:t>Active Independent Distributors By Region</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center"/>
              <w:ind w:right="740"/>
              <w:spacing w:after="0"/>
              <w:rPr>
                <w:sz w:val="20"/>
                <w:szCs w:val="20"/>
                <w:color w:val="auto"/>
              </w:rPr>
            </w:pPr>
            <w:r>
              <w:rPr>
                <w:rFonts w:ascii="Arial" w:cs="Arial" w:eastAsia="Arial" w:hAnsi="Arial"/>
                <w:sz w:val="14"/>
                <w:szCs w:val="14"/>
                <w:b w:val="1"/>
                <w:bCs w:val="1"/>
                <w:color w:val="auto"/>
                <w:w w:val="92"/>
              </w:rPr>
              <w:t>As of September 30,</w:t>
            </w: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1600" w:type="dxa"/>
            <w:vAlign w:val="bottom"/>
            <w:gridSpan w:val="3"/>
            <w:vMerge w:val="restart"/>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Change from</w:t>
            </w:r>
          </w:p>
        </w:tc>
        <w:tc>
          <w:tcPr>
            <w:tcW w:w="100" w:type="dxa"/>
            <w:vAlign w:val="bottom"/>
          </w:tcPr>
          <w:p>
            <w:pPr>
              <w:spacing w:after="0"/>
              <w:rPr>
                <w:sz w:val="12"/>
                <w:szCs w:val="12"/>
                <w:color w:val="auto"/>
              </w:rPr>
            </w:pP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Prior Year</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63,000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68,000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2017 compared to the Three Months Ended September 30, 2016</w:t>
      </w:r>
    </w:p>
    <w:p>
      <w:pPr>
        <w:spacing w:after="0" w:line="144"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We generated net revenue of $49.1 million and $54.9 million during the three months ended September 30, 2017 and 2016,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currency fluctuations negatively impacted our revenue $0.7 million or 1.4% during the three months ended September 30, 2017. During the three months ended September 30, 2017, revenues in our United States and Hong Kong markets decreased as compared to the prior year period as we took steps, following the completion of the independent review conducted by the audit committee of our board of directors, to help ensure that our products are not distributed or sold into countries without complying with applicable customs, tax and other regulatory requirements and to appropriately verify the residency of individuals who want to become our independent distributors.</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Americas</w:t>
      </w:r>
      <w:r>
        <w:rPr>
          <w:rFonts w:ascii="Arial" w:cs="Arial" w:eastAsia="Arial" w:hAnsi="Arial"/>
          <w:sz w:val="17"/>
          <w:szCs w:val="17"/>
          <w:color w:val="auto"/>
        </w:rPr>
        <w:t>. The following table sets forth revenue for the three months ended September 30, 2017 and 2016 for the Americas region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64"/>
        </w:trPr>
        <w:tc>
          <w:tcPr>
            <w:tcW w:w="564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34,115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38,618</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2,048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1,517</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5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7"/>
        </w:trPr>
        <w:tc>
          <w:tcPr>
            <w:tcW w:w="5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 Total</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36,163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40,135</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5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Revenue in the Americas region for the three months ended September 30, 2017 decreased $4.0 million or 9.9% from the prior year same period. The policies that we implemented in connection with the audit committee review as discussed above were the primary factor for the decline in revenue for the three months ended September 30, 2017, along with an overall decrease in the number of active preferred customers and active independent distributors.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ind w:right="180" w:firstLine="405"/>
        <w:spacing w:after="0" w:line="277" w:lineRule="auto"/>
        <w:rPr>
          <w:sz w:val="20"/>
          <w:szCs w:val="20"/>
          <w:color w:val="auto"/>
        </w:rPr>
      </w:pPr>
      <w:r>
        <w:rPr>
          <w:rFonts w:ascii="Arial" w:cs="Arial" w:eastAsia="Arial" w:hAnsi="Arial"/>
          <w:sz w:val="18"/>
          <w:szCs w:val="18"/>
          <w:u w:val="single" w:color="auto"/>
          <w:color w:val="auto"/>
        </w:rPr>
        <w:t>Asia/Pacific &amp; Europe</w:t>
      </w:r>
      <w:r>
        <w:rPr>
          <w:rFonts w:ascii="Arial" w:cs="Arial" w:eastAsia="Arial" w:hAnsi="Arial"/>
          <w:sz w:val="18"/>
          <w:szCs w:val="18"/>
          <w:color w:val="auto"/>
        </w:rPr>
        <w:t>. The following table sets forth revenue for the three months ended September 30, 2017 and 2016 for the Asia/Pacific &amp; Europe region and its principal markets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64"/>
        </w:trPr>
        <w:tc>
          <w:tcPr>
            <w:tcW w:w="564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10,607</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Hong Kong</w:t>
            </w:r>
          </w:p>
        </w:tc>
        <w:tc>
          <w:tcPr>
            <w:tcW w:w="1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2,623</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(90.6)%</w:t>
            </w:r>
          </w:p>
        </w:tc>
      </w:tr>
      <w:tr>
        <w:trPr>
          <w:trHeight w:val="27"/>
        </w:trPr>
        <w:tc>
          <w:tcPr>
            <w:tcW w:w="5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21.7 %</w:t>
            </w:r>
          </w:p>
        </w:tc>
      </w:tr>
      <w:tr>
        <w:trPr>
          <w:trHeight w:val="257"/>
        </w:trPr>
        <w:tc>
          <w:tcPr>
            <w:tcW w:w="5640" w:type="dxa"/>
            <w:vAlign w:val="bottom"/>
          </w:tcPr>
          <w:p>
            <w:pPr>
              <w:ind w:left="500"/>
              <w:spacing w:after="0"/>
              <w:rPr>
                <w:sz w:val="20"/>
                <w:szCs w:val="20"/>
                <w:color w:val="auto"/>
              </w:rPr>
            </w:pPr>
            <w:r>
              <w:rPr>
                <w:rFonts w:ascii="Arial" w:cs="Arial" w:eastAsia="Arial" w:hAnsi="Arial"/>
                <w:sz w:val="18"/>
                <w:szCs w:val="18"/>
                <w:color w:val="auto"/>
              </w:rPr>
              <w:t>Asia/Pacific &amp; Europe Total</w:t>
            </w: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12,964</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14,759</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5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Revenue in the Asia/Pacific &amp; Europe region was negatively impacted approximately $0.8 million or 5.6% during the three months ended September 30, 2017, as compared to the prior year period, by foreign currency exchange rate fluctuations. The negative impact for the region was primarily due to the weakening of the Japanese yen against the U.S. dollar, as compared to the prior year period, negatively impacting our revenue in Japan by $0.9 million or 8.5%. On a constant currency basis, revenue in Japan increased 10.9% primarily due to a successful elite academy event held in Japan in September 2017. The policies that we implemented in connection with the audit committee review as disclosed previously contributed to the decline in revenue in Hong Kong.</w:t>
      </w:r>
    </w:p>
    <w:p>
      <w:pPr>
        <w:spacing w:after="0" w:line="112"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We continue to focus on strengthening our core business, including the expansion of our product offering and expanding our global footprint. These efforts include the development and enhancement of distributor tools, training aids and technology, the scientific research and development of new products, and entrance into new markets. During the three months ended September 30, 2017, we launched business operations in Germany and held events for our independent distributors in the US, Canada and Japan. We are investing in both internal and external technology tools that we expect will help our independent distributors grow their business and help us better operate our business. We remain committed to pursuing growth in each of our markets and operating our business in accordance with our strengthened business practices.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gross profit percentage for the three months ended September 30, 2017 and 2016 was 82.2% and 83.9%, respectively.</w:t>
      </w:r>
    </w:p>
    <w:p>
      <w:pPr>
        <w:spacing w:after="0" w:line="156"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As a percentage of total revenues, cost of sales for the three months ended September 30, 2017 increased to 17.8% compared to 16.1% for the three months ended September 30, 2016. The increase in cost of sales as a percentage of revenue for the three months ended September 30, 2017, as compared to the prior year same period, is due primarily to increased costs associated with product and geographic sales mix.</w:t>
      </w:r>
    </w:p>
    <w:p>
      <w:pPr>
        <w:spacing w:after="0" w:line="8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during the three months ended September 30, 2017 decreased to $39.0 million or 79.4% of revenues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operating expenses of $44.1 million or 80.3% of revenues during the three months ended September 30, 2016. Operating expenses consist of commission and incentives expenses and selling, general and administrative expenses.</w:t>
      </w:r>
    </w:p>
    <w:p>
      <w:pPr>
        <w:spacing w:after="0" w:line="100"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i w:val="1"/>
          <w:iCs w:val="1"/>
          <w:color w:val="auto"/>
        </w:rPr>
        <w:t xml:space="preserve">Commissions and Incentives. </w:t>
      </w:r>
      <w:r>
        <w:rPr>
          <w:rFonts w:ascii="Arial" w:cs="Arial" w:eastAsia="Arial" w:hAnsi="Arial"/>
          <w:sz w:val="16"/>
          <w:szCs w:val="16"/>
          <w:color w:val="auto"/>
        </w:rPr>
        <w:t>Commissions and incentives expenses during the three months ended September 30, 2017 were $23.4 million or 47.6%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as compared to commissions and incentives expenses of $26.3 million or 47.9% of revenues for the three months ended September 30, 2016.</w:t>
      </w:r>
    </w:p>
    <w:p>
      <w:pPr>
        <w:spacing w:after="0" w:line="4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overall decrease in commissions and incentives expenses for the three months ended September 30, 2017 as compared to the prior year period is due to the overall decrease in revenue and refinements to our commission and incentive programs.</w:t>
      </w:r>
    </w:p>
    <w:p>
      <w:pPr>
        <w:spacing w:after="0" w:line="8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expect commissions and incentives expenses to remain relatively stable as a percentage of net sales during the remainder of fiscal 2018, with some fluctuations caused by changes to compensation and incentive programs and initiatives.</w:t>
      </w:r>
    </w:p>
    <w:p>
      <w:pPr>
        <w:spacing w:after="0" w:line="89"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during the three months ended September 30, 2017 were $15.6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as compared to selling, general and administrative expenses of $17.8 million for the three months ended September 30, 2016.</w:t>
      </w:r>
    </w:p>
    <w:p>
      <w:pPr>
        <w:spacing w:after="0" w:line="66" w:lineRule="exact"/>
        <w:rPr>
          <w:sz w:val="20"/>
          <w:szCs w:val="20"/>
          <w:color w:val="auto"/>
        </w:rPr>
      </w:pPr>
    </w:p>
    <w:p>
      <w:pPr>
        <w:ind w:right="40" w:firstLine="432"/>
        <w:spacing w:after="0" w:line="327" w:lineRule="auto"/>
        <w:rPr>
          <w:sz w:val="20"/>
          <w:szCs w:val="20"/>
          <w:color w:val="auto"/>
        </w:rPr>
      </w:pPr>
      <w:r>
        <w:rPr>
          <w:rFonts w:ascii="Arial" w:cs="Arial" w:eastAsia="Arial" w:hAnsi="Arial"/>
          <w:sz w:val="15"/>
          <w:szCs w:val="15"/>
          <w:color w:val="auto"/>
        </w:rPr>
        <w:t>The decrease in selling, general and administrative expenses during the three months ended September 30, 2017 compared to the prior year same period was primarily due to decreased legal and accounting expenses associated with the independent review conducted by the audit committee of our board of directors, which was completed December 2016. Additionally, expenses associated with stock compensation, employee salaries and benefits and recruiting decreased due to changes to our management team as well as decreases in bank fees realized during the current period as a result of the decrease in revenues.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ind w:right="780" w:firstLine="432"/>
        <w:spacing w:after="0" w:line="277" w:lineRule="auto"/>
        <w:rPr>
          <w:sz w:val="20"/>
          <w:szCs w:val="20"/>
          <w:color w:val="auto"/>
        </w:rPr>
      </w:pPr>
      <w:r>
        <w:rPr>
          <w:rFonts w:ascii="Arial" w:cs="Arial" w:eastAsia="Arial" w:hAnsi="Arial"/>
          <w:sz w:val="18"/>
          <w:szCs w:val="18"/>
          <w:color w:val="auto"/>
        </w:rPr>
        <w:t>We expect selling, general and administrative expenses, as a percent of revenue, to remain relatively consistent as we execute on our strategic initiatives.</w:t>
      </w:r>
    </w:p>
    <w:p>
      <w:pPr>
        <w:spacing w:after="0" w:line="89"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i w:val="1"/>
          <w:iCs w:val="1"/>
          <w:color w:val="auto"/>
        </w:rPr>
        <w:t xml:space="preserve">Total Other Expense. </w:t>
      </w:r>
      <w:r>
        <w:rPr>
          <w:rFonts w:ascii="Arial" w:cs="Arial" w:eastAsia="Arial" w:hAnsi="Arial"/>
          <w:sz w:val="18"/>
          <w:szCs w:val="18"/>
          <w:color w:val="auto"/>
        </w:rPr>
        <w:t>During the three months ended September 30, 2017, we recognized net other expenses of $0.1 million, as compared to net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$0.3 million for the three months ended September 30, 2016. Total other expense for the three months ended September 30, 2017 consisted primarily of interest expense and net currency gains.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interest expense for the three months ended September 30, 2017 and 2016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1260" w:type="dxa"/>
            <w:vAlign w:val="bottom"/>
          </w:tcPr>
          <w:p>
            <w:pPr>
              <w:jc w:val="right"/>
              <w:ind w:right="105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7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deferred financing fees:</w:t>
            </w: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12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7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discount:</w:t>
            </w: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12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7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1260" w:type="dxa"/>
            <w:vAlign w:val="bottom"/>
            <w:tcBorders>
              <w:top w:val="single" w:sz="8" w:color="auto"/>
              <w:bottom w:val="single" w:sz="8" w:color="auto"/>
            </w:tcBorders>
          </w:tcPr>
          <w:p>
            <w:pPr>
              <w:jc w:val="right"/>
              <w:ind w:right="10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r>
      <w:tr>
        <w:trPr>
          <w:trHeight w:val="20"/>
        </w:trPr>
        <w:tc>
          <w:tcPr>
            <w:tcW w:w="7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We recognized income tax expense of $0.4 million for the three months ended September 30, 2017, as compared to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$0.5 million for the three months ended September 30, 2016.</w:t>
      </w:r>
    </w:p>
    <w:p>
      <w:pPr>
        <w:spacing w:after="0" w:line="89" w:lineRule="exact"/>
        <w:rPr>
          <w:sz w:val="20"/>
          <w:szCs w:val="20"/>
          <w:color w:val="auto"/>
        </w:rPr>
      </w:pPr>
    </w:p>
    <w:p>
      <w:pPr>
        <w:jc w:val="both"/>
        <w:ind w:right="300" w:firstLine="432"/>
        <w:spacing w:after="0" w:line="286" w:lineRule="auto"/>
        <w:rPr>
          <w:sz w:val="20"/>
          <w:szCs w:val="20"/>
          <w:color w:val="auto"/>
        </w:rPr>
      </w:pPr>
      <w:r>
        <w:rPr>
          <w:rFonts w:ascii="Arial" w:cs="Arial" w:eastAsia="Arial" w:hAnsi="Arial"/>
          <w:sz w:val="17"/>
          <w:szCs w:val="17"/>
          <w:color w:val="auto"/>
        </w:rPr>
        <w:t>The effective tax rate was 35.1% of pre-tax income during the three months ended September 30, 2017, compared to 29.7% for the same prior year period. The increase in the effective tax rate for the three months ended September 30, 2017 compared to the prior year period is due to changes in current income projections and the impact of certain discrete and permanent items and return to provision adjustments.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4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Our primary liquidity and capital resource requirements are to service our debt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10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September 30, 2017, our available liquidity was $12.3 million, which consisted of available cash and cash equivalents. This represents an increase of $0.8 million from the $11.5 million in cash and cash equivalents as of June 30, 2017.</w:t>
      </w:r>
    </w:p>
    <w:p>
      <w:pPr>
        <w:spacing w:after="0" w:line="8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During the three months ended September 30, 2017, our net cash provided by operating activities was $2.5 million as compared to net cash provided by operating activities of $2.9 million during the three months ended September 30, 2016.</w:t>
      </w:r>
    </w:p>
    <w:p>
      <w:pPr>
        <w:spacing w:after="0" w:line="89"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During the three months ended September 30, 2017, our net cash used in investing activities was $1.2 million, as a result of our investment in new technology assets and the purchase of fixed assets. During the three months ended September 30, 2016, our net cash used in investing activities was $0.1 million, as a result of the purchase of fixed assets.</w:t>
      </w:r>
    </w:p>
    <w:p>
      <w:pPr>
        <w:spacing w:after="0" w:line="100" w:lineRule="exact"/>
        <w:rPr>
          <w:sz w:val="20"/>
          <w:szCs w:val="20"/>
          <w:color w:val="auto"/>
        </w:rPr>
      </w:pPr>
    </w:p>
    <w:p>
      <w:pPr>
        <w:jc w:val="both"/>
        <w:ind w:right="420" w:firstLine="432"/>
        <w:spacing w:after="0" w:line="277" w:lineRule="auto"/>
        <w:rPr>
          <w:sz w:val="20"/>
          <w:szCs w:val="20"/>
          <w:color w:val="auto"/>
        </w:rPr>
      </w:pPr>
      <w:r>
        <w:rPr>
          <w:rFonts w:ascii="Arial" w:cs="Arial" w:eastAsia="Arial" w:hAnsi="Arial"/>
          <w:sz w:val="18"/>
          <w:szCs w:val="18"/>
          <w:color w:val="auto"/>
        </w:rPr>
        <w:t>Cash used in financing activities during the three months ended September 30, 2017 and 2016 was $0.5 million and $0.5 million, respectively, as a result of our quarterly principal payments on the March 2016 Term Loan.</w:t>
      </w:r>
    </w:p>
    <w:p>
      <w:pPr>
        <w:spacing w:after="0" w:line="8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At September 30, 2017 and June 30, 2017, the total amount of our foreign subsidiary cash was $7.1 million and $6.6 million, respectively. For earnings considered to be indefinitely reinvested, we have not accrued taxes. If we were to remit the cash and cash equivalents from our foreign subsidiaries to our U.S. consolidated group for the purpose of repatriation of undistributed earnings, we would need to accrue and pay taxes. As of September 30, 2017, our U.S. consolidated group had approximately $2.7 million of permanently reinvested unremitted earnings from our subsidiaries. We do not have any plans to repatriate these unremitted earnings to our parent; therefore, we do not have any liquidity concerns relating to these unremitted earnings and related cash and cash equivalents.</w:t>
      </w:r>
    </w:p>
    <w:p>
      <w:pPr>
        <w:spacing w:after="0" w:line="11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At September 30, 2017, we had working capital (current assets minus current liabilities) of $11.9 million, compared to working capital of $12.2 million at June 30, 2017. We believe that our cash and cash equivalents balances and our ongoing cash</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120"/>
        <w:spacing w:after="0" w:line="255" w:lineRule="auto"/>
        <w:rPr>
          <w:sz w:val="20"/>
          <w:szCs w:val="20"/>
          <w:color w:val="auto"/>
        </w:rPr>
      </w:pPr>
      <w:r>
        <w:rPr>
          <w:rFonts w:ascii="Arial" w:cs="Arial" w:eastAsia="Arial" w:hAnsi="Arial"/>
          <w:sz w:val="18"/>
          <w:szCs w:val="18"/>
          <w:color w:val="auto"/>
        </w:rPr>
        <w:t>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we would consider realigning our strategic plans including a reduction in capital spending and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44"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On March 30, 2016, we entered into a Loan Agreement (the “March 2016 Loan Agreement”) to refinance our outstanding debt. In connection with the March 2016 Loan Agreement and on the same date, we entered into a security agreement (the “Security Agreement”). The March 2016 Loan Agreement provides for a term loan in an aggregate principal amount of $10.0 million (the “March 2016 Term Loan") and a revolving loan facility in an aggregate principal amount not to exceed $2.0 million (the “March 2016 Revolving Loan,” and collectively with the March 2016 Term Loan, the March 2016 Loan Agreement and the Security Agreement, the “March 2016 Credit Facility”).</w:t>
      </w:r>
    </w:p>
    <w:p>
      <w:pPr>
        <w:spacing w:after="0" w:line="107"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The principal amount of the March 2016 Term Loan is payable in consecutive quarterly installments in the amount of $0.5 million plus accrued interest beginning with the fiscal quarter ended June 30, 2016 and maturing on March 30, 2019 (the “Maturity Date”). The March 2016 Term Loan bears interest at a fixed rate of 4.93%. If we borrow under the March 2016 Revolving Loan, interest will be payable quarterly in arrears on the last day of each fiscal quarter at a variable rate equal to the 30 day LIBOR Rate plus 3.50%.</w:t>
      </w:r>
    </w:p>
    <w:p>
      <w:pPr>
        <w:spacing w:after="0" w:line="10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March 2016 Credit Facility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September 30, 2017, we were in compliance with all applicable non-financial and restrictive covenants under the March 2016 Credit Facility.</w:t>
      </w:r>
    </w:p>
    <w:p>
      <w:pPr>
        <w:spacing w:after="0" w:line="107"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 March 2016 Credit Facility also contains various financial covenants that require us to maintain certain consolidated minimum tangible net worth, minimum consolidated working capital amounts, and certain consolidated debt to EBITDA and fixed charge coverage ratios. Specifically, we must:</w:t>
      </w:r>
    </w:p>
    <w:p>
      <w:pPr>
        <w:spacing w:after="0" w:line="43" w:lineRule="exact"/>
        <w:rPr>
          <w:sz w:val="20"/>
          <w:szCs w:val="20"/>
          <w:color w:val="auto"/>
        </w:rPr>
      </w:pPr>
    </w:p>
    <w:p>
      <w:pPr>
        <w:ind w:left="660" w:right="32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March 2016 Loan Agreement) of at least 1.50 to 1.00 at the end of each fiscal quarter, measured on a trailing twelve month basis;</w:t>
      </w:r>
    </w:p>
    <w:p>
      <w:pPr>
        <w:spacing w:after="0" w:line="89" w:lineRule="exact"/>
        <w:rPr>
          <w:rFonts w:ascii="Arial" w:cs="Arial" w:eastAsia="Arial" w:hAnsi="Arial"/>
          <w:sz w:val="18"/>
          <w:szCs w:val="18"/>
          <w:color w:val="auto"/>
        </w:rPr>
      </w:pPr>
    </w:p>
    <w:p>
      <w:pPr>
        <w:ind w:left="660" w:right="30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March 2016 Loan Agreement) at the end of each fiscal quarter of at least $5.0 million;</w:t>
      </w:r>
    </w:p>
    <w:p>
      <w:pPr>
        <w:spacing w:after="0" w:line="89" w:lineRule="exact"/>
        <w:rPr>
          <w:rFonts w:ascii="Arial" w:cs="Arial" w:eastAsia="Arial" w:hAnsi="Arial"/>
          <w:sz w:val="18"/>
          <w:szCs w:val="18"/>
          <w:color w:val="auto"/>
        </w:rPr>
      </w:pPr>
    </w:p>
    <w:p>
      <w:pPr>
        <w:ind w:left="660" w:right="52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ratio of funded debt to EBITDA (as defined in the March 2016 Loan Agreement) of not greater than 2.00 to 1.00 at the end of each quarter, measured on a trailing twelve month basis; and</w:t>
      </w:r>
    </w:p>
    <w:p>
      <w:pPr>
        <w:spacing w:after="0" w:line="89" w:lineRule="exact"/>
        <w:rPr>
          <w:rFonts w:ascii="Arial" w:cs="Arial" w:eastAsia="Arial" w:hAnsi="Arial"/>
          <w:sz w:val="18"/>
          <w:szCs w:val="18"/>
          <w:color w:val="auto"/>
        </w:rPr>
      </w:pPr>
    </w:p>
    <w:p>
      <w:pPr>
        <w:ind w:left="660" w:right="26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a tangible net worth (as defined in the March 2016 Loan Agreement) of at least $4.0 million by the end of our 2016 fiscal year and maintain that minimum tangible net worth thereafter, measured annually at fiscal year-end.</w:t>
      </w:r>
    </w:p>
    <w:p>
      <w:pPr>
        <w:spacing w:after="0" w:line="89" w:lineRule="exact"/>
        <w:rPr>
          <w:sz w:val="20"/>
          <w:szCs w:val="20"/>
          <w:color w:val="auto"/>
        </w:rPr>
      </w:pPr>
    </w:p>
    <w:p>
      <w:pPr>
        <w:ind w:right="800" w:firstLine="405"/>
        <w:spacing w:after="0" w:line="342" w:lineRule="auto"/>
        <w:rPr>
          <w:sz w:val="20"/>
          <w:szCs w:val="20"/>
          <w:color w:val="auto"/>
        </w:rPr>
      </w:pPr>
      <w:r>
        <w:rPr>
          <w:rFonts w:ascii="Arial" w:cs="Arial" w:eastAsia="Arial" w:hAnsi="Arial"/>
          <w:sz w:val="16"/>
          <w:szCs w:val="16"/>
          <w:color w:val="auto"/>
        </w:rPr>
        <w:t>As of September 30, 2017, we were in compliance with all applicable financial covenants under the March 2016 Credit Facility. Additionally, management anticipates that in the normal course of operations we will be in compliance with the financial covenants during the ensuing year.</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contractual payment obligations and commitments as of September 30, 2017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3"/>
                <w:szCs w:val="13"/>
                <w:color w:val="auto"/>
              </w:rPr>
            </w:pPr>
          </w:p>
        </w:tc>
        <w:tc>
          <w:tcPr>
            <w:tcW w:w="9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 obligations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12,290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Other operating obligations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9,106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9,106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52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28,827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100" w:hanging="328"/>
        <w:spacing w:after="0" w:line="277" w:lineRule="auto"/>
        <w:tabs>
          <w:tab w:leader="none" w:pos="591"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operating obligations represent non-cancelable contractual obligations primarily related to marketing and sponsorship commitments, as well as purchases of inventory.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2017, we did not have any off-balance sheet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ind w:right="140" w:firstLine="432"/>
        <w:spacing w:after="0" w:line="290" w:lineRule="auto"/>
        <w:rPr>
          <w:sz w:val="20"/>
          <w:szCs w:val="20"/>
          <w:color w:val="auto"/>
        </w:rPr>
      </w:pPr>
      <w:r>
        <w:rPr>
          <w:rFonts w:ascii="Arial" w:cs="Arial" w:eastAsia="Arial" w:hAnsi="Arial"/>
          <w:sz w:val="16"/>
          <w:szCs w:val="16"/>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periods presented. Actual results could differ from these estimates. Our significant accounting policies are described in Note 2 to our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8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44"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record allowances for product returns at the time we ship the product based on estimated return rates. Subject to some exceptions based on local regulations, customers may return unopened product to us within 30 days of purchase for a refund of the purchase price less shipping and handling. As of September 30, 2017, our shipments of products sold totaling approximately $15.6 million were subject to the return policy. In addition, we allow terminating distributors to return up to 30% of unopened, unexpired product they purchased within the prior twelve months.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monitor our product returns estimate on an ongoing basis and revise the allowances to reflect our experience. Our allowance for product returns was $0.3 million at September 30, 2017, compared with $0.4 million at June 30, 2017.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4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estimated market value. Factors utilized in the determination of estimated market value include (i) current sales data and historical return rates, (ii) estimates of future demand, (iii) competitive pricing pressures, (iv) new production introductions, (v) product expiration dates, and (vi) component and packaging obsolescence.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firstLine="432"/>
        <w:spacing w:after="0" w:line="277" w:lineRule="auto"/>
        <w:rPr>
          <w:sz w:val="20"/>
          <w:szCs w:val="20"/>
          <w:color w:val="auto"/>
        </w:rPr>
      </w:pPr>
      <w:r>
        <w:rPr>
          <w:rFonts w:ascii="Arial" w:cs="Arial" w:eastAsia="Arial" w:hAnsi="Arial"/>
          <w:sz w:val="18"/>
          <w:szCs w:val="18"/>
          <w:color w:val="auto"/>
        </w:rPr>
        <w:t>During the three months ended September 30, 2017 and 2016, we recognized expenses of $0.3 million and $0.6 million, respectively, related to obsolete and slow-moving inventory.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ship the majority of our product directly to the consumer and receive substantially all payment for these sales in the form of credit card receipts.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from direct product sales to customers is recognized upon shipment, which is when passage of title and risk of loss occurs.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expense all of our payments related to research and development activities as incurred.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14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 to our unaudited condensed consolidated financial statements for a discussion of recently issued accounting standards.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48"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During the three months ended September 30, 2017, approximately 30.6% of our net revenue was realized outside of the United States. The local currency of each international subsidiary is generally the functional currency. All revenues and expenses are translated at weighted-average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September 30, 2017, we did not have any derivative instruments. A 10% strengthening of the U.S. dollar compared to all of the foreign currencies in which we transact business would have resulted in a 2.8% decrease of our three months ended September 30, 2017 revenue, in the amount of $1.3 million.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4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maintain disclosure controls and procedures (as defined in Rules 13a-15(e) and 15d-15(e) of the Exchange Act) that are designed to ensure that the information required to be disclosed in the reports we file or submit under the Exchange Act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as of September 30, 2017. Based on this evaluation, our Chief Executive Officer and Chief Financial Officer concluded that our disclosure controls and procedures were designed and operating effectively as of September 30, 2017.</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Except as described above, there were no changes in our internal controls over financial reporting during the quarter ended September 30, 2017 that have materially affected or are reasonably likely to materially affect our internal controls over financial reporting.</w:t>
      </w:r>
    </w:p>
    <w:p>
      <w:pPr>
        <w:spacing w:after="0" w:line="8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An evaluation required by paragraph (d) of Rules 13a-15 and 15d-15 of the Exchange Act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September 30, 2017 that have materially affected, or are reasonably likely to materially affect, our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Internal Control Over Financial Reporting</w:t>
      </w:r>
    </w:p>
    <w:p>
      <w:pPr>
        <w:spacing w:after="0" w:line="14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See Note 6 of the notes to the condensed consolidated financial statements contained within this quarterly report on Form 10-Q for a discussion of the Company's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 Risk Factors” in our annual report on Form 10-K for the fiscal year ended June 30, 2017, filed on September 7, 2017. The risks and uncertainties described in such risk factors and elsewhere in this report have the potential to materially affect our business, financial condition, results of operations, cash flows, projected results and future prospects. As of the date of this report, we do not believe that there have been any material changes to the risk factors previously disclosed in our recent SEC filings, including the risk factors discussed in “Part I. Item 1A — Risk Factors” in our annual report on Form 10-K for the fiscal year ended June 30, 2017, filed on September 7, 2017.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the exhibit index immediately following the signature page of this report.</w:t>
      </w:r>
    </w:p>
    <w:p>
      <w:pPr>
        <w:spacing w:after="0" w:line="200" w:lineRule="exact"/>
        <w:rPr>
          <w:sz w:val="20"/>
          <w:szCs w:val="20"/>
          <w:color w:val="auto"/>
        </w:rPr>
      </w:pP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580" w:right="1440"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rPr>
              <w:t>Document Description</w:t>
            </w:r>
          </w:p>
        </w:tc>
        <w:tc>
          <w:tcPr>
            <w:tcW w:w="100" w:type="dxa"/>
            <w:vAlign w:val="bottom"/>
          </w:tcPr>
          <w:p>
            <w:pPr>
              <w:spacing w:after="0"/>
              <w:rPr>
                <w:sz w:val="16"/>
                <w:szCs w:val="16"/>
                <w:color w:val="auto"/>
              </w:rPr>
            </w:pPr>
          </w:p>
        </w:tc>
        <w:tc>
          <w:tcPr>
            <w:tcW w:w="478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Filed Herewith or Incorporate by Reference From</w:t>
            </w:r>
          </w:p>
        </w:tc>
      </w:tr>
      <w:tr>
        <w:trPr>
          <w:trHeight w:val="378"/>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Certification of principal executive officer pursuant to Rule 13a-</w:t>
              </w:r>
            </w:hyperlink>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28">
              <w:r>
                <w:rPr>
                  <w:rFonts w:ascii="Arial" w:cs="Arial" w:eastAsia="Arial" w:hAnsi="Arial"/>
                  <w:sz w:val="18"/>
                  <w:szCs w:val="18"/>
                  <w:color w:val="0000FF"/>
                </w:rPr>
                <w:t>14(a)/15d-14(a)</w:t>
              </w:r>
            </w:hyperlink>
          </w:p>
        </w:tc>
        <w:tc>
          <w:tcPr>
            <w:tcW w:w="880" w:type="dxa"/>
            <w:vAlign w:val="bottom"/>
            <w:gridSpan w:val="6"/>
          </w:tcPr>
          <w:p>
            <w:pPr>
              <w:spacing w:after="0"/>
              <w:rPr>
                <w:sz w:val="17"/>
                <w:szCs w:val="17"/>
                <w:color w:val="auto"/>
              </w:rPr>
            </w:pPr>
          </w:p>
        </w:tc>
        <w:tc>
          <w:tcPr>
            <w:tcW w:w="4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26"/>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9"/>
          </w:tcPr>
          <w:p>
            <w:pPr>
              <w:spacing w:after="0"/>
              <w:rPr>
                <w:rFonts w:ascii="Arial" w:cs="Arial" w:eastAsia="Arial" w:hAnsi="Arial"/>
                <w:sz w:val="18"/>
                <w:szCs w:val="18"/>
                <w:color w:val="0000FF"/>
                <w:w w:val="95"/>
              </w:rPr>
            </w:pPr>
            <w:hyperlink w:anchor="page29">
              <w:r>
                <w:rPr>
                  <w:rFonts w:ascii="Arial" w:cs="Arial" w:eastAsia="Arial" w:hAnsi="Arial"/>
                  <w:sz w:val="18"/>
                  <w:szCs w:val="18"/>
                  <w:color w:val="0000FF"/>
                  <w:w w:val="95"/>
                </w:rPr>
                <w:t>Certification of principal financial officer pursuant to Rule 13a-14(a)/15d-</w:t>
              </w:r>
            </w:hyperlink>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29">
              <w:r>
                <w:rPr>
                  <w:rFonts w:ascii="Arial" w:cs="Arial" w:eastAsia="Arial" w:hAnsi="Arial"/>
                  <w:sz w:val="18"/>
                  <w:szCs w:val="18"/>
                  <w:color w:val="0000FF"/>
                </w:rPr>
                <w:t>14(a)</w:t>
              </w:r>
            </w:hyperlink>
          </w:p>
        </w:tc>
        <w:tc>
          <w:tcPr>
            <w:tcW w:w="180" w:type="dxa"/>
            <w:vAlign w:val="bottom"/>
            <w:gridSpan w:val="2"/>
          </w:tcPr>
          <w:p>
            <w:pPr>
              <w:spacing w:after="0"/>
              <w:rPr>
                <w:sz w:val="17"/>
                <w:szCs w:val="17"/>
                <w:color w:val="auto"/>
              </w:rPr>
            </w:pPr>
          </w:p>
        </w:tc>
        <w:tc>
          <w:tcPr>
            <w:tcW w:w="4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26"/>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5"/>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Certification of principal executive officer pursuant to 18 U.S.C. 1350, as</w:t>
              </w:r>
            </w:hyperlink>
          </w:p>
        </w:tc>
        <w:tc>
          <w:tcPr>
            <w:tcW w:w="220" w:type="dxa"/>
            <w:vAlign w:val="bottom"/>
            <w:gridSpan w:val="3"/>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18"/>
                <w:szCs w:val="18"/>
                <w:color w:val="auto"/>
              </w:rPr>
              <w:t>Furnished herewith</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9"/>
          </w:tcPr>
          <w:p>
            <w:pPr>
              <w:spacing w:after="0" w:line="196" w:lineRule="exact"/>
              <w:rPr>
                <w:rFonts w:ascii="Arial" w:cs="Arial" w:eastAsia="Arial" w:hAnsi="Arial"/>
                <w:sz w:val="18"/>
                <w:szCs w:val="18"/>
                <w:color w:val="0000FF"/>
              </w:rPr>
            </w:pPr>
            <w:hyperlink w:anchor="page30">
              <w:r>
                <w:rPr>
                  <w:rFonts w:ascii="Arial" w:cs="Arial" w:eastAsia="Arial" w:hAnsi="Arial"/>
                  <w:sz w:val="18"/>
                  <w:szCs w:val="18"/>
                  <w:color w:val="0000FF"/>
                </w:rPr>
                <w:t>adopted pursuant to Section 906 of the Sarbanes-Oxley Act of 2002</w:t>
              </w:r>
            </w:hyperlink>
          </w:p>
        </w:tc>
        <w:tc>
          <w:tcPr>
            <w:tcW w:w="4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26"/>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31">
              <w:r>
                <w:rPr>
                  <w:rFonts w:ascii="Arial" w:cs="Arial" w:eastAsia="Arial" w:hAnsi="Arial"/>
                  <w:sz w:val="18"/>
                  <w:szCs w:val="18"/>
                  <w:color w:val="0000FF"/>
                  <w:w w:val="92"/>
                </w:rPr>
                <w:t>Certification of principal financial officer pursuant to 18 U.S.C. 1350, as</w:t>
              </w:r>
            </w:hyperlink>
          </w:p>
        </w:tc>
        <w:tc>
          <w:tcPr>
            <w:tcW w:w="280" w:type="dxa"/>
            <w:vAlign w:val="bottom"/>
            <w:gridSpan w:val="4"/>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18"/>
                <w:szCs w:val="18"/>
                <w:color w:val="auto"/>
              </w:rPr>
              <w:t>Furnished herewith</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9"/>
          </w:tcPr>
          <w:p>
            <w:pPr>
              <w:spacing w:after="0" w:line="196" w:lineRule="exact"/>
              <w:rPr>
                <w:rFonts w:ascii="Arial" w:cs="Arial" w:eastAsia="Arial" w:hAnsi="Arial"/>
                <w:sz w:val="18"/>
                <w:szCs w:val="18"/>
                <w:color w:val="0000FF"/>
              </w:rPr>
            </w:pPr>
            <w:hyperlink w:anchor="page31">
              <w:r>
                <w:rPr>
                  <w:rFonts w:ascii="Arial" w:cs="Arial" w:eastAsia="Arial" w:hAnsi="Arial"/>
                  <w:sz w:val="18"/>
                  <w:szCs w:val="18"/>
                  <w:color w:val="0000FF"/>
                </w:rPr>
                <w:t>adopted pursuant to Section 906 of the Sarbanes-Oxley Act of 2002</w:t>
              </w:r>
            </w:hyperlink>
          </w:p>
        </w:tc>
        <w:tc>
          <w:tcPr>
            <w:tcW w:w="4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66"/>
        </w:trPr>
        <w:tc>
          <w:tcPr>
            <w:tcW w:w="920" w:type="dxa"/>
            <w:vAlign w:val="bottom"/>
          </w:tcPr>
          <w:p>
            <w:pPr>
              <w:jc w:val="right"/>
              <w:ind w:right="25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9"/>
          </w:tcPr>
          <w:p>
            <w:pPr>
              <w:spacing w:after="0"/>
              <w:rPr>
                <w:sz w:val="20"/>
                <w:szCs w:val="20"/>
                <w:color w:val="auto"/>
              </w:rPr>
            </w:pPr>
            <w:r>
              <w:rPr>
                <w:rFonts w:ascii="Arial" w:cs="Arial" w:eastAsia="Arial" w:hAnsi="Arial"/>
                <w:sz w:val="18"/>
                <w:szCs w:val="18"/>
                <w:color w:val="auto"/>
                <w:w w:val="97"/>
              </w:rPr>
              <w:t>The following financial information from the Company’s quarterly report</w:t>
            </w:r>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bl>
    <w:p>
      <w:pPr>
        <w:ind w:left="1100"/>
        <w:spacing w:after="0"/>
        <w:rPr>
          <w:sz w:val="20"/>
          <w:szCs w:val="20"/>
          <w:color w:val="auto"/>
        </w:rPr>
      </w:pPr>
      <w:r>
        <w:rPr>
          <w:rFonts w:ascii="Arial" w:cs="Arial" w:eastAsia="Arial" w:hAnsi="Arial"/>
          <w:sz w:val="18"/>
          <w:szCs w:val="18"/>
          <w:color w:val="auto"/>
        </w:rPr>
        <w:t>on Form 10-Q for the quarter ended September 30, 2017 formatted in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XBRL (extensible Business Reporting Language): (i) Unaudited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Condensed Consolidated Balance Sheets at September 30, 2017 and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June 30, 2017; (ii) Unaudited Condensed Consolidated Statements of</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Operations and Other Comprehensive Income for the three months ended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September 30, 2017 and 2016; (iii) Unaudited Condensed Consolidated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Statement of Stockholders’ Equity for the three months ended September</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30, 2017; (iv) Unaudited Condensed Consolidated Statements of Cash</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Flows for the three months ended September 30, 2017 and 2016; and (v)</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Notes to Unaudited Condensed Consolidated Financial Statements, tagged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as blocks of text</w:t>
      </w:r>
    </w:p>
    <w:p>
      <w:pPr>
        <w:spacing w:after="0" w:line="319" w:lineRule="exact"/>
        <w:rPr>
          <w:sz w:val="20"/>
          <w:szCs w:val="20"/>
          <w:color w:val="auto"/>
        </w:rPr>
      </w:pPr>
    </w:p>
    <w:p>
      <w:pPr>
        <w:ind w:left="1180" w:right="200" w:hanging="697"/>
        <w:spacing w:after="0" w:line="264"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LIFEVANTAGE CORPORATION</w:t>
      </w:r>
    </w:p>
    <w:p>
      <w:pPr>
        <w:spacing w:after="0" w:line="387" w:lineRule="exact"/>
        <w:rPr>
          <w:sz w:val="20"/>
          <w:szCs w:val="20"/>
          <w:color w:val="auto"/>
        </w:rPr>
      </w:pPr>
    </w:p>
    <w:p>
      <w:pPr>
        <w:ind w:left="40"/>
        <w:spacing w:after="0"/>
        <w:tabs>
          <w:tab w:leader="none" w:pos="600" w:val="left"/>
          <w:tab w:leader="none" w:pos="5720" w:val="left"/>
        </w:tabs>
        <w:rPr>
          <w:sz w:val="20"/>
          <w:szCs w:val="20"/>
          <w:color w:val="auto"/>
        </w:rPr>
      </w:pPr>
      <w:r>
        <w:rPr>
          <w:rFonts w:ascii="Arial" w:cs="Arial" w:eastAsia="Arial" w:hAnsi="Arial"/>
          <w:sz w:val="18"/>
          <w:szCs w:val="18"/>
          <w:color w:val="auto"/>
        </w:rPr>
        <w:t>Date:</w:t>
        <w:tab/>
        <w:t>November 8, 2017</w:t>
      </w:r>
      <w:r>
        <w:rPr>
          <w:sz w:val="20"/>
          <w:szCs w:val="20"/>
          <w:color w:val="auto"/>
        </w:rPr>
        <w:tab/>
      </w:r>
      <w:r>
        <w:rPr>
          <w:rFonts w:ascii="Arial" w:cs="Arial" w:eastAsia="Arial" w:hAnsi="Arial"/>
          <w:sz w:val="15"/>
          <w:szCs w:val="15"/>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Darren Jensen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600" w:val="left"/>
          <w:tab w:leader="none" w:pos="5720" w:val="left"/>
        </w:tabs>
        <w:rPr>
          <w:sz w:val="20"/>
          <w:szCs w:val="20"/>
          <w:color w:val="auto"/>
        </w:rPr>
      </w:pPr>
      <w:r>
        <w:rPr>
          <w:rFonts w:ascii="Arial" w:cs="Arial" w:eastAsia="Arial" w:hAnsi="Arial"/>
          <w:sz w:val="18"/>
          <w:szCs w:val="18"/>
          <w:color w:val="auto"/>
        </w:rPr>
        <w:t>Date:</w:t>
        <w:tab/>
        <w:t>November 8, 2017</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0" w:right="2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Darren Jensen, certify that:</w:t>
      </w:r>
    </w:p>
    <w:p>
      <w:pPr>
        <w:spacing w:after="0" w:line="144"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4"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820" w:right="380" w:hanging="407"/>
        <w:spacing w:after="0" w:line="264"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820" w:right="80" w:hanging="407"/>
        <w:spacing w:after="0" w:line="264"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820" w:right="880" w:hanging="407"/>
        <w:spacing w:after="0" w:line="342" w:lineRule="auto"/>
        <w:tabs>
          <w:tab w:leader="none" w:pos="82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820" w:right="100" w:hanging="407"/>
        <w:spacing w:after="0" w:line="264"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820" w:right="300" w:hanging="407"/>
        <w:spacing w:after="0" w:line="277"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820" w:right="240" w:hanging="407"/>
        <w:spacing w:after="0" w:line="277"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Steven R. Fife, certify that:</w:t>
      </w:r>
    </w:p>
    <w:p>
      <w:pPr>
        <w:spacing w:after="0" w:line="144"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4"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820" w:right="380" w:hanging="407"/>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820" w:right="80" w:hanging="407"/>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820" w:right="880" w:hanging="407"/>
        <w:spacing w:after="0" w:line="342" w:lineRule="auto"/>
        <w:tabs>
          <w:tab w:leader="none" w:pos="8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820" w:right="100" w:hanging="407"/>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820" w:right="300" w:hanging="407"/>
        <w:spacing w:after="0" w:line="277"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820" w:right="240" w:hanging="407"/>
        <w:spacing w:after="0" w:line="277"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September 30, 2017, with the Securities and Exchange Commission on the date hereof (the “report”), I, Darren Jensen, Principal Executive Officer of the Company, certify, pursuant to 18 U.S.C. Section 1350, as adopted pursuant to Section 906 of the Sarbanes-Oxley Act of 2002, that:</w:t>
      </w:r>
    </w:p>
    <w:p>
      <w:pPr>
        <w:spacing w:after="0" w:line="84" w:lineRule="exact"/>
        <w:rPr>
          <w:sz w:val="20"/>
          <w:szCs w:val="20"/>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September 30, 2017, with the Securities and Exchange Commission on the date hereof (the “report”), I, Steven R. Fife, Principal Financial Officer of the Company, certify, pursuant to 18 U.S.C. Section 1350, as adopted pursuant to Section 906 of the Sarbanes-Oxley Act of 2002, that:</w:t>
      </w:r>
    </w:p>
    <w:p>
      <w:pPr>
        <w:spacing w:after="0" w:line="84" w:lineRule="exact"/>
        <w:rPr>
          <w:sz w:val="20"/>
          <w:szCs w:val="20"/>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Financial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2019-12-29T03:12:50Z</dcterms:created>
  <dcterms:modified xsi:type="dcterms:W3CDTF">2019-12-29T03:12:50Z</dcterms:modified>
</cp:coreProperties>
</file>