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UNDER SECTION 13 OR 15 (d)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40"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96" w:lineRule="exact"/>
        <w:rPr>
          <w:sz w:val="24"/>
          <w:szCs w:val="24"/>
          <w:color w:val="auto"/>
        </w:rPr>
      </w:pPr>
    </w:p>
    <w:p>
      <w:pPr>
        <w:ind w:left="292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3952875</wp:posOffset>
            </wp:positionH>
            <wp:positionV relativeFrom="paragraph">
              <wp:posOffset>-10160</wp:posOffset>
            </wp:positionV>
            <wp:extent cx="1334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001-35647</w:t>
      </w:r>
    </w:p>
    <w:p>
      <w:pPr>
        <w:spacing w:after="0" w:line="19"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LIFEVANTAGE CORPORATION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600"/>
              <w:spacing w:after="0"/>
              <w:rPr>
                <w:sz w:val="20"/>
                <w:szCs w:val="20"/>
                <w:color w:val="auto"/>
              </w:rPr>
            </w:pPr>
            <w:r>
              <w:rPr>
                <w:rFonts w:ascii="Arial" w:cs="Arial" w:eastAsia="Arial" w:hAnsi="Arial"/>
                <w:sz w:val="18"/>
                <w:szCs w:val="18"/>
                <w:b w:val="1"/>
                <w:bCs w:val="1"/>
                <w:color w:val="auto"/>
              </w:rPr>
              <w:t>90-0224471</w:t>
            </w:r>
          </w:p>
        </w:tc>
      </w:tr>
      <w:tr>
        <w:trPr>
          <w:trHeight w:val="180"/>
        </w:trPr>
        <w:tc>
          <w:tcPr>
            <w:tcW w:w="7520" w:type="dxa"/>
            <w:vAlign w:val="bottom"/>
            <w:gridSpan w:val="5"/>
          </w:tcPr>
          <w:p>
            <w:pPr>
              <w:ind w:left="1080"/>
              <w:spacing w:after="0"/>
              <w:rPr>
                <w:sz w:val="20"/>
                <w:szCs w:val="20"/>
                <w:color w:val="auto"/>
              </w:rPr>
            </w:pPr>
            <w:r>
              <w:rPr>
                <w:rFonts w:ascii="Arial" w:cs="Arial" w:eastAsia="Arial" w:hAnsi="Arial"/>
                <w:sz w:val="14"/>
                <w:szCs w:val="14"/>
                <w:color w:val="auto"/>
              </w:rPr>
              <w:t>(State or other jurisdiction of incorporation or organization)</w:t>
            </w:r>
          </w:p>
        </w:tc>
        <w:tc>
          <w:tcPr>
            <w:tcW w:w="3680" w:type="dxa"/>
            <w:vAlign w:val="bottom"/>
          </w:tcPr>
          <w:p>
            <w:pPr>
              <w:ind w:left="40"/>
              <w:spacing w:after="0"/>
              <w:rPr>
                <w:sz w:val="20"/>
                <w:szCs w:val="20"/>
                <w:color w:val="auto"/>
              </w:rPr>
            </w:pPr>
            <w:r>
              <w:rPr>
                <w:rFonts w:ascii="Arial" w:cs="Arial" w:eastAsia="Arial" w:hAnsi="Arial"/>
                <w:sz w:val="14"/>
                <w:szCs w:val="14"/>
                <w:color w:val="auto"/>
              </w:rPr>
              <w:t>(IRS Employer Identification No.)</w:t>
            </w:r>
          </w:p>
        </w:tc>
      </w:tr>
      <w:tr>
        <w:trPr>
          <w:trHeight w:val="45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3300 Triumph Blvd, Suite 700, Lehi, UT 84043</w:t>
            </w: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(Address of principal executive offices, including zip code)</w:t>
            </w:r>
          </w:p>
        </w:tc>
        <w:tc>
          <w:tcPr>
            <w:tcW w:w="3680" w:type="dxa"/>
            <w:vAlign w:val="bottom"/>
          </w:tcPr>
          <w:p>
            <w:pPr>
              <w:spacing w:after="0"/>
              <w:rPr>
                <w:sz w:val="15"/>
                <w:szCs w:val="15"/>
                <w:color w:val="auto"/>
              </w:rPr>
            </w:pPr>
          </w:p>
        </w:tc>
      </w:tr>
      <w:tr>
        <w:trPr>
          <w:trHeight w:val="349"/>
        </w:trPr>
        <w:tc>
          <w:tcPr>
            <w:tcW w:w="3280" w:type="dxa"/>
            <w:vAlign w:val="bottom"/>
          </w:tcPr>
          <w:p>
            <w:pPr>
              <w:spacing w:after="0"/>
              <w:rPr>
                <w:sz w:val="24"/>
                <w:szCs w:val="24"/>
                <w:color w:val="auto"/>
              </w:rPr>
            </w:pPr>
          </w:p>
        </w:tc>
        <w:tc>
          <w:tcPr>
            <w:tcW w:w="414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89"/>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(Registrant’s telephone number)</w:t>
            </w:r>
          </w:p>
        </w:tc>
        <w:tc>
          <w:tcPr>
            <w:tcW w:w="3680" w:type="dxa"/>
            <w:vAlign w:val="bottom"/>
          </w:tcPr>
          <w:p>
            <w:pPr>
              <w:spacing w:after="0"/>
              <w:rPr>
                <w:sz w:val="15"/>
                <w:szCs w:val="15"/>
                <w:color w:val="auto"/>
              </w:rPr>
            </w:pPr>
          </w:p>
        </w:tc>
      </w:tr>
      <w:tr>
        <w:trPr>
          <w:trHeight w:val="446"/>
        </w:trPr>
        <w:tc>
          <w:tcPr>
            <w:tcW w:w="3280" w:type="dxa"/>
            <w:vAlign w:val="bottom"/>
          </w:tcPr>
          <w:p>
            <w:pPr>
              <w:spacing w:after="0"/>
              <w:rPr>
                <w:sz w:val="24"/>
                <w:szCs w:val="24"/>
                <w:color w:val="auto"/>
              </w:rPr>
            </w:pPr>
          </w:p>
        </w:tc>
        <w:tc>
          <w:tcPr>
            <w:tcW w:w="7920" w:type="dxa"/>
            <w:vAlign w:val="bottom"/>
            <w:gridSpan w:val="5"/>
          </w:tcPr>
          <w:p>
            <w:pPr>
              <w:jc w:val="center"/>
              <w:ind w:right="320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52"/>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Common Stock, par value $0.0001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LFVN</w:t>
            </w:r>
          </w:p>
        </w:tc>
        <w:tc>
          <w:tcPr>
            <w:tcW w:w="3680" w:type="dxa"/>
            <w:vAlign w:val="bottom"/>
          </w:tcPr>
          <w:p>
            <w:pPr>
              <w:ind w:left="660"/>
              <w:spacing w:after="0"/>
              <w:rPr>
                <w:sz w:val="20"/>
                <w:szCs w:val="20"/>
                <w:color w:val="auto"/>
              </w:rPr>
            </w:pPr>
            <w:r>
              <w:rPr>
                <w:rFonts w:ascii="Arial" w:cs="Arial" w:eastAsia="Arial" w:hAnsi="Arial"/>
                <w:sz w:val="18"/>
                <w:szCs w:val="18"/>
                <w:b w:val="1"/>
                <w:bCs w:val="1"/>
                <w:color w:val="auto"/>
              </w:rPr>
              <w:t>The Nasdaq Stock Market LLC</w:t>
            </w:r>
          </w:p>
        </w:tc>
      </w:tr>
      <w:tr>
        <w:trPr>
          <w:trHeight w:val="173"/>
        </w:trPr>
        <w:tc>
          <w:tcPr>
            <w:tcW w:w="3280" w:type="dxa"/>
            <w:vAlign w:val="bottom"/>
            <w:tcBorders>
              <w:top w:val="single" w:sz="8" w:color="auto"/>
            </w:tcBorders>
          </w:tcPr>
          <w:p>
            <w:pPr>
              <w:jc w:val="right"/>
              <w:ind w:right="861"/>
              <w:spacing w:after="0"/>
              <w:rPr>
                <w:sz w:val="20"/>
                <w:szCs w:val="20"/>
                <w:color w:val="auto"/>
              </w:rPr>
            </w:pPr>
            <w:r>
              <w:rPr>
                <w:rFonts w:ascii="Arial" w:cs="Arial" w:eastAsia="Arial" w:hAnsi="Arial"/>
                <w:sz w:val="14"/>
                <w:szCs w:val="14"/>
                <w:color w:val="auto"/>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Name of each exchange on which registered</w:t>
            </w:r>
          </w:p>
        </w:tc>
      </w:tr>
    </w:tbl>
    <w:p>
      <w:pPr>
        <w:spacing w:after="0" w:line="84"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47" w:lineRule="exact"/>
        <w:rPr>
          <w:sz w:val="24"/>
          <w:szCs w:val="24"/>
          <w:color w:val="auto"/>
        </w:rPr>
      </w:pPr>
    </w:p>
    <w:p>
      <w:pPr>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right="4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00"/>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8"/>
        </w:trPr>
        <w:tc>
          <w:tcPr>
            <w:tcW w:w="35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42" w:lineRule="exact"/>
        <w:rPr>
          <w:sz w:val="24"/>
          <w:szCs w:val="24"/>
          <w:color w:val="auto"/>
        </w:rPr>
      </w:pPr>
    </w:p>
    <w:p>
      <w:pPr>
        <w:ind w:right="22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7" w:lineRule="exact"/>
        <w:rPr>
          <w:sz w:val="24"/>
          <w:szCs w:val="24"/>
          <w:color w:val="auto"/>
        </w:rPr>
      </w:pPr>
    </w:p>
    <w:p>
      <w:pPr>
        <w:ind w:right="2260"/>
        <w:spacing w:after="0" w:line="30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issuer’s common stock, par value $0.0001 per share, as of January 31, 2022 was 12,850,749.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3"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37" w:lineRule="exact"/>
        <w:rPr>
          <w:sz w:val="20"/>
          <w:szCs w:val="20"/>
          <w:color w:val="auto"/>
        </w:rPr>
      </w:pPr>
    </w:p>
    <w:p>
      <w:pPr>
        <w:ind w:left="640" w:right="40" w:hanging="317"/>
        <w:spacing w:after="0" w:line="263" w:lineRule="auto"/>
        <w:tabs>
          <w:tab w:leader="none" w:pos="636"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14" w:lineRule="exact"/>
        <w:rPr>
          <w:rFonts w:ascii="Arial" w:cs="Arial" w:eastAsia="Arial" w:hAnsi="Arial"/>
          <w:sz w:val="18"/>
          <w:szCs w:val="18"/>
          <w:b w:val="1"/>
          <w:bCs w:val="1"/>
          <w:color w:val="auto"/>
        </w:rPr>
      </w:pPr>
    </w:p>
    <w:p>
      <w:pPr>
        <w:ind w:left="640" w:right="100" w:hanging="317"/>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9" w:lineRule="exact"/>
        <w:rPr>
          <w:rFonts w:ascii="Arial" w:cs="Arial" w:eastAsia="Arial" w:hAnsi="Arial"/>
          <w:sz w:val="18"/>
          <w:szCs w:val="18"/>
          <w:color w:val="auto"/>
        </w:rPr>
      </w:pPr>
    </w:p>
    <w:p>
      <w:pPr>
        <w:ind w:left="640" w:hanging="317"/>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61" w:lineRule="exact"/>
        <w:rPr>
          <w:rFonts w:ascii="Arial" w:cs="Arial" w:eastAsia="Arial" w:hAnsi="Arial"/>
          <w:sz w:val="17"/>
          <w:szCs w:val="17"/>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comply with financial covenants imposed by our credit facility and the impact of debt service obligations and restrictive debt covenants;</w:t>
      </w:r>
    </w:p>
    <w:p>
      <w:pPr>
        <w:spacing w:after="0" w:line="184" w:lineRule="exact"/>
        <w:rPr>
          <w:rFonts w:ascii="Arial" w:cs="Arial" w:eastAsia="Arial" w:hAnsi="Arial"/>
          <w:sz w:val="15"/>
          <w:szCs w:val="15"/>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2" w:name="page3"/>
    <w:bookmarkEnd w:id="2"/>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48" w:lineRule="exact"/>
        <w:rPr>
          <w:rFonts w:ascii="Arial" w:cs="Arial" w:eastAsia="Arial" w:hAnsi="Arial"/>
          <w:sz w:val="17"/>
          <w:szCs w:val="17"/>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w:t>
      </w:r>
    </w:p>
    <w:p>
      <w:pPr>
        <w:spacing w:after="0" w:line="149" w:lineRule="exact"/>
        <w:rPr>
          <w:rFonts w:ascii="Arial" w:cs="Arial" w:eastAsia="Arial" w:hAnsi="Arial"/>
          <w:sz w:val="18"/>
          <w:szCs w:val="18"/>
          <w:color w:val="auto"/>
        </w:rPr>
      </w:pPr>
    </w:p>
    <w:p>
      <w:pPr>
        <w:ind w:left="640" w:right="160" w:hanging="317"/>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1" w:lineRule="exact"/>
        <w:rPr>
          <w:rFonts w:ascii="Arial" w:cs="Arial" w:eastAsia="Arial" w:hAnsi="Arial"/>
          <w:sz w:val="17"/>
          <w:szCs w:val="17"/>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9" w:lineRule="exact"/>
        <w:rPr>
          <w:rFonts w:ascii="Arial" w:cs="Arial" w:eastAsia="Arial" w:hAnsi="Arial"/>
          <w:sz w:val="18"/>
          <w:szCs w:val="18"/>
          <w:color w:val="auto"/>
        </w:rPr>
      </w:pPr>
    </w:p>
    <w:p>
      <w:pPr>
        <w:ind w:left="640" w:right="60" w:hanging="317"/>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102"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LIFEVANTAGE CORPORATION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72"/>
        </w:trPr>
        <w:tc>
          <w:tcPr>
            <w:tcW w:w="2440" w:type="dxa"/>
            <w:vAlign w:val="bottom"/>
            <w:gridSpan w:val="7"/>
          </w:tcPr>
          <w:p>
            <w:pPr>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PART I. Financial Information</w:t>
              </w:r>
            </w:hyperlink>
          </w:p>
        </w:tc>
        <w:tc>
          <w:tcPr>
            <w:tcW w:w="7760" w:type="dxa"/>
            <w:vAlign w:val="bottom"/>
            <w:gridSpan w:val="12"/>
          </w:tcPr>
          <w:p>
            <w:pPr>
              <w:spacing w:after="0"/>
              <w:rPr>
                <w:sz w:val="14"/>
                <w:szCs w:val="14"/>
                <w:color w:val="auto"/>
              </w:rPr>
            </w:pPr>
          </w:p>
        </w:tc>
        <w:tc>
          <w:tcPr>
            <w:tcW w:w="1000" w:type="dxa"/>
            <w:vAlign w:val="bottom"/>
            <w:gridSpan w:val="4"/>
          </w:tcPr>
          <w:p>
            <w:pPr>
              <w:jc w:val="right"/>
              <w:ind w:right="20"/>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6"/>
        </w:trPr>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7"/>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Financial Statements:</w:t>
              </w:r>
            </w:hyperlink>
          </w:p>
        </w:tc>
        <w:tc>
          <w:tcPr>
            <w:tcW w:w="7520" w:type="dxa"/>
            <w:vAlign w:val="bottom"/>
            <w:gridSpan w:val="10"/>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60" w:type="dxa"/>
            <w:vAlign w:val="bottom"/>
            <w:gridSpan w:val="11"/>
          </w:tcPr>
          <w:p>
            <w:pPr>
              <w:spacing w:after="0" w:line="205"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Consolidated Balance Sheets (unaudited)</w:t>
              </w:r>
            </w:hyperlink>
          </w:p>
        </w:tc>
        <w:tc>
          <w:tcPr>
            <w:tcW w:w="4780" w:type="dxa"/>
            <w:vAlign w:val="bottom"/>
            <w:gridSpan w:val="6"/>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7"/>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(Loss) (unaudited)</w:t>
              </w:r>
            </w:hyperlink>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940" w:type="dxa"/>
            <w:vAlign w:val="bottom"/>
            <w:gridSpan w:val="16"/>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 of Stockholders’ Equity (unaudited)</w:t>
              </w:r>
            </w:hyperlink>
          </w:p>
        </w:tc>
        <w:tc>
          <w:tcPr>
            <w:tcW w:w="2100" w:type="dxa"/>
            <w:vAlign w:val="bottom"/>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gridSpan w:val="13"/>
          </w:tcPr>
          <w:p>
            <w:pPr>
              <w:spacing w:after="0" w:line="205"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Condensed Consolidated Statements of Cash Flows (unaudited)</w:t>
              </w:r>
            </w:hyperlink>
          </w:p>
        </w:tc>
        <w:tc>
          <w:tcPr>
            <w:tcW w:w="320" w:type="dxa"/>
            <w:vAlign w:val="bottom"/>
          </w:tcPr>
          <w:p>
            <w:pPr>
              <w:spacing w:after="0"/>
              <w:rPr>
                <w:sz w:val="17"/>
                <w:szCs w:val="17"/>
                <w:color w:val="auto"/>
              </w:rPr>
            </w:pPr>
          </w:p>
        </w:tc>
        <w:tc>
          <w:tcPr>
            <w:tcW w:w="3960" w:type="dxa"/>
            <w:vAlign w:val="bottom"/>
            <w:gridSpan w:val="3"/>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Notes to Condensed Consolidated Financial Statements (unaudited)</w:t>
              </w:r>
            </w:hyperlink>
          </w:p>
        </w:tc>
        <w:tc>
          <w:tcPr>
            <w:tcW w:w="42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FF"/>
            </w:tcBorders>
            <w:gridSpan w:val="15"/>
          </w:tcPr>
          <w:p>
            <w:pPr>
              <w:spacing w:after="0" w:line="205" w:lineRule="exact"/>
              <w:rPr>
                <w:rFonts w:ascii="Arial" w:cs="Arial" w:eastAsia="Arial" w:hAnsi="Arial"/>
                <w:sz w:val="18"/>
                <w:szCs w:val="18"/>
                <w:color w:val="0000FF"/>
                <w:w w:val="88"/>
              </w:rPr>
            </w:pPr>
            <w:hyperlink w:anchor="page20">
              <w:r>
                <w:rPr>
                  <w:rFonts w:ascii="Arial" w:cs="Arial" w:eastAsia="Arial" w:hAnsi="Arial"/>
                  <w:sz w:val="18"/>
                  <w:szCs w:val="18"/>
                  <w:color w:val="0000FF"/>
                  <w:w w:val="88"/>
                </w:rPr>
                <w:t>Management's Discussion and Analysis of Financial Condition and Results of Operations</w:t>
              </w:r>
            </w:hyperlink>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gridSpan w:val="17"/>
          </w:tcPr>
          <w:p>
            <w:pPr>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980" w:type="dxa"/>
            <w:vAlign w:val="bottom"/>
            <w:gridSpan w:val="3"/>
          </w:tcPr>
          <w:p>
            <w:pPr>
              <w:jc w:val="right"/>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FF"/>
            </w:tcBorders>
            <w:gridSpan w:val="11"/>
          </w:tcPr>
          <w:p>
            <w:pPr>
              <w:spacing w:after="0" w:line="205" w:lineRule="exact"/>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47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9"/>
        </w:trPr>
        <w:tc>
          <w:tcPr>
            <w:tcW w:w="1020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PART II. 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w:t>
            </w:r>
          </w:p>
        </w:tc>
        <w:tc>
          <w:tcPr>
            <w:tcW w:w="2260" w:type="dxa"/>
            <w:vAlign w:val="bottom"/>
            <w:tcBorders>
              <w:bottom w:val="single" w:sz="8" w:color="0000FF"/>
            </w:tcBorders>
            <w:gridSpan w:val="9"/>
          </w:tcPr>
          <w:p>
            <w:pPr>
              <w:spacing w:after="0" w:line="205" w:lineRule="exact"/>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67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3"/>
          </w:tcPr>
          <w:p>
            <w:pPr>
              <w:spacing w:after="0" w:line="205" w:lineRule="exact"/>
              <w:rPr>
                <w:rFonts w:ascii="Arial" w:cs="Arial" w:eastAsia="Arial" w:hAnsi="Arial"/>
                <w:sz w:val="18"/>
                <w:szCs w:val="18"/>
                <w:color w:val="0000FF"/>
                <w:w w:val="85"/>
              </w:rPr>
            </w:pPr>
            <w:hyperlink w:anchor="page29">
              <w:r>
                <w:rPr>
                  <w:rFonts w:ascii="Arial" w:cs="Arial" w:eastAsia="Arial" w:hAnsi="Arial"/>
                  <w:sz w:val="18"/>
                  <w:szCs w:val="18"/>
                  <w:color w:val="0000FF"/>
                  <w:w w:val="85"/>
                </w:rPr>
                <w:t>Risk Factors</w:t>
              </w:r>
            </w:hyperlink>
          </w:p>
        </w:tc>
        <w:tc>
          <w:tcPr>
            <w:tcW w:w="816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FF"/>
            </w:tcBorders>
            <w:gridSpan w:val="11"/>
          </w:tcPr>
          <w:p>
            <w:pPr>
              <w:spacing w:after="0" w:line="205" w:lineRule="exact"/>
              <w:rPr>
                <w:rFonts w:ascii="Arial" w:cs="Arial" w:eastAsia="Arial" w:hAnsi="Arial"/>
                <w:sz w:val="18"/>
                <w:szCs w:val="18"/>
                <w:color w:val="0000FF"/>
                <w:w w:val="87"/>
              </w:rPr>
            </w:pPr>
            <w:hyperlink w:anchor="page29">
              <w:r>
                <w:rPr>
                  <w:rFonts w:ascii="Arial" w:cs="Arial" w:eastAsia="Arial" w:hAnsi="Arial"/>
                  <w:sz w:val="18"/>
                  <w:szCs w:val="18"/>
                  <w:color w:val="0000FF"/>
                  <w:w w:val="87"/>
                </w:rPr>
                <w:t>Unregistered Sales of Equity Securities and Use of Proceeds</w:t>
              </w:r>
            </w:hyperlink>
          </w:p>
        </w:tc>
        <w:tc>
          <w:tcPr>
            <w:tcW w:w="47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tcBorders>
              <w:bottom w:val="single" w:sz="8" w:color="0000FF"/>
            </w:tcBorders>
            <w:gridSpan w:val="17"/>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9040" w:type="dxa"/>
            <w:vAlign w:val="bottom"/>
            <w:gridSpan w:val="17"/>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980" w:type="dxa"/>
            <w:vAlign w:val="bottom"/>
            <w:gridSpan w:val="3"/>
          </w:tcPr>
          <w:p>
            <w:pPr>
              <w:jc w:val="right"/>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1720" w:type="dxa"/>
            <w:vAlign w:val="bottom"/>
            <w:tcBorders>
              <w:top w:val="single" w:sz="8" w:color="0000FF"/>
            </w:tcBorders>
            <w:gridSpan w:val="8"/>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732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5"/>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776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20" w:type="dxa"/>
            <w:vAlign w:val="bottom"/>
          </w:tcPr>
          <w:p>
            <w:pPr>
              <w:spacing w:after="0"/>
              <w:rPr>
                <w:sz w:val="17"/>
                <w:szCs w:val="17"/>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6"/>
                <w:szCs w:val="16"/>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758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23,174</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2,925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15,433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16,145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4,772</w:t>
            </w:r>
          </w:p>
        </w:tc>
      </w:tr>
      <w:tr>
        <w:trPr>
          <w:trHeight w:val="205"/>
        </w:trPr>
        <w:tc>
          <w:tcPr>
            <w:tcW w:w="7580" w:type="dxa"/>
            <w:vAlign w:val="bottom"/>
          </w:tcPr>
          <w:p>
            <w:pPr>
              <w:ind w:left="660"/>
              <w:spacing w:after="0" w:line="194" w:lineRule="exact"/>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42,786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48,054</w:t>
            </w:r>
          </w:p>
        </w:tc>
      </w:tr>
      <w:tr>
        <w:trPr>
          <w:trHeight w:val="251"/>
        </w:trPr>
        <w:tc>
          <w:tcPr>
            <w:tcW w:w="7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11,123</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13,700</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2,205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2,205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r>
      <w:tr>
        <w:trPr>
          <w:trHeight w:val="205"/>
        </w:trPr>
        <w:tc>
          <w:tcPr>
            <w:tcW w:w="75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72,248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8"/>
        </w:trPr>
        <w:tc>
          <w:tcPr>
            <w:tcW w:w="7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LIABILITIES AND STOCKHOLDERS’ EQUITY</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4,867</w:t>
            </w:r>
          </w:p>
        </w:tc>
        <w:tc>
          <w:tcPr>
            <w:tcW w:w="1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6,744</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Commissions payable</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r>
      <w:tr>
        <w:trPr>
          <w:trHeight w:val="21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accrued expenses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7,336</w:t>
            </w:r>
          </w:p>
        </w:tc>
      </w:tr>
      <w:tr>
        <w:trPr>
          <w:trHeight w:val="205"/>
        </w:trPr>
        <w:tc>
          <w:tcPr>
            <w:tcW w:w="7580" w:type="dxa"/>
            <w:vAlign w:val="bottom"/>
            <w:shd w:val="clear" w:color="auto" w:fill="CCEEFF"/>
          </w:tcPr>
          <w:p>
            <w:pPr>
              <w:ind w:left="660"/>
              <w:spacing w:after="0" w:line="194" w:lineRule="exact"/>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25,199</w:t>
            </w:r>
          </w:p>
        </w:tc>
      </w:tr>
    </w:tbl>
    <w:p>
      <w:pPr>
        <w:spacing w:after="0" w:line="200" w:lineRule="exact"/>
        <w:rPr>
          <w:sz w:val="20"/>
          <w:szCs w:val="20"/>
          <w:color w:val="auto"/>
        </w:rPr>
      </w:pPr>
    </w:p>
    <w:p>
      <w:pPr>
        <w:sectPr>
          <w:pgSz w:w="11900" w:h="16838" w:orient="portrait"/>
          <w:cols w:equalWidth="0" w:num="1">
            <w:col w:w="11220"/>
          </w:cols>
          <w:pgMar w:left="320" w:top="875" w:right="35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Other long-term liabilities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 Note 8</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Common stock — par value $0.0001 per share, 40,000 shares authorized and 12,844 and 13,609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7118350" cy="234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0" cy="2349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outstanding as of December 31, 2021 and June 30, 2021, respectively</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 paid-in capital</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other comprehensive (loss) income</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21" w:lineRule="exact"/>
        <w:rPr>
          <w:sz w:val="20"/>
          <w:szCs w:val="20"/>
          <w:color w:val="auto"/>
        </w:rPr>
      </w:pPr>
    </w:p>
    <w:p>
      <w:pPr>
        <w:ind w:left="40"/>
        <w:spacing w:after="0"/>
        <w:tabs>
          <w:tab w:leader="none" w:pos="760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14,608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16,032</w:t>
            </w:r>
          </w:p>
        </w:tc>
      </w:tr>
      <w:tr>
        <w:trPr>
          <w:trHeight w:val="213"/>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694</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r>
      <w:tr>
        <w:trPr>
          <w:trHeight w:val="20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37,468</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41,925</w:t>
            </w:r>
          </w:p>
        </w:tc>
      </w:tr>
      <w:tr>
        <w:trPr>
          <w:trHeight w:val="612"/>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91"/>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1</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89"/>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84"/>
              </w:rPr>
              <w:t>130,586</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129,048</w:t>
            </w:r>
          </w:p>
        </w:tc>
      </w:tr>
      <w:tr>
        <w:trPr>
          <w:trHeight w:val="212"/>
        </w:trPr>
        <w:tc>
          <w:tcPr>
            <w:tcW w:w="720" w:type="dxa"/>
            <w:vAlign w:val="bottom"/>
          </w:tcPr>
          <w:p>
            <w:pPr>
              <w:jc w:val="right"/>
              <w:ind w:right="56"/>
              <w:spacing w:after="0"/>
              <w:rPr>
                <w:sz w:val="20"/>
                <w:szCs w:val="20"/>
                <w:color w:val="auto"/>
              </w:rPr>
            </w:pPr>
            <w:r>
              <w:rPr>
                <w:rFonts w:ascii="Arial" w:cs="Arial" w:eastAsia="Arial" w:hAnsi="Arial"/>
                <w:sz w:val="17"/>
                <w:szCs w:val="17"/>
                <w:color w:val="auto"/>
                <w:w w:val="88"/>
              </w:rPr>
              <w:t>(95,597)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(92,346)</w:t>
            </w:r>
          </w:p>
        </w:tc>
      </w:tr>
      <w:tr>
        <w:trPr>
          <w:trHeight w:val="213"/>
        </w:trPr>
        <w:tc>
          <w:tcPr>
            <w:tcW w:w="720" w:type="dxa"/>
            <w:vAlign w:val="bottom"/>
          </w:tcPr>
          <w:p>
            <w:pPr>
              <w:jc w:val="right"/>
              <w:ind w:right="56"/>
              <w:spacing w:after="0"/>
              <w:rPr>
                <w:sz w:val="20"/>
                <w:szCs w:val="20"/>
                <w:color w:val="auto"/>
              </w:rPr>
            </w:pPr>
            <w:r>
              <w:rPr>
                <w:rFonts w:ascii="Arial" w:cs="Arial" w:eastAsia="Arial" w:hAnsi="Arial"/>
                <w:sz w:val="17"/>
                <w:szCs w:val="17"/>
                <w:color w:val="auto"/>
              </w:rPr>
              <w:t>(210)</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0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34,780</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36,807</w:t>
            </w:r>
          </w:p>
        </w:tc>
      </w:tr>
      <w:tr>
        <w:trPr>
          <w:trHeight w:val="205"/>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72,248</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78,732</w:t>
            </w:r>
          </w:p>
        </w:tc>
      </w:tr>
      <w:tr>
        <w:trPr>
          <w:trHeight w:val="20"/>
        </w:trPr>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-33020</wp:posOffset>
            </wp:positionV>
            <wp:extent cx="1116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-7620</wp:posOffset>
            </wp:positionV>
            <wp:extent cx="1116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-175895</wp:posOffset>
            </wp:positionV>
            <wp:extent cx="1116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-1359535</wp:posOffset>
            </wp:positionV>
            <wp:extent cx="1116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60"/>
          </w:cols>
          <w:pgMar w:left="320" w:top="875" w:right="359" w:bottom="1440" w:gutter="0" w:footer="0" w:header="0"/>
          <w:type w:val="continuous"/>
        </w:sectPr>
      </w:pP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6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8"/>
              </w:rPr>
              <w:t>Six Months Ended December 31,</w:t>
            </w: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52,189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19,587</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94,248</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32,517</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42,870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85,302</w:t>
            </w: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line="204" w:lineRule="exact"/>
              <w:rPr>
                <w:sz w:val="20"/>
                <w:szCs w:val="20"/>
                <w:color w:val="auto"/>
              </w:rPr>
            </w:pPr>
            <w:r>
              <w:rPr>
                <w:rFonts w:ascii="Arial" w:cs="Arial" w:eastAsia="Arial" w:hAnsi="Arial"/>
                <w:sz w:val="18"/>
                <w:szCs w:val="18"/>
                <w:color w:val="auto"/>
              </w:rPr>
              <w:t>Operating income (loss)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other (expense) income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benefit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14,225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Other comprehensive income (loss), net of tax</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Comprehensive income (loss)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6" w:name="page7"/>
    <w:bookmarkEnd w:id="6"/>
    <w:p>
      <w:pPr>
        <w:jc w:val="center"/>
        <w:ind w:right="20"/>
        <w:spacing w:after="0" w:line="25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21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36,807</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81" w:right="359" w:bottom="1440" w:gutter="0" w:footer="0" w:header="0"/>
        </w:sectPr>
      </w:pPr>
    </w:p>
    <w:bookmarkStart w:id="7" w:name="page8"/>
    <w:bookmarkEnd w:id="7"/>
    <w:p>
      <w:pPr>
        <w:jc w:val="center"/>
        <w:ind w:right="20"/>
        <w:spacing w:after="0" w:line="259" w:lineRule="auto"/>
        <w:rPr>
          <w:sz w:val="20"/>
          <w:szCs w:val="20"/>
          <w:color w:val="auto"/>
        </w:rPr>
      </w:pPr>
      <w:r>
        <w:rPr>
          <w:rFonts w:ascii="Arial" w:cs="Arial" w:eastAsia="Arial" w:hAnsi="Arial"/>
          <w:sz w:val="18"/>
          <w:szCs w:val="18"/>
          <w:color w:val="auto"/>
        </w:rPr>
        <w:t>LIFEVANTAGE CORPORATION AND SUBSIDIARIES CONDENSED CONSOLIDATED STATEMENT OF STOCKHOLDERS’ EQUITY (CONTINUED)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21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14,313</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33,254</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34,136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Balances, December 31, 2020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14,151</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128,011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35,516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39"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Six Months Ended December 31,</w:t>
            </w:r>
          </w:p>
        </w:tc>
        <w:tc>
          <w:tcPr>
            <w:tcW w:w="640" w:type="dxa"/>
            <w:vAlign w:val="bottom"/>
            <w:tcBorders>
              <w:bottom w:val="single" w:sz="8" w:color="auto"/>
            </w:tcBorders>
          </w:tcPr>
          <w:p>
            <w:pPr>
              <w:spacing w:after="0"/>
              <w:rPr>
                <w:sz w:val="16"/>
                <w:szCs w:val="16"/>
                <w:color w:val="auto"/>
              </w:rPr>
            </w:pPr>
          </w:p>
        </w:tc>
      </w:tr>
      <w:tr>
        <w:trPr>
          <w:trHeight w:val="182"/>
        </w:trPr>
        <w:tc>
          <w:tcPr>
            <w:tcW w:w="7580" w:type="dxa"/>
            <w:vAlign w:val="bottom"/>
          </w:tcPr>
          <w:p>
            <w:pPr>
              <w:spacing w:after="0"/>
              <w:rPr>
                <w:sz w:val="15"/>
                <w:szCs w:val="15"/>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6,263</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(4,759)</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24"/>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4,840</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(1,532)</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Repurchase of company stock</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canceled or surrendered as payment of tax withholding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(6,508)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(5,924)</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19,726</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75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Non Cash Investing and Financing Activities: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Increase in property and equipment and lease liabilities from lease incentives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2,687</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leasehold improvements included in accounts payable</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2,618</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jc w:val="both"/>
        <w:ind w:right="20" w:firstLine="397"/>
        <w:spacing w:after="0" w:line="25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2021 included in the annual report on Form 10-K filed with the Securities and Exchange Commission (“SEC”) on August 19,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56" w:lineRule="exact"/>
        <w:rPr>
          <w:sz w:val="20"/>
          <w:szCs w:val="20"/>
          <w:color w:val="auto"/>
        </w:rPr>
      </w:pPr>
    </w:p>
    <w:p>
      <w:pPr>
        <w:ind w:right="100" w:firstLine="412"/>
        <w:spacing w:after="0" w:line="265" w:lineRule="auto"/>
        <w:rPr>
          <w:sz w:val="20"/>
          <w:szCs w:val="20"/>
          <w:color w:val="auto"/>
        </w:rPr>
      </w:pPr>
      <w:r>
        <w:rPr>
          <w:rFonts w:ascii="Arial" w:cs="Arial" w:eastAsia="Arial" w:hAnsi="Arial"/>
          <w:sz w:val="17"/>
          <w:szCs w:val="17"/>
          <w:color w:val="auto"/>
        </w:rPr>
        <w:t>LifeVantage Corporation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Singapore, and the Philippines. The Company also sells its products in a number of countries to customers for personal consumption only. In addition, the Company sells its products in China through a China approved cross-border e-commerce business model.</w:t>
      </w:r>
    </w:p>
    <w:p>
      <w:pPr>
        <w:spacing w:after="0" w:line="102" w:lineRule="exact"/>
        <w:rPr>
          <w:sz w:val="20"/>
          <w:szCs w:val="20"/>
          <w:color w:val="auto"/>
        </w:rPr>
      </w:pPr>
    </w:p>
    <w:p>
      <w:pPr>
        <w:ind w:firstLine="412"/>
        <w:spacing w:after="0" w:line="193" w:lineRule="auto"/>
        <w:rPr>
          <w:sz w:val="20"/>
          <w:szCs w:val="20"/>
          <w:color w:val="auto"/>
        </w:rPr>
      </w:pPr>
      <w:r>
        <w:rPr>
          <w:rFonts w:ascii="Arial" w:cs="Arial" w:eastAsia="Arial" w:hAnsi="Arial"/>
          <w:sz w:val="18"/>
          <w:szCs w:val="18"/>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products,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w:t>
      </w:r>
      <w:r>
        <w:rPr>
          <w:rFonts w:ascii="Arial" w:cs="Arial" w:eastAsia="Arial" w:hAnsi="Arial"/>
          <w:sz w:val="22"/>
          <w:szCs w:val="22"/>
          <w:color w:val="auto"/>
          <w:vertAlign w:val="superscript"/>
        </w:rPr>
        <w:t>™</w:t>
      </w:r>
      <w:r>
        <w:rPr>
          <w:rFonts w:ascii="Arial" w:cs="Arial" w:eastAsia="Arial" w:hAnsi="Arial"/>
          <w:sz w:val="18"/>
          <w:szCs w:val="18"/>
          <w:color w:val="auto"/>
        </w:rPr>
        <w:t>, ProBio</w:t>
      </w:r>
      <w:r>
        <w:rPr>
          <w:rFonts w:ascii="Arial" w:cs="Arial" w:eastAsia="Arial" w:hAnsi="Arial"/>
          <w:sz w:val="22"/>
          <w:szCs w:val="22"/>
          <w:color w:val="auto"/>
          <w:vertAlign w:val="superscript"/>
        </w:rPr>
        <w:t>™</w:t>
      </w:r>
      <w:r>
        <w:rPr>
          <w:rFonts w:ascii="Arial" w:cs="Arial" w:eastAsia="Arial" w:hAnsi="Arial"/>
          <w:sz w:val="18"/>
          <w:szCs w:val="18"/>
          <w:color w:val="auto"/>
        </w:rPr>
        <w:t>, IC Bright</w:t>
      </w:r>
      <w:r>
        <w:rPr>
          <w:rFonts w:ascii="Arial" w:cs="Arial" w:eastAsia="Arial" w:hAnsi="Arial"/>
          <w:sz w:val="22"/>
          <w:szCs w:val="22"/>
          <w:color w:val="auto"/>
          <w:vertAlign w:val="superscript"/>
        </w:rPr>
        <w:t>™</w:t>
      </w:r>
      <w:r>
        <w:rPr>
          <w:rFonts w:ascii="Arial" w:cs="Arial" w:eastAsia="Arial" w:hAnsi="Arial"/>
          <w:sz w:val="18"/>
          <w:szCs w:val="18"/>
          <w:color w:val="auto"/>
        </w:rPr>
        <w:t>, and Daily Wellness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dietary supplements. TrueScience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the Company's line of skin, hair, bath &amp; body, and targeted relief products. The Company also markets and sells Petandim</w:t>
      </w:r>
      <w:r>
        <w:rPr>
          <w:rFonts w:ascii="Arial" w:cs="Arial" w:eastAsia="Arial" w:hAnsi="Arial"/>
          <w:sz w:val="22"/>
          <w:szCs w:val="22"/>
          <w:color w:val="auto"/>
          <w:vertAlign w:val="superscript"/>
        </w:rPr>
        <w:t>®</w:t>
      </w:r>
      <w:r>
        <w:rPr>
          <w:rFonts w:ascii="Arial" w:cs="Arial" w:eastAsia="Arial" w:hAnsi="Arial"/>
          <w:sz w:val="18"/>
          <w:szCs w:val="18"/>
          <w:color w:val="auto"/>
        </w:rPr>
        <w:t>, its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its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its smart weight management system.</w:t>
      </w:r>
    </w:p>
    <w:p>
      <w:pPr>
        <w:spacing w:after="0" w:line="10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2021, and the results of operations for the three and six months ended December 31, 2021 and 2020, and the cash flows for the six months ended December 31, 2021 and 2020. Interim results are not necessarily indicative of results for a full year or for any future period.</w:t>
      </w:r>
    </w:p>
    <w:p>
      <w:pPr>
        <w:spacing w:after="0" w:line="129"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2021, pursuant to the rules and regulations of the SEC. For further information, refer to the financial statements and notes thereto as of and for the year ended June 30, 2021, and included in the annual report on Form 10-K on file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56" w:lineRule="exact"/>
        <w:rPr>
          <w:sz w:val="20"/>
          <w:szCs w:val="20"/>
          <w:color w:val="auto"/>
        </w:rPr>
      </w:pPr>
    </w:p>
    <w:p>
      <w:pPr>
        <w:ind w:right="160" w:firstLine="397"/>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3" w:lineRule="exact"/>
        <w:rPr>
          <w:sz w:val="20"/>
          <w:szCs w:val="20"/>
          <w:color w:val="auto"/>
        </w:rPr>
      </w:pPr>
    </w:p>
    <w:p>
      <w:pPr>
        <w:ind w:right="160" w:firstLine="397"/>
        <w:spacing w:after="0" w:line="308" w:lineRule="auto"/>
        <w:rPr>
          <w:sz w:val="20"/>
          <w:szCs w:val="20"/>
          <w:color w:val="auto"/>
        </w:rPr>
      </w:pPr>
      <w:r>
        <w:rPr>
          <w:rFonts w:ascii="Arial" w:cs="Arial" w:eastAsia="Arial" w:hAnsi="Arial"/>
          <w:sz w:val="15"/>
          <w:szCs w:val="15"/>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56"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 w:name="page11"/>
    <w:bookmarkEnd w:id="10"/>
    <w:p>
      <w:pPr>
        <w:ind w:right="80"/>
        <w:spacing w:after="0" w:line="249" w:lineRule="auto"/>
        <w:rPr>
          <w:sz w:val="20"/>
          <w:szCs w:val="20"/>
          <w:color w:val="auto"/>
        </w:rPr>
      </w:pPr>
      <w:r>
        <w:rPr>
          <w:rFonts w:ascii="Arial" w:cs="Arial" w:eastAsia="Arial" w:hAnsi="Arial"/>
          <w:sz w:val="18"/>
          <w:szCs w:val="18"/>
          <w:color w:val="auto"/>
        </w:rPr>
        <w:t>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December 31, 2021 and 2020, net foreign currency losses of $0.1 million and gains of $0.3 million, respectively, are recorded in other expense, net. For the six months ended December 31, 2021 and 2020, net foreign currency losses of $0.3 million and gains of $0.4 million, respectively, are recorded in other expense, net.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56"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23" w:lineRule="exact"/>
        <w:rPr>
          <w:sz w:val="20"/>
          <w:szCs w:val="20"/>
          <w:color w:val="auto"/>
        </w:rPr>
      </w:pPr>
    </w:p>
    <w:p>
      <w:pPr>
        <w:ind w:right="160" w:firstLine="397"/>
        <w:spacing w:after="0" w:line="268" w:lineRule="auto"/>
        <w:rPr>
          <w:sz w:val="20"/>
          <w:szCs w:val="20"/>
          <w:color w:val="auto"/>
        </w:rPr>
      </w:pPr>
      <w:r>
        <w:rPr>
          <w:rFonts w:ascii="Arial" w:cs="Arial" w:eastAsia="Arial" w:hAnsi="Arial"/>
          <w:sz w:val="17"/>
          <w:szCs w:val="17"/>
          <w:color w:val="auto"/>
        </w:rPr>
        <w:t>To hedge risks associated with the foreign-currency-denominated intercompany transactions, the Company entered into forward foreign exchange contracts which were all settled by the end of December 2021 and were not designated for hedge accounting. For the three months ended December 31, 2021 and 2020, realized losses of $34,000 and $0.2 million, respectively, related to forward contracts, are recorded in other expense, net. For the six months ended December 31, 2021 and 2020, realized losses of $0.1 million and $0.4 million, respectively, related to forward contracts, are recorded in other expense, net. The Company did not hold any derivative instruments at December 31,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3"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2021, the Company had $13.4 million in cash accounts at one financial institution and $6.8 million in accounts at other financial institutions. At June 30, 2021, the Company had $17.2 million in cash accounts at one financial institution and $6.0 million in accounts at other financial institutions. As of December 31, 2021 and June 30, 2021, and during the periods then ended, the Company’s cash balances exceeded federally insured limits.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56"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The Company’s accounts receivable as of December 31, 2021 and June 30, 2021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2021 and June 30, 2021 is not necessary. No bad debt expense was recorded during the three and six months ended December 31, 2021 and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2021 and June 30, 2021, inventory consisted of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2"/>
          </w:tcPr>
          <w:p>
            <w:pPr>
              <w:jc w:val="right"/>
              <w:ind w:right="1072"/>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tcPr>
          <w:p>
            <w:pPr>
              <w:spacing w:after="0"/>
              <w:rPr>
                <w:sz w:val="14"/>
                <w:szCs w:val="14"/>
                <w:color w:val="auto"/>
              </w:rPr>
            </w:pPr>
          </w:p>
        </w:tc>
      </w:tr>
      <w:tr>
        <w:trPr>
          <w:trHeight w:val="184"/>
        </w:trPr>
        <w:tc>
          <w:tcPr>
            <w:tcW w:w="26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6"/>
                <w:szCs w:val="16"/>
                <w:color w:val="auto"/>
              </w:rPr>
            </w:pPr>
          </w:p>
        </w:tc>
      </w:tr>
      <w:tr>
        <w:trPr>
          <w:trHeight w:val="219"/>
        </w:trPr>
        <w:tc>
          <w:tcPr>
            <w:tcW w:w="26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75.7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Raw materials</w:t>
            </w:r>
          </w:p>
        </w:tc>
        <w:tc>
          <w:tcPr>
            <w:tcW w:w="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620" w:type="dxa"/>
            <w:vAlign w:val="bottom"/>
            <w:shd w:val="clear" w:color="auto" w:fill="CCEEFF"/>
          </w:tcPr>
          <w:p>
            <w:pPr>
              <w:ind w:left="900"/>
              <w:spacing w:after="0" w:line="204" w:lineRule="exact"/>
              <w:rPr>
                <w:sz w:val="20"/>
                <w:szCs w:val="20"/>
                <w:color w:val="auto"/>
              </w:rPr>
            </w:pPr>
            <w:r>
              <w:rPr>
                <w:rFonts w:ascii="Arial" w:cs="Arial" w:eastAsia="Arial" w:hAnsi="Arial"/>
                <w:sz w:val="18"/>
                <w:szCs w:val="18"/>
                <w:color w:val="auto"/>
              </w:rPr>
              <w:t>Total inventory</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1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200" w:firstLine="397"/>
        <w:spacing w:after="0" w:line="293"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$0.7 million and $0.5 million at December 31, 2021 and June 30, 2021, respectively, related to obsolete and slow-moving inventory.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56"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1" w:name="page12"/>
    <w:bookmarkEnd w:id="11"/>
    <w:p>
      <w:pPr>
        <w:ind w:left="640" w:hanging="31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36" w:lineRule="exact"/>
        <w:rPr>
          <w:rFonts w:ascii="Arial" w:cs="Arial" w:eastAsia="Arial" w:hAnsi="Arial"/>
          <w:sz w:val="18"/>
          <w:szCs w:val="18"/>
          <w:color w:val="auto"/>
        </w:rPr>
      </w:pPr>
    </w:p>
    <w:p>
      <w:pPr>
        <w:ind w:left="640" w:right="60" w:hanging="317"/>
        <w:spacing w:after="0" w:line="293"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91" w:lineRule="exact"/>
        <w:rPr>
          <w:rFonts w:ascii="Arial" w:cs="Arial" w:eastAsia="Arial" w:hAnsi="Arial"/>
          <w:sz w:val="17"/>
          <w:szCs w:val="17"/>
          <w:color w:val="auto"/>
        </w:rPr>
      </w:pPr>
    </w:p>
    <w:p>
      <w:pPr>
        <w:ind w:left="640" w:hanging="317"/>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1" w:lineRule="exact"/>
        <w:rPr>
          <w:sz w:val="20"/>
          <w:szCs w:val="20"/>
          <w:color w:val="auto"/>
        </w:rPr>
      </w:pPr>
    </w:p>
    <w:p>
      <w:pPr>
        <w:jc w:val="both"/>
        <w:ind w:right="80" w:firstLine="397"/>
        <w:spacing w:after="0" w:line="254"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6" w:lineRule="exact"/>
        <w:rPr>
          <w:sz w:val="20"/>
          <w:szCs w:val="20"/>
          <w:color w:val="auto"/>
        </w:rPr>
      </w:pPr>
    </w:p>
    <w:p>
      <w:pPr>
        <w:jc w:val="both"/>
        <w:ind w:right="24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16" w:lineRule="exact"/>
        <w:rPr>
          <w:sz w:val="20"/>
          <w:szCs w:val="20"/>
          <w:color w:val="auto"/>
        </w:rPr>
      </w:pPr>
    </w:p>
    <w:p>
      <w:pPr>
        <w:ind w:right="20" w:firstLine="317"/>
        <w:spacing w:after="0" w:line="241" w:lineRule="auto"/>
        <w:rPr>
          <w:sz w:val="20"/>
          <w:szCs w:val="20"/>
          <w:color w:val="auto"/>
        </w:rPr>
      </w:pPr>
      <w:r>
        <w:rPr>
          <w:rFonts w:ascii="Arial" w:cs="Arial" w:eastAsia="Arial" w:hAnsi="Arial"/>
          <w:sz w:val="17"/>
          <w:szCs w:val="17"/>
          <w:color w:val="auto"/>
        </w:rPr>
        <w:t>The Company generates the majority of its revenue through product sales to customers. These products include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line of dietary supplements,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ProBio</w:t>
      </w:r>
      <w:r>
        <w:rPr>
          <w:rFonts w:ascii="Arial" w:cs="Arial" w:eastAsia="Arial" w:hAnsi="Arial"/>
          <w:sz w:val="21"/>
          <w:szCs w:val="21"/>
          <w:color w:val="auto"/>
          <w:vertAlign w:val="superscript"/>
        </w:rPr>
        <w:t>™</w:t>
      </w:r>
      <w:r>
        <w:rPr>
          <w:rFonts w:ascii="Arial" w:cs="Arial" w:eastAsia="Arial" w:hAnsi="Arial"/>
          <w:sz w:val="17"/>
          <w:szCs w:val="17"/>
          <w:color w:val="auto"/>
        </w:rPr>
        <w:t>, IC Bright</w:t>
      </w:r>
      <w:r>
        <w:rPr>
          <w:rFonts w:ascii="Arial" w:cs="Arial" w:eastAsia="Arial" w:hAnsi="Arial"/>
          <w:sz w:val="21"/>
          <w:szCs w:val="21"/>
          <w:color w:val="auto"/>
          <w:vertAlign w:val="superscript"/>
        </w:rPr>
        <w:t>™</w:t>
      </w:r>
      <w:r>
        <w:rPr>
          <w:rFonts w:ascii="Arial" w:cs="Arial" w:eastAsia="Arial" w:hAnsi="Arial"/>
          <w:sz w:val="17"/>
          <w:szCs w:val="17"/>
          <w:color w:val="auto"/>
        </w:rPr>
        <w:t>, and Daily Wellness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dietary supplements,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skin, hair, bath &amp; body and targeted relief, Petandim</w:t>
      </w:r>
      <w:r>
        <w:rPr>
          <w:rFonts w:ascii="Arial" w:cs="Arial" w:eastAsia="Arial" w:hAnsi="Arial"/>
          <w:sz w:val="21"/>
          <w:szCs w:val="21"/>
          <w:color w:val="auto"/>
          <w:vertAlign w:val="superscript"/>
        </w:rPr>
        <w:t>®</w:t>
      </w:r>
      <w:r>
        <w:rPr>
          <w:rFonts w:ascii="Arial" w:cs="Arial" w:eastAsia="Arial" w:hAnsi="Arial"/>
          <w:sz w:val="17"/>
          <w:szCs w:val="17"/>
          <w:color w:val="auto"/>
        </w:rPr>
        <w:t>, Axio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nootropic energy drink mixes, and the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22"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The Company also charges independent distributors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26"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December 31, 2021 and June 30, 2021, the returns liability reserve, net was $0.2 million and $0.2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Shipping and handling costs associated with inbound freight and freight out to customers and independent distributors are included in cost of sales.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and independent distributors are included in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6"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December 31, 2021 and 2020 were $0.2 million and $0.2 million, respectively. Research and development expenses for the six months ended December 31, 2021 and 2020 were $0.4 million and $0.4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6" w:lineRule="exact"/>
        <w:rPr>
          <w:sz w:val="20"/>
          <w:szCs w:val="20"/>
          <w:color w:val="auto"/>
        </w:rPr>
      </w:pPr>
    </w:p>
    <w:p>
      <w:pPr>
        <w:ind w:right="360" w:firstLine="397"/>
        <w:spacing w:after="0" w:line="27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106" w:lineRule="exact"/>
        <w:rPr>
          <w:sz w:val="20"/>
          <w:szCs w:val="20"/>
          <w:color w:val="auto"/>
        </w:rPr>
      </w:pPr>
    </w:p>
    <w:p>
      <w:pPr>
        <w:ind w:right="360" w:firstLine="397"/>
        <w:spacing w:after="0" w:line="263" w:lineRule="auto"/>
        <w:rPr>
          <w:sz w:val="20"/>
          <w:szCs w:val="20"/>
          <w:color w:val="auto"/>
        </w:rPr>
      </w:pPr>
      <w:r>
        <w:rPr>
          <w:rFonts w:ascii="Arial" w:cs="Arial" w:eastAsia="Arial" w:hAnsi="Arial"/>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2" w:name="page13"/>
    <w:bookmarkEnd w:id="12"/>
    <w:p>
      <w:pPr>
        <w:ind w:right="20"/>
        <w:spacing w:after="0" w:line="266" w:lineRule="auto"/>
        <w:rPr>
          <w:sz w:val="20"/>
          <w:szCs w:val="20"/>
          <w:color w:val="auto"/>
        </w:rPr>
      </w:pPr>
      <w:r>
        <w:rPr>
          <w:rFonts w:ascii="Arial" w:cs="Arial" w:eastAsia="Arial" w:hAnsi="Arial"/>
          <w:sz w:val="17"/>
          <w:szCs w:val="17"/>
          <w:color w:val="auto"/>
        </w:rPr>
        <w:t>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01" w:lineRule="exact"/>
        <w:rPr>
          <w:sz w:val="20"/>
          <w:szCs w:val="20"/>
          <w:color w:val="auto"/>
        </w:rPr>
      </w:pPr>
    </w:p>
    <w:p>
      <w:pPr>
        <w:ind w:right="460" w:firstLine="397"/>
        <w:spacing w:after="0" w:line="276" w:lineRule="auto"/>
        <w:rPr>
          <w:sz w:val="20"/>
          <w:szCs w:val="20"/>
          <w:color w:val="auto"/>
        </w:rPr>
      </w:pPr>
      <w:r>
        <w:rPr>
          <w:rFonts w:ascii="Arial" w:cs="Arial" w:eastAsia="Arial" w:hAnsi="Arial"/>
          <w:sz w:val="17"/>
          <w:szCs w:val="17"/>
          <w:color w:val="auto"/>
        </w:rPr>
        <w:t>The pandemic caused by coronavirus (“COVID-19”) has resulted in disruptions which have forced the Company's corporate workforce to a remote working environment. On September 1, 2020, the Company abandoned the ROU asset related to the Corporate office lease in Sandy, Utah, as this lease terminated in February 2021. A new Corporate office was opened in Lehi, Utah in January 2021.</w:t>
      </w:r>
    </w:p>
    <w:p>
      <w:pPr>
        <w:spacing w:after="0" w:line="106"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As a result of the abandonment of the Sandy, Utah office, operating lease expenses related to the ROU asset, along with the remaining leasehold assets in the office, have been reduced to their salvage values, which the Company has determined to be zero. The total expense related to the abandonment of the ROU asset for the six months ended December 31, 2020 was $0.8 million and is included in selling, general, and administrative expenses. There is no remaining lease liability for the Sandy, Utah office at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3" w:lineRule="exact"/>
        <w:rPr>
          <w:sz w:val="20"/>
          <w:szCs w:val="20"/>
          <w:color w:val="auto"/>
        </w:rPr>
      </w:pPr>
    </w:p>
    <w:p>
      <w:pPr>
        <w:ind w:right="200" w:firstLine="397"/>
        <w:spacing w:after="0" w:line="317" w:lineRule="auto"/>
        <w:rPr>
          <w:sz w:val="20"/>
          <w:szCs w:val="20"/>
          <w:color w:val="auto"/>
        </w:rPr>
      </w:pPr>
      <w:r>
        <w:rPr>
          <w:rFonts w:ascii="Arial" w:cs="Arial" w:eastAsia="Arial" w:hAnsi="Arial"/>
          <w:sz w:val="15"/>
          <w:szCs w:val="15"/>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29"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7" w:lineRule="exact"/>
        <w:rPr>
          <w:sz w:val="20"/>
          <w:szCs w:val="20"/>
          <w:color w:val="auto"/>
        </w:rPr>
      </w:pPr>
    </w:p>
    <w:p>
      <w:pPr>
        <w:ind w:right="140" w:firstLine="397"/>
        <w:spacing w:after="0" w:line="254" w:lineRule="auto"/>
        <w:rPr>
          <w:sz w:val="20"/>
          <w:szCs w:val="20"/>
          <w:color w:val="auto"/>
        </w:rPr>
      </w:pPr>
      <w:r>
        <w:rPr>
          <w:rFonts w:ascii="Arial" w:cs="Arial" w:eastAsia="Arial" w:hAnsi="Arial"/>
          <w:sz w:val="18"/>
          <w:szCs w:val="18"/>
          <w:color w:val="auto"/>
        </w:rPr>
        <w:t>For the six months ended December 31, 2021 and 2020, the Company recognized income tax expense of $0.5 million and $2.7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Income Per Share</w:t>
      </w:r>
    </w:p>
    <w:p>
      <w:pPr>
        <w:spacing w:after="0" w:line="143"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23" w:lineRule="exact"/>
        <w:rPr>
          <w:sz w:val="20"/>
          <w:szCs w:val="20"/>
          <w:color w:val="auto"/>
        </w:rPr>
      </w:pPr>
    </w:p>
    <w:p>
      <w:pPr>
        <w:ind w:right="160" w:firstLine="397"/>
        <w:spacing w:after="0" w:line="270" w:lineRule="auto"/>
        <w:rPr>
          <w:sz w:val="20"/>
          <w:szCs w:val="20"/>
          <w:color w:val="auto"/>
        </w:rPr>
      </w:pPr>
      <w:r>
        <w:rPr>
          <w:rFonts w:ascii="Arial" w:cs="Arial" w:eastAsia="Arial" w:hAnsi="Arial"/>
          <w:sz w:val="17"/>
          <w:szCs w:val="17"/>
          <w:color w:val="auto"/>
        </w:rPr>
        <w:t>For the three months ended December 31, 2021 and 2020, the effects of approximately 0.1 million and 45,000 common shares, respectively, issuable upon exercise of options and non-vested shares of restricted stock are not included in computations as their effect was anti-dilutive. For the six months ended December 31, 2021 and 2020, the effects of approximately 0.2 million and 0.1 million common shares, respectively, issuable upon exercise of options and non-vested shares of restricted stock are not included in computations as their effect was anti-dilutive.</w:t>
      </w:r>
    </w:p>
    <w:p>
      <w:pPr>
        <w:spacing w:after="0" w:line="112" w:lineRule="exact"/>
        <w:rPr>
          <w:sz w:val="20"/>
          <w:szCs w:val="20"/>
          <w:color w:val="auto"/>
        </w:rPr>
      </w:pPr>
    </w:p>
    <w:p>
      <w:pPr>
        <w:ind w:right="360" w:firstLine="397"/>
        <w:spacing w:after="0" w:line="262"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720" w:type="dxa"/>
            <w:vAlign w:val="bottom"/>
          </w:tcPr>
          <w:p>
            <w:pPr>
              <w:spacing w:after="0"/>
              <w:rPr>
                <w:sz w:val="16"/>
                <w:szCs w:val="16"/>
                <w:color w:val="auto"/>
              </w:rPr>
            </w:pPr>
          </w:p>
        </w:tc>
        <w:tc>
          <w:tcPr>
            <w:tcW w:w="28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Numerator:</w:t>
            </w: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740"/>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Denominator:</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40" w:type="dxa"/>
            <w:vAlign w:val="bottom"/>
          </w:tcPr>
          <w:p>
            <w:pPr>
              <w:ind w:left="740"/>
              <w:spacing w:after="0" w:line="173" w:lineRule="exact"/>
              <w:rPr>
                <w:sz w:val="20"/>
                <w:szCs w:val="20"/>
                <w:color w:val="auto"/>
              </w:rPr>
            </w:pPr>
            <w:r>
              <w:rPr>
                <w:rFonts w:ascii="Arial" w:cs="Arial" w:eastAsia="Arial" w:hAnsi="Arial"/>
                <w:sz w:val="18"/>
                <w:szCs w:val="18"/>
                <w:color w:val="auto"/>
              </w:rPr>
              <w:t>Basic weighted-average common shares</w:t>
            </w:r>
          </w:p>
        </w:tc>
        <w:tc>
          <w:tcPr>
            <w:tcW w:w="6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13,294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14,225</w:t>
            </w: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6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securities:</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Stock awards and options</w:t>
            </w: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ind w:left="420"/>
              <w:spacing w:after="0" w:line="154" w:lineRule="exact"/>
              <w:rPr>
                <w:sz w:val="20"/>
                <w:szCs w:val="20"/>
                <w:color w:val="auto"/>
              </w:rPr>
            </w:pPr>
            <w:r>
              <w:rPr>
                <w:rFonts w:ascii="Arial" w:cs="Arial" w:eastAsia="Arial" w:hAnsi="Arial"/>
                <w:sz w:val="17"/>
                <w:szCs w:val="17"/>
                <w:color w:val="auto"/>
              </w:rPr>
              <w:t>Diluted weighted-average common shares</w:t>
            </w:r>
          </w:p>
        </w:tc>
        <w:tc>
          <w:tcPr>
            <w:tcW w:w="6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outstanding</w:t>
            </w: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740"/>
              <w:spacing w:after="0"/>
              <w:rPr>
                <w:sz w:val="20"/>
                <w:szCs w:val="20"/>
                <w:color w:val="auto"/>
              </w:rPr>
            </w:pPr>
            <w:r>
              <w:rPr>
                <w:rFonts w:ascii="Arial" w:cs="Arial" w:eastAsia="Arial" w:hAnsi="Arial"/>
                <w:sz w:val="18"/>
                <w:szCs w:val="18"/>
                <w:color w:val="auto"/>
              </w:rPr>
              <w:t>Net income per share, basic</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680" w:type="dxa"/>
            <w:vAlign w:val="bottom"/>
            <w:tcBorders>
              <w:bottom w:val="single" w:sz="8" w:color="auto"/>
            </w:tcBorders>
          </w:tcPr>
          <w:p>
            <w:pPr>
              <w:jc w:val="right"/>
              <w:ind w:right="92"/>
              <w:spacing w:after="0" w:line="197"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0.27</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132"/>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Borders>
              <w:bottom w:val="single" w:sz="8" w:color="CCEEFF"/>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Net income per share, diluted</w:t>
            </w: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56" w:lineRule="exact"/>
        <w:rPr>
          <w:sz w:val="20"/>
          <w:szCs w:val="20"/>
          <w:color w:val="auto"/>
        </w:rPr>
      </w:pPr>
    </w:p>
    <w:p>
      <w:pPr>
        <w:ind w:right="100" w:firstLine="397"/>
        <w:spacing w:after="0" w:line="317" w:lineRule="auto"/>
        <w:rPr>
          <w:sz w:val="20"/>
          <w:szCs w:val="20"/>
          <w:color w:val="auto"/>
        </w:rPr>
      </w:pPr>
      <w:r>
        <w:rPr>
          <w:rFonts w:ascii="Arial" w:cs="Arial" w:eastAsia="Arial" w:hAnsi="Arial"/>
          <w:sz w:val="15"/>
          <w:szCs w:val="15"/>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720" w:type="dxa"/>
            <w:vAlign w:val="bottom"/>
          </w:tcPr>
          <w:p>
            <w:pPr>
              <w:spacing w:after="0"/>
              <w:rPr>
                <w:sz w:val="16"/>
                <w:szCs w:val="16"/>
                <w:color w:val="auto"/>
              </w:rPr>
            </w:pPr>
          </w:p>
        </w:tc>
        <w:tc>
          <w:tcPr>
            <w:tcW w:w="288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December 31,</w:t>
            </w:r>
          </w:p>
        </w:tc>
      </w:tr>
      <w:tr>
        <w:trPr>
          <w:trHeight w:val="183"/>
        </w:trPr>
        <w:tc>
          <w:tcPr>
            <w:tcW w:w="400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19"/>
        </w:trPr>
        <w:tc>
          <w:tcPr>
            <w:tcW w:w="400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Americas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80,559</w:t>
            </w:r>
          </w:p>
        </w:tc>
      </w:tr>
      <w:tr>
        <w:trPr>
          <w:trHeight w:val="224"/>
        </w:trPr>
        <w:tc>
          <w:tcPr>
            <w:tcW w:w="40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Asia/Pacific &amp; Europe</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33,276</w:t>
            </w:r>
          </w:p>
        </w:tc>
      </w:tr>
      <w:tr>
        <w:trPr>
          <w:trHeight w:val="243"/>
        </w:trPr>
        <w:tc>
          <w:tcPr>
            <w:tcW w:w="4000" w:type="dxa"/>
            <w:vAlign w:val="bottom"/>
            <w:tcBorders>
              <w:bottom w:val="single" w:sz="8" w:color="CCEEFF"/>
            </w:tcBorders>
            <w:shd w:val="clear" w:color="auto" w:fill="CCEEFF"/>
          </w:tcPr>
          <w:p>
            <w:pPr>
              <w:ind w:left="740"/>
              <w:spacing w:after="0" w:line="204" w:lineRule="exact"/>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640" w:type="dxa"/>
            <w:vAlign w:val="bottom"/>
          </w:tcPr>
          <w:p>
            <w:pPr>
              <w:spacing w:after="0"/>
              <w:rPr>
                <w:sz w:val="16"/>
                <w:szCs w:val="16"/>
                <w:color w:val="auto"/>
              </w:rPr>
            </w:pPr>
          </w:p>
        </w:tc>
        <w:tc>
          <w:tcPr>
            <w:tcW w:w="2920" w:type="dxa"/>
            <w:vAlign w:val="bottom"/>
            <w:gridSpan w:val="8"/>
          </w:tcPr>
          <w:p>
            <w:pPr>
              <w:ind w:left="360"/>
              <w:spacing w:after="0"/>
              <w:rPr>
                <w:sz w:val="20"/>
                <w:szCs w:val="20"/>
                <w:color w:val="auto"/>
              </w:rPr>
            </w:pPr>
            <w:r>
              <w:rPr>
                <w:rFonts w:ascii="Arial" w:cs="Arial" w:eastAsia="Arial" w:hAnsi="Arial"/>
                <w:sz w:val="14"/>
                <w:szCs w:val="14"/>
                <w:b w:val="1"/>
                <w:bCs w:val="1"/>
                <w:color w:val="auto"/>
              </w:rPr>
              <w:t>Six Months Ended December 31,</w:t>
            </w:r>
          </w:p>
        </w:tc>
      </w:tr>
      <w:tr>
        <w:trPr>
          <w:trHeight w:val="183"/>
        </w:trPr>
        <w:tc>
          <w:tcPr>
            <w:tcW w:w="40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5"/>
                <w:szCs w:val="15"/>
                <w:color w:val="auto"/>
              </w:rPr>
            </w:pPr>
          </w:p>
        </w:tc>
      </w:tr>
      <w:tr>
        <w:trPr>
          <w:trHeight w:val="219"/>
        </w:trPr>
        <w:tc>
          <w:tcPr>
            <w:tcW w:w="4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39,416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75,525</w:t>
            </w:r>
          </w:p>
        </w:tc>
        <w:tc>
          <w:tcPr>
            <w:tcW w:w="20" w:type="dxa"/>
            <w:vAlign w:val="bottom"/>
            <w:shd w:val="clear" w:color="auto" w:fill="CCEEFF"/>
          </w:tcPr>
          <w:p>
            <w:pPr>
              <w:spacing w:after="0"/>
              <w:rPr>
                <w:sz w:val="19"/>
                <w:szCs w:val="19"/>
                <w:color w:val="auto"/>
              </w:rPr>
            </w:pPr>
          </w:p>
        </w:tc>
      </w:tr>
      <w:tr>
        <w:trPr>
          <w:trHeight w:val="224"/>
        </w:trPr>
        <w:tc>
          <w:tcPr>
            <w:tcW w:w="4020" w:type="dxa"/>
            <w:vAlign w:val="bottom"/>
          </w:tcPr>
          <w:p>
            <w:pPr>
              <w:ind w:left="420"/>
              <w:spacing w:after="0"/>
              <w:rPr>
                <w:sz w:val="20"/>
                <w:szCs w:val="20"/>
                <w:color w:val="auto"/>
              </w:rPr>
            </w:pPr>
            <w:r>
              <w:rPr>
                <w:rFonts w:ascii="Arial" w:cs="Arial" w:eastAsia="Arial" w:hAnsi="Arial"/>
                <w:sz w:val="18"/>
                <w:szCs w:val="18"/>
                <w:color w:val="auto"/>
              </w:rPr>
              <w:t>Japan</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11,120</w:t>
            </w:r>
          </w:p>
        </w:tc>
        <w:tc>
          <w:tcPr>
            <w:tcW w:w="12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21,551</w:t>
            </w:r>
          </w:p>
        </w:tc>
        <w:tc>
          <w:tcPr>
            <w:tcW w:w="20" w:type="dxa"/>
            <w:vAlign w:val="bottom"/>
          </w:tcPr>
          <w:p>
            <w:pPr>
              <w:spacing w:after="0"/>
              <w:rPr>
                <w:sz w:val="19"/>
                <w:szCs w:val="19"/>
                <w:color w:val="auto"/>
              </w:rPr>
            </w:pPr>
          </w:p>
        </w:tc>
      </w:tr>
      <w:tr>
        <w:trPr>
          <w:trHeight w:val="436"/>
        </w:trPr>
        <w:tc>
          <w:tcPr>
            <w:tcW w:w="9520" w:type="dxa"/>
            <w:vAlign w:val="bottom"/>
            <w:gridSpan w:val="13"/>
          </w:tcPr>
          <w:p>
            <w:pPr>
              <w:ind w:left="400"/>
              <w:spacing w:after="0"/>
              <w:rPr>
                <w:sz w:val="20"/>
                <w:szCs w:val="20"/>
                <w:color w:val="auto"/>
              </w:rPr>
            </w:pPr>
            <w:r>
              <w:rPr>
                <w:rFonts w:ascii="Arial" w:cs="Arial" w:eastAsia="Arial" w:hAnsi="Arial"/>
                <w:sz w:val="18"/>
                <w:szCs w:val="18"/>
                <w:color w:val="auto"/>
                <w:w w:val="95"/>
              </w:rPr>
              <w:t>The following table presents the Company's long-lived assets for its most significant geographic markets (in thousands):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ind w:left="80"/>
              <w:spacing w:after="0" w:line="15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June 30,</w:t>
            </w:r>
          </w:p>
        </w:tc>
      </w:tr>
      <w:tr>
        <w:trPr>
          <w:trHeight w:val="184"/>
        </w:trPr>
        <w:tc>
          <w:tcPr>
            <w:tcW w:w="40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r>
      <w:tr>
        <w:trPr>
          <w:trHeight w:val="219"/>
        </w:trPr>
        <w:tc>
          <w:tcPr>
            <w:tcW w:w="4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20" w:type="dxa"/>
            <w:vAlign w:val="bottom"/>
          </w:tcPr>
          <w:p>
            <w:pPr>
              <w:spacing w:after="0"/>
              <w:rPr>
                <w:sz w:val="19"/>
                <w:szCs w:val="19"/>
                <w:color w:val="auto"/>
              </w:rPr>
            </w:pPr>
          </w:p>
        </w:tc>
      </w:tr>
      <w:tr>
        <w:trPr>
          <w:trHeight w:val="224"/>
        </w:trPr>
        <w:tc>
          <w:tcPr>
            <w:tcW w:w="4020" w:type="dxa"/>
            <w:vAlign w:val="bottom"/>
          </w:tcPr>
          <w:p>
            <w:pPr>
              <w:ind w:left="420"/>
              <w:spacing w:after="0"/>
              <w:rPr>
                <w:sz w:val="20"/>
                <w:szCs w:val="20"/>
                <w:color w:val="auto"/>
              </w:rPr>
            </w:pPr>
            <w:r>
              <w:rPr>
                <w:rFonts w:ascii="Arial" w:cs="Arial" w:eastAsia="Arial" w:hAnsi="Arial"/>
                <w:sz w:val="18"/>
                <w:szCs w:val="18"/>
                <w:color w:val="auto"/>
              </w:rPr>
              <w:t>Japan</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50"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$2.2 million in aggregate consideration).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37" w:lineRule="exact"/>
        <w:rPr>
          <w:sz w:val="20"/>
          <w:szCs w:val="20"/>
          <w:color w:val="auto"/>
        </w:rPr>
      </w:pPr>
    </w:p>
    <w:p>
      <w:pPr>
        <w:ind w:right="100" w:firstLine="397"/>
        <w:spacing w:after="0" w:line="263" w:lineRule="auto"/>
        <w:rPr>
          <w:sz w:val="20"/>
          <w:szCs w:val="20"/>
          <w:color w:val="auto"/>
        </w:rPr>
      </w:pPr>
      <w:r>
        <w:rPr>
          <w:rFonts w:ascii="Arial" w:cs="Arial" w:eastAsia="Arial" w:hAnsi="Arial"/>
          <w:sz w:val="17"/>
          <w:szCs w:val="17"/>
          <w:color w:val="auto"/>
        </w:rPr>
        <w:t xml:space="preserve">Upon conversion of the convertible promissory note receivable with GEG, the Company held a minority interest (less than 20%) in GEG, accounted for under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spacing w:after="0" w:line="118" w:lineRule="exact"/>
        <w:rPr>
          <w:sz w:val="20"/>
          <w:szCs w:val="20"/>
          <w:color w:val="auto"/>
        </w:rPr>
      </w:pPr>
    </w:p>
    <w:p>
      <w:pPr>
        <w:ind w:right="80" w:firstLine="397"/>
        <w:spacing w:after="0" w:line="317" w:lineRule="auto"/>
        <w:rPr>
          <w:sz w:val="20"/>
          <w:szCs w:val="20"/>
          <w:color w:val="auto"/>
        </w:rPr>
      </w:pPr>
      <w:r>
        <w:rPr>
          <w:rFonts w:ascii="Arial" w:cs="Arial" w:eastAsia="Arial" w:hAnsi="Arial"/>
          <w:sz w:val="15"/>
          <w:szCs w:val="15"/>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December 31, 2021 and June 30, 2021, respectively. During the three and six months ended December 31, 2021 and 2020, there were no price changes or impairments recognized.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43" w:lineRule="exact"/>
        <w:rPr>
          <w:sz w:val="20"/>
          <w:szCs w:val="20"/>
          <w:color w:val="auto"/>
        </w:rPr>
      </w:pPr>
    </w:p>
    <w:p>
      <w:pPr>
        <w:ind w:right="220" w:firstLine="397"/>
        <w:spacing w:after="0" w:line="254"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approximately one to ten years. As of December 31, 2021, the weighted average remaining lease term and weighted average discount rate for operating leases was 8.55 years and 3.30%, respectively.</w:t>
      </w:r>
    </w:p>
    <w:p>
      <w:pPr>
        <w:spacing w:after="0" w:line="123" w:lineRule="exact"/>
        <w:rPr>
          <w:sz w:val="20"/>
          <w:szCs w:val="20"/>
          <w:color w:val="auto"/>
        </w:rPr>
      </w:pPr>
    </w:p>
    <w:p>
      <w:pPr>
        <w:ind w:right="260" w:firstLine="397"/>
        <w:spacing w:after="0" w:line="263" w:lineRule="auto"/>
        <w:rPr>
          <w:sz w:val="20"/>
          <w:szCs w:val="20"/>
          <w:color w:val="auto"/>
        </w:rPr>
      </w:pPr>
      <w:r>
        <w:rPr>
          <w:rFonts w:ascii="Arial" w:cs="Arial" w:eastAsia="Arial" w:hAnsi="Arial"/>
          <w:sz w:val="18"/>
          <w:szCs w:val="18"/>
          <w:color w:val="auto"/>
        </w:rPr>
        <w:t>For the three months ended December 31, 2021 and 2020, operating lease expense was $0.8 million and $0.8 million, respectively. For the six months ended December 31, 2021 and 2020, operating lease expense was $1.6 million and $2.0 million, respectively.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Pr>
          <w:p>
            <w:pPr>
              <w:spacing w:after="0"/>
              <w:rPr>
                <w:sz w:val="16"/>
                <w:szCs w:val="16"/>
                <w:color w:val="auto"/>
              </w:rPr>
            </w:pPr>
          </w:p>
        </w:tc>
        <w:tc>
          <w:tcPr>
            <w:tcW w:w="2840" w:type="dxa"/>
            <w:vAlign w:val="bottom"/>
            <w:gridSpan w:val="4"/>
          </w:tcPr>
          <w:p>
            <w:pPr>
              <w:jc w:val="right"/>
              <w:ind w:right="518"/>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4"/>
        </w:trPr>
        <w:tc>
          <w:tcPr>
            <w:tcW w:w="4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4120" w:type="dxa"/>
            <w:vAlign w:val="bottom"/>
          </w:tcPr>
          <w:p>
            <w:pPr>
              <w:ind w:left="420"/>
              <w:spacing w:after="0"/>
              <w:rPr>
                <w:sz w:val="20"/>
                <w:szCs w:val="20"/>
                <w:color w:val="auto"/>
              </w:rPr>
            </w:pPr>
            <w:r>
              <w:rPr>
                <w:rFonts w:ascii="Arial" w:cs="Arial" w:eastAsia="Arial" w:hAnsi="Arial"/>
                <w:sz w:val="18"/>
                <w:szCs w:val="18"/>
                <w:color w:val="auto"/>
                <w:w w:val="99"/>
              </w:rPr>
              <w:t>Operating cash outflows from operating leases</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ind w:left="420"/>
              <w:spacing w:after="0" w:line="173" w:lineRule="exact"/>
              <w:rPr>
                <w:sz w:val="20"/>
                <w:szCs w:val="20"/>
                <w:color w:val="auto"/>
              </w:rPr>
            </w:pPr>
            <w:r>
              <w:rPr>
                <w:rFonts w:ascii="Arial" w:cs="Arial" w:eastAsia="Arial" w:hAnsi="Arial"/>
                <w:sz w:val="18"/>
                <w:szCs w:val="18"/>
                <w:color w:val="auto"/>
                <w:w w:val="90"/>
              </w:rPr>
              <w:t>Right-of-use assets obtained in exchange for lease</w:t>
            </w: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68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color w:val="auto"/>
        </w:rPr>
        <w:t>Maturity of lease liabilities at December 31, 2021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2022 (remaining six months ending June 30, 2022)</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r>
      <w:tr>
        <w:trPr>
          <w:trHeight w:val="224"/>
        </w:trPr>
        <w:tc>
          <w:tcPr>
            <w:tcW w:w="9020" w:type="dxa"/>
            <w:vAlign w:val="bottom"/>
          </w:tcPr>
          <w:p>
            <w:pPr>
              <w:ind w:left="4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3,263</w:t>
            </w:r>
          </w:p>
        </w:tc>
      </w:tr>
      <w:tr>
        <w:trPr>
          <w:trHeight w:val="225"/>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24"/>
        </w:trPr>
        <w:tc>
          <w:tcPr>
            <w:tcW w:w="9020" w:type="dxa"/>
            <w:vAlign w:val="bottom"/>
          </w:tcPr>
          <w:p>
            <w:pPr>
              <w:ind w:left="4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25"/>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4"/>
        </w:trPr>
        <w:tc>
          <w:tcPr>
            <w:tcW w:w="9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r>
      <w:tr>
        <w:trPr>
          <w:trHeight w:val="218"/>
        </w:trPr>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r>
      <w:tr>
        <w:trPr>
          <w:trHeight w:val="224"/>
        </w:trPr>
        <w:tc>
          <w:tcPr>
            <w:tcW w:w="9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Less: imputed interest</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r>
      <w:tr>
        <w:trPr>
          <w:trHeight w:val="243"/>
        </w:trPr>
        <w:tc>
          <w:tcPr>
            <w:tcW w:w="9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Present value of lease liabilities</w:t>
            </w: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March 30, 2016, the Company entered into a loan agreement (the “2016 Loan Agreement”) to refinance its outstanding debt. In connection with the</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18"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23"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9" w:lineRule="exact"/>
        <w:rPr>
          <w:sz w:val="20"/>
          <w:szCs w:val="20"/>
          <w:color w:val="auto"/>
        </w:rPr>
      </w:pPr>
    </w:p>
    <w:p>
      <w:pPr>
        <w:ind w:right="240" w:firstLine="397"/>
        <w:spacing w:after="0" w:line="317" w:lineRule="auto"/>
        <w:rPr>
          <w:sz w:val="20"/>
          <w:szCs w:val="20"/>
          <w:color w:val="auto"/>
        </w:rPr>
      </w:pPr>
      <w:r>
        <w:rPr>
          <w:rFonts w:ascii="Arial" w:cs="Arial" w:eastAsia="Arial" w:hAnsi="Arial"/>
          <w:sz w:val="15"/>
          <w:szCs w:val="15"/>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67" w:lineRule="exact"/>
        <w:rPr>
          <w:sz w:val="20"/>
          <w:szCs w:val="20"/>
          <w:color w:val="auto"/>
        </w:rPr>
      </w:pPr>
    </w:p>
    <w:p>
      <w:pPr>
        <w:ind w:right="140" w:firstLine="397"/>
        <w:spacing w:after="0" w:line="249" w:lineRule="auto"/>
        <w:rPr>
          <w:sz w:val="20"/>
          <w:szCs w:val="20"/>
          <w:color w:val="auto"/>
        </w:rPr>
      </w:pPr>
      <w:r>
        <w:rPr>
          <w:rFonts w:ascii="Arial" w:cs="Arial" w:eastAsia="Arial" w:hAnsi="Arial"/>
          <w:sz w:val="18"/>
          <w:szCs w:val="18"/>
          <w:color w:val="auto"/>
        </w:rPr>
        <w:t>On February 1, 2019, the Company entered into a loan modification agreement, which further amended the 2016 Credit Facility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right="80" w:firstLine="397"/>
        <w:spacing w:after="0" w:line="308" w:lineRule="auto"/>
        <w:rPr>
          <w:sz w:val="20"/>
          <w:szCs w:val="20"/>
          <w:color w:val="auto"/>
        </w:rPr>
      </w:pPr>
      <w:r>
        <w:rPr>
          <w:rFonts w:ascii="Arial" w:cs="Arial" w:eastAsia="Arial" w:hAnsi="Arial"/>
          <w:sz w:val="15"/>
          <w:szCs w:val="15"/>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86" w:lineRule="exact"/>
        <w:rPr>
          <w:sz w:val="20"/>
          <w:szCs w:val="20"/>
          <w:color w:val="auto"/>
        </w:rPr>
      </w:pPr>
    </w:p>
    <w:p>
      <w:pPr>
        <w:jc w:val="both"/>
        <w:ind w:right="140" w:firstLine="397"/>
        <w:spacing w:after="0" w:line="254" w:lineRule="auto"/>
        <w:rPr>
          <w:sz w:val="20"/>
          <w:szCs w:val="20"/>
          <w:color w:val="auto"/>
        </w:rPr>
      </w:pPr>
      <w:r>
        <w:rPr>
          <w:rFonts w:ascii="Arial" w:cs="Arial" w:eastAsia="Arial" w:hAnsi="Arial"/>
          <w:sz w:val="18"/>
          <w:szCs w:val="18"/>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6" w:name="page17"/>
    <w:bookmarkEnd w:id="16"/>
    <w:p>
      <w:pPr>
        <w:ind w:right="20"/>
        <w:spacing w:after="0" w:line="265" w:lineRule="auto"/>
        <w:rPr>
          <w:sz w:val="20"/>
          <w:szCs w:val="20"/>
          <w:color w:val="auto"/>
        </w:rPr>
      </w:pPr>
      <w:r>
        <w:rPr>
          <w:rFonts w:ascii="Arial" w:cs="Arial" w:eastAsia="Arial" w:hAnsi="Arial"/>
          <w:sz w:val="17"/>
          <w:szCs w:val="17"/>
          <w:color w:val="auto"/>
        </w:rPr>
        <w:t>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December 31, 2021, the Company was in compliance with all applicable covenants under the 2016 Credit Facility, as amended.</w:t>
      </w:r>
    </w:p>
    <w:p>
      <w:pPr>
        <w:spacing w:after="0" w:line="102" w:lineRule="exact"/>
        <w:rPr>
          <w:sz w:val="20"/>
          <w:szCs w:val="20"/>
          <w:color w:val="auto"/>
        </w:rPr>
      </w:pPr>
    </w:p>
    <w:p>
      <w:pPr>
        <w:ind w:right="580" w:firstLine="397"/>
        <w:spacing w:after="0" w:line="364" w:lineRule="auto"/>
        <w:rPr>
          <w:sz w:val="20"/>
          <w:szCs w:val="20"/>
          <w:color w:val="auto"/>
        </w:rPr>
      </w:pPr>
      <w:r>
        <w:rPr>
          <w:rFonts w:ascii="Arial" w:cs="Arial" w:eastAsia="Arial" w:hAnsi="Arial"/>
          <w:sz w:val="15"/>
          <w:szCs w:val="15"/>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56" w:lineRule="exact"/>
        <w:rPr>
          <w:sz w:val="20"/>
          <w:szCs w:val="20"/>
          <w:color w:val="auto"/>
        </w:rPr>
      </w:pPr>
    </w:p>
    <w:p>
      <w:pPr>
        <w:ind w:right="120" w:firstLine="397"/>
        <w:spacing w:after="0" w:line="248" w:lineRule="auto"/>
        <w:rPr>
          <w:sz w:val="20"/>
          <w:szCs w:val="20"/>
          <w:color w:val="auto"/>
        </w:rPr>
      </w:pPr>
      <w:r>
        <w:rPr>
          <w:rFonts w:ascii="Arial" w:cs="Arial" w:eastAsia="Arial" w:hAnsi="Arial"/>
          <w:sz w:val="18"/>
          <w:szCs w:val="18"/>
          <w:color w:val="auto"/>
        </w:rPr>
        <w:t>During the three months ended December 31, 2021 and 2020, the Company issued 0 shares and 0.2 million shares, respectively, of common stock upon the exercise of options. During the six months ended December 31, 2021 and 2020, the company issued 30,000 shares and 0.2 million shares, respectively, of common stock upon the exercise of options. During the three months ended December 31, 2021 and 2020, approximately 5,000 shares and 25,000 shares, respectively, of restricted stock were canceled or surrendered as payment of tax withholding upon vesting. During the six months ended December 31, 2021 and 2020, approximately 24,000 shares and 0.1 million shares, respectively, of restricted stock were canceled or surrendered as payment of tax withholding upon vesting.</w:t>
      </w:r>
    </w:p>
    <w:p>
      <w:pPr>
        <w:spacing w:after="0" w:line="118" w:lineRule="exact"/>
        <w:rPr>
          <w:sz w:val="20"/>
          <w:szCs w:val="20"/>
          <w:color w:val="auto"/>
        </w:rPr>
      </w:pPr>
    </w:p>
    <w:p>
      <w:pPr>
        <w:ind w:firstLine="397"/>
        <w:spacing w:after="0" w:line="262" w:lineRule="auto"/>
        <w:rPr>
          <w:sz w:val="20"/>
          <w:szCs w:val="20"/>
          <w:color w:val="auto"/>
        </w:rPr>
      </w:pPr>
      <w:r>
        <w:rPr>
          <w:rFonts w:ascii="Arial" w:cs="Arial" w:eastAsia="Arial" w:hAnsi="Arial"/>
          <w:sz w:val="17"/>
          <w:szCs w:val="17"/>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and, on August 27, 2020, the Board of Directors approved an amendment to the share repurchase program to increase the authorized share repurchase amount from $15 million to $35 million and to extend the duration of the program through November 30, 2023. During the three months ended December 31, 2021 and 2020, the Company purchased 0.5 million shares and 0.4 million shares, respectively, of common stock at an aggregate price of $3.2 million and $4.0 million under this repurchase program. During the six months ended December 31, 2021 and 2020, the Company purchased 0.9 million shares and 0.5 million shares, respectively, of common stock at an aggregate price of $6.6 million and $6.0 million under this repurchase program. At December 31, 2021, there is $4.9 million remaining under this repurchase program.</w:t>
      </w:r>
    </w:p>
    <w:p>
      <w:pPr>
        <w:spacing w:after="0" w:line="121" w:lineRule="exact"/>
        <w:rPr>
          <w:sz w:val="20"/>
          <w:szCs w:val="20"/>
          <w:color w:val="auto"/>
        </w:rPr>
      </w:pPr>
    </w:p>
    <w:p>
      <w:pPr>
        <w:ind w:right="220" w:firstLine="397"/>
        <w:spacing w:after="0" w:line="263" w:lineRule="auto"/>
        <w:rPr>
          <w:sz w:val="20"/>
          <w:szCs w:val="20"/>
          <w:color w:val="auto"/>
        </w:rPr>
      </w:pPr>
      <w:r>
        <w:rPr>
          <w:rFonts w:ascii="Arial" w:cs="Arial" w:eastAsia="Arial" w:hAnsi="Arial"/>
          <w:sz w:val="18"/>
          <w:szCs w:val="18"/>
          <w:color w:val="auto"/>
        </w:rPr>
        <w:t>The Company’s Certificate of Incorporation authorizes the issuance of preferred stock. However, as of December 31, 2021, none have been issued nor have any rights or preferences been assigned to the preferred stock by the Company’s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Equity-Settled Plans</w:t>
      </w:r>
    </w:p>
    <w:p>
      <w:pPr>
        <w:spacing w:after="0" w:line="156"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Effective November 21, 2016, no new awards can be granted under the 2007 Plan. As of December 31, 2021, there were no stock option awards outstanding under the 2007 Plan.</w:t>
      </w:r>
    </w:p>
    <w:p>
      <w:pPr>
        <w:spacing w:after="0" w:line="112" w:lineRule="exact"/>
        <w:rPr>
          <w:sz w:val="20"/>
          <w:szCs w:val="20"/>
          <w:color w:val="auto"/>
        </w:rPr>
      </w:pPr>
    </w:p>
    <w:p>
      <w:pPr>
        <w:ind w:right="20" w:firstLine="397"/>
        <w:spacing w:after="0" w:line="311" w:lineRule="auto"/>
        <w:rPr>
          <w:sz w:val="20"/>
          <w:szCs w:val="20"/>
          <w:color w:val="auto"/>
        </w:rPr>
      </w:pPr>
      <w:r>
        <w:rPr>
          <w:rFonts w:ascii="Arial" w:cs="Arial" w:eastAsia="Arial" w:hAnsi="Arial"/>
          <w:sz w:val="15"/>
          <w:szCs w:val="15"/>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$9.31 and $20.09 per share, and vest over one to four year vesting periods. Awards expire in accordance with the terms of each award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7" w:name="page18"/>
    <w:bookmarkEnd w:id="17"/>
    <w:p>
      <w:pPr>
        <w:ind w:right="160"/>
        <w:spacing w:after="0" w:line="251" w:lineRule="auto"/>
        <w:rPr>
          <w:sz w:val="20"/>
          <w:szCs w:val="20"/>
          <w:color w:val="auto"/>
        </w:rPr>
      </w:pPr>
      <w:r>
        <w:rPr>
          <w:rFonts w:ascii="Arial" w:cs="Arial" w:eastAsia="Arial" w:hAnsi="Arial"/>
          <w:sz w:val="18"/>
          <w:szCs w:val="18"/>
          <w:color w:val="auto"/>
        </w:rPr>
        <w:t>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December 31, 2021, under the 2010 Plan, there were stock option awards outstanding, net of awards expired, for an aggregate of approximately 27,000 shares of the Company's common stock.</w:t>
      </w:r>
    </w:p>
    <w:p>
      <w:pPr>
        <w:spacing w:after="0" w:line="112"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December 31, 2021,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2010 Plan. As of December 31, 2021, under the 2017 Plan, there were stock option awards outstanding, net of awards expired, for an aggregate of 0.1 million shares of the Company's common stock.</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Cash-Settled Plans</w:t>
      </w:r>
    </w:p>
    <w:p>
      <w:pPr>
        <w:spacing w:after="0" w:line="156"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Employee Stock Purchase Plan</w:t>
      </w:r>
    </w:p>
    <w:p>
      <w:pPr>
        <w:spacing w:after="0" w:line="156" w:lineRule="exact"/>
        <w:rPr>
          <w:sz w:val="20"/>
          <w:szCs w:val="20"/>
          <w:color w:val="auto"/>
        </w:rPr>
      </w:pPr>
    </w:p>
    <w:p>
      <w:pPr>
        <w:ind w:right="260" w:firstLine="397"/>
        <w:spacing w:after="0" w:line="293"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the board of directors in September 2018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91"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December 31, 2021,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110"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112" w:lineRule="exact"/>
        <w:rPr>
          <w:sz w:val="20"/>
          <w:szCs w:val="20"/>
          <w:color w:val="auto"/>
        </w:rPr>
      </w:pPr>
    </w:p>
    <w:p>
      <w:pPr>
        <w:ind w:right="400" w:firstLine="397"/>
        <w:spacing w:after="0" w:line="263"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11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six months ended December 31, 2021, approximately 27,000 shares of common stock were issued under the ESPP. During the six months ended December 31, 2020, approximately 23,000 shares of common stock were issued under the ESPP.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37"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In accordance with accounting guidance for stock-based compensation, payments in equity instruments for goods or services are accounted for by the fair value method. For the three and six months ended December 31, 2021, stock-based compensation of $0.8 million and $1.4 million, respectively, was reflected as an increase to additional paid-in capital, all of which was employee related. For the three and six months ended December 31, 2020, stock-based compensation of $1.0 million and $1.5 million, respectively, was reflected as an increase to additional paid-in capital and a decrease of 17,000 and $0.1 million, respectively, was included in other accrued expenses, all of which was employee related.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37"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 xml:space="preserve">The Company accounts for contingent liabilities in accordance with ASC 450, </w:t>
      </w:r>
      <w:r>
        <w:rPr>
          <w:rFonts w:ascii="Arial" w:cs="Arial" w:eastAsia="Arial" w:hAnsi="Arial"/>
          <w:sz w:val="15"/>
          <w:szCs w:val="15"/>
          <w:i w:val="1"/>
          <w:iCs w:val="1"/>
          <w:color w:val="auto"/>
        </w:rPr>
        <w:t>Contingencies</w:t>
      </w:r>
      <w:r>
        <w:rPr>
          <w:rFonts w:ascii="Arial" w:cs="Arial" w:eastAsia="Arial" w:hAnsi="Arial"/>
          <w:sz w:val="15"/>
          <w:szCs w:val="15"/>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2021, and based on the assessment, there are no probable loss contingencies requiring accrual or disclosures within its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0" w:lineRule="exact"/>
        <w:rPr>
          <w:sz w:val="20"/>
          <w:szCs w:val="20"/>
          <w:color w:val="auto"/>
        </w:rPr>
      </w:pPr>
    </w:p>
    <w:p>
      <w:pPr>
        <w:ind w:right="20" w:firstLine="397"/>
        <w:spacing w:after="0" w:line="299" w:lineRule="auto"/>
        <w:rPr>
          <w:sz w:val="20"/>
          <w:szCs w:val="20"/>
          <w:color w:val="auto"/>
        </w:rPr>
      </w:pPr>
      <w:r>
        <w:rPr>
          <w:rFonts w:ascii="Arial" w:cs="Arial" w:eastAsia="Arial" w:hAnsi="Arial"/>
          <w:sz w:val="15"/>
          <w:szCs w:val="15"/>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287" w:lineRule="exact"/>
        <w:rPr>
          <w:sz w:val="20"/>
          <w:szCs w:val="20"/>
          <w:color w:val="auto"/>
        </w:rPr>
      </w:pPr>
    </w:p>
    <w:p>
      <w:pPr>
        <w:ind w:right="40" w:firstLine="397"/>
        <w:spacing w:after="0" w:line="301" w:lineRule="auto"/>
        <w:rPr>
          <w:sz w:val="20"/>
          <w:szCs w:val="20"/>
          <w:color w:val="auto"/>
        </w:rPr>
      </w:pPr>
      <w:r>
        <w:rPr>
          <w:rFonts w:ascii="Arial" w:cs="Arial" w:eastAsia="Arial" w:hAnsi="Arial"/>
          <w:sz w:val="15"/>
          <w:szCs w:val="15"/>
          <w:b w:val="1"/>
          <w:bCs w:val="1"/>
          <w:color w:val="auto"/>
        </w:rPr>
        <w:t>Class Action Lawsuit (</w:t>
      </w:r>
      <w:r>
        <w:rPr>
          <w:rFonts w:ascii="Arial" w:cs="Arial" w:eastAsia="Arial" w:hAnsi="Arial"/>
          <w:sz w:val="15"/>
          <w:szCs w:val="15"/>
          <w:b w:val="1"/>
          <w:bCs w:val="1"/>
          <w:i w:val="1"/>
          <w:iCs w:val="1"/>
          <w:color w:val="auto"/>
        </w:rPr>
        <w:t>Smith v. LifeVantage Corp</w:t>
      </w:r>
      <w:r>
        <w:rPr>
          <w:rFonts w:ascii="Arial" w:cs="Arial" w:eastAsia="Arial" w:hAnsi="Arial"/>
          <w:sz w:val="15"/>
          <w:szCs w:val="15"/>
          <w:b w:val="1"/>
          <w:bCs w:val="1"/>
          <w:color w:val="auto"/>
        </w:rPr>
        <w:t xml:space="preserve">.): </w:t>
      </w:r>
      <w:r>
        <w:rPr>
          <w:rFonts w:ascii="Arial" w:cs="Arial" w:eastAsia="Arial" w:hAnsi="Arial"/>
          <w:sz w:val="15"/>
          <w:szCs w:val="15"/>
          <w:color w:val="auto"/>
        </w:rPr>
        <w:t>On January 24, 2018, a purported class action was filed in the United States District Court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9" w:name="page20"/>
    <w:bookmarkEnd w:id="19"/>
    <w:p>
      <w:pPr>
        <w:ind w:right="20"/>
        <w:spacing w:after="0" w:line="299" w:lineRule="auto"/>
        <w:rPr>
          <w:sz w:val="20"/>
          <w:szCs w:val="20"/>
          <w:color w:val="auto"/>
        </w:rPr>
      </w:pPr>
      <w:r>
        <w:rPr>
          <w:rFonts w:ascii="Arial" w:cs="Arial" w:eastAsia="Arial" w:hAnsi="Arial"/>
          <w:sz w:val="15"/>
          <w:szCs w:val="15"/>
          <w:color w:val="auto"/>
        </w:rPr>
        <w:t>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Initial discovery has begun and will continue per the amended scheduling order. On June 15, 2021, the plaintiffs filed their motion for class certification, and on July 13, 2021, the defendants, including LifeVantage Corporation, filed their opposition brief that opposed class certification. On July 27, 2021, the Plaintiffs filed their reply to LifeVantage’s opposition brief. The court has not set a hearing for the motion for class certification and it is unknown when the court may rule.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76" w:lineRule="exact"/>
        <w:rPr>
          <w:sz w:val="20"/>
          <w:szCs w:val="20"/>
          <w:color w:val="auto"/>
        </w:rPr>
      </w:pPr>
    </w:p>
    <w:p>
      <w:pPr>
        <w:ind w:right="100" w:firstLine="397"/>
        <w:spacing w:after="0" w:line="320" w:lineRule="auto"/>
        <w:rPr>
          <w:sz w:val="20"/>
          <w:szCs w:val="20"/>
          <w:color w:val="auto"/>
        </w:rPr>
      </w:pPr>
      <w:r>
        <w:rPr>
          <w:rFonts w:ascii="Arial" w:cs="Arial" w:eastAsia="Arial" w:hAnsi="Arial"/>
          <w:sz w:val="15"/>
          <w:szCs w:val="15"/>
          <w:b w:val="1"/>
          <w:bCs w:val="1"/>
          <w:color w:val="auto"/>
        </w:rPr>
        <w:t xml:space="preserve">Other Matters. </w:t>
      </w:r>
      <w:r>
        <w:rPr>
          <w:rFonts w:ascii="Arial" w:cs="Arial" w:eastAsia="Arial" w:hAnsi="Arial"/>
          <w:sz w:val="15"/>
          <w:szCs w:val="15"/>
          <w:color w:val="auto"/>
        </w:rPr>
        <w:t>In addition to the matters described above, the Company also may become involved in other litigation and regulatory matters incidental</w:t>
      </w:r>
      <w:r>
        <w:rPr>
          <w:rFonts w:ascii="Arial" w:cs="Arial" w:eastAsia="Arial" w:hAnsi="Arial"/>
          <w:sz w:val="15"/>
          <w:szCs w:val="15"/>
          <w:b w:val="1"/>
          <w:bCs w:val="1"/>
          <w:color w:val="auto"/>
        </w:rPr>
        <w:t xml:space="preserve"> </w:t>
      </w:r>
      <w:r>
        <w:rPr>
          <w:rFonts w:ascii="Arial" w:cs="Arial" w:eastAsia="Arial" w:hAnsi="Arial"/>
          <w:sz w:val="15"/>
          <w:szCs w:val="15"/>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56"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No payments were made to GEG for software and application development service during the three and six months ended December 31, 2021 and 2020.</w:t>
      </w:r>
    </w:p>
    <w:p>
      <w:pPr>
        <w:spacing w:after="0" w:line="106" w:lineRule="exact"/>
        <w:rPr>
          <w:sz w:val="20"/>
          <w:szCs w:val="20"/>
          <w:color w:val="auto"/>
        </w:rPr>
      </w:pPr>
    </w:p>
    <w:p>
      <w:pPr>
        <w:ind w:right="3980"/>
        <w:spacing w:after="0" w:line="41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firstLine="397"/>
        <w:spacing w:after="0" w:line="308" w:lineRule="auto"/>
        <w:rPr>
          <w:sz w:val="20"/>
          <w:szCs w:val="20"/>
          <w:color w:val="auto"/>
        </w:rPr>
      </w:pPr>
      <w:r>
        <w:rPr>
          <w:rFonts w:ascii="Arial" w:cs="Arial" w:eastAsia="Arial" w:hAnsi="Arial"/>
          <w:sz w:val="15"/>
          <w:szCs w:val="15"/>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 Europe region.</w:t>
      </w:r>
    </w:p>
    <w:p>
      <w:pPr>
        <w:spacing w:after="0" w:line="73" w:lineRule="exact"/>
        <w:rPr>
          <w:sz w:val="20"/>
          <w:szCs w:val="20"/>
          <w:color w:val="auto"/>
        </w:rPr>
      </w:pPr>
    </w:p>
    <w:p>
      <w:pPr>
        <w:jc w:val="both"/>
        <w:ind w:right="120" w:firstLine="406"/>
        <w:spacing w:after="0" w:line="254" w:lineRule="auto"/>
        <w:rPr>
          <w:sz w:val="20"/>
          <w:szCs w:val="20"/>
          <w:color w:val="auto"/>
        </w:rPr>
      </w:pPr>
      <w:r>
        <w:rPr>
          <w:rFonts w:ascii="Arial" w:cs="Arial" w:eastAsia="Arial" w:hAnsi="Arial"/>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116" w:lineRule="exact"/>
        <w:rPr>
          <w:sz w:val="20"/>
          <w:szCs w:val="20"/>
          <w:color w:val="auto"/>
        </w:rPr>
      </w:pPr>
    </w:p>
    <w:p>
      <w:pPr>
        <w:ind w:left="640" w:hanging="238"/>
        <w:spacing w:after="0" w:line="205"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including our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w:t>
      </w:r>
      <w:r>
        <w:rPr>
          <w:rFonts w:ascii="Arial" w:cs="Arial" w:eastAsia="Arial" w:hAnsi="Arial"/>
          <w:sz w:val="22"/>
          <w:szCs w:val="22"/>
          <w:color w:val="auto"/>
          <w:vertAlign w:val="superscript"/>
        </w:rPr>
        <w:t>™</w:t>
      </w:r>
      <w:r>
        <w:rPr>
          <w:rFonts w:ascii="Arial" w:cs="Arial" w:eastAsia="Arial" w:hAnsi="Arial"/>
          <w:sz w:val="18"/>
          <w:szCs w:val="18"/>
          <w:color w:val="auto"/>
        </w:rPr>
        <w:t>, ProBio</w:t>
      </w:r>
      <w:r>
        <w:rPr>
          <w:rFonts w:ascii="Arial" w:cs="Arial" w:eastAsia="Arial" w:hAnsi="Arial"/>
          <w:sz w:val="22"/>
          <w:szCs w:val="22"/>
          <w:color w:val="auto"/>
          <w:vertAlign w:val="superscript"/>
        </w:rPr>
        <w:t>™</w:t>
      </w:r>
      <w:r>
        <w:rPr>
          <w:rFonts w:ascii="Arial" w:cs="Arial" w:eastAsia="Arial" w:hAnsi="Arial"/>
          <w:sz w:val="18"/>
          <w:szCs w:val="18"/>
          <w:color w:val="auto"/>
        </w:rPr>
        <w:t>, IC Bright</w:t>
      </w:r>
      <w:r>
        <w:rPr>
          <w:rFonts w:ascii="Arial" w:cs="Arial" w:eastAsia="Arial" w:hAnsi="Arial"/>
          <w:sz w:val="22"/>
          <w:szCs w:val="22"/>
          <w:color w:val="auto"/>
          <w:vertAlign w:val="superscript"/>
        </w:rPr>
        <w:t>™</w:t>
      </w:r>
      <w:r>
        <w:rPr>
          <w:rFonts w:ascii="Arial" w:cs="Arial" w:eastAsia="Arial" w:hAnsi="Arial"/>
          <w:sz w:val="18"/>
          <w:szCs w:val="18"/>
          <w:color w:val="auto"/>
        </w:rPr>
        <w:t>, and Daily Wellness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dietary supplements, our line of Nrf2 enhanced TrueScience® skin, hair, bath &amp; body, and targeted relief products, Petandim</w:t>
      </w:r>
      <w:r>
        <w:rPr>
          <w:rFonts w:ascii="Arial" w:cs="Arial" w:eastAsia="Arial" w:hAnsi="Arial"/>
          <w:sz w:val="22"/>
          <w:szCs w:val="22"/>
          <w:color w:val="auto"/>
          <w:vertAlign w:val="superscript"/>
        </w:rPr>
        <w:t>®</w:t>
      </w:r>
      <w:r>
        <w:rPr>
          <w:rFonts w:ascii="Arial" w:cs="Arial" w:eastAsia="Arial" w:hAnsi="Arial"/>
          <w:sz w:val="18"/>
          <w:szCs w:val="18"/>
          <w:color w:val="auto"/>
        </w:rPr>
        <w:t>,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our smart weight management system.;</w:t>
      </w:r>
    </w:p>
    <w:p>
      <w:pPr>
        <w:spacing w:after="0" w:line="134" w:lineRule="exact"/>
        <w:rPr>
          <w:rFonts w:ascii="Arial" w:cs="Arial" w:eastAsia="Arial" w:hAnsi="Arial"/>
          <w:sz w:val="18"/>
          <w:szCs w:val="18"/>
          <w:color w:val="auto"/>
        </w:rPr>
      </w:pPr>
    </w:p>
    <w:p>
      <w:pPr>
        <w:ind w:left="640" w:hanging="23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sales compensation plan and other sales initiatives and incentives; and</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right="100" w:firstLine="397"/>
        <w:spacing w:after="0" w:line="308" w:lineRule="auto"/>
        <w:rPr>
          <w:sz w:val="20"/>
          <w:szCs w:val="20"/>
          <w:color w:val="auto"/>
        </w:rPr>
      </w:pPr>
      <w:r>
        <w:rPr>
          <w:rFonts w:ascii="Arial" w:cs="Arial" w:eastAsia="Arial" w:hAnsi="Arial"/>
          <w:sz w:val="15"/>
          <w:szCs w:val="15"/>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to customers for personal consumption only and in China through a China approved cross-border e-commerce business model. Entering a new market requires a considerable amount of time, resources and continued support. If we are unable to properly support an existing or new market, our revenue growth may be negatively impacted.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56" w:lineRule="exact"/>
        <w:rPr>
          <w:sz w:val="20"/>
          <w:szCs w:val="20"/>
          <w:color w:val="auto"/>
        </w:rPr>
      </w:pPr>
    </w:p>
    <w:p>
      <w:pPr>
        <w:ind w:right="20" w:firstLine="397"/>
        <w:spacing w:after="0" w:line="298" w:lineRule="auto"/>
        <w:rPr>
          <w:sz w:val="20"/>
          <w:szCs w:val="20"/>
          <w:color w:val="auto"/>
        </w:rPr>
      </w:pPr>
      <w:r>
        <w:rPr>
          <w:rFonts w:ascii="Arial" w:cs="Arial" w:eastAsia="Arial" w:hAnsi="Arial"/>
          <w:sz w:val="15"/>
          <w:szCs w:val="15"/>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moderate disruptions at the corporate level as we have transitioned our corporate workforce to a hybrid working environment, temporarily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314"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Near the end of fiscal 2020 we transitioned all of our corporate employees to a work from home model and during July 2021 we began to implement a hybrid schedule with opportunities for employees to return back to the office. To date, our employees are performing and adapting well with the evolving environment. With respect to liquidity, we are evaluating and taking actions to ensure that we continue to responsibly manage expenses across our organization.</w:t>
      </w:r>
    </w:p>
    <w:p>
      <w:pPr>
        <w:spacing w:after="0" w:line="101"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9" w:lineRule="exact"/>
        <w:rPr>
          <w:sz w:val="20"/>
          <w:szCs w:val="20"/>
          <w:color w:val="auto"/>
        </w:rPr>
      </w:pPr>
    </w:p>
    <w:p>
      <w:pPr>
        <w:ind w:firstLine="397"/>
        <w:spacing w:after="0" w:line="219" w:lineRule="auto"/>
        <w:rPr>
          <w:sz w:val="20"/>
          <w:szCs w:val="20"/>
          <w:color w:val="auto"/>
        </w:rPr>
      </w:pPr>
      <w:r>
        <w:rPr>
          <w:rFonts w:ascii="Arial" w:cs="Arial" w:eastAsia="Arial" w:hAnsi="Arial"/>
          <w:sz w:val="17"/>
          <w:szCs w:val="17"/>
          <w:color w:val="auto"/>
        </w:rPr>
        <w:t>Our products include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line of scientifically-validated dietary supplements,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ProBio</w:t>
      </w:r>
      <w:r>
        <w:rPr>
          <w:rFonts w:ascii="Arial" w:cs="Arial" w:eastAsia="Arial" w:hAnsi="Arial"/>
          <w:sz w:val="21"/>
          <w:szCs w:val="21"/>
          <w:color w:val="auto"/>
          <w:vertAlign w:val="superscript"/>
        </w:rPr>
        <w:t>™</w:t>
      </w:r>
      <w:r>
        <w:rPr>
          <w:rFonts w:ascii="Arial" w:cs="Arial" w:eastAsia="Arial" w:hAnsi="Arial"/>
          <w:sz w:val="17"/>
          <w:szCs w:val="17"/>
          <w:color w:val="auto"/>
        </w:rPr>
        <w:t>, IC Bright</w:t>
      </w:r>
      <w:r>
        <w:rPr>
          <w:rFonts w:ascii="Arial" w:cs="Arial" w:eastAsia="Arial" w:hAnsi="Arial"/>
          <w:sz w:val="21"/>
          <w:szCs w:val="21"/>
          <w:color w:val="auto"/>
          <w:vertAlign w:val="superscript"/>
        </w:rPr>
        <w:t>™</w:t>
      </w:r>
      <w:r>
        <w:rPr>
          <w:rFonts w:ascii="Arial" w:cs="Arial" w:eastAsia="Arial" w:hAnsi="Arial"/>
          <w:sz w:val="17"/>
          <w:szCs w:val="17"/>
          <w:color w:val="auto"/>
        </w:rPr>
        <w:t>, and Daily Wellness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dietary supplements, TrueScience</w:t>
      </w:r>
      <w:r>
        <w:rPr>
          <w:rFonts w:ascii="Arial" w:cs="Arial" w:eastAsia="Arial" w:hAnsi="Arial"/>
          <w:sz w:val="21"/>
          <w:szCs w:val="21"/>
          <w:color w:val="auto"/>
          <w:vertAlign w:val="superscript"/>
        </w:rPr>
        <w:t>®</w:t>
      </w:r>
      <w:r>
        <w:rPr>
          <w:rFonts w:ascii="Arial" w:cs="Arial" w:eastAsia="Arial" w:hAnsi="Arial"/>
          <w:sz w:val="17"/>
          <w:szCs w:val="17"/>
          <w:color w:val="auto"/>
        </w:rPr>
        <w:t>, our line of skin, bath &amp; body, target relief, and hair care products, Petandim</w:t>
      </w:r>
      <w:r>
        <w:rPr>
          <w:rFonts w:ascii="Arial" w:cs="Arial" w:eastAsia="Arial" w:hAnsi="Arial"/>
          <w:sz w:val="21"/>
          <w:szCs w:val="21"/>
          <w:color w:val="auto"/>
          <w:vertAlign w:val="superscript"/>
        </w:rPr>
        <w:t>®</w:t>
      </w:r>
      <w:r>
        <w:rPr>
          <w:rFonts w:ascii="Arial" w:cs="Arial" w:eastAsia="Arial" w:hAnsi="Arial"/>
          <w:sz w:val="17"/>
          <w:szCs w:val="17"/>
          <w:color w:val="auto"/>
        </w:rPr>
        <w:t>, our companion pet supplement formulated to combat oxidative stress in dogs, Axio</w:t>
      </w:r>
      <w:r>
        <w:rPr>
          <w:rFonts w:ascii="Arial" w:cs="Arial" w:eastAsia="Arial" w:hAnsi="Arial"/>
          <w:sz w:val="21"/>
          <w:szCs w:val="21"/>
          <w:color w:val="auto"/>
          <w:vertAlign w:val="superscript"/>
        </w:rPr>
        <w:t>®</w:t>
      </w:r>
      <w:r>
        <w:rPr>
          <w:rFonts w:ascii="Arial" w:cs="Arial" w:eastAsia="Arial" w:hAnsi="Arial"/>
          <w:sz w:val="17"/>
          <w:szCs w:val="17"/>
          <w:color w:val="auto"/>
        </w:rPr>
        <w:t>, our nootropic energy drink mixes, and PhysIQ</w:t>
      </w:r>
      <w:r>
        <w:rPr>
          <w:rFonts w:ascii="Arial" w:cs="Arial" w:eastAsia="Arial" w:hAnsi="Arial"/>
          <w:sz w:val="21"/>
          <w:szCs w:val="21"/>
          <w:color w:val="auto"/>
          <w:vertAlign w:val="superscript"/>
        </w:rPr>
        <w:t>™</w:t>
      </w:r>
      <w:r>
        <w:rPr>
          <w:rFonts w:ascii="Arial" w:cs="Arial" w:eastAsia="Arial" w:hAnsi="Arial"/>
          <w:sz w:val="17"/>
          <w:szCs w:val="17"/>
          <w:color w:val="auto"/>
        </w:rPr>
        <w:t>, our smart weight management system.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line includes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and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formulated to increase cellular energy and performance by boosting mitochondria production to improve cellular repair and slow cellular aging.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together has been shown to produce synergistic benefits greater than using the single products on their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ind w:right="60"/>
        <w:spacing w:after="0" w:line="226" w:lineRule="auto"/>
        <w:rPr>
          <w:sz w:val="20"/>
          <w:szCs w:val="20"/>
          <w:color w:val="auto"/>
        </w:rPr>
      </w:pPr>
      <w:r>
        <w:rPr>
          <w:rFonts w:ascii="Arial" w:cs="Arial" w:eastAsia="Arial" w:hAnsi="Arial"/>
          <w:sz w:val="16"/>
          <w:szCs w:val="16"/>
          <w:color w:val="auto"/>
        </w:rPr>
        <w:t>own.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dietary supplement that combines DHA and EPA Omega-3 fatty acids, Omega-7 fatty acids, and Vitamin D3 to support cognitive health, cardiovascular health, skin health, and the immune system.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IC Bright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combines macular carotenoids with vitamins and key ingredients that effectively support eye and brain health.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Daily Wellness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dietary supplement designed to support and strengthen immune health. Our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anti-aging skin and hair care, and CBD Nrf2 enhanced, bath &amp; body, targeted relief products includes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Beauty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Hand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Invigorating Shampoo,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Nourishing Conditioner,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Scalp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Lotion,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Wash,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Butter,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Deodorant,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Soothing Balm,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Rub.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supplement specially formulated to combat oxidative stress in dogs through Nrf2 activation.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line of our nootropic energy drink mixes formulated to promote alertness and support mental performance.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Prebiotic and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Whey Protein, all formulated to aid in weight management.</w:t>
      </w:r>
    </w:p>
    <w:p>
      <w:pPr>
        <w:spacing w:after="0" w:line="127" w:lineRule="exact"/>
        <w:rPr>
          <w:sz w:val="20"/>
          <w:szCs w:val="20"/>
          <w:color w:val="auto"/>
        </w:rPr>
      </w:pPr>
    </w:p>
    <w:p>
      <w:pPr>
        <w:ind w:firstLine="397"/>
        <w:spacing w:after="0" w:line="231" w:lineRule="auto"/>
        <w:rPr>
          <w:sz w:val="20"/>
          <w:szCs w:val="20"/>
          <w:color w:val="auto"/>
        </w:rPr>
      </w:pPr>
      <w:r>
        <w:rPr>
          <w:rFonts w:ascii="Arial" w:cs="Arial" w:eastAsia="Arial" w:hAnsi="Arial"/>
          <w:sz w:val="17"/>
          <w:szCs w:val="17"/>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 The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includes four of our nutrigenomics products —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21"/>
          <w:szCs w:val="21"/>
          <w:color w:val="auto"/>
          <w:vertAlign w:val="superscript"/>
        </w:rPr>
        <w:t>™</w:t>
      </w:r>
      <w:r>
        <w:rPr>
          <w:rFonts w:ascii="Arial" w:cs="Arial" w:eastAsia="Arial" w:hAnsi="Arial"/>
          <w:sz w:val="17"/>
          <w:szCs w:val="17"/>
          <w:color w:val="auto"/>
        </w:rPr>
        <w:t>, we added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Prebiotic to our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support gut health and increase sirtuin activity, supporting increased health, focus, energy, mental clarity and mood.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Tri-Synergizer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our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spacing w:after="0" w:line="137" w:lineRule="exact"/>
        <w:rPr>
          <w:sz w:val="20"/>
          <w:szCs w:val="20"/>
          <w:color w:val="auto"/>
        </w:rPr>
      </w:pPr>
    </w:p>
    <w:p>
      <w:pPr>
        <w:ind w:right="80" w:firstLine="397"/>
        <w:spacing w:after="0" w:line="293"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43" w:lineRule="exact"/>
        <w:rPr>
          <w:sz w:val="20"/>
          <w:szCs w:val="20"/>
          <w:color w:val="auto"/>
        </w:rPr>
      </w:pPr>
    </w:p>
    <w:p>
      <w:pPr>
        <w:ind w:right="160" w:firstLine="397"/>
        <w:spacing w:after="0" w:line="249"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ind w:right="20" w:firstLine="397"/>
        <w:spacing w:after="0" w:line="271"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0"/>
                <w:szCs w:val="10"/>
                <w:color w:val="auto"/>
              </w:rPr>
            </w:pPr>
          </w:p>
        </w:tc>
        <w:tc>
          <w:tcPr>
            <w:tcW w:w="15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2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from Prior Year</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CEEFF"/>
          </w:tcPr>
          <w:p>
            <w:pPr>
              <w:ind w:left="420"/>
              <w:spacing w:after="0" w:line="154" w:lineRule="exact"/>
              <w:rPr>
                <w:sz w:val="20"/>
                <w:szCs w:val="20"/>
                <w:color w:val="auto"/>
              </w:rPr>
            </w:pPr>
            <w:r>
              <w:rPr>
                <w:rFonts w:ascii="Arial" w:cs="Arial" w:eastAsia="Arial" w:hAnsi="Arial"/>
                <w:sz w:val="17"/>
                <w:szCs w:val="17"/>
                <w:color w:val="auto"/>
              </w:rPr>
              <w:t>Active Independent</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38,000</w:t>
            </w:r>
          </w:p>
        </w:tc>
        <w:tc>
          <w:tcPr>
            <w:tcW w:w="8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61.3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67.2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32.8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2480" w:type="dxa"/>
            <w:vAlign w:val="bottom"/>
          </w:tcPr>
          <w:p>
            <w:pPr>
              <w:ind w:left="760"/>
              <w:spacing w:after="0" w:line="153" w:lineRule="exact"/>
              <w:rPr>
                <w:sz w:val="20"/>
                <w:szCs w:val="20"/>
                <w:color w:val="auto"/>
              </w:rPr>
            </w:pPr>
            <w:r>
              <w:rPr>
                <w:rFonts w:ascii="Arial" w:cs="Arial" w:eastAsia="Arial" w:hAnsi="Arial"/>
                <w:sz w:val="17"/>
                <w:szCs w:val="17"/>
                <w:color w:val="auto"/>
              </w:rPr>
              <w:t>Total Active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62,000</w:t>
            </w:r>
          </w:p>
        </w:tc>
        <w:tc>
          <w:tcPr>
            <w:tcW w:w="80" w:type="dxa"/>
            <w:vAlign w:val="bottom"/>
          </w:tcPr>
          <w:p>
            <w:pPr>
              <w:spacing w:after="0"/>
              <w:rPr>
                <w:sz w:val="13"/>
                <w:szCs w:val="13"/>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8"/>
                <w:szCs w:val="18"/>
                <w:color w:val="auto"/>
              </w:rPr>
              <w:t>100.0</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13"/>
                <w:szCs w:val="13"/>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3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(7.5)</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20"/>
              <w:spacing w:after="0" w:line="197" w:lineRule="exact"/>
              <w:rPr>
                <w:sz w:val="20"/>
                <w:szCs w:val="20"/>
                <w:color w:val="auto"/>
              </w:rPr>
            </w:pPr>
            <w:r>
              <w:rPr>
                <w:rFonts w:ascii="Arial" w:cs="Arial" w:eastAsia="Arial" w:hAnsi="Arial"/>
                <w:sz w:val="18"/>
                <w:szCs w:val="18"/>
                <w:color w:val="auto"/>
              </w:rPr>
              <w:t>Independent Distributors</w:t>
            </w: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420"/>
              <w:spacing w:after="0"/>
              <w:rPr>
                <w:sz w:val="20"/>
                <w:szCs w:val="20"/>
                <w:color w:val="auto"/>
              </w:rPr>
            </w:pPr>
            <w:r>
              <w:rPr>
                <w:rFonts w:ascii="Arial" w:cs="Arial" w:eastAsia="Arial" w:hAnsi="Arial"/>
                <w:sz w:val="18"/>
                <w:szCs w:val="18"/>
                <w:color w:val="auto"/>
              </w:rPr>
              <w:t>Active Customers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8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23.4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1"/>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Active Accounts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113,000</w:t>
            </w:r>
          </w:p>
        </w:tc>
        <w:tc>
          <w:tcPr>
            <w:tcW w:w="8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69.3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127,000</w:t>
            </w:r>
          </w:p>
        </w:tc>
        <w:tc>
          <w:tcPr>
            <w:tcW w:w="1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73.0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(14,000)</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(11.0)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30.7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27.0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480" w:type="dxa"/>
            <w:vAlign w:val="bottom"/>
          </w:tcPr>
          <w:p>
            <w:pPr>
              <w:ind w:left="760"/>
              <w:spacing w:after="0"/>
              <w:rPr>
                <w:sz w:val="20"/>
                <w:szCs w:val="20"/>
                <w:color w:val="auto"/>
              </w:rPr>
            </w:pPr>
            <w:r>
              <w:rPr>
                <w:rFonts w:ascii="Arial" w:cs="Arial" w:eastAsia="Arial" w:hAnsi="Arial"/>
                <w:sz w:val="18"/>
                <w:szCs w:val="18"/>
                <w:color w:val="auto"/>
                <w:w w:val="98"/>
              </w:rPr>
              <w:t>Total Active Accounts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163,000</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(6.3)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Six Months Ended December 31, 2021 and 2020</w:t>
      </w:r>
    </w:p>
    <w:p>
      <w:pPr>
        <w:spacing w:after="0" w:line="150" w:lineRule="exact"/>
        <w:rPr>
          <w:sz w:val="20"/>
          <w:szCs w:val="20"/>
          <w:color w:val="auto"/>
        </w:rPr>
      </w:pPr>
    </w:p>
    <w:p>
      <w:pPr>
        <w:ind w:right="300" w:firstLine="397"/>
        <w:spacing w:after="0" w:line="25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$52.2 million and $59.0 million during the three months ended December 31, 2021 and 2020,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$105.4 million and $113.8 million during the six months ended December 31, 2021 and 2020, respectively. Foreign currency fluctuations negatively impacted our revenue $1.0 million or 6.2% and $1.3 million or 4.0% during the three and six months ended December 31, 2021, respectively.</w:t>
      </w:r>
    </w:p>
    <w:p>
      <w:pPr>
        <w:spacing w:after="0" w:line="126" w:lineRule="exact"/>
        <w:rPr>
          <w:sz w:val="20"/>
          <w:szCs w:val="20"/>
          <w:color w:val="auto"/>
        </w:rPr>
      </w:pPr>
    </w:p>
    <w:p>
      <w:pPr>
        <w:ind w:right="820" w:firstLine="397"/>
        <w:spacing w:after="0" w:line="262"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three and six months ended December 31, 2021 and 2020 for the Americas region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w w:val="94"/>
              </w:rPr>
              <w:t>Three Months Ended December 31,</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6"/>
              </w:rPr>
              <w:t>Six Months Ended December 31,</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39,416</w:t>
            </w:r>
          </w:p>
        </w:tc>
        <w:tc>
          <w:tcPr>
            <w:tcW w:w="13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75,525</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1880" w:type="dxa"/>
            <w:vAlign w:val="bottom"/>
            <w:tcBorders>
              <w:bottom w:val="single" w:sz="8" w:color="CCEEFF"/>
            </w:tcBorders>
          </w:tcPr>
          <w:p>
            <w:pPr>
              <w:jc w:val="right"/>
              <w:ind w:right="973"/>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380" w:type="dxa"/>
            <w:vAlign w:val="bottom"/>
            <w:tcBorders>
              <w:bottom w:val="single" w:sz="8" w:color="CCEEFF"/>
            </w:tcBorders>
            <w:gridSpan w:val="2"/>
          </w:tcPr>
          <w:p>
            <w:pPr>
              <w:jc w:val="right"/>
              <w:ind w:right="310"/>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1380" w:type="dxa"/>
            <w:vAlign w:val="bottom"/>
            <w:tcBorders>
              <w:bottom w:val="single" w:sz="8" w:color="CCEEFF"/>
            </w:tcBorders>
            <w:gridSpan w:val="2"/>
          </w:tcPr>
          <w:p>
            <w:pPr>
              <w:jc w:val="right"/>
              <w:ind w:right="290"/>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jc w:val="right"/>
              <w:ind w:right="253"/>
              <w:spacing w:after="0" w:line="154" w:lineRule="exact"/>
              <w:rPr>
                <w:sz w:val="20"/>
                <w:szCs w:val="20"/>
                <w:color w:val="auto"/>
              </w:rPr>
            </w:pPr>
            <w:r>
              <w:rPr>
                <w:rFonts w:ascii="Arial" w:cs="Arial" w:eastAsia="Arial" w:hAnsi="Arial"/>
                <w:sz w:val="17"/>
                <w:szCs w:val="17"/>
                <w:color w:val="auto"/>
              </w:rPr>
              <w:t>Americas</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41,883</w:t>
            </w:r>
          </w:p>
        </w:tc>
        <w:tc>
          <w:tcPr>
            <w:tcW w:w="138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(17.1)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80,559</w:t>
            </w:r>
          </w:p>
        </w:tc>
        <w:tc>
          <w:tcPr>
            <w:tcW w:w="1380" w:type="dxa"/>
            <w:vAlign w:val="bottom"/>
            <w:gridSpan w:val="2"/>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1880" w:type="dxa"/>
            <w:vAlign w:val="bottom"/>
            <w:tcBorders>
              <w:bottom w:val="single" w:sz="8" w:color="CCEEFF"/>
            </w:tcBorders>
            <w:shd w:val="clear" w:color="auto" w:fill="CCEEFF"/>
          </w:tcPr>
          <w:p>
            <w:pPr>
              <w:jc w:val="right"/>
              <w:ind w:right="973"/>
              <w:spacing w:after="0" w:line="197" w:lineRule="exact"/>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0" w:firstLine="397"/>
        <w:spacing w:after="0" w:line="248" w:lineRule="auto"/>
        <w:rPr>
          <w:sz w:val="20"/>
          <w:szCs w:val="20"/>
          <w:color w:val="auto"/>
        </w:rPr>
      </w:pPr>
      <w:r>
        <w:rPr>
          <w:rFonts w:ascii="Arial" w:cs="Arial" w:eastAsia="Arial" w:hAnsi="Arial"/>
          <w:sz w:val="18"/>
          <w:szCs w:val="18"/>
          <w:color w:val="auto"/>
        </w:rPr>
        <w:t>Revenue in the Americas region for the three and six months ended December 31, 2021 and 2020, decreased $7.2 million or 17.1% and $9.4 million or 11.7%, respectively, from the prior year periods. Total Active Accounts decreased by 11.0% in the region compared to the prior year period which drove the decrease in revenue. Our Independent Distributors have been forced to continually adapt to the changing business and social environments due to the COVID-19 pandemic. We remain committed to providing digital tools and support to our distributors to help them grow their businesses despite difficulties with in person meetings and events and are rolling out new hybrid in person and virtual meeting opportunities to provide better training and business support to our distributors.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5"/>
          <w:szCs w:val="15"/>
          <w:u w:val="single" w:color="auto"/>
          <w:color w:val="auto"/>
        </w:rPr>
        <w:t>Asia/Pacific &amp; Europe</w:t>
      </w:r>
      <w:r>
        <w:rPr>
          <w:rFonts w:ascii="Arial" w:cs="Arial" w:eastAsia="Arial" w:hAnsi="Arial"/>
          <w:sz w:val="15"/>
          <w:szCs w:val="15"/>
          <w:color w:val="auto"/>
        </w:rPr>
        <w:t>. The following table sets forth revenue for the three and six months ended December 31, 2021 and 2020 for the Asia/Pacific &amp;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4"/>
              </w:rPr>
              <w:t>Three Months Ended December 31,</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5"/>
              </w:rPr>
              <w:t>Six Months Ended December 31,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9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13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13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3"/>
        </w:trPr>
        <w:tc>
          <w:tcPr>
            <w:tcW w:w="1980" w:type="dxa"/>
            <w:vAlign w:val="bottom"/>
          </w:tcPr>
          <w:p>
            <w:pPr>
              <w:ind w:left="420"/>
              <w:spacing w:after="0" w:line="173" w:lineRule="exact"/>
              <w:rPr>
                <w:sz w:val="20"/>
                <w:szCs w:val="20"/>
                <w:color w:val="auto"/>
              </w:rPr>
            </w:pPr>
            <w:r>
              <w:rPr>
                <w:rFonts w:ascii="Arial" w:cs="Arial" w:eastAsia="Arial" w:hAnsi="Arial"/>
                <w:sz w:val="18"/>
                <w:szCs w:val="18"/>
                <w:color w:val="auto"/>
              </w:rPr>
              <w:t>Australia &amp; New</w:t>
            </w:r>
          </w:p>
        </w:tc>
        <w:tc>
          <w:tcPr>
            <w:tcW w:w="5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2,481</w:t>
            </w:r>
          </w:p>
        </w:tc>
        <w:tc>
          <w:tcPr>
            <w:tcW w:w="138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35.1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6,899</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4,984</w:t>
            </w:r>
          </w:p>
        </w:tc>
        <w:tc>
          <w:tcPr>
            <w:tcW w:w="132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38.4</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1980" w:type="dxa"/>
            <w:vAlign w:val="bottom"/>
          </w:tcPr>
          <w:p>
            <w:pPr>
              <w:ind w:left="20"/>
              <w:spacing w:after="0"/>
              <w:rPr>
                <w:sz w:val="20"/>
                <w:szCs w:val="20"/>
                <w:color w:val="auto"/>
              </w:rPr>
            </w:pPr>
            <w:r>
              <w:rPr>
                <w:rFonts w:ascii="Arial" w:cs="Arial" w:eastAsia="Arial" w:hAnsi="Arial"/>
                <w:sz w:val="18"/>
                <w:szCs w:val="18"/>
                <w:color w:val="auto"/>
              </w:rPr>
              <w:t>Zealand</w:t>
            </w:r>
          </w:p>
        </w:tc>
        <w:tc>
          <w:tcPr>
            <w:tcW w:w="5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Greater China</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3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3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4"/>
        </w:trPr>
        <w:tc>
          <w:tcPr>
            <w:tcW w:w="19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380" w:type="dxa"/>
            <w:vAlign w:val="bottom"/>
            <w:tcBorders>
              <w:bottom w:val="single" w:sz="8" w:color="CCEEFF"/>
            </w:tcBorders>
            <w:gridSpan w:val="2"/>
          </w:tcPr>
          <w:p>
            <w:pPr>
              <w:jc w:val="right"/>
              <w:ind w:right="370"/>
              <w:spacing w:after="0"/>
              <w:rPr>
                <w:sz w:val="20"/>
                <w:szCs w:val="20"/>
                <w:color w:val="auto"/>
              </w:rPr>
            </w:pPr>
            <w:r>
              <w:rPr>
                <w:rFonts w:ascii="Arial" w:cs="Arial" w:eastAsia="Arial" w:hAnsi="Arial"/>
                <w:sz w:val="18"/>
                <w:szCs w:val="18"/>
                <w:color w:val="auto"/>
              </w:rPr>
              <w:t>15.7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1320" w:type="dxa"/>
            <w:vAlign w:val="bottom"/>
            <w:tcBorders>
              <w:bottom w:val="single" w:sz="8" w:color="CCEEFF"/>
            </w:tcBorders>
            <w:gridSpan w:val="2"/>
          </w:tcPr>
          <w:p>
            <w:pPr>
              <w:jc w:val="right"/>
              <w:ind w:right="37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860"/>
              <w:spacing w:after="0" w:line="154" w:lineRule="exact"/>
              <w:rPr>
                <w:sz w:val="20"/>
                <w:szCs w:val="20"/>
                <w:color w:val="auto"/>
              </w:rPr>
            </w:pPr>
            <w:r>
              <w:rPr>
                <w:rFonts w:ascii="Arial" w:cs="Arial" w:eastAsia="Arial" w:hAnsi="Arial"/>
                <w:sz w:val="17"/>
                <w:szCs w:val="17"/>
                <w:color w:val="auto"/>
              </w:rPr>
              <w:t>Asia/Pacific &amp;</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17,124</w:t>
            </w:r>
          </w:p>
        </w:tc>
        <w:tc>
          <w:tcPr>
            <w:tcW w:w="1380" w:type="dxa"/>
            <w:vAlign w:val="bottom"/>
            <w:gridSpan w:val="2"/>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34,257</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33,276</w:t>
            </w:r>
          </w:p>
        </w:tc>
        <w:tc>
          <w:tcPr>
            <w:tcW w:w="1320" w:type="dxa"/>
            <w:vAlign w:val="bottom"/>
            <w:gridSpan w:val="2"/>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1980" w:type="dxa"/>
            <w:vAlign w:val="bottom"/>
            <w:tcBorders>
              <w:bottom w:val="single" w:sz="8" w:color="CCEEFF"/>
            </w:tcBorders>
            <w:shd w:val="clear" w:color="auto" w:fill="CCEEFF"/>
          </w:tcPr>
          <w:p>
            <w:pPr>
              <w:ind w:left="460"/>
              <w:spacing w:after="0" w:line="197" w:lineRule="exact"/>
              <w:rPr>
                <w:sz w:val="20"/>
                <w:szCs w:val="20"/>
                <w:color w:val="auto"/>
              </w:rPr>
            </w:pPr>
            <w:r>
              <w:rPr>
                <w:rFonts w:ascii="Arial" w:cs="Arial" w:eastAsia="Arial" w:hAnsi="Arial"/>
                <w:sz w:val="18"/>
                <w:szCs w:val="18"/>
                <w:color w:val="auto"/>
              </w:rPr>
              <w:t>Europe Total</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Revenue in the Asia/Pacific &amp; Europe region increased $0.4 million or 2.1% and $1.0 million or 2.9% for the three and six months ended December 31,</w:t>
      </w:r>
    </w:p>
    <w:p>
      <w:pPr>
        <w:spacing w:after="0" w:line="5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2021 and 2020, respectively, as compared to the prior year periods. Active Accounts in the region increased 6.4% compared to the prior year period. Japan revenues continue to be down as compared to the prior year period due to continued restrictions in place for in person meetings and recruiting due to the COVID-19 pandemic. We continue to be encouraged by the results we are seeing in our Australia and New Zealand region due to continued distributor leadership development and advancement within the region.</w:t>
      </w:r>
    </w:p>
    <w:p>
      <w:pPr>
        <w:spacing w:after="0" w:line="131" w:lineRule="exact"/>
        <w:rPr>
          <w:sz w:val="20"/>
          <w:szCs w:val="20"/>
          <w:color w:val="auto"/>
        </w:rPr>
      </w:pPr>
    </w:p>
    <w:p>
      <w:pPr>
        <w:ind w:right="20" w:firstLine="397"/>
        <w:spacing w:after="0" w:line="308" w:lineRule="auto"/>
        <w:rPr>
          <w:sz w:val="20"/>
          <w:szCs w:val="20"/>
          <w:color w:val="auto"/>
        </w:rPr>
      </w:pPr>
      <w:r>
        <w:rPr>
          <w:rFonts w:ascii="Arial" w:cs="Arial" w:eastAsia="Arial" w:hAnsi="Arial"/>
          <w:sz w:val="15"/>
          <w:szCs w:val="15"/>
          <w:color w:val="auto"/>
        </w:rPr>
        <w:t>Overall, revenue in the Asia/Pacific &amp; Europe region was negatively impacted by foreign currency exchange rate fluctuations in the amount of approximately $1.0 million or 6.2% and $1.3 million or 4.0% during the three and six months ended December 31, 2021, respectively, as compared to the prior year periods, mainly due to currency fluctuations in Japan, partially offset by currency benefits in other markets within the region. Revenue in Japan was negatively impacted by foreign exchange rate fluctuations in the amount of approximately $0.9 million or 8.1% and $1.3 million or 5.9%, during the three and six months ended December 31, 2021, respectively, as compared to the prior year periods. On a constant currency basis, revenue in Japan increased 0.1% and decreased 0.5% for the three and six months ended December 31, 2021 and 2020, respectively, as compared to the prior year periods.</w:t>
      </w:r>
    </w:p>
    <w:p>
      <w:pPr>
        <w:spacing w:after="0" w:line="60" w:lineRule="exact"/>
        <w:rPr>
          <w:sz w:val="20"/>
          <w:szCs w:val="20"/>
          <w:color w:val="auto"/>
        </w:rPr>
      </w:pPr>
    </w:p>
    <w:p>
      <w:pPr>
        <w:ind w:firstLine="397"/>
        <w:spacing w:after="0" w:line="226" w:lineRule="auto"/>
        <w:rPr>
          <w:sz w:val="20"/>
          <w:szCs w:val="20"/>
          <w:color w:val="auto"/>
        </w:rPr>
      </w:pPr>
      <w:r>
        <w:rPr>
          <w:rFonts w:ascii="Arial" w:cs="Arial" w:eastAsia="Arial" w:hAnsi="Arial"/>
          <w:sz w:val="17"/>
          <w:szCs w:val="17"/>
          <w:color w:val="auto"/>
        </w:rPr>
        <w:t>Globally, our sales and marketing efforts continue to be directed toward strengthening our core business through our fiscal year initiatives and building our worldwide revenue. In October 2021, we held our first major event with both in person and virtual attendance options since the start of the COVID-19 global pandemic and we plan to hold additional in person meetings throughout the year as we are able. During our October global convention, we launched our new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IC Bright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eye health product and have plans for both continued product expansion and future market expansion during the remaining fiscal 2022. We expect this launch and other continued expansion will drive revenue growth globally through increased average order size and increased ability to attract and retain new independent distributors and customers with a compelling product lineup.</w:t>
      </w:r>
    </w:p>
    <w:p>
      <w:pPr>
        <w:spacing w:after="0" w:line="121" w:lineRule="exact"/>
        <w:rPr>
          <w:sz w:val="20"/>
          <w:szCs w:val="20"/>
          <w:color w:val="auto"/>
        </w:rPr>
      </w:pPr>
    </w:p>
    <w:p>
      <w:pPr>
        <w:jc w:val="both"/>
        <w:ind w:firstLine="397"/>
        <w:spacing w:after="0" w:line="251"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December 31, 2021 and 2020 was 81.5% and 82.7%, respectively. Our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for the six months ended December 31, 2021 and 2020 was 81.9% and 82.8%, respectively. The decrease in gross margins, as compared to the prior year periods, is primarily due to increased inventory obsolescence expenses and increased shipping to customer expenses during the current year period as well as shifts in geographic and product sales mix.</w:t>
      </w:r>
    </w:p>
    <w:p>
      <w:pPr>
        <w:spacing w:after="0" w:line="126" w:lineRule="exact"/>
        <w:rPr>
          <w:sz w:val="20"/>
          <w:szCs w:val="20"/>
          <w:color w:val="auto"/>
        </w:rPr>
      </w:pPr>
    </w:p>
    <w:p>
      <w:pPr>
        <w:ind w:right="80" w:firstLine="397"/>
        <w:spacing w:after="0" w:line="308" w:lineRule="auto"/>
        <w:rPr>
          <w:sz w:val="20"/>
          <w:szCs w:val="20"/>
          <w:color w:val="auto"/>
        </w:rPr>
      </w:pPr>
      <w:r>
        <w:rPr>
          <w:rFonts w:ascii="Arial" w:cs="Arial" w:eastAsia="Arial" w:hAnsi="Arial"/>
          <w:sz w:val="15"/>
          <w:szCs w:val="15"/>
          <w:i w:val="1"/>
          <w:iCs w:val="1"/>
          <w:color w:val="auto"/>
        </w:rPr>
        <w:t xml:space="preserve">Commissions and Incentives. </w:t>
      </w:r>
      <w:r>
        <w:rPr>
          <w:rFonts w:ascii="Arial" w:cs="Arial" w:eastAsia="Arial" w:hAnsi="Arial"/>
          <w:sz w:val="15"/>
          <w:szCs w:val="15"/>
          <w:color w:val="auto"/>
        </w:rPr>
        <w:t>Commissions and incentives expenses during the three months ended December 31, 2021 were $25.4 million or 48.8%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as compared to $27.2 million or 46.0% of revenue for the three months ended December 31, 2020. Commissions and incentives expenses during the six months ended December 31, 2021 were $49.6 million or 47.0% of revenue as compared to $52.8 million or 46.4% of revenue for the six months ended December 31, 2020. The increase in commissions and incentives expenses as a percentage of revenue as compared to the prior periods is due mainly to the timing and magnitude of our various promotional and incentive programs. Commissions and incentives expenses, as a percentage of revenue, may fluctuate in future periods based on ability to hold incentive trips and events and the timing and magnitude of compensation, incentive and promotional programs</w:t>
      </w:r>
    </w:p>
    <w:p>
      <w:pPr>
        <w:spacing w:after="0" w:line="73"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during the three months ended December 31, 2021 were $17.4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33.4% of revenue as compared to $16.2 million or 27.5% of revenue for the three months ended December 31, 2020. Selling, general and administrative expenses during the six months ended December 31, 2021 were $32.5 million or 30.8% of revenue as compared to $32.5 million or 28.6% of revenue for the six months ended December 31, 2020. The increase in selling, general and administrative expenses as a percentage of revenue during the three and six months ended December 31, 2021 compared to the prior year periods is primarily due to increased event and travel expenses as restrictions related to the COVID-19 pandemic have begun to ease as well as increased legal expenses. These increases were offset slightly by decreases in salaries and wages and other employee related expenses.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 w:name="page25"/>
    <w:bookmarkEnd w:id="24"/>
    <w:p>
      <w:pPr>
        <w:ind w:left="400"/>
        <w:spacing w:after="0"/>
        <w:rPr>
          <w:sz w:val="20"/>
          <w:szCs w:val="20"/>
          <w:color w:val="auto"/>
        </w:rPr>
      </w:pPr>
      <w:r>
        <w:rPr>
          <w:rFonts w:ascii="Arial" w:cs="Arial" w:eastAsia="Arial" w:hAnsi="Arial"/>
          <w:sz w:val="17"/>
          <w:szCs w:val="17"/>
          <w:color w:val="auto"/>
        </w:rPr>
        <w:t>We expect selling, general and administrative expenses, as a percent of revenue, to remain steady during the remainder of the fiscal year.</w:t>
      </w:r>
    </w:p>
    <w:p>
      <w:pPr>
        <w:spacing w:after="0" w:line="148" w:lineRule="exact"/>
        <w:rPr>
          <w:sz w:val="20"/>
          <w:szCs w:val="20"/>
          <w:color w:val="auto"/>
        </w:rPr>
      </w:pPr>
    </w:p>
    <w:p>
      <w:pPr>
        <w:jc w:val="both"/>
        <w:ind w:right="120" w:firstLine="397"/>
        <w:spacing w:after="0" w:line="317" w:lineRule="auto"/>
        <w:rPr>
          <w:sz w:val="20"/>
          <w:szCs w:val="20"/>
          <w:color w:val="auto"/>
        </w:rPr>
      </w:pPr>
      <w:r>
        <w:rPr>
          <w:rFonts w:ascii="Arial" w:cs="Arial" w:eastAsia="Arial" w:hAnsi="Arial"/>
          <w:sz w:val="15"/>
          <w:szCs w:val="15"/>
          <w:i w:val="1"/>
          <w:iCs w:val="1"/>
          <w:color w:val="auto"/>
        </w:rPr>
        <w:t xml:space="preserve">Total Other Expense. </w:t>
      </w:r>
      <w:r>
        <w:rPr>
          <w:rFonts w:ascii="Arial" w:cs="Arial" w:eastAsia="Arial" w:hAnsi="Arial"/>
          <w:sz w:val="15"/>
          <w:szCs w:val="15"/>
          <w:color w:val="auto"/>
        </w:rPr>
        <w:t>During the three months ended December 31, 2021 we recognized total net other expense of $0.1 million as compared to total net</w:t>
      </w:r>
      <w:r>
        <w:rPr>
          <w:rFonts w:ascii="Arial" w:cs="Arial" w:eastAsia="Arial" w:hAnsi="Arial"/>
          <w:sz w:val="15"/>
          <w:szCs w:val="15"/>
          <w:i w:val="1"/>
          <w:iCs w:val="1"/>
          <w:color w:val="auto"/>
        </w:rPr>
        <w:t xml:space="preserve"> </w:t>
      </w:r>
      <w:r>
        <w:rPr>
          <w:rFonts w:ascii="Arial" w:cs="Arial" w:eastAsia="Arial" w:hAnsi="Arial"/>
          <w:sz w:val="15"/>
          <w:szCs w:val="15"/>
          <w:color w:val="auto"/>
        </w:rPr>
        <w:t>other income of $0.1 million for the three months ended December 31, 2020. During the six months ended December 31, 2021, we recognized total net other expense of $0.3 million as compared to total net other expenses of $23,000 for the six months ended December 31, 2020.Total net other expense for the three and six months ended December 31, 2021 and 2020 consisted primarily of foreign currency gains and losses and interest expense.</w:t>
      </w:r>
    </w:p>
    <w:p>
      <w:pPr>
        <w:spacing w:after="0" w:line="80" w:lineRule="exact"/>
        <w:rPr>
          <w:sz w:val="20"/>
          <w:szCs w:val="20"/>
          <w:color w:val="auto"/>
        </w:rPr>
      </w:pPr>
    </w:p>
    <w:p>
      <w:pPr>
        <w:ind w:right="340" w:firstLine="397"/>
        <w:spacing w:after="0" w:line="364" w:lineRule="auto"/>
        <w:rPr>
          <w:sz w:val="20"/>
          <w:szCs w:val="20"/>
          <w:color w:val="auto"/>
        </w:rPr>
      </w:pPr>
      <w:r>
        <w:rPr>
          <w:rFonts w:ascii="Arial" w:cs="Arial" w:eastAsia="Arial" w:hAnsi="Arial"/>
          <w:sz w:val="15"/>
          <w:szCs w:val="15"/>
          <w:i w:val="1"/>
          <w:iCs w:val="1"/>
          <w:color w:val="auto"/>
        </w:rPr>
        <w:t>Income Tax Expense</w:t>
      </w:r>
      <w:r>
        <w:rPr>
          <w:rFonts w:ascii="Arial" w:cs="Arial" w:eastAsia="Arial" w:hAnsi="Arial"/>
          <w:sz w:val="15"/>
          <w:szCs w:val="15"/>
          <w:color w:val="auto"/>
        </w:rPr>
        <w:t>. We recognized income tax benefit of $0.6 million and expense of $0.5 million, respectively, for the three and six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2021, as compared to tax expense of $1.8 million and $2.7 million, respectively, for the three and six months ended December 31, 2020.</w:t>
      </w:r>
    </w:p>
    <w:p>
      <w:pPr>
        <w:spacing w:after="0" w:line="32" w:lineRule="exact"/>
        <w:rPr>
          <w:sz w:val="20"/>
          <w:szCs w:val="20"/>
          <w:color w:val="auto"/>
        </w:rPr>
      </w:pPr>
    </w:p>
    <w:p>
      <w:pPr>
        <w:ind w:right="180" w:firstLine="397"/>
        <w:spacing w:after="0" w:line="225" w:lineRule="auto"/>
        <w:rPr>
          <w:sz w:val="20"/>
          <w:szCs w:val="20"/>
          <w:color w:val="auto"/>
        </w:rPr>
      </w:pPr>
      <w:r>
        <w:rPr>
          <w:rFonts w:ascii="Arial" w:cs="Arial" w:eastAsia="Arial" w:hAnsi="Arial"/>
          <w:sz w:val="18"/>
          <w:szCs w:val="18"/>
          <w:color w:val="auto"/>
        </w:rPr>
        <w:t>The effective tax rate was 13.7% of pre-tax income during the six months ended December 31, 2021, compared to 29.8% for the prior year period. The change in the tax rate for the six months ended December 31, 2021 was mainly due to a change in estimate in our calculations of foreign-derived intangible income (“FDII”) and foreign tax credits (“FTC”). The specific allocation of costs attributable foreign and domestic income led to an increase in the FDII deduction as well as the FTC limitation.</w:t>
      </w:r>
    </w:p>
    <w:p>
      <w:pPr>
        <w:spacing w:after="0" w:line="110"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We expect that our effective tax rate will fluctuate slightly during the remainder of fiscal 2022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37"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126" w:lineRule="exact"/>
        <w:rPr>
          <w:sz w:val="20"/>
          <w:szCs w:val="20"/>
          <w:color w:val="auto"/>
        </w:rPr>
      </w:pPr>
    </w:p>
    <w:p>
      <w:pPr>
        <w:ind w:right="160" w:firstLine="397"/>
        <w:spacing w:after="0" w:line="263" w:lineRule="auto"/>
        <w:rPr>
          <w:sz w:val="20"/>
          <w:szCs w:val="20"/>
          <w:color w:val="auto"/>
        </w:rPr>
      </w:pPr>
      <w:r>
        <w:rPr>
          <w:rFonts w:ascii="Arial" w:cs="Arial" w:eastAsia="Arial" w:hAnsi="Arial"/>
          <w:sz w:val="18"/>
          <w:szCs w:val="18"/>
          <w:color w:val="auto"/>
        </w:rPr>
        <w:t>As of December 31, 2021, our available liquidity was $20.2 million, which consisted of available cash and cash equivalents. This represents a decrease of $3.0 million from the $23.2 million in cash and cash equivalents as of June 30, 2021.</w:t>
      </w:r>
    </w:p>
    <w:p>
      <w:pPr>
        <w:spacing w:after="0" w:line="115" w:lineRule="exact"/>
        <w:rPr>
          <w:sz w:val="20"/>
          <w:szCs w:val="20"/>
          <w:color w:val="auto"/>
        </w:rPr>
      </w:pPr>
    </w:p>
    <w:p>
      <w:pPr>
        <w:ind w:right="20" w:firstLine="397"/>
        <w:spacing w:after="0" w:line="263" w:lineRule="auto"/>
        <w:rPr>
          <w:sz w:val="20"/>
          <w:szCs w:val="20"/>
          <w:color w:val="auto"/>
        </w:rPr>
      </w:pPr>
      <w:r>
        <w:rPr>
          <w:rFonts w:ascii="Arial" w:cs="Arial" w:eastAsia="Arial" w:hAnsi="Arial"/>
          <w:sz w:val="18"/>
          <w:szCs w:val="18"/>
          <w:color w:val="auto"/>
        </w:rPr>
        <w:t>During the six months ended December 31, 2021, our net cash provided by operating activities was $4.5 million as compared to our net cash provided by operating activities of $4.8 million during the six months ended December 31, 2020.</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During the six months ended December 31, 2021, our net cash used in investing activities was $0.9 million, as a result of the purchase of fixed assets.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December 31, 2020, our net cash used in investing activities was $1.5 million, as a result of the purchase of fixed assets.</w:t>
      </w:r>
    </w:p>
    <w:p>
      <w:pPr>
        <w:spacing w:after="0" w:line="173" w:lineRule="exact"/>
        <w:rPr>
          <w:sz w:val="20"/>
          <w:szCs w:val="20"/>
          <w:color w:val="auto"/>
        </w:rPr>
      </w:pPr>
    </w:p>
    <w:p>
      <w:pPr>
        <w:ind w:right="60" w:firstLine="397"/>
        <w:spacing w:after="0" w:line="268" w:lineRule="auto"/>
        <w:rPr>
          <w:sz w:val="20"/>
          <w:szCs w:val="20"/>
          <w:color w:val="auto"/>
        </w:rPr>
      </w:pPr>
      <w:r>
        <w:rPr>
          <w:rFonts w:ascii="Arial" w:cs="Arial" w:eastAsia="Arial" w:hAnsi="Arial"/>
          <w:sz w:val="17"/>
          <w:szCs w:val="17"/>
          <w:color w:val="auto"/>
        </w:rPr>
        <w:t>Cash used in financing activities during the six months ended December 31, 2021 was $6.5 million as a result of our repurchase of common stock and shares purchased as payment of tax withholding upon vesting of equity awards, partially offset by proceeds from stock issued under our employee stock purchase plan and stock option exercises. Cash used in financing activities during the six months ended December 31, 2020 was $5.9 million as a result of our repurchase of common stock, and shares purchased as payment of tax withholding upon vesting of equity awards, partially offset by proceeds from stock issued under our employee stock purchase plan and stock option exercises.</w:t>
      </w:r>
    </w:p>
    <w:p>
      <w:pPr>
        <w:spacing w:after="0" w:line="112" w:lineRule="exact"/>
        <w:rPr>
          <w:sz w:val="20"/>
          <w:szCs w:val="20"/>
          <w:color w:val="auto"/>
        </w:rPr>
      </w:pPr>
    </w:p>
    <w:p>
      <w:pPr>
        <w:jc w:val="both"/>
        <w:ind w:right="140" w:firstLine="397"/>
        <w:spacing w:after="0" w:line="329" w:lineRule="auto"/>
        <w:rPr>
          <w:sz w:val="20"/>
          <w:szCs w:val="20"/>
          <w:color w:val="auto"/>
        </w:rPr>
      </w:pPr>
      <w:r>
        <w:rPr>
          <w:rFonts w:ascii="Arial" w:cs="Arial" w:eastAsia="Arial" w:hAnsi="Arial"/>
          <w:sz w:val="15"/>
          <w:szCs w:val="15"/>
          <w:color w:val="auto"/>
        </w:rPr>
        <w:t>At December 31, 2021 and June 30, 2021, the total amount of our foreign subsidiary cash was $12.2 million and $9.2 million, respectively. The federal tax reform legislation that was passed into law during December 2017 enacted a 100% dividend deduction for &gt; 10% owned foreign corporations. Therefore, in the future, if needed, we expect to be able to repatriate cash from foreign subsidiaries without paying additional U.S. taxes.</w:t>
      </w:r>
    </w:p>
    <w:p>
      <w:pPr>
        <w:spacing w:after="0" w:line="57"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At December 31, 2021, we had working capital (current assets minus current liabilities) of $20.6 million, compared to working capital of $22.9 million at June 30, 2021.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5" w:name="page26"/>
    <w:bookmarkEnd w:id="25"/>
    <w:p>
      <w:pPr>
        <w:ind w:right="380"/>
        <w:spacing w:after="0" w:line="263" w:lineRule="auto"/>
        <w:rPr>
          <w:sz w:val="20"/>
          <w:szCs w:val="20"/>
          <w:color w:val="auto"/>
        </w:rPr>
      </w:pPr>
      <w:r>
        <w:rPr>
          <w:rFonts w:ascii="Arial" w:cs="Arial" w:eastAsia="Arial" w:hAnsi="Arial"/>
          <w:sz w:val="18"/>
          <w:szCs w:val="18"/>
          <w:color w:val="auto"/>
        </w:rPr>
        <w:t>amended, provides for a revolving loan facility in an aggregate principal amount up to $5.0 million. We would also consider realigning our strategic plans including a reduction in capital spending and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50" w:lineRule="exact"/>
        <w:rPr>
          <w:sz w:val="20"/>
          <w:szCs w:val="20"/>
          <w:color w:val="auto"/>
        </w:rPr>
      </w:pPr>
    </w:p>
    <w:p>
      <w:pPr>
        <w:ind w:right="20" w:firstLine="397"/>
        <w:spacing w:after="0" w:line="317" w:lineRule="auto"/>
        <w:rPr>
          <w:sz w:val="20"/>
          <w:szCs w:val="20"/>
          <w:color w:val="auto"/>
        </w:rPr>
      </w:pPr>
      <w:r>
        <w:rPr>
          <w:rFonts w:ascii="Arial" w:cs="Arial" w:eastAsia="Arial" w:hAnsi="Arial"/>
          <w:sz w:val="15"/>
          <w:szCs w:val="15"/>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80"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May 4, 2018, we entered into a loan modification agreement, which amended the 2016 Credit Facility (“Amendment No. 1”). Amendment No. 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revised the maturity date from March 30, 2019 to March 31, 2021 and increased the fixed interest rate for the term loan from 4.93% to 5.68%. Amendment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No. 1 also revised certain financial covenants. The minimum fixed charge coverage ratio (as defined in Amendment No. 1) was revised from a minimum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1.50 to 1.00 to 1.25 to 1.00, measured on a trailing twelve-month basis, at the end of each fiscal quarter. The minimum working capital was increased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$5.0 million to $8.0 million. The funded debt to EBITDA ratio was replaced with the total liabilities to tangible net worth ratio (as defined in Amendment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 of not greater than 3.00 to 1.00 at the end of each quarter. The minimum tangible net worth measure was removed from the financial covenants.</w:t>
      </w:r>
    </w:p>
    <w:p>
      <w:pPr>
        <w:spacing w:after="0" w:line="150"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On February 1, 2019, we entered into a loan modification agreement, which further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spacing w:after="0" w:line="101"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2021, we were in compliance with all applicable non-financial and restrictive covenants under the 2016 Credit Facility, as amended.</w:t>
      </w:r>
    </w:p>
    <w:p>
      <w:pPr>
        <w:spacing w:after="0" w:line="112" w:lineRule="exact"/>
        <w:rPr>
          <w:sz w:val="20"/>
          <w:szCs w:val="20"/>
          <w:color w:val="auto"/>
        </w:rPr>
      </w:pPr>
    </w:p>
    <w:p>
      <w:pPr>
        <w:ind w:right="40" w:firstLine="397"/>
        <w:spacing w:after="0" w:line="263"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ind w:left="640" w:right="32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01" w:lineRule="exact"/>
        <w:rPr>
          <w:rFonts w:ascii="Arial" w:cs="Arial" w:eastAsia="Arial" w:hAnsi="Arial"/>
          <w:sz w:val="18"/>
          <w:szCs w:val="18"/>
          <w:color w:val="auto"/>
        </w:rPr>
      </w:pPr>
    </w:p>
    <w:p>
      <w:pPr>
        <w:ind w:left="640" w:right="26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114" w:lineRule="exact"/>
        <w:rPr>
          <w:rFonts w:ascii="Arial" w:cs="Arial" w:eastAsia="Arial" w:hAnsi="Arial"/>
          <w:sz w:val="18"/>
          <w:szCs w:val="18"/>
          <w:color w:val="auto"/>
        </w:rPr>
      </w:pPr>
    </w:p>
    <w:p>
      <w:pPr>
        <w:ind w:left="640" w:right="10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ratio of debt (total liabilities) to tangible net worth (as defined in the 2016 Loan Agreement, as amended) of not greater than 2.00 to 1.00 at the end of each quarter, measured on a trailing twelve month basis.</w:t>
      </w:r>
    </w:p>
    <w:p>
      <w:pPr>
        <w:spacing w:after="0" w:line="115" w:lineRule="exact"/>
        <w:rPr>
          <w:sz w:val="20"/>
          <w:szCs w:val="20"/>
          <w:color w:val="auto"/>
        </w:rPr>
      </w:pPr>
    </w:p>
    <w:p>
      <w:pPr>
        <w:ind w:right="400" w:firstLine="397"/>
        <w:spacing w:after="0" w:line="364" w:lineRule="auto"/>
        <w:rPr>
          <w:sz w:val="20"/>
          <w:szCs w:val="20"/>
          <w:color w:val="auto"/>
        </w:rPr>
      </w:pPr>
      <w:r>
        <w:rPr>
          <w:rFonts w:ascii="Arial" w:cs="Arial" w:eastAsia="Arial" w:hAnsi="Arial"/>
          <w:sz w:val="15"/>
          <w:szCs w:val="15"/>
          <w:color w:val="auto"/>
        </w:rPr>
        <w:t>As of December 31, 2021,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32" w:lineRule="exact"/>
        <w:rPr>
          <w:sz w:val="20"/>
          <w:szCs w:val="20"/>
          <w:color w:val="auto"/>
        </w:rPr>
      </w:pPr>
    </w:p>
    <w:p>
      <w:pPr>
        <w:ind w:right="240" w:firstLine="397"/>
        <w:spacing w:after="0" w:line="263" w:lineRule="auto"/>
        <w:rPr>
          <w:sz w:val="20"/>
          <w:szCs w:val="20"/>
          <w:color w:val="auto"/>
        </w:rPr>
      </w:pPr>
      <w:r>
        <w:rPr>
          <w:rFonts w:ascii="Arial" w:cs="Arial" w:eastAsia="Arial" w:hAnsi="Arial"/>
          <w:sz w:val="18"/>
          <w:szCs w:val="18"/>
          <w:color w:val="auto"/>
        </w:rPr>
        <w:t>During the fiscal year ended June 30, 2020, we repaid, in full, the remaining balance of the 2016 Term Loan in accordance with the terms of the 2016 Credit Facility,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payment obligations and commitments as of December 31, 2021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vMerge w:val="restart"/>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Less than</w:t>
            </w:r>
          </w:p>
        </w:tc>
        <w:tc>
          <w:tcPr>
            <w:tcW w:w="580" w:type="dxa"/>
            <w:vAlign w:val="bottom"/>
          </w:tcPr>
          <w:p>
            <w:pPr>
              <w:spacing w:after="0"/>
              <w:rPr>
                <w:sz w:val="11"/>
                <w:szCs w:val="11"/>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8"/>
              </w:rPr>
              <w:t>1 year</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25"/>
        </w:trPr>
        <w:tc>
          <w:tcPr>
            <w:tcW w:w="3140" w:type="dxa"/>
            <w:vAlign w:val="bottom"/>
            <w:gridSpan w:val="2"/>
          </w:tcPr>
          <w:p>
            <w:pPr>
              <w:ind w:left="420"/>
              <w:spacing w:after="0" w:line="225"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2"/>
                <w:szCs w:val="22"/>
                <w:color w:val="auto"/>
                <w:vertAlign w:val="superscript"/>
              </w:rPr>
              <w:t>(1)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tcBorders>
              <w:top w:val="single" w:sz="8" w:color="CCEEFF"/>
              <w:bottom w:val="single" w:sz="8" w:color="CCEEFF"/>
            </w:tcBorders>
            <w:gridSpan w:val="2"/>
            <w:shd w:val="clear" w:color="auto" w:fill="CCEEFF"/>
          </w:tcPr>
          <w:p>
            <w:pPr>
              <w:ind w:left="420"/>
              <w:spacing w:after="0" w:line="204" w:lineRule="exact"/>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 Other operating obligations represent contractual obligations primarily related to marketing and sponsorship commitments and purchases of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we did not have any off-balance sheet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56" w:lineRule="exact"/>
        <w:rPr>
          <w:sz w:val="20"/>
          <w:szCs w:val="20"/>
          <w:color w:val="auto"/>
        </w:rPr>
      </w:pPr>
    </w:p>
    <w:p>
      <w:pPr>
        <w:ind w:right="40" w:firstLine="397"/>
        <w:spacing w:after="0" w:line="304" w:lineRule="auto"/>
        <w:rPr>
          <w:sz w:val="20"/>
          <w:szCs w:val="20"/>
          <w:color w:val="auto"/>
        </w:rPr>
      </w:pPr>
      <w:r>
        <w:rPr>
          <w:rFonts w:ascii="Arial" w:cs="Arial" w:eastAsia="Arial" w:hAnsi="Arial"/>
          <w:sz w:val="15"/>
          <w:szCs w:val="15"/>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76" w:lineRule="exact"/>
        <w:rPr>
          <w:sz w:val="20"/>
          <w:szCs w:val="20"/>
          <w:color w:val="auto"/>
        </w:rPr>
      </w:pPr>
    </w:p>
    <w:p>
      <w:pPr>
        <w:ind w:right="100" w:firstLine="397"/>
        <w:spacing w:after="0" w:line="27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50" w:lineRule="exact"/>
        <w:rPr>
          <w:sz w:val="20"/>
          <w:szCs w:val="20"/>
          <w:color w:val="auto"/>
        </w:rPr>
      </w:pPr>
    </w:p>
    <w:p>
      <w:pPr>
        <w:ind w:right="180" w:firstLine="397"/>
        <w:spacing w:after="0" w:line="249"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December 31, 2021, our shipments of products sold totaling approximately $18.2 million were subject to the return policy.</w:t>
      </w:r>
    </w:p>
    <w:p>
      <w:pPr>
        <w:spacing w:after="0" w:line="116" w:lineRule="exact"/>
        <w:rPr>
          <w:sz w:val="20"/>
          <w:szCs w:val="20"/>
          <w:color w:val="auto"/>
        </w:rPr>
      </w:pPr>
    </w:p>
    <w:p>
      <w:pPr>
        <w:ind w:right="60" w:firstLine="397"/>
        <w:spacing w:after="0" w:line="263"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$0.2 million at December 31, 2021, compared with $0.2 million at June 30, 2021. To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bookmarkStart w:id="27" w:name="page28"/>
    <w:bookmarkEnd w:id="27"/>
    <w:p>
      <w:pPr>
        <w:ind w:right="60"/>
        <w:spacing w:after="0" w:line="263" w:lineRule="auto"/>
        <w:rPr>
          <w:sz w:val="20"/>
          <w:szCs w:val="20"/>
          <w:color w:val="auto"/>
        </w:rPr>
      </w:pPr>
      <w:r>
        <w:rPr>
          <w:rFonts w:ascii="Arial" w:cs="Arial" w:eastAsia="Arial" w:hAnsi="Arial"/>
          <w:sz w:val="18"/>
          <w:szCs w:val="18"/>
          <w:color w:val="auto"/>
        </w:rPr>
        <w:t>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50" w:lineRule="exact"/>
        <w:rPr>
          <w:sz w:val="20"/>
          <w:szCs w:val="20"/>
          <w:color w:val="auto"/>
        </w:rPr>
      </w:pPr>
    </w:p>
    <w:p>
      <w:pPr>
        <w:ind w:right="20" w:firstLine="397"/>
        <w:spacing w:after="0" w:line="317" w:lineRule="auto"/>
        <w:rPr>
          <w:sz w:val="20"/>
          <w:szCs w:val="20"/>
          <w:color w:val="auto"/>
        </w:rPr>
      </w:pPr>
      <w:r>
        <w:rPr>
          <w:rFonts w:ascii="Arial" w:cs="Arial" w:eastAsia="Arial" w:hAnsi="Arial"/>
          <w:sz w:val="15"/>
          <w:szCs w:val="15"/>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80" w:lineRule="exact"/>
        <w:rPr>
          <w:sz w:val="20"/>
          <w:szCs w:val="20"/>
          <w:color w:val="auto"/>
        </w:rPr>
      </w:pPr>
    </w:p>
    <w:p>
      <w:pPr>
        <w:ind w:right="160" w:firstLine="397"/>
        <w:spacing w:after="0" w:line="254" w:lineRule="auto"/>
        <w:rPr>
          <w:sz w:val="20"/>
          <w:szCs w:val="20"/>
          <w:color w:val="auto"/>
        </w:rPr>
      </w:pPr>
      <w:r>
        <w:rPr>
          <w:rFonts w:ascii="Arial" w:cs="Arial" w:eastAsia="Arial" w:hAnsi="Arial"/>
          <w:sz w:val="18"/>
          <w:szCs w:val="18"/>
          <w:color w:val="auto"/>
        </w:rPr>
        <w:t>During the three months ended December 31, 2021 and 2020, we recognized expenses of approximately $0.3 million and $45,000, respectively, related to obsolete and slow-moving inventory. During the six months ended December 31, 2021 and 2020, we recognized expenses of approximately $0.5 million and $0.1 million, respectively, related to obsolete and slow-moving inventory.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0" w:lineRule="exact"/>
        <w:rPr>
          <w:sz w:val="20"/>
          <w:szCs w:val="20"/>
          <w:color w:val="auto"/>
        </w:rPr>
      </w:pPr>
    </w:p>
    <w:p>
      <w:pPr>
        <w:ind w:right="12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37"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50"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3"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56"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During the six months ended December 31, 2021, approximately 36%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8" w:name="page29"/>
    <w:bookmarkEnd w:id="28"/>
    <w:p>
      <w:pPr>
        <w:ind w:right="220"/>
        <w:spacing w:after="0" w:line="311" w:lineRule="auto"/>
        <w:rPr>
          <w:sz w:val="20"/>
          <w:szCs w:val="20"/>
          <w:color w:val="auto"/>
        </w:rPr>
      </w:pPr>
      <w:r>
        <w:rPr>
          <w:rFonts w:ascii="Arial" w:cs="Arial" w:eastAsia="Arial" w:hAnsi="Arial"/>
          <w:sz w:val="15"/>
          <w:szCs w:val="15"/>
          <w:color w:val="auto"/>
        </w:rPr>
        <w:t>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December 31, 2021, we did not have any derivative instruments. A 10% strengthening of the U.S. dollar compared to all of the foreign currencies in which we transact business would have resulted in a 3.3% decrease of our six months ended December 31, 2021 revenue, in the amount of $3.4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6" w:lineRule="exact"/>
        <w:rPr>
          <w:sz w:val="20"/>
          <w:szCs w:val="20"/>
          <w:color w:val="auto"/>
        </w:rPr>
      </w:pPr>
    </w:p>
    <w:p>
      <w:pPr>
        <w:ind w:right="80" w:firstLine="397"/>
        <w:spacing w:after="0" w:line="304" w:lineRule="auto"/>
        <w:rPr>
          <w:sz w:val="20"/>
          <w:szCs w:val="20"/>
          <w:color w:val="auto"/>
        </w:rPr>
      </w:pPr>
      <w:r>
        <w:rPr>
          <w:rFonts w:ascii="Arial" w:cs="Arial" w:eastAsia="Arial" w:hAnsi="Arial"/>
          <w:sz w:val="15"/>
          <w:szCs w:val="15"/>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December 31,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6" w:lineRule="exact"/>
        <w:rPr>
          <w:sz w:val="20"/>
          <w:szCs w:val="20"/>
          <w:color w:val="auto"/>
        </w:rPr>
      </w:pPr>
    </w:p>
    <w:p>
      <w:pPr>
        <w:ind w:right="140" w:firstLine="397"/>
        <w:spacing w:after="0" w:line="263"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2021 that have materially affected or are reasonably likely to materially affect our internal controls over financial reporting.</w:t>
      </w:r>
    </w:p>
    <w:p>
      <w:pPr>
        <w:spacing w:after="0" w:line="115" w:lineRule="exact"/>
        <w:rPr>
          <w:sz w:val="20"/>
          <w:szCs w:val="20"/>
          <w:color w:val="auto"/>
        </w:rPr>
      </w:pPr>
    </w:p>
    <w:p>
      <w:pPr>
        <w:ind w:right="200" w:firstLine="397"/>
        <w:spacing w:after="0" w:line="249"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2021 that have materially affected, or are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56" w:lineRule="exact"/>
        <w:rPr>
          <w:sz w:val="20"/>
          <w:szCs w:val="20"/>
          <w:color w:val="auto"/>
        </w:rPr>
      </w:pPr>
    </w:p>
    <w:p>
      <w:pPr>
        <w:ind w:right="40" w:firstLine="397"/>
        <w:spacing w:after="0" w:line="270"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6" w:lineRule="exact"/>
        <w:rPr>
          <w:sz w:val="20"/>
          <w:szCs w:val="20"/>
          <w:color w:val="auto"/>
        </w:rPr>
      </w:pPr>
    </w:p>
    <w:p>
      <w:pPr>
        <w:ind w:right="360" w:firstLine="397"/>
        <w:spacing w:after="0" w:line="263"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3"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2021, filed on August 19, 2021.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6"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On November 27, 2017, our Board of Directors approved a stock repurchase plan, as amended on February 1, 2019 and August 27, 2020. Under the plan, we are authorized to repurchase up to $35.0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9" w:name="page30"/>
    <w:bookmarkEnd w:id="29"/>
    <w:p>
      <w:pPr>
        <w:spacing w:after="0" w:line="311" w:lineRule="auto"/>
        <w:rPr>
          <w:sz w:val="20"/>
          <w:szCs w:val="20"/>
          <w:color w:val="auto"/>
        </w:rPr>
      </w:pPr>
      <w:r>
        <w:rPr>
          <w:rFonts w:ascii="Arial" w:cs="Arial" w:eastAsia="Arial" w:hAnsi="Arial"/>
          <w:sz w:val="15"/>
          <w:szCs w:val="15"/>
          <w:color w:val="auto"/>
        </w:rPr>
        <w:t>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December 31, 2021, we repurchased 0.5 million shares of our common stock on the open market at an aggregate purchase price of $3.2 million under this repurchase program.</w:t>
      </w:r>
    </w:p>
    <w:p>
      <w:pPr>
        <w:spacing w:after="0" w:line="72" w:lineRule="exact"/>
        <w:rPr>
          <w:sz w:val="20"/>
          <w:szCs w:val="20"/>
          <w:color w:val="auto"/>
        </w:rPr>
      </w:pPr>
    </w:p>
    <w:p>
      <w:pPr>
        <w:ind w:right="280" w:firstLine="397"/>
        <w:spacing w:after="0" w:line="263"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December 31, 2021. All purchases listed below were made in the open market at prevailing market prices.</w:t>
      </w:r>
    </w:p>
    <w:tbl>
      <w:tblPr>
        <w:tblLayout w:type="fixed"/>
        <w:tblInd w:w="0" w:type="dxa"/>
        <w:tblCellMar>
          <w:top w:w="0" w:type="dxa"/>
          <w:left w:w="0" w:type="dxa"/>
          <w:bottom w:w="0" w:type="dxa"/>
          <w:right w:w="0" w:type="dxa"/>
        </w:tblCellMar>
      </w:tblPr>
      <w:tr>
        <w:trPr>
          <w:trHeight w:val="180"/>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right"/>
              <w:ind w:right="52"/>
              <w:spacing w:after="0" w:line="180"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2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Maximum Dollar Value</w:t>
            </w: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4"/>
              </w:rPr>
              <w:t>Shares Purchased as</w:t>
            </w:r>
          </w:p>
        </w:tc>
        <w:tc>
          <w:tcPr>
            <w:tcW w:w="10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4"/>
                <w:szCs w:val="14"/>
                <w:color w:val="auto"/>
              </w:rPr>
            </w:pPr>
          </w:p>
        </w:tc>
        <w:tc>
          <w:tcPr>
            <w:tcW w:w="234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95"/>
              </w:rPr>
              <w:t>Average Price Paid Per</w:t>
            </w: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0"/>
              </w:rPr>
              <w:t>Part of Publicly</w:t>
            </w:r>
          </w:p>
        </w:tc>
        <w:tc>
          <w:tcPr>
            <w:tcW w:w="100" w:type="dxa"/>
            <w:vAlign w:val="bottom"/>
          </w:tcPr>
          <w:p>
            <w:pPr>
              <w:spacing w:after="0"/>
              <w:rPr>
                <w:sz w:val="14"/>
                <w:szCs w:val="14"/>
                <w:color w:val="auto"/>
              </w:rPr>
            </w:pPr>
          </w:p>
        </w:tc>
        <w:tc>
          <w:tcPr>
            <w:tcW w:w="230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8"/>
              </w:rPr>
              <w:t>of Shares that May Yet Be</w:t>
            </w:r>
          </w:p>
        </w:tc>
        <w:tc>
          <w:tcPr>
            <w:tcW w:w="0" w:type="dxa"/>
            <w:vAlign w:val="bottom"/>
          </w:tcPr>
          <w:p>
            <w:pPr>
              <w:spacing w:after="0"/>
              <w:rPr>
                <w:sz w:val="1"/>
                <w:szCs w:val="1"/>
                <w:color w:val="auto"/>
              </w:rPr>
            </w:pPr>
          </w:p>
        </w:tc>
      </w:tr>
      <w:tr>
        <w:trPr>
          <w:trHeight w:val="172"/>
        </w:trPr>
        <w:tc>
          <w:tcPr>
            <w:tcW w:w="24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4"/>
                <w:szCs w:val="14"/>
                <w:color w:val="auto"/>
              </w:rPr>
            </w:pP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6"/>
              </w:rPr>
              <w:t>Announced Plans or</w:t>
            </w:r>
          </w:p>
        </w:tc>
        <w:tc>
          <w:tcPr>
            <w:tcW w:w="100" w:type="dxa"/>
            <w:vAlign w:val="bottom"/>
          </w:tcPr>
          <w:p>
            <w:pPr>
              <w:spacing w:after="0"/>
              <w:rPr>
                <w:sz w:val="14"/>
                <w:szCs w:val="14"/>
                <w:color w:val="auto"/>
              </w:rPr>
            </w:pPr>
          </w:p>
        </w:tc>
        <w:tc>
          <w:tcPr>
            <w:tcW w:w="230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7"/>
              </w:rPr>
              <w:t>Purchased Under the Plans or</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18"/>
        </w:trPr>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October 1 - October 31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113,916</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113,916</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7,230,268</w:t>
            </w:r>
          </w:p>
        </w:tc>
        <w:tc>
          <w:tcPr>
            <w:tcW w:w="0" w:type="dxa"/>
            <w:vAlign w:val="bottom"/>
          </w:tcPr>
          <w:p>
            <w:pPr>
              <w:spacing w:after="0"/>
              <w:rPr>
                <w:sz w:val="1"/>
                <w:szCs w:val="1"/>
                <w:color w:val="auto"/>
              </w:rPr>
            </w:pPr>
          </w:p>
        </w:tc>
      </w:tr>
      <w:tr>
        <w:trPr>
          <w:trHeight w:val="173"/>
        </w:trPr>
        <w:tc>
          <w:tcPr>
            <w:tcW w:w="2520" w:type="dxa"/>
            <w:vAlign w:val="bottom"/>
            <w:gridSpan w:val="2"/>
          </w:tcPr>
          <w:p>
            <w:pPr>
              <w:ind w:left="420"/>
              <w:spacing w:after="0" w:line="173" w:lineRule="exact"/>
              <w:rPr>
                <w:sz w:val="20"/>
                <w:szCs w:val="20"/>
                <w:color w:val="auto"/>
              </w:rPr>
            </w:pPr>
            <w:r>
              <w:rPr>
                <w:rFonts w:ascii="Arial" w:cs="Arial" w:eastAsia="Arial" w:hAnsi="Arial"/>
                <w:sz w:val="18"/>
                <w:szCs w:val="18"/>
                <w:color w:val="auto"/>
              </w:rPr>
              <w:t>November 1 - November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202,630</w:t>
            </w:r>
          </w:p>
        </w:tc>
        <w:tc>
          <w:tcPr>
            <w:tcW w:w="8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202,630</w:t>
            </w:r>
          </w:p>
        </w:tc>
        <w:tc>
          <w:tcPr>
            <w:tcW w:w="7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5,788,197</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December 1 - December 31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137,802</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137,802</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4,891,972</w:t>
            </w:r>
          </w:p>
        </w:tc>
        <w:tc>
          <w:tcPr>
            <w:tcW w:w="0" w:type="dxa"/>
            <w:vAlign w:val="bottom"/>
          </w:tcPr>
          <w:p>
            <w:pPr>
              <w:spacing w:after="0"/>
              <w:rPr>
                <w:sz w:val="1"/>
                <w:szCs w:val="1"/>
                <w:color w:val="auto"/>
              </w:rPr>
            </w:pPr>
          </w:p>
        </w:tc>
      </w:tr>
      <w:tr>
        <w:trPr>
          <w:trHeight w:val="218"/>
        </w:trPr>
        <w:tc>
          <w:tcPr>
            <w:tcW w:w="25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454,348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4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276"/>
        </w:trPr>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Certificate of Incorporation, as filed with the Delaware Secretary of</w:t>
              </w:r>
            </w:hyperlink>
          </w:p>
        </w:tc>
        <w:tc>
          <w:tcPr>
            <w:tcW w:w="4440" w:type="dxa"/>
            <w:vAlign w:val="bottom"/>
          </w:tcPr>
          <w:p>
            <w:pPr>
              <w:ind w:left="20"/>
              <w:spacing w:after="0"/>
              <w:rPr>
                <w:sz w:val="20"/>
                <w:szCs w:val="20"/>
                <w:color w:val="auto"/>
              </w:rPr>
            </w:pPr>
            <w:r>
              <w:rPr>
                <w:rFonts w:ascii="Arial" w:cs="Arial" w:eastAsia="Arial" w:hAnsi="Arial"/>
                <w:sz w:val="18"/>
                <w:szCs w:val="18"/>
                <w:color w:val="auto"/>
                <w:w w:val="91"/>
              </w:rPr>
              <w:t>Exhibit 3.1 to the Current Report on Form 8-K filed on March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2"/>
              </w:rPr>
            </w:pPr>
            <w:hyperlink r:id="rId49">
              <w:r>
                <w:rPr>
                  <w:rFonts w:ascii="Arial" w:cs="Arial" w:eastAsia="Arial" w:hAnsi="Arial"/>
                  <w:sz w:val="17"/>
                  <w:szCs w:val="17"/>
                  <w:color w:val="0000FF"/>
                  <w:w w:val="92"/>
                </w:rPr>
                <w:t>State on March 9, 2018</w:t>
              </w:r>
            </w:hyperlink>
          </w:p>
        </w:tc>
        <w:tc>
          <w:tcPr>
            <w:tcW w:w="31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Arial" w:cs="Arial" w:eastAsia="Arial" w:hAnsi="Arial"/>
                <w:sz w:val="17"/>
                <w:szCs w:val="17"/>
                <w:color w:val="auto"/>
              </w:rPr>
              <w:t>13, 2018.</w:t>
            </w: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and Restated Bylaws, August 9, 2019</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Exhibit 3.1 to the Current Report on Form 8-K filed on</w:t>
            </w: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August 15, 2019</w:t>
            </w:r>
          </w:p>
        </w:tc>
      </w:tr>
      <w:tr>
        <w:trPr>
          <w:trHeight w:val="279"/>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principal executive officer pursuant to Rule 13a-</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w:anchor="page33">
              <w:r>
                <w:rPr>
                  <w:rFonts w:ascii="Arial" w:cs="Arial" w:eastAsia="Arial" w:hAnsi="Arial"/>
                  <w:sz w:val="17"/>
                  <w:szCs w:val="17"/>
                  <w:color w:val="0000FF"/>
                </w:rPr>
                <w:t>14(a)/15d-14(a)</w:t>
              </w:r>
            </w:hyperlink>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principal financial officer pursuant to Rule 13a-</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34">
              <w:r>
                <w:rPr>
                  <w:rFonts w:ascii="Arial" w:cs="Arial" w:eastAsia="Arial" w:hAnsi="Arial"/>
                  <w:sz w:val="17"/>
                  <w:szCs w:val="17"/>
                  <w:color w:val="0000FF"/>
                </w:rPr>
                <w:t>14(a)/15d-14(a)</w:t>
              </w:r>
            </w:hyperlink>
          </w:p>
        </w:tc>
        <w:tc>
          <w:tcPr>
            <w:tcW w:w="4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Certification of principal executive officer pursuant to 18 U.S.C. 1350,</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3"/>
              </w:rPr>
            </w:pPr>
            <w:hyperlink w:anchor="page35">
              <w:r>
                <w:rPr>
                  <w:rFonts w:ascii="Arial" w:cs="Arial" w:eastAsia="Arial" w:hAnsi="Arial"/>
                  <w:sz w:val="17"/>
                  <w:szCs w:val="17"/>
                  <w:color w:val="0000FF"/>
                  <w:w w:val="93"/>
                </w:rPr>
                <w:t>as adopted pursuant to Section 906 of the Sarbanes-Oxley Act of 2002</w:t>
              </w:r>
            </w:hyperlink>
          </w:p>
        </w:tc>
        <w:tc>
          <w:tcPr>
            <w:tcW w:w="2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Certification of principal financial officer pursuant to 18 U.S.C. 1350,</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2"/>
              </w:rPr>
            </w:pPr>
            <w:hyperlink w:anchor="page36">
              <w:r>
                <w:rPr>
                  <w:rFonts w:ascii="Arial" w:cs="Arial" w:eastAsia="Arial" w:hAnsi="Arial"/>
                  <w:sz w:val="17"/>
                  <w:szCs w:val="17"/>
                  <w:color w:val="0000FF"/>
                  <w:w w:val="92"/>
                </w:rPr>
                <w:t>as adopted pursuant to Section 906 of the Sarbanes-Oxley Act of 2002</w:t>
              </w:r>
            </w:hyperlink>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440" w:type="dxa"/>
            <w:vAlign w:val="bottom"/>
          </w:tcPr>
          <w:p>
            <w:pPr>
              <w:spacing w:after="0"/>
              <w:rPr>
                <w:sz w:val="13"/>
                <w:szCs w:val="13"/>
                <w:color w:val="auto"/>
              </w:rPr>
            </w:pPr>
          </w:p>
        </w:tc>
      </w:tr>
      <w:tr>
        <w:trPr>
          <w:trHeight w:val="298"/>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w w:val="99"/>
              </w:rPr>
              <w:t>The following financial information from the Company’s quarterly</w:t>
            </w:r>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report on Form 10-Q for the quarter ended December 31, 2021</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4"/>
              </w:rPr>
              <w:t>formatted in Inline XBRL (extensible Business Reporting Language):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3"/>
              </w:rPr>
              <w:t>(i) Unaudited Condensed Consolidated Balance Sheets at December</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3"/>
              </w:rPr>
              <w:t>31, 2021 and June 30, 2021; (ii) Unaudited Condensed Consolidated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4"/>
              </w:rPr>
              <w:t>Statements of Operations and Other Comprehensive Income for the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three and six months ended December 31, 2021 and 2020; (iii)</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0"/>
              </w:rPr>
              <w:t>Unaudited Condensed Consolidated Statement of Stockholders’ Equity</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2"/>
              </w:rPr>
              <w:t>for the three and six months ended December 31, 2021 and 2020; (iv)</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1"/>
              </w:rPr>
              <w:t>Unaudited Condensed Consolidated Statements of Cash Flows for the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8"/>
              </w:rPr>
              <w:t>six months ended December 31, 2021 and 2020; and (v) Notes to</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2"/>
              </w:rPr>
              <w:t>Unaudited Condensed Consolidated Financial Statements, tagged as</w:t>
            </w:r>
          </w:p>
        </w:tc>
        <w:tc>
          <w:tcPr>
            <w:tcW w:w="4440" w:type="dxa"/>
            <w:vAlign w:val="bottom"/>
          </w:tcPr>
          <w:p>
            <w:pPr>
              <w:spacing w:after="0"/>
              <w:rPr>
                <w:sz w:val="14"/>
                <w:szCs w:val="1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blocks of text</w:t>
            </w:r>
          </w:p>
        </w:tc>
        <w:tc>
          <w:tcPr>
            <w:tcW w:w="4440" w:type="dxa"/>
            <w:vAlign w:val="bottom"/>
          </w:tcPr>
          <w:p>
            <w:pPr>
              <w:spacing w:after="0"/>
              <w:rPr>
                <w:sz w:val="19"/>
                <w:szCs w:val="19"/>
                <w:color w:val="auto"/>
              </w:rPr>
            </w:pPr>
          </w:p>
        </w:tc>
      </w:tr>
      <w:tr>
        <w:trPr>
          <w:trHeight w:val="174"/>
        </w:trPr>
        <w:tc>
          <w:tcPr>
            <w:tcW w:w="980" w:type="dxa"/>
            <w:vAlign w:val="bottom"/>
          </w:tcPr>
          <w:p>
            <w:pPr>
              <w:jc w:val="center"/>
              <w:spacing w:after="0" w:line="174" w:lineRule="exact"/>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4" w:lineRule="exact"/>
              <w:rPr>
                <w:sz w:val="20"/>
                <w:szCs w:val="20"/>
                <w:color w:val="auto"/>
              </w:rPr>
            </w:pPr>
            <w:r>
              <w:rPr>
                <w:rFonts w:ascii="Arial" w:cs="Arial" w:eastAsia="Arial" w:hAnsi="Arial"/>
                <w:sz w:val="18"/>
                <w:szCs w:val="18"/>
                <w:color w:val="auto"/>
              </w:rPr>
              <w:t>Cover Page Interactive Data File (formatted as Inline XBRL and</w:t>
            </w:r>
          </w:p>
        </w:tc>
        <w:tc>
          <w:tcPr>
            <w:tcW w:w="4440" w:type="dxa"/>
            <w:vAlign w:val="bottom"/>
          </w:tcPr>
          <w:p>
            <w:pPr>
              <w:ind w:left="20"/>
              <w:spacing w:after="0" w:line="174" w:lineRule="exact"/>
              <w:rPr>
                <w:sz w:val="20"/>
                <w:szCs w:val="20"/>
                <w:color w:val="auto"/>
              </w:rPr>
            </w:pPr>
            <w:r>
              <w:rPr>
                <w:rFonts w:ascii="Arial" w:cs="Arial" w:eastAsia="Arial" w:hAnsi="Arial"/>
                <w:sz w:val="18"/>
                <w:szCs w:val="18"/>
                <w:color w:val="auto"/>
              </w:rPr>
              <w:t>Filed herewith</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4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40"/>
          </w:cols>
          <w:pgMar w:left="320" w:top="1020" w:right="239" w:bottom="1440" w:gutter="0" w:footer="0" w:header="0"/>
        </w:sectPr>
      </w:pPr>
    </w:p>
    <w:p>
      <w:pPr>
        <w:spacing w:after="0" w:line="5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firstLine="436"/>
        <w:spacing w:after="0" w:line="219" w:lineRule="auto"/>
        <w:rPr>
          <w:sz w:val="20"/>
          <w:szCs w:val="20"/>
          <w:color w:val="auto"/>
        </w:rPr>
      </w:pPr>
      <w:r>
        <w:rPr>
          <w:rFonts w:ascii="Arial" w:cs="Arial" w:eastAsia="Arial" w:hAnsi="Arial"/>
          <w:sz w:val="18"/>
          <w:szCs w:val="18"/>
          <w:color w:val="auto"/>
        </w:rPr>
        <w:t>This certification is being furnished solely to accompany this report pursuant to 18 U.S.C. 1350, and is not being filed for purposes o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ectPr>
          <w:pgSz w:w="11900" w:h="16838" w:orient="portrait"/>
          <w:cols w:equalWidth="0" w:num="2">
            <w:col w:w="1200" w:space="360"/>
            <w:col w:w="9780"/>
          </w:cols>
          <w:pgMar w:left="320" w:top="102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type w:val="continuous"/>
        </w:sectPr>
      </w:pPr>
    </w:p>
    <w:bookmarkStart w:id="31" w:name="page32"/>
    <w:bookmarkEnd w:id="3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LIFEVANTAGE CORPORATION</w:t>
      </w:r>
    </w:p>
    <w:p>
      <w:pPr>
        <w:spacing w:after="0" w:line="282"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February 1, 2022</w:t>
      </w:r>
      <w:r>
        <w:rPr>
          <w:sz w:val="20"/>
          <w:szCs w:val="20"/>
          <w:color w:val="auto"/>
        </w:rPr>
        <w:tab/>
      </w:r>
      <w:r>
        <w:rPr>
          <w:rFonts w:ascii="Arial" w:cs="Arial" w:eastAsia="Arial" w:hAnsi="Arial"/>
          <w:sz w:val="15"/>
          <w:szCs w:val="15"/>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Steven R. Fife</w:t>
      </w:r>
    </w:p>
    <w:p>
      <w:pPr>
        <w:ind w:left="5520"/>
        <w:spacing w:after="0" w:line="199" w:lineRule="auto"/>
        <w:rPr>
          <w:sz w:val="20"/>
          <w:szCs w:val="20"/>
          <w:color w:val="auto"/>
        </w:rPr>
      </w:pPr>
      <w:r>
        <w:rPr>
          <w:rFonts w:ascii="Arial" w:cs="Arial" w:eastAsia="Arial" w:hAnsi="Arial"/>
          <w:sz w:val="18"/>
          <w:szCs w:val="18"/>
          <w:color w:val="auto"/>
        </w:rPr>
        <w:t>President and Chief Executive Officer</w:t>
      </w:r>
    </w:p>
    <w:p>
      <w:pPr>
        <w:ind w:left="5520"/>
        <w:spacing w:after="0"/>
        <w:rPr>
          <w:sz w:val="20"/>
          <w:szCs w:val="20"/>
          <w:color w:val="auto"/>
        </w:rPr>
      </w:pPr>
      <w:r>
        <w:rPr>
          <w:rFonts w:ascii="Arial" w:cs="Arial" w:eastAsia="Arial" w:hAnsi="Arial"/>
          <w:sz w:val="18"/>
          <w:szCs w:val="18"/>
          <w:color w:val="auto"/>
        </w:rPr>
        <w:t>(Principal Executive Officer)</w:t>
      </w:r>
    </w:p>
    <w:p>
      <w:pPr>
        <w:spacing w:after="0" w:line="268"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February 1, 2022</w:t>
      </w:r>
      <w:r>
        <w:rPr>
          <w:sz w:val="20"/>
          <w:szCs w:val="20"/>
          <w:color w:val="auto"/>
        </w:rPr>
        <w:tab/>
      </w:r>
      <w:r>
        <w:rPr>
          <w:rFonts w:ascii="Arial" w:cs="Arial" w:eastAsia="Arial" w:hAnsi="Arial"/>
          <w:sz w:val="15"/>
          <w:szCs w:val="15"/>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Carl A. Aure</w:t>
      </w:r>
    </w:p>
    <w:p>
      <w:pPr>
        <w:ind w:left="5520"/>
        <w:spacing w:after="0" w:line="199" w:lineRule="auto"/>
        <w:rPr>
          <w:sz w:val="20"/>
          <w:szCs w:val="20"/>
          <w:color w:val="auto"/>
        </w:rPr>
      </w:pPr>
      <w:r>
        <w:rPr>
          <w:rFonts w:ascii="Arial" w:cs="Arial" w:eastAsia="Arial" w:hAnsi="Arial"/>
          <w:sz w:val="18"/>
          <w:szCs w:val="18"/>
          <w:color w:val="auto"/>
        </w:rPr>
        <w:t>Chief Financial Officer</w:t>
      </w:r>
    </w:p>
    <w:p>
      <w:pPr>
        <w:ind w:left="55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1020" w:right="5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50" w:lineRule="exact"/>
        <w:rPr>
          <w:sz w:val="20"/>
          <w:szCs w:val="20"/>
          <w:color w:val="auto"/>
        </w:rPr>
      </w:pPr>
    </w:p>
    <w:p>
      <w:pPr>
        <w:ind w:left="400" w:hanging="39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February 1, 2022</w:t>
      </w:r>
      <w:r>
        <w:rPr>
          <w:rFonts w:ascii="Arial" w:cs="Arial" w:eastAsia="Arial" w:hAnsi="Arial"/>
          <w:sz w:val="18"/>
          <w:szCs w:val="18"/>
          <w:color w:val="auto"/>
        </w:rPr>
        <w:t>(Principal Executive Officer)</w:t>
      </w:r>
    </w:p>
    <w:p>
      <w:pPr>
        <w:sectPr>
          <w:pgSz w:w="11900" w:h="16838" w:orient="portrait"/>
          <w:cols w:equalWidth="0" w:num="1">
            <w:col w:w="11240"/>
          </w:cols>
          <w:pgMar w:left="320" w:top="87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Carl A. Aure, certify that:</w:t>
      </w:r>
    </w:p>
    <w:p>
      <w:pPr>
        <w:spacing w:after="0" w:line="150" w:lineRule="exact"/>
        <w:rPr>
          <w:sz w:val="20"/>
          <w:szCs w:val="20"/>
          <w:color w:val="auto"/>
        </w:rPr>
      </w:pPr>
    </w:p>
    <w:p>
      <w:pPr>
        <w:ind w:left="400" w:hanging="39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Carl A. Aure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February 1, 2022</w:t>
      </w:r>
      <w:r>
        <w:rPr>
          <w:rFonts w:ascii="Arial" w:cs="Arial" w:eastAsia="Arial" w:hAnsi="Arial"/>
          <w:sz w:val="18"/>
          <w:szCs w:val="18"/>
          <w:color w:val="auto"/>
        </w:rPr>
        <w:t>(Principal Financial Officer)</w:t>
      </w:r>
    </w:p>
    <w:p>
      <w:pPr>
        <w:sectPr>
          <w:pgSz w:w="11900" w:h="16838" w:orient="portrait"/>
          <w:cols w:equalWidth="0" w:num="1">
            <w:col w:w="11240"/>
          </w:cols>
          <w:pgMar w:left="320" w:top="87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ind w:right="18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2021,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February 1, 2022</w:t>
      </w:r>
      <w:r>
        <w:rPr>
          <w:rFonts w:ascii="Arial" w:cs="Arial" w:eastAsia="Arial" w:hAnsi="Arial"/>
          <w:sz w:val="18"/>
          <w:szCs w:val="18"/>
          <w:color w:val="auto"/>
        </w:rPr>
        <w:t>(Principal Executive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jc w:val="both"/>
        <w:ind w:right="32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2021, with the Securities and Exchange Commission on the date hereof (the “report”), I, Carl A. Aure, Principal Financial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Carl A. Aure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February 1, 2022</w:t>
      </w:r>
      <w:r>
        <w:rPr>
          <w:rFonts w:ascii="Arial" w:cs="Arial" w:eastAsia="Arial" w:hAnsi="Arial"/>
          <w:sz w:val="18"/>
          <w:szCs w:val="18"/>
          <w:color w:val="auto"/>
        </w:rPr>
        <w:t>(Principal Financial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www.sec.gov/Archives/edgar/data/849146/000084914618000046/ex31-certificateofincorpor.htm" TargetMode="External"/><Relationship Id="rId50"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2022-02-01T15:16:12Z</dcterms:created>
  <dcterms:modified xsi:type="dcterms:W3CDTF">2022-02-01T15:16:12Z</dcterms:modified>
</cp:coreProperties>
</file>