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UNDER SECTION 13 OR 15 (d)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40"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96" w:lineRule="exact"/>
        <w:rPr>
          <w:sz w:val="24"/>
          <w:szCs w:val="24"/>
          <w:color w:val="auto"/>
        </w:rPr>
      </w:pPr>
    </w:p>
    <w:p>
      <w:pPr>
        <w:ind w:left="29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-10160</wp:posOffset>
            </wp:positionV>
            <wp:extent cx="1334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19"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LIFEVANTAGE CORPORATION</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600"/>
              <w:spacing w:after="0"/>
              <w:rPr>
                <w:sz w:val="20"/>
                <w:szCs w:val="20"/>
                <w:color w:val="auto"/>
              </w:rPr>
            </w:pPr>
            <w:r>
              <w:rPr>
                <w:rFonts w:ascii="Arial" w:cs="Arial" w:eastAsia="Arial" w:hAnsi="Arial"/>
                <w:sz w:val="18"/>
                <w:szCs w:val="18"/>
                <w:b w:val="1"/>
                <w:bCs w:val="1"/>
                <w:color w:val="auto"/>
              </w:rPr>
              <w:t>90-0224471</w:t>
            </w:r>
          </w:p>
        </w:tc>
      </w:tr>
      <w:tr>
        <w:trPr>
          <w:trHeight w:val="180"/>
        </w:trPr>
        <w:tc>
          <w:tcPr>
            <w:tcW w:w="7520" w:type="dxa"/>
            <w:vAlign w:val="bottom"/>
            <w:gridSpan w:val="5"/>
          </w:tcPr>
          <w:p>
            <w:pPr>
              <w:ind w:left="1080"/>
              <w:spacing w:after="0"/>
              <w:rPr>
                <w:sz w:val="20"/>
                <w:szCs w:val="20"/>
                <w:color w:val="auto"/>
              </w:rPr>
            </w:pPr>
            <w:r>
              <w:rPr>
                <w:rFonts w:ascii="Arial" w:cs="Arial" w:eastAsia="Arial" w:hAnsi="Arial"/>
                <w:sz w:val="14"/>
                <w:szCs w:val="14"/>
                <w:color w:val="auto"/>
              </w:rPr>
              <w:t>(State or other jurisdiction of incorporation or organization)</w:t>
            </w:r>
          </w:p>
        </w:tc>
        <w:tc>
          <w:tcPr>
            <w:tcW w:w="3680" w:type="dxa"/>
            <w:vAlign w:val="bottom"/>
          </w:tcPr>
          <w:p>
            <w:pPr>
              <w:ind w:left="40"/>
              <w:spacing w:after="0"/>
              <w:rPr>
                <w:sz w:val="20"/>
                <w:szCs w:val="20"/>
                <w:color w:val="auto"/>
              </w:rPr>
            </w:pPr>
            <w:r>
              <w:rPr>
                <w:rFonts w:ascii="Arial" w:cs="Arial" w:eastAsia="Arial" w:hAnsi="Arial"/>
                <w:sz w:val="14"/>
                <w:szCs w:val="14"/>
                <w:color w:val="auto"/>
              </w:rPr>
              <w:t>(IRS Employer Identification No.)</w:t>
            </w:r>
          </w:p>
        </w:tc>
      </w:tr>
      <w:tr>
        <w:trPr>
          <w:trHeight w:val="45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3300 Triumph Blvd, Suite 700, Lehi, UT 84043</w:t>
            </w: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(Address of principal executive offices, including zip code)</w:t>
            </w:r>
          </w:p>
        </w:tc>
        <w:tc>
          <w:tcPr>
            <w:tcW w:w="3680" w:type="dxa"/>
            <w:vAlign w:val="bottom"/>
          </w:tcPr>
          <w:p>
            <w:pPr>
              <w:spacing w:after="0"/>
              <w:rPr>
                <w:sz w:val="15"/>
                <w:szCs w:val="15"/>
                <w:color w:val="auto"/>
              </w:rPr>
            </w:pPr>
          </w:p>
        </w:tc>
      </w:tr>
      <w:tr>
        <w:trPr>
          <w:trHeight w:val="349"/>
        </w:trPr>
        <w:tc>
          <w:tcPr>
            <w:tcW w:w="3280" w:type="dxa"/>
            <w:vAlign w:val="bottom"/>
          </w:tcPr>
          <w:p>
            <w:pPr>
              <w:spacing w:after="0"/>
              <w:rPr>
                <w:sz w:val="24"/>
                <w:szCs w:val="24"/>
                <w:color w:val="auto"/>
              </w:rPr>
            </w:pPr>
          </w:p>
        </w:tc>
        <w:tc>
          <w:tcPr>
            <w:tcW w:w="414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9"/>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(Registrant’s telephone number)</w:t>
            </w:r>
          </w:p>
        </w:tc>
        <w:tc>
          <w:tcPr>
            <w:tcW w:w="3680" w:type="dxa"/>
            <w:vAlign w:val="bottom"/>
          </w:tcPr>
          <w:p>
            <w:pPr>
              <w:spacing w:after="0"/>
              <w:rPr>
                <w:sz w:val="15"/>
                <w:szCs w:val="15"/>
                <w:color w:val="auto"/>
              </w:rPr>
            </w:pPr>
          </w:p>
        </w:tc>
      </w:tr>
      <w:tr>
        <w:trPr>
          <w:trHeight w:val="446"/>
        </w:trPr>
        <w:tc>
          <w:tcPr>
            <w:tcW w:w="3280" w:type="dxa"/>
            <w:vAlign w:val="bottom"/>
          </w:tcPr>
          <w:p>
            <w:pPr>
              <w:spacing w:after="0"/>
              <w:rPr>
                <w:sz w:val="24"/>
                <w:szCs w:val="24"/>
                <w:color w:val="auto"/>
              </w:rPr>
            </w:pPr>
          </w:p>
        </w:tc>
        <w:tc>
          <w:tcPr>
            <w:tcW w:w="7920" w:type="dxa"/>
            <w:vAlign w:val="bottom"/>
            <w:gridSpan w:val="5"/>
          </w:tcPr>
          <w:p>
            <w:pPr>
              <w:jc w:val="center"/>
              <w:ind w:right="320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52"/>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Common Stock, par value $0.0001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LFVN</w:t>
            </w:r>
          </w:p>
        </w:tc>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The Nasdaq Stock Market LLC</w:t>
            </w:r>
          </w:p>
        </w:tc>
      </w:tr>
      <w:tr>
        <w:trPr>
          <w:trHeight w:val="173"/>
        </w:trPr>
        <w:tc>
          <w:tcPr>
            <w:tcW w:w="3280" w:type="dxa"/>
            <w:vAlign w:val="bottom"/>
            <w:tcBorders>
              <w:top w:val="single" w:sz="8" w:color="auto"/>
            </w:tcBorders>
          </w:tcPr>
          <w:p>
            <w:pPr>
              <w:jc w:val="right"/>
              <w:ind w:right="861"/>
              <w:spacing w:after="0"/>
              <w:rPr>
                <w:sz w:val="20"/>
                <w:szCs w:val="20"/>
                <w:color w:val="auto"/>
              </w:rPr>
            </w:pPr>
            <w:r>
              <w:rPr>
                <w:rFonts w:ascii="Arial" w:cs="Arial" w:eastAsia="Arial" w:hAnsi="Arial"/>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Name of each exchange on which registered</w:t>
            </w:r>
          </w:p>
        </w:tc>
      </w:tr>
    </w:tbl>
    <w:p>
      <w:pPr>
        <w:spacing w:after="0" w:line="84"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47" w:lineRule="exact"/>
        <w:rPr>
          <w:sz w:val="24"/>
          <w:szCs w:val="24"/>
          <w:color w:val="auto"/>
        </w:rPr>
      </w:pPr>
    </w:p>
    <w:p>
      <w:pPr>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4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00"/>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8"/>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2" w:lineRule="exact"/>
        <w:rPr>
          <w:sz w:val="24"/>
          <w:szCs w:val="24"/>
          <w:color w:val="auto"/>
        </w:rPr>
      </w:pPr>
    </w:p>
    <w:p>
      <w:pPr>
        <w:ind w:right="2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$0.0001 per share, as of November 1, 2021 was 13,243,338.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546100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3"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40" w:hanging="317"/>
        <w:spacing w:after="0" w:line="263" w:lineRule="auto"/>
        <w:tabs>
          <w:tab w:leader="none" w:pos="636"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14" w:lineRule="exact"/>
        <w:rPr>
          <w:rFonts w:ascii="Arial" w:cs="Arial" w:eastAsia="Arial" w:hAnsi="Arial"/>
          <w:sz w:val="18"/>
          <w:szCs w:val="18"/>
          <w:b w:val="1"/>
          <w:bCs w:val="1"/>
          <w:color w:val="auto"/>
        </w:rPr>
      </w:pPr>
    </w:p>
    <w:p>
      <w:pPr>
        <w:ind w:left="640" w:right="10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9" w:lineRule="exact"/>
        <w:rPr>
          <w:rFonts w:ascii="Arial" w:cs="Arial" w:eastAsia="Arial" w:hAnsi="Arial"/>
          <w:sz w:val="18"/>
          <w:szCs w:val="18"/>
          <w:color w:val="auto"/>
        </w:rPr>
      </w:pPr>
    </w:p>
    <w:p>
      <w:pPr>
        <w:ind w:left="640" w:hanging="317"/>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comply with financial covenants imposed by our credit facility and the impact of debt service obligations and restrictive debt covenants;</w:t>
      </w:r>
    </w:p>
    <w:p>
      <w:pPr>
        <w:spacing w:after="0" w:line="184" w:lineRule="exact"/>
        <w:rPr>
          <w:rFonts w:ascii="Arial" w:cs="Arial" w:eastAsia="Arial" w:hAnsi="Arial"/>
          <w:sz w:val="15"/>
          <w:szCs w:val="15"/>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 w:name="page3"/>
    <w:bookmarkEnd w:id="2"/>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48"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49" w:lineRule="exact"/>
        <w:rPr>
          <w:rFonts w:ascii="Arial" w:cs="Arial" w:eastAsia="Arial" w:hAnsi="Arial"/>
          <w:sz w:val="18"/>
          <w:szCs w:val="18"/>
          <w:color w:val="auto"/>
        </w:rPr>
      </w:pPr>
    </w:p>
    <w:p>
      <w:pPr>
        <w:ind w:left="640" w:right="1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14"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1" w:lineRule="exact"/>
        <w:rPr>
          <w:rFonts w:ascii="Arial" w:cs="Arial" w:eastAsia="Arial" w:hAnsi="Arial"/>
          <w:sz w:val="17"/>
          <w:szCs w:val="17"/>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9" w:lineRule="exact"/>
        <w:rPr>
          <w:rFonts w:ascii="Arial" w:cs="Arial" w:eastAsia="Arial" w:hAnsi="Arial"/>
          <w:sz w:val="18"/>
          <w:szCs w:val="18"/>
          <w:color w:val="auto"/>
        </w:rPr>
      </w:pPr>
    </w:p>
    <w:p>
      <w:pPr>
        <w:ind w:left="640" w:right="60" w:hanging="317"/>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102"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72"/>
        </w:trPr>
        <w:tc>
          <w:tcPr>
            <w:tcW w:w="2440" w:type="dxa"/>
            <w:vAlign w:val="bottom"/>
            <w:gridSpan w:val="7"/>
          </w:tcPr>
          <w:p>
            <w:pPr>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PART I. Financial Information</w:t>
              </w:r>
            </w:hyperlink>
          </w:p>
        </w:tc>
        <w:tc>
          <w:tcPr>
            <w:tcW w:w="7760" w:type="dxa"/>
            <w:vAlign w:val="bottom"/>
            <w:gridSpan w:val="12"/>
          </w:tcPr>
          <w:p>
            <w:pPr>
              <w:spacing w:after="0"/>
              <w:rPr>
                <w:sz w:val="14"/>
                <w:szCs w:val="14"/>
                <w:color w:val="auto"/>
              </w:rPr>
            </w:pPr>
          </w:p>
        </w:tc>
        <w:tc>
          <w:tcPr>
            <w:tcW w:w="1000" w:type="dxa"/>
            <w:vAlign w:val="bottom"/>
            <w:gridSpan w:val="4"/>
          </w:tcPr>
          <w:p>
            <w:pPr>
              <w:jc w:val="right"/>
              <w:ind w:right="20"/>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5</w:t>
              </w:r>
            </w:hyperlink>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7"/>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Financial Statements:</w:t>
              </w:r>
            </w:hyperlink>
          </w:p>
        </w:tc>
        <w:tc>
          <w:tcPr>
            <w:tcW w:w="7520" w:type="dxa"/>
            <w:vAlign w:val="bottom"/>
            <w:gridSpan w:val="10"/>
          </w:tcPr>
          <w:p>
            <w:pPr>
              <w:spacing w:after="0"/>
              <w:rPr>
                <w:sz w:val="18"/>
                <w:szCs w:val="18"/>
                <w:color w:val="auto"/>
              </w:rPr>
            </w:pPr>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60" w:type="dxa"/>
            <w:vAlign w:val="bottom"/>
            <w:gridSpan w:val="11"/>
          </w:tcPr>
          <w:p>
            <w:pPr>
              <w:spacing w:after="0" w:line="205"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Consolidated Balance Sheets (unaudited)</w:t>
              </w:r>
            </w:hyperlink>
          </w:p>
        </w:tc>
        <w:tc>
          <w:tcPr>
            <w:tcW w:w="4780" w:type="dxa"/>
            <w:vAlign w:val="bottom"/>
            <w:gridSpan w:val="6"/>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gridSpan w:val="16"/>
          </w:tcPr>
          <w:p>
            <w:pPr>
              <w:spacing w:after="0" w:line="205"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Condensed Consolidated Statements of Operations and Comprehensive Income (unaudited)</w:t>
              </w:r>
            </w:hyperlink>
          </w:p>
        </w:tc>
        <w:tc>
          <w:tcPr>
            <w:tcW w:w="2580" w:type="dxa"/>
            <w:vAlign w:val="bottom"/>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gridSpan w:val="16"/>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 of Stockholders’ Equity (unaudited)</w:t>
              </w:r>
            </w:hyperlink>
          </w:p>
        </w:tc>
        <w:tc>
          <w:tcPr>
            <w:tcW w:w="2580" w:type="dxa"/>
            <w:vAlign w:val="bottom"/>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gridSpan w:val="13"/>
          </w:tcPr>
          <w:p>
            <w:pPr>
              <w:spacing w:after="0" w:line="205" w:lineRule="exact"/>
              <w:rPr>
                <w:rFonts w:ascii="Arial" w:cs="Arial" w:eastAsia="Arial" w:hAnsi="Arial"/>
                <w:sz w:val="18"/>
                <w:szCs w:val="18"/>
                <w:color w:val="0000FF"/>
                <w:w w:val="92"/>
              </w:rPr>
            </w:pPr>
            <w:hyperlink w:anchor="page8">
              <w:r>
                <w:rPr>
                  <w:rFonts w:ascii="Arial" w:cs="Arial" w:eastAsia="Arial" w:hAnsi="Arial"/>
                  <w:sz w:val="18"/>
                  <w:szCs w:val="18"/>
                  <w:color w:val="0000FF"/>
                  <w:w w:val="92"/>
                </w:rPr>
                <w:t>Condensed Consolidated Statements of Cash Flows (unaudited)</w:t>
              </w:r>
            </w:hyperlink>
          </w:p>
        </w:tc>
        <w:tc>
          <w:tcPr>
            <w:tcW w:w="320" w:type="dxa"/>
            <w:vAlign w:val="bottom"/>
          </w:tcPr>
          <w:p>
            <w:pPr>
              <w:spacing w:after="0"/>
              <w:rPr>
                <w:sz w:val="17"/>
                <w:szCs w:val="17"/>
                <w:color w:val="auto"/>
              </w:rPr>
            </w:pP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Notes to Condensed Consolidated Financial Statements (unaudited)</w:t>
              </w:r>
            </w:hyperlink>
          </w:p>
        </w:tc>
        <w:tc>
          <w:tcPr>
            <w:tcW w:w="42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FF"/>
            </w:tcBorders>
            <w:gridSpan w:val="15"/>
          </w:tcPr>
          <w:p>
            <w:pPr>
              <w:spacing w:after="0" w:line="205" w:lineRule="exact"/>
              <w:rPr>
                <w:rFonts w:ascii="Arial" w:cs="Arial" w:eastAsia="Arial" w:hAnsi="Arial"/>
                <w:sz w:val="18"/>
                <w:szCs w:val="18"/>
                <w:color w:val="0000FF"/>
                <w:w w:val="88"/>
              </w:rPr>
            </w:pPr>
            <w:hyperlink w:anchor="page20">
              <w:r>
                <w:rPr>
                  <w:rFonts w:ascii="Arial" w:cs="Arial" w:eastAsia="Arial" w:hAnsi="Arial"/>
                  <w:sz w:val="18"/>
                  <w:szCs w:val="18"/>
                  <w:color w:val="0000FF"/>
                  <w:w w:val="88"/>
                </w:rPr>
                <w:t>Management's Discussion and Analysis of Financial Condition and Results of Operations</w:t>
              </w:r>
            </w:hyperlink>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gridSpan w:val="17"/>
          </w:tcPr>
          <w:p>
            <w:pPr>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4260" w:type="dxa"/>
            <w:vAlign w:val="bottom"/>
            <w:tcBorders>
              <w:top w:val="single" w:sz="8" w:color="0000FF"/>
            </w:tcBorders>
            <w:gridSpan w:val="11"/>
          </w:tcPr>
          <w:p>
            <w:pPr>
              <w:spacing w:after="0" w:line="205" w:lineRule="exact"/>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9"/>
        </w:trPr>
        <w:tc>
          <w:tcPr>
            <w:tcW w:w="1020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PART II. 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w:t>
            </w:r>
          </w:p>
        </w:tc>
        <w:tc>
          <w:tcPr>
            <w:tcW w:w="2260" w:type="dxa"/>
            <w:vAlign w:val="bottom"/>
            <w:tcBorders>
              <w:bottom w:val="single" w:sz="8" w:color="0000FF"/>
            </w:tcBorders>
            <w:gridSpan w:val="9"/>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678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line="205" w:lineRule="exact"/>
              <w:rPr>
                <w:rFonts w:ascii="Arial" w:cs="Arial" w:eastAsia="Arial" w:hAnsi="Arial"/>
                <w:sz w:val="18"/>
                <w:szCs w:val="18"/>
                <w:color w:val="0000FF"/>
                <w:w w:val="85"/>
              </w:rPr>
            </w:pPr>
            <w:hyperlink w:anchor="page29">
              <w:r>
                <w:rPr>
                  <w:rFonts w:ascii="Arial" w:cs="Arial" w:eastAsia="Arial" w:hAnsi="Arial"/>
                  <w:sz w:val="18"/>
                  <w:szCs w:val="18"/>
                  <w:color w:val="0000FF"/>
                  <w:w w:val="85"/>
                </w:rPr>
                <w:t>Risk Factors</w:t>
              </w:r>
            </w:hyperlink>
          </w:p>
        </w:tc>
        <w:tc>
          <w:tcPr>
            <w:tcW w:w="81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FF"/>
            </w:tcBorders>
            <w:gridSpan w:val="11"/>
          </w:tcPr>
          <w:p>
            <w:pPr>
              <w:spacing w:after="0" w:line="205" w:lineRule="exact"/>
              <w:rPr>
                <w:rFonts w:ascii="Arial" w:cs="Arial" w:eastAsia="Arial" w:hAnsi="Arial"/>
                <w:sz w:val="18"/>
                <w:szCs w:val="18"/>
                <w:color w:val="0000FF"/>
                <w:w w:val="87"/>
              </w:rPr>
            </w:pPr>
            <w:hyperlink w:anchor="page29">
              <w:r>
                <w:rPr>
                  <w:rFonts w:ascii="Arial" w:cs="Arial" w:eastAsia="Arial" w:hAnsi="Arial"/>
                  <w:sz w:val="18"/>
                  <w:szCs w:val="18"/>
                  <w:color w:val="0000FF"/>
                  <w:w w:val="87"/>
                </w:rPr>
                <w:t>Unregistered Sales of Equity Securities and Use of Proceeds</w:t>
              </w:r>
            </w:hyperlink>
          </w:p>
        </w:tc>
        <w:tc>
          <w:tcPr>
            <w:tcW w:w="47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tcBorders>
              <w:bottom w:val="single" w:sz="8" w:color="0000FF"/>
            </w:tcBorders>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9040" w:type="dxa"/>
            <w:vAlign w:val="bottom"/>
            <w:gridSpan w:val="17"/>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980" w:type="dxa"/>
            <w:vAlign w:val="bottom"/>
            <w:gridSpan w:val="3"/>
          </w:tcPr>
          <w:p>
            <w:pPr>
              <w:jc w:val="right"/>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1720" w:type="dxa"/>
            <w:vAlign w:val="bottom"/>
            <w:tcBorders>
              <w:top w:val="single" w:sz="8" w:color="0000FF"/>
            </w:tcBorders>
            <w:gridSpan w:val="8"/>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Other Information</w:t>
              </w:r>
            </w:hyperlink>
          </w:p>
        </w:tc>
        <w:tc>
          <w:tcPr>
            <w:tcW w:w="732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5"/>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776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c>
          <w:tcPr>
            <w:tcW w:w="20" w:type="dxa"/>
            <w:vAlign w:val="bottom"/>
          </w:tcPr>
          <w:p>
            <w:pPr>
              <w:spacing w:after="0"/>
              <w:rPr>
                <w:sz w:val="17"/>
                <w:szCs w:val="17"/>
                <w:color w:val="auto"/>
              </w:rPr>
            </w:pPr>
          </w:p>
        </w:tc>
      </w:tr>
      <w:tr>
        <w:trPr>
          <w:trHeight w:val="205"/>
        </w:trPr>
        <w:tc>
          <w:tcPr>
            <w:tcW w:w="1160" w:type="dxa"/>
            <w:vAlign w:val="bottom"/>
            <w:gridSpan w:val="2"/>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20" w:type="dxa"/>
            <w:vAlign w:val="bottom"/>
          </w:tcPr>
          <w:p>
            <w:pPr>
              <w:spacing w:after="0"/>
              <w:rPr>
                <w:sz w:val="17"/>
                <w:szCs w:val="17"/>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6"/>
                <w:szCs w:val="16"/>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75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23,174</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2,925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16,079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16,145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4,772</w:t>
            </w:r>
          </w:p>
        </w:tc>
      </w:tr>
      <w:tr>
        <w:trPr>
          <w:trHeight w:val="205"/>
        </w:trPr>
        <w:tc>
          <w:tcPr>
            <w:tcW w:w="7580" w:type="dxa"/>
            <w:vAlign w:val="bottom"/>
          </w:tcPr>
          <w:p>
            <w:pPr>
              <w:ind w:left="660"/>
              <w:spacing w:after="0" w:line="194" w:lineRule="exact"/>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44,903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48,054</w:t>
            </w:r>
          </w:p>
        </w:tc>
      </w:tr>
      <w:tr>
        <w:trPr>
          <w:trHeight w:val="251"/>
        </w:trPr>
        <w:tc>
          <w:tcPr>
            <w:tcW w:w="7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10,738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11,123</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2,205</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r>
      <w:tr>
        <w:trPr>
          <w:trHeight w:val="205"/>
        </w:trPr>
        <w:tc>
          <w:tcPr>
            <w:tcW w:w="75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8"/>
        </w:trPr>
        <w:tc>
          <w:tcPr>
            <w:tcW w:w="7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4,842</w:t>
            </w:r>
          </w:p>
        </w:tc>
        <w:tc>
          <w:tcPr>
            <w:tcW w:w="12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6,744</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r>
      <w:tr>
        <w:trPr>
          <w:trHeight w:val="212"/>
        </w:trPr>
        <w:tc>
          <w:tcPr>
            <w:tcW w:w="758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12"/>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r>
      <w:tr>
        <w:trPr>
          <w:trHeight w:val="212"/>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accrued expenses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7,336</w:t>
            </w:r>
          </w:p>
        </w:tc>
      </w:tr>
      <w:tr>
        <w:trPr>
          <w:trHeight w:val="205"/>
        </w:trPr>
        <w:tc>
          <w:tcPr>
            <w:tcW w:w="7580" w:type="dxa"/>
            <w:vAlign w:val="bottom"/>
            <w:shd w:val="clear" w:color="auto" w:fill="CCEEFF"/>
          </w:tcPr>
          <w:p>
            <w:pPr>
              <w:ind w:left="660"/>
              <w:spacing w:after="0" w:line="194" w:lineRule="exact"/>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25,199</w:t>
            </w:r>
          </w:p>
        </w:tc>
      </w:tr>
    </w:tbl>
    <w:p>
      <w:pPr>
        <w:spacing w:after="0" w:line="200" w:lineRule="exact"/>
        <w:rPr>
          <w:sz w:val="20"/>
          <w:szCs w:val="20"/>
          <w:color w:val="auto"/>
        </w:rPr>
      </w:pPr>
    </w:p>
    <w:p>
      <w:pPr>
        <w:sectPr>
          <w:pgSz w:w="11900" w:h="16838" w:orient="portrait"/>
          <w:cols w:equalWidth="0" w:num="1">
            <w:col w:w="11220"/>
          </w:cols>
          <w:pgMar w:left="320" w:top="875" w:right="35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Long-term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Other long-term liabilities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 Note 8</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 par value $0.0001 per share, 40,000 shares authorized and 13,236 and 13,609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118350" cy="23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2349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outstanding as of September 30, 2021 and June 30, 2021, respectively</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 paid-in capital</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3462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Accumulated other comprehensive (loss) income</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-121920</wp:posOffset>
            </wp:positionV>
            <wp:extent cx="711835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21" w:lineRule="exact"/>
        <w:rPr>
          <w:sz w:val="20"/>
          <w:szCs w:val="20"/>
          <w:color w:val="auto"/>
        </w:rPr>
      </w:pPr>
    </w:p>
    <w:p>
      <w:pPr>
        <w:ind w:left="4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15,321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16,032</w:t>
            </w:r>
          </w:p>
        </w:tc>
      </w:tr>
      <w:tr>
        <w:trPr>
          <w:trHeight w:val="213"/>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691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38,287</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41,925</w:t>
            </w:r>
          </w:p>
        </w:tc>
      </w:tr>
      <w:tr>
        <w:trPr>
          <w:trHeight w:val="612"/>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91"/>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89"/>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84"/>
              </w:rPr>
              <w:t>129,862</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129,048</w:t>
            </w:r>
          </w:p>
        </w:tc>
      </w:tr>
      <w:tr>
        <w:trPr>
          <w:trHeight w:val="212"/>
        </w:trPr>
        <w:tc>
          <w:tcPr>
            <w:tcW w:w="720" w:type="dxa"/>
            <w:vAlign w:val="bottom"/>
          </w:tcPr>
          <w:p>
            <w:pPr>
              <w:jc w:val="right"/>
              <w:ind w:right="56"/>
              <w:spacing w:after="0"/>
              <w:rPr>
                <w:sz w:val="20"/>
                <w:szCs w:val="20"/>
                <w:color w:val="auto"/>
              </w:rPr>
            </w:pPr>
            <w:r>
              <w:rPr>
                <w:rFonts w:ascii="Arial" w:cs="Arial" w:eastAsia="Arial" w:hAnsi="Arial"/>
                <w:sz w:val="17"/>
                <w:szCs w:val="17"/>
                <w:color w:val="auto"/>
                <w:w w:val="88"/>
              </w:rPr>
              <w:t>(92,522)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(92,346)</w:t>
            </w:r>
          </w:p>
        </w:tc>
      </w:tr>
      <w:tr>
        <w:trPr>
          <w:trHeight w:val="213"/>
        </w:trPr>
        <w:tc>
          <w:tcPr>
            <w:tcW w:w="720" w:type="dxa"/>
            <w:vAlign w:val="bottom"/>
          </w:tcPr>
          <w:p>
            <w:pPr>
              <w:jc w:val="right"/>
              <w:ind w:right="56"/>
              <w:spacing w:after="0"/>
              <w:rPr>
                <w:sz w:val="20"/>
                <w:szCs w:val="20"/>
                <w:color w:val="auto"/>
              </w:rPr>
            </w:pPr>
            <w:r>
              <w:rPr>
                <w:rFonts w:ascii="Arial" w:cs="Arial" w:eastAsia="Arial" w:hAnsi="Arial"/>
                <w:sz w:val="17"/>
                <w:szCs w:val="17"/>
                <w:color w:val="auto"/>
              </w:rPr>
              <w:t>(31)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r>
      <w:tr>
        <w:trPr>
          <w:trHeight w:val="20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37,310</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36,807</w:t>
            </w:r>
          </w:p>
        </w:tc>
      </w:tr>
      <w:tr>
        <w:trPr>
          <w:trHeight w:val="205"/>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75,597</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78,732</w:t>
            </w:r>
          </w:p>
        </w:tc>
      </w:tr>
      <w:tr>
        <w:trPr>
          <w:trHeight w:val="20"/>
        </w:trPr>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-33020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-7620</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-175895</wp:posOffset>
            </wp:positionV>
            <wp:extent cx="1116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-1359535</wp:posOffset>
            </wp:positionV>
            <wp:extent cx="1116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60"/>
          </w:cols>
          <w:pgMar w:left="320" w:top="875" w:right="35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5" w:name="page6"/>
    <w:bookmarkEnd w:id="5"/>
    <w:p>
      <w:pPr>
        <w:jc w:val="center"/>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80" w:type="dxa"/>
            <w:vAlign w:val="bottom"/>
          </w:tcPr>
          <w:p>
            <w:pPr>
              <w:spacing w:after="0"/>
              <w:rPr>
                <w:sz w:val="15"/>
                <w:szCs w:val="15"/>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54,827</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45,429</w:t>
            </w:r>
          </w:p>
        </w:tc>
        <w:tc>
          <w:tcPr>
            <w:tcW w:w="0" w:type="dxa"/>
            <w:vAlign w:val="bottom"/>
          </w:tcPr>
          <w:p>
            <w:pPr>
              <w:spacing w:after="0"/>
              <w:rPr>
                <w:sz w:val="1"/>
                <w:szCs w:val="1"/>
                <w:color w:val="auto"/>
              </w:rPr>
            </w:pPr>
          </w:p>
        </w:tc>
      </w:tr>
      <w:tr>
        <w:trPr>
          <w:trHeight w:val="224"/>
        </w:trPr>
        <w:tc>
          <w:tcPr>
            <w:tcW w:w="7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25,633</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16,299</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39,181</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41,932</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line="204" w:lineRule="exact"/>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other expense</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4"/>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4"/>
        </w:trPr>
        <w:tc>
          <w:tcPr>
            <w:tcW w:w="7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13,394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14,269</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14,695</w:t>
            </w:r>
          </w:p>
        </w:tc>
        <w:tc>
          <w:tcPr>
            <w:tcW w:w="0" w:type="dxa"/>
            <w:vAlign w:val="bottom"/>
          </w:tcPr>
          <w:p>
            <w:pPr>
              <w:spacing w:after="0"/>
              <w:rPr>
                <w:sz w:val="1"/>
                <w:szCs w:val="1"/>
                <w:color w:val="auto"/>
              </w:rPr>
            </w:pPr>
          </w:p>
        </w:tc>
      </w:tr>
      <w:tr>
        <w:trPr>
          <w:trHeight w:val="224"/>
        </w:trPr>
        <w:tc>
          <w:tcPr>
            <w:tcW w:w="75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Other comprehensive (loss) income, net of tax</w:t>
            </w: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77" w:right="359" w:bottom="1440" w:gutter="0" w:footer="0" w:header="0"/>
        </w:sectPr>
      </w:pPr>
    </w:p>
    <w:bookmarkStart w:id="6" w:name="page7"/>
    <w:bookmarkEnd w:id="6"/>
    <w:p>
      <w:pPr>
        <w:jc w:val="center"/>
        <w:ind w:right="20"/>
        <w:spacing w:after="0" w:line="25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36,807</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81" w:right="359" w:bottom="1440" w:gutter="0" w:footer="0" w:header="0"/>
        </w:sectPr>
      </w:pPr>
    </w:p>
    <w:bookmarkStart w:id="7" w:name="page8"/>
    <w:bookmarkEnd w:id="7"/>
    <w:p>
      <w:pPr>
        <w:jc w:val="center"/>
        <w:ind w:right="20"/>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 OF STOCKHOLDERS’ EQUITY (CONTINUED)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spacing w:after="0"/>
              <w:rPr>
                <w:sz w:val="11"/>
                <w:szCs w:val="11"/>
                <w:color w:val="auto"/>
              </w:rPr>
            </w:pPr>
          </w:p>
        </w:tc>
        <w:tc>
          <w:tcPr>
            <w:tcW w:w="2160" w:type="dxa"/>
            <w:vAlign w:val="bottom"/>
            <w:gridSpan w:val="3"/>
            <w:vMerge w:val="restart"/>
          </w:tcPr>
          <w:p>
            <w:pPr>
              <w:jc w:val="right"/>
              <w:ind w:right="39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380" w:type="dxa"/>
            <w:vAlign w:val="bottom"/>
          </w:tcPr>
          <w:p>
            <w:pPr>
              <w:spacing w:after="0"/>
              <w:rPr>
                <w:sz w:val="8"/>
                <w:szCs w:val="8"/>
                <w:color w:val="auto"/>
              </w:rPr>
            </w:pPr>
          </w:p>
        </w:tc>
        <w:tc>
          <w:tcPr>
            <w:tcW w:w="2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101"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8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14,313</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33,254</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r>
      <w:tr>
        <w:trPr>
          <w:trHeight w:val="182"/>
        </w:trPr>
        <w:tc>
          <w:tcPr>
            <w:tcW w:w="7580" w:type="dxa"/>
            <w:vAlign w:val="bottom"/>
          </w:tcPr>
          <w:p>
            <w:pPr>
              <w:spacing w:after="0"/>
              <w:rPr>
                <w:sz w:val="15"/>
                <w:szCs w:val="15"/>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19"/>
                <w:szCs w:val="19"/>
                <w:color w:val="auto"/>
              </w:rPr>
            </w:pPr>
          </w:p>
        </w:tc>
        <w:tc>
          <w:tcPr>
            <w:tcW w:w="1120" w:type="dxa"/>
            <w:vAlign w:val="bottom"/>
          </w:tcPr>
          <w:p>
            <w:pPr>
              <w:jc w:val="right"/>
              <w:ind w:right="93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(5,210)</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4"/>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1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(960)</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Repurchase of company stock</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canceled or surrendered as payment of tax withholding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(3,323)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(2,249)</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(3,245)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(4,178)</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22,138</w:t>
            </w:r>
          </w:p>
        </w:tc>
      </w:tr>
      <w:tr>
        <w:trPr>
          <w:trHeight w:val="192"/>
        </w:trPr>
        <w:tc>
          <w:tcPr>
            <w:tcW w:w="758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Cash and Cash Equivalents — end of period</w:t>
            </w:r>
          </w:p>
        </w:tc>
        <w:tc>
          <w:tcPr>
            <w:tcW w:w="1120" w:type="dxa"/>
            <w:vAlign w:val="bottom"/>
            <w:tcBorders>
              <w:bottom w:val="single" w:sz="8" w:color="auto"/>
            </w:tcBorders>
          </w:tcPr>
          <w:p>
            <w:pPr>
              <w:jc w:val="right"/>
              <w:ind w:right="918"/>
              <w:spacing w:after="0" w:line="19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19,929</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935"/>
              <w:spacing w:after="0" w:line="192"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w w:val="98"/>
              </w:rPr>
              <w:t>17,960</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1"/>
        </w:trPr>
        <w:tc>
          <w:tcPr>
            <w:tcW w:w="75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20" w:type="dxa"/>
            <w:vAlign w:val="bottom"/>
          </w:tcPr>
          <w:p>
            <w:pPr>
              <w:jc w:val="right"/>
              <w:ind w:right="93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jc w:val="both"/>
        <w:ind w:right="40" w:firstLine="397"/>
        <w:spacing w:after="0" w:line="25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2021 included in the annual report on Form 10-K filed with the Securities and Exchange Commission (“SEC”) on August 19,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56" w:lineRule="exact"/>
        <w:rPr>
          <w:sz w:val="20"/>
          <w:szCs w:val="20"/>
          <w:color w:val="auto"/>
        </w:rPr>
      </w:pPr>
    </w:p>
    <w:p>
      <w:pPr>
        <w:ind w:right="120" w:firstLine="317"/>
        <w:spacing w:after="0" w:line="248" w:lineRule="auto"/>
        <w:rPr>
          <w:sz w:val="20"/>
          <w:szCs w:val="20"/>
          <w:color w:val="auto"/>
        </w:rPr>
      </w:pPr>
      <w:r>
        <w:rPr>
          <w:rFonts w:ascii="Arial" w:cs="Arial" w:eastAsia="Arial" w:hAnsi="Arial"/>
          <w:sz w:val="18"/>
          <w:szCs w:val="18"/>
          <w:color w:val="auto"/>
        </w:rPr>
        <w:t>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and Singapore. The Company also sells its products in a number of countries to customers for personal consumption only. In addition, the Company sells its products in China through a China approved cross-border e-commerce business model.</w:t>
      </w:r>
    </w:p>
    <w:p>
      <w:pPr>
        <w:spacing w:after="0" w:line="129" w:lineRule="exact"/>
        <w:rPr>
          <w:sz w:val="20"/>
          <w:szCs w:val="20"/>
          <w:color w:val="auto"/>
        </w:rPr>
      </w:pPr>
    </w:p>
    <w:p>
      <w:pPr>
        <w:ind w:right="40" w:firstLine="317"/>
        <w:spacing w:after="0" w:line="263" w:lineRule="auto"/>
        <w:rPr>
          <w:sz w:val="20"/>
          <w:szCs w:val="20"/>
          <w:color w:val="auto"/>
        </w:rPr>
      </w:pPr>
      <w:r>
        <w:rPr>
          <w:rFonts w:ascii="Arial" w:cs="Arial" w:eastAsia="Arial" w:hAnsi="Arial"/>
          <w:sz w:val="16"/>
          <w:szCs w:val="16"/>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family of products,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ProBio, and Daily Wellness dietary supplements,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the Company's line of skin, hair, bath &amp; body, and targeted relief products. The Company also markets and sells Petandim</w:t>
      </w:r>
      <w:r>
        <w:rPr>
          <w:rFonts w:ascii="Arial" w:cs="Arial" w:eastAsia="Arial" w:hAnsi="Arial"/>
          <w:sz w:val="20"/>
          <w:szCs w:val="20"/>
          <w:color w:val="auto"/>
          <w:vertAlign w:val="superscript"/>
        </w:rPr>
        <w:t>®</w:t>
      </w:r>
      <w:r>
        <w:rPr>
          <w:rFonts w:ascii="Arial" w:cs="Arial" w:eastAsia="Arial" w:hAnsi="Arial"/>
          <w:sz w:val="16"/>
          <w:szCs w:val="16"/>
          <w:color w:val="auto"/>
        </w:rPr>
        <w:t>, its companion pet supplement formulated to combat oxidative stress in dogs,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its nootropic energy drink mixes, and PhysIQ</w:t>
      </w:r>
      <w:r>
        <w:rPr>
          <w:rFonts w:ascii="Arial" w:cs="Arial" w:eastAsia="Arial" w:hAnsi="Arial"/>
          <w:sz w:val="20"/>
          <w:szCs w:val="20"/>
          <w:color w:val="auto"/>
          <w:vertAlign w:val="superscript"/>
        </w:rPr>
        <w:t>™</w:t>
      </w:r>
      <w:r>
        <w:rPr>
          <w:rFonts w:ascii="Arial" w:cs="Arial" w:eastAsia="Arial" w:hAnsi="Arial"/>
          <w:sz w:val="16"/>
          <w:szCs w:val="16"/>
          <w:color w:val="auto"/>
        </w:rPr>
        <w:t>, its smart weight management system.</w:t>
      </w:r>
    </w:p>
    <w:p>
      <w:pPr>
        <w:spacing w:after="0" w:line="3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2021, and the results of operations for the three months ended September 30, 2021 and 2020, and the cash flows for the three months ended September 30, 2021 and 2020. Interim results are not necessarily indicative of results for a full year or for any future period.</w:t>
      </w:r>
    </w:p>
    <w:p>
      <w:pPr>
        <w:spacing w:after="0" w:line="129"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2021, pursuant to the rules and regulations of the SEC. For further information, refer to the financial statements and notes thereto as of and for the year ended June 30, 2021, and included in the annual report on Form 10-K on file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56" w:lineRule="exact"/>
        <w:rPr>
          <w:sz w:val="20"/>
          <w:szCs w:val="20"/>
          <w:color w:val="auto"/>
        </w:rPr>
      </w:pPr>
    </w:p>
    <w:p>
      <w:pPr>
        <w:ind w:right="180" w:firstLine="397"/>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3" w:lineRule="exact"/>
        <w:rPr>
          <w:sz w:val="20"/>
          <w:szCs w:val="20"/>
          <w:color w:val="auto"/>
        </w:rPr>
      </w:pPr>
    </w:p>
    <w:p>
      <w:pPr>
        <w:ind w:right="180" w:firstLine="397"/>
        <w:spacing w:after="0" w:line="308" w:lineRule="auto"/>
        <w:rPr>
          <w:sz w:val="20"/>
          <w:szCs w:val="20"/>
          <w:color w:val="auto"/>
        </w:rPr>
      </w:pPr>
      <w:r>
        <w:rPr>
          <w:rFonts w:ascii="Arial" w:cs="Arial" w:eastAsia="Arial" w:hAnsi="Arial"/>
          <w:sz w:val="15"/>
          <w:szCs w:val="15"/>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56"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ind w:right="240"/>
        <w:spacing w:after="0" w:line="329" w:lineRule="auto"/>
        <w:rPr>
          <w:sz w:val="20"/>
          <w:szCs w:val="20"/>
          <w:color w:val="auto"/>
        </w:rPr>
      </w:pPr>
      <w:r>
        <w:rPr>
          <w:rFonts w:ascii="Arial" w:cs="Arial" w:eastAsia="Arial" w:hAnsi="Arial"/>
          <w:sz w:val="15"/>
          <w:szCs w:val="15"/>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September 30, 2021 and 2020, net foreign currency losses of $0.2 million and gains of $0.1 million, respectively, are recorded in other expense, net.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56"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23"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all settled by the end of September 2021 and were not designated for hedge accounting. For the three months ended September 30, 2021 and 2020, realized losses of $30,000 and $0.2 million, respectively, related to forward contracts, are recorded in other expense, net. The Company did not hold any derivative instruments at September 30,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3" w:lineRule="exact"/>
        <w:rPr>
          <w:sz w:val="20"/>
          <w:szCs w:val="20"/>
          <w:color w:val="auto"/>
        </w:rPr>
      </w:pPr>
    </w:p>
    <w:p>
      <w:pPr>
        <w:ind w:right="160" w:firstLine="397"/>
        <w:spacing w:after="0" w:line="268" w:lineRule="auto"/>
        <w:rPr>
          <w:sz w:val="20"/>
          <w:szCs w:val="20"/>
          <w:color w:val="auto"/>
        </w:rPr>
      </w:pPr>
      <w:r>
        <w:rPr>
          <w:rFonts w:ascii="Arial" w:cs="Arial" w:eastAsia="Arial" w:hAnsi="Arial"/>
          <w:sz w:val="17"/>
          <w:szCs w:val="17"/>
          <w:color w:val="auto"/>
        </w:rPr>
        <w:t>Accounting guidance for financial instruments requires disclosure of significant concentrations of credit risk regardless of the degree of such risk. Financial instruments with significant credit risk include cash and investments. At September 30, 2021, the Company had $12.9 million in cash accounts at one financial institution and $7.0 million in accounts at other financial institutions. At June 30, 2021, the Company had $17.2 million in cash accounts at one financial institution and $6.0 million in accounts at other financial institutions. As of September 30, 2021 and June 30, 2021, and during the periods then ended, the Company’s cash balances exceeded federally insured limits.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56" w:lineRule="exact"/>
        <w:rPr>
          <w:sz w:val="20"/>
          <w:szCs w:val="20"/>
          <w:color w:val="auto"/>
        </w:rPr>
      </w:pPr>
    </w:p>
    <w:p>
      <w:pPr>
        <w:ind w:right="220" w:firstLine="397"/>
        <w:spacing w:after="0" w:line="251" w:lineRule="auto"/>
        <w:rPr>
          <w:sz w:val="20"/>
          <w:szCs w:val="20"/>
          <w:color w:val="auto"/>
        </w:rPr>
      </w:pPr>
      <w:r>
        <w:rPr>
          <w:rFonts w:ascii="Arial" w:cs="Arial" w:eastAsia="Arial" w:hAnsi="Arial"/>
          <w:sz w:val="18"/>
          <w:szCs w:val="18"/>
          <w:color w:val="auto"/>
        </w:rPr>
        <w:t>The Company’s accounts receivable as of September 30, 2021 and June 30, 2021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2021 is not necessary. No bad debt expense was recorded during the three months ended September 30, 2021 and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2021 and June 30, 2021, inventory consisted of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tcPr>
          <w:p>
            <w:pPr>
              <w:jc w:val="right"/>
              <w:ind w:right="1072"/>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Pr>
          <w:p>
            <w:pPr>
              <w:spacing w:after="0"/>
              <w:rPr>
                <w:sz w:val="14"/>
                <w:szCs w:val="14"/>
                <w:color w:val="auto"/>
              </w:rPr>
            </w:pPr>
          </w:p>
        </w:tc>
      </w:tr>
      <w:tr>
        <w:trPr>
          <w:trHeight w:val="184"/>
        </w:trPr>
        <w:tc>
          <w:tcPr>
            <w:tcW w:w="26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392"/>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r>
      <w:tr>
        <w:trPr>
          <w:trHeight w:val="219"/>
        </w:trPr>
        <w:tc>
          <w:tcPr>
            <w:tcW w:w="262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75.7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Raw materials</w:t>
            </w:r>
          </w:p>
        </w:tc>
        <w:tc>
          <w:tcPr>
            <w:tcW w:w="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2620" w:type="dxa"/>
            <w:vAlign w:val="bottom"/>
            <w:shd w:val="clear" w:color="auto" w:fill="CCEEFF"/>
          </w:tcPr>
          <w:p>
            <w:pPr>
              <w:ind w:left="900"/>
              <w:spacing w:after="0" w:line="204" w:lineRule="exact"/>
              <w:rPr>
                <w:sz w:val="20"/>
                <w:szCs w:val="20"/>
                <w:color w:val="auto"/>
              </w:rPr>
            </w:pPr>
            <w:r>
              <w:rPr>
                <w:rFonts w:ascii="Arial" w:cs="Arial" w:eastAsia="Arial" w:hAnsi="Arial"/>
                <w:sz w:val="18"/>
                <w:szCs w:val="18"/>
                <w:color w:val="auto"/>
              </w:rPr>
              <w:t>Total inventory</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17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200" w:firstLine="397"/>
        <w:spacing w:after="0" w:line="293"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$0.7 million and $0.5 million at September 30, 2021 and June 30, 2021, respectively, related to obsolete and slow-moving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56"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99" w:lineRule="exact"/>
        <w:rPr>
          <w:sz w:val="20"/>
          <w:szCs w:val="20"/>
          <w:color w:val="auto"/>
        </w:rPr>
      </w:pPr>
    </w:p>
    <w:p>
      <w:pPr>
        <w:ind w:left="640" w:hanging="31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 w:name="page12"/>
    <w:bookmarkEnd w:id="11"/>
    <w:p>
      <w:pPr>
        <w:ind w:left="640" w:right="60" w:hanging="317"/>
        <w:spacing w:after="0" w:line="293"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7" w:lineRule="exact"/>
        <w:rPr>
          <w:rFonts w:ascii="Arial" w:cs="Arial" w:eastAsia="Arial" w:hAnsi="Arial"/>
          <w:sz w:val="17"/>
          <w:szCs w:val="17"/>
          <w:color w:val="auto"/>
        </w:rPr>
      </w:pPr>
    </w:p>
    <w:p>
      <w:pPr>
        <w:ind w:left="640" w:hanging="317"/>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1" w:lineRule="exact"/>
        <w:rPr>
          <w:sz w:val="20"/>
          <w:szCs w:val="20"/>
          <w:color w:val="auto"/>
        </w:rPr>
      </w:pPr>
    </w:p>
    <w:p>
      <w:pPr>
        <w:jc w:val="both"/>
        <w:ind w:right="80" w:firstLine="397"/>
        <w:spacing w:after="0" w:line="254"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3" w:lineRule="exact"/>
        <w:rPr>
          <w:sz w:val="20"/>
          <w:szCs w:val="20"/>
          <w:color w:val="auto"/>
        </w:rPr>
      </w:pPr>
    </w:p>
    <w:p>
      <w:pPr>
        <w:jc w:val="both"/>
        <w:ind w:right="24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6" w:lineRule="exact"/>
        <w:rPr>
          <w:sz w:val="20"/>
          <w:szCs w:val="20"/>
          <w:color w:val="auto"/>
        </w:rPr>
      </w:pPr>
    </w:p>
    <w:p>
      <w:pPr>
        <w:ind w:right="40" w:firstLine="317"/>
        <w:spacing w:after="0" w:line="254" w:lineRule="auto"/>
        <w:rPr>
          <w:sz w:val="20"/>
          <w:szCs w:val="20"/>
          <w:color w:val="auto"/>
        </w:rPr>
      </w:pPr>
      <w:r>
        <w:rPr>
          <w:rFonts w:ascii="Arial" w:cs="Arial" w:eastAsia="Arial" w:hAnsi="Arial"/>
          <w:sz w:val="16"/>
          <w:szCs w:val="16"/>
          <w:color w:val="auto"/>
        </w:rPr>
        <w:t>The Company generates the majority of its revenue through product sales to customers. These products include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ProBio, and Daily Wellness dietary supplements,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skin, hair, bath &amp; body and targeted relief, Petandim</w:t>
      </w:r>
      <w:r>
        <w:rPr>
          <w:rFonts w:ascii="Arial" w:cs="Arial" w:eastAsia="Arial" w:hAnsi="Arial"/>
          <w:sz w:val="20"/>
          <w:szCs w:val="20"/>
          <w:color w:val="auto"/>
          <w:vertAlign w:val="superscript"/>
        </w:rPr>
        <w:t>®</w:t>
      </w:r>
      <w:r>
        <w:rPr>
          <w:rFonts w:ascii="Arial" w:cs="Arial" w:eastAsia="Arial" w:hAnsi="Arial"/>
          <w:sz w:val="16"/>
          <w:szCs w:val="16"/>
          <w:color w:val="auto"/>
        </w:rPr>
        <w:t>,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nootropic energy drink mixes, and the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24"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12"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2021 and June 30, 2021, the returns liability reserve, net was $0.1 million and $0.2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Shipping and handling costs associated with inbound freight and freight out to customers and independent distributors are included in cost of sales.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and independent distributors are included in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6" w:lineRule="exact"/>
        <w:rPr>
          <w:sz w:val="20"/>
          <w:szCs w:val="20"/>
          <w:color w:val="auto"/>
        </w:rPr>
      </w:pPr>
    </w:p>
    <w:p>
      <w:pPr>
        <w:ind w:right="260" w:firstLine="397"/>
        <w:spacing w:after="0" w:line="263"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2021 and 2020 were $0.2 million and $0.2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3" w:lineRule="exact"/>
        <w:rPr>
          <w:sz w:val="20"/>
          <w:szCs w:val="20"/>
          <w:color w:val="auto"/>
        </w:rPr>
      </w:pPr>
    </w:p>
    <w:p>
      <w:pPr>
        <w:ind w:right="360" w:firstLine="397"/>
        <w:spacing w:after="0" w:line="27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106" w:lineRule="exact"/>
        <w:rPr>
          <w:sz w:val="20"/>
          <w:szCs w:val="20"/>
          <w:color w:val="auto"/>
        </w:rPr>
      </w:pPr>
    </w:p>
    <w:p>
      <w:pPr>
        <w:ind w:right="80" w:firstLine="397"/>
        <w:spacing w:after="0" w:line="317" w:lineRule="auto"/>
        <w:rPr>
          <w:sz w:val="20"/>
          <w:szCs w:val="20"/>
          <w:color w:val="auto"/>
        </w:rPr>
      </w:pPr>
      <w:r>
        <w:rPr>
          <w:rFonts w:ascii="Arial" w:cs="Arial" w:eastAsia="Arial" w:hAnsi="Arial"/>
          <w:sz w:val="15"/>
          <w:szCs w:val="15"/>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2" w:name="page13"/>
    <w:bookmarkEnd w:id="12"/>
    <w:p>
      <w:pPr>
        <w:ind w:right="20"/>
        <w:spacing w:after="0" w:line="251" w:lineRule="auto"/>
        <w:rPr>
          <w:sz w:val="20"/>
          <w:szCs w:val="20"/>
          <w:color w:val="auto"/>
        </w:rPr>
      </w:pPr>
      <w:r>
        <w:rPr>
          <w:rFonts w:ascii="Arial" w:cs="Arial" w:eastAsia="Arial" w:hAnsi="Arial"/>
          <w:sz w:val="18"/>
          <w:szCs w:val="18"/>
          <w:color w:val="auto"/>
        </w:rPr>
        <w:t>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12" w:lineRule="exact"/>
        <w:rPr>
          <w:sz w:val="20"/>
          <w:szCs w:val="20"/>
          <w:color w:val="auto"/>
        </w:rPr>
      </w:pPr>
    </w:p>
    <w:p>
      <w:pPr>
        <w:ind w:right="460" w:firstLine="397"/>
        <w:spacing w:after="0" w:line="276" w:lineRule="auto"/>
        <w:rPr>
          <w:sz w:val="20"/>
          <w:szCs w:val="20"/>
          <w:color w:val="auto"/>
        </w:rPr>
      </w:pPr>
      <w:r>
        <w:rPr>
          <w:rFonts w:ascii="Arial" w:cs="Arial" w:eastAsia="Arial" w:hAnsi="Arial"/>
          <w:sz w:val="17"/>
          <w:szCs w:val="17"/>
          <w:color w:val="auto"/>
        </w:rPr>
        <w:t>The pandemic caused by coronavirus (“COVID-19”) has resulted in disruptions which have forced the Company's corporate workforce to a remote working environment. On September 1, 2020, the Company abandoned the ROU asset related to the Corporate office lease in Sandy, Utah, as this lease terminated in February 2021. A new Corporate office was opened in Lehi, Utah in January 2021.</w:t>
      </w:r>
    </w:p>
    <w:p>
      <w:pPr>
        <w:spacing w:after="0" w:line="106"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As a result of the abandonment of the Sandy, Utah office, operating lease expenses related to the ROU asset, along with the remaining leasehold assets in the office, have been reduced to their salvage values, which the Company has determined to be zero. The total expense related to the abandonment of the ROU asset for the three months ended September 30, 2020 was $0.8 million and is included in selling, general, and administrative expenses. There is no remaining lease liability for the Sandy, Utah office at September 30,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3" w:lineRule="exact"/>
        <w:rPr>
          <w:sz w:val="20"/>
          <w:szCs w:val="20"/>
          <w:color w:val="auto"/>
        </w:rPr>
      </w:pPr>
    </w:p>
    <w:p>
      <w:pPr>
        <w:ind w:right="200" w:firstLine="397"/>
        <w:spacing w:after="0" w:line="317" w:lineRule="auto"/>
        <w:rPr>
          <w:sz w:val="20"/>
          <w:szCs w:val="20"/>
          <w:color w:val="auto"/>
        </w:rPr>
      </w:pPr>
      <w:r>
        <w:rPr>
          <w:rFonts w:ascii="Arial" w:cs="Arial" w:eastAsia="Arial" w:hAnsi="Arial"/>
          <w:sz w:val="15"/>
          <w:szCs w:val="15"/>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9"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7"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For the three months ended September 30, 2021 and 2020, the Company recognized income tax expense of $1.1 million and $0.9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Income Per Share</w:t>
      </w:r>
    </w:p>
    <w:p>
      <w:pPr>
        <w:spacing w:after="0" w:line="143"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23" w:lineRule="exact"/>
        <w:rPr>
          <w:sz w:val="20"/>
          <w:szCs w:val="20"/>
          <w:color w:val="auto"/>
        </w:rPr>
      </w:pPr>
    </w:p>
    <w:p>
      <w:pPr>
        <w:ind w:firstLine="397"/>
        <w:spacing w:after="0" w:line="364" w:lineRule="auto"/>
        <w:rPr>
          <w:sz w:val="20"/>
          <w:szCs w:val="20"/>
          <w:color w:val="auto"/>
        </w:rPr>
      </w:pPr>
      <w:r>
        <w:rPr>
          <w:rFonts w:ascii="Arial" w:cs="Arial" w:eastAsia="Arial" w:hAnsi="Arial"/>
          <w:sz w:val="15"/>
          <w:szCs w:val="15"/>
          <w:color w:val="auto"/>
        </w:rPr>
        <w:t>For the three months ended September 30, 2021 and 2020, the effects of approximately 0.2 million and 0.2 million common shares, respectively, issuable upon exercise of options and non-vested shares of restricted stock are not included in computations as their effect was anti-dilutive.</w:t>
      </w:r>
    </w:p>
    <w:p>
      <w:pPr>
        <w:spacing w:after="0" w:line="45" w:lineRule="exact"/>
        <w:rPr>
          <w:sz w:val="20"/>
          <w:szCs w:val="20"/>
          <w:color w:val="auto"/>
        </w:rPr>
      </w:pPr>
    </w:p>
    <w:p>
      <w:pPr>
        <w:ind w:right="340" w:firstLine="397"/>
        <w:spacing w:after="0" w:line="262"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36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Numerator:</w:t>
            </w:r>
          </w:p>
        </w:tc>
        <w:tc>
          <w:tcPr>
            <w:tcW w:w="1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60" w:type="dxa"/>
            <w:vAlign w:val="bottom"/>
          </w:tcPr>
          <w:p>
            <w:pPr>
              <w:ind w:left="74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1440" w:type="dxa"/>
            <w:vAlign w:val="bottom"/>
          </w:tcPr>
          <w:p>
            <w:pPr>
              <w:jc w:val="right"/>
              <w:ind w:right="85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w:t>
            </w: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60" w:type="dxa"/>
            <w:vAlign w:val="bottom"/>
          </w:tcPr>
          <w:p>
            <w:pPr>
              <w:ind w:left="740"/>
              <w:spacing w:after="0"/>
              <w:rPr>
                <w:sz w:val="20"/>
                <w:szCs w:val="20"/>
                <w:color w:val="auto"/>
              </w:rPr>
            </w:pPr>
            <w:r>
              <w:rPr>
                <w:rFonts w:ascii="Arial" w:cs="Arial" w:eastAsia="Arial" w:hAnsi="Arial"/>
                <w:sz w:val="18"/>
                <w:szCs w:val="18"/>
                <w:color w:val="auto"/>
              </w:rPr>
              <w:t>Basic weighted-average common shares outstanding</w:t>
            </w: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13,394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14,269</w:t>
            </w:r>
          </w:p>
        </w:tc>
        <w:tc>
          <w:tcPr>
            <w:tcW w:w="0" w:type="dxa"/>
            <w:vAlign w:val="bottom"/>
          </w:tcPr>
          <w:p>
            <w:pPr>
              <w:spacing w:after="0"/>
              <w:rPr>
                <w:sz w:val="1"/>
                <w:szCs w:val="1"/>
                <w:color w:val="auto"/>
              </w:rPr>
            </w:pP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dilutive securities:</w:t>
            </w: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6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Stock awards and options</w:t>
            </w: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shd w:val="clear" w:color="auto" w:fill="CCEEFF"/>
          </w:tcPr>
          <w:p>
            <w:pPr>
              <w:ind w:left="420"/>
              <w:spacing w:after="0" w:line="204" w:lineRule="exact"/>
              <w:rPr>
                <w:sz w:val="20"/>
                <w:szCs w:val="20"/>
                <w:color w:val="auto"/>
              </w:rPr>
            </w:pPr>
            <w:r>
              <w:rPr>
                <w:rFonts w:ascii="Arial" w:cs="Arial" w:eastAsia="Arial" w:hAnsi="Arial"/>
                <w:sz w:val="18"/>
                <w:szCs w:val="18"/>
                <w:color w:val="auto"/>
              </w:rPr>
              <w:t>Diluted weighted-average common shares outstanding</w:t>
            </w:r>
          </w:p>
        </w:tc>
        <w:tc>
          <w:tcPr>
            <w:tcW w:w="14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13,469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14,695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740"/>
              <w:spacing w:after="0"/>
              <w:rPr>
                <w:sz w:val="20"/>
                <w:szCs w:val="20"/>
                <w:color w:val="auto"/>
              </w:rPr>
            </w:pPr>
            <w:r>
              <w:rPr>
                <w:rFonts w:ascii="Arial" w:cs="Arial" w:eastAsia="Arial" w:hAnsi="Arial"/>
                <w:sz w:val="18"/>
                <w:szCs w:val="18"/>
                <w:color w:val="auto"/>
              </w:rPr>
              <w:t>Net income per share, basic</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6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ind w:right="859"/>
              <w:spacing w:after="0" w:line="198"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856"/>
              <w:spacing w:after="0" w:line="198"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60" w:type="dxa"/>
            <w:vAlign w:val="bottom"/>
            <w:tcBorders>
              <w:bottom w:val="single" w:sz="8" w:color="CCEEFF"/>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Net income per share, diluted</w:t>
            </w:r>
          </w:p>
        </w:tc>
        <w:tc>
          <w:tcPr>
            <w:tcW w:w="14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56" w:lineRule="exact"/>
        <w:rPr>
          <w:sz w:val="20"/>
          <w:szCs w:val="20"/>
          <w:color w:val="auto"/>
        </w:rPr>
      </w:pPr>
    </w:p>
    <w:p>
      <w:pPr>
        <w:ind w:right="80" w:firstLine="397"/>
        <w:spacing w:after="0" w:line="317" w:lineRule="auto"/>
        <w:rPr>
          <w:sz w:val="20"/>
          <w:szCs w:val="20"/>
          <w:color w:val="auto"/>
        </w:rPr>
      </w:pPr>
      <w:r>
        <w:rPr>
          <w:rFonts w:ascii="Arial" w:cs="Arial" w:eastAsia="Arial" w:hAnsi="Arial"/>
          <w:sz w:val="15"/>
          <w:szCs w:val="15"/>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r>
      <w:tr>
        <w:trPr>
          <w:trHeight w:val="183"/>
        </w:trPr>
        <w:tc>
          <w:tcPr>
            <w:tcW w:w="69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219"/>
        </w:trPr>
        <w:tc>
          <w:tcPr>
            <w:tcW w:w="694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Americas</w:t>
            </w:r>
          </w:p>
        </w:tc>
        <w:tc>
          <w:tcPr>
            <w:tcW w:w="14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38,675</w:t>
            </w:r>
          </w:p>
        </w:tc>
      </w:tr>
      <w:tr>
        <w:trPr>
          <w:trHeight w:val="224"/>
        </w:trPr>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Asia/Pacific &amp; Europe</w:t>
            </w: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16,775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16,152</w:t>
            </w:r>
          </w:p>
        </w:tc>
      </w:tr>
      <w:tr>
        <w:trPr>
          <w:trHeight w:val="243"/>
        </w:trPr>
        <w:tc>
          <w:tcPr>
            <w:tcW w:w="6940" w:type="dxa"/>
            <w:vAlign w:val="bottom"/>
            <w:tcBorders>
              <w:bottom w:val="single" w:sz="8" w:color="CCEEFF"/>
            </w:tcBorders>
            <w:shd w:val="clear" w:color="auto" w:fill="CCEEFF"/>
          </w:tcPr>
          <w:p>
            <w:pPr>
              <w:ind w:left="740"/>
              <w:spacing w:after="0" w:line="204" w:lineRule="exact"/>
              <w:rPr>
                <w:sz w:val="20"/>
                <w:szCs w:val="20"/>
                <w:color w:val="auto"/>
              </w:rPr>
            </w:pPr>
            <w:r>
              <w:rPr>
                <w:rFonts w:ascii="Arial" w:cs="Arial" w:eastAsia="Arial" w:hAnsi="Arial"/>
                <w:sz w:val="18"/>
                <w:szCs w:val="18"/>
                <w:color w:val="auto"/>
              </w:rPr>
              <w:t>Total revenue</w:t>
            </w:r>
          </w:p>
        </w:tc>
        <w:tc>
          <w:tcPr>
            <w:tcW w:w="14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53,224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54,827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4"/>
                <w:szCs w:val="14"/>
                <w:b w:val="1"/>
                <w:bCs w:val="1"/>
                <w:color w:val="auto"/>
              </w:rPr>
              <w:t>Three Months Ended September 30,</w:t>
            </w:r>
          </w:p>
        </w:tc>
      </w:tr>
      <w:tr>
        <w:trPr>
          <w:trHeight w:val="183"/>
        </w:trPr>
        <w:tc>
          <w:tcPr>
            <w:tcW w:w="6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19"/>
        </w:trPr>
        <w:tc>
          <w:tcPr>
            <w:tcW w:w="694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United States</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36,108</w:t>
            </w:r>
          </w:p>
        </w:tc>
      </w:tr>
      <w:tr>
        <w:trPr>
          <w:trHeight w:val="224"/>
        </w:trPr>
        <w:tc>
          <w:tcPr>
            <w:tcW w:w="6940" w:type="dxa"/>
            <w:vAlign w:val="bottom"/>
            <w:gridSpan w:val="2"/>
          </w:tcPr>
          <w:p>
            <w:pPr>
              <w:ind w:left="420"/>
              <w:spacing w:after="0"/>
              <w:rPr>
                <w:sz w:val="20"/>
                <w:szCs w:val="20"/>
                <w:color w:val="auto"/>
              </w:rPr>
            </w:pPr>
            <w:r>
              <w:rPr>
                <w:rFonts w:ascii="Arial" w:cs="Arial" w:eastAsia="Arial" w:hAnsi="Arial"/>
                <w:sz w:val="18"/>
                <w:szCs w:val="18"/>
                <w:color w:val="auto"/>
              </w:rPr>
              <w:t>Japan</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9,844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10,431</w:t>
            </w:r>
          </w:p>
        </w:tc>
      </w:tr>
      <w:tr>
        <w:trPr>
          <w:trHeight w:val="436"/>
        </w:trPr>
        <w:tc>
          <w:tcPr>
            <w:tcW w:w="9120" w:type="dxa"/>
            <w:vAlign w:val="bottom"/>
            <w:gridSpan w:val="7"/>
          </w:tcPr>
          <w:p>
            <w:pPr>
              <w:ind w:left="440"/>
              <w:spacing w:after="0"/>
              <w:rPr>
                <w:sz w:val="20"/>
                <w:szCs w:val="20"/>
                <w:color w:val="auto"/>
              </w:rPr>
            </w:pPr>
            <w:r>
              <w:rPr>
                <w:rFonts w:ascii="Arial" w:cs="Arial" w:eastAsia="Arial" w:hAnsi="Arial"/>
                <w:sz w:val="18"/>
                <w:szCs w:val="18"/>
                <w:color w:val="auto"/>
                <w:w w:val="90"/>
              </w:rPr>
              <w:t>The following table presents the Company's long-lived assets for its most significant geographic markets (in thousands):</w:t>
            </w: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0"/>
        </w:trPr>
        <w:tc>
          <w:tcPr>
            <w:tcW w:w="6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gridSpan w:val="4"/>
          </w:tcPr>
          <w:p>
            <w:pPr>
              <w:ind w:left="120"/>
              <w:spacing w:after="0" w:line="159" w:lineRule="exact"/>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3"/>
                <w:szCs w:val="13"/>
                <w:color w:val="auto"/>
              </w:rPr>
            </w:pPr>
          </w:p>
        </w:tc>
        <w:tc>
          <w:tcPr>
            <w:tcW w:w="1400" w:type="dxa"/>
            <w:vAlign w:val="bottom"/>
          </w:tcPr>
          <w:p>
            <w:pPr>
              <w:jc w:val="right"/>
              <w:ind w:right="519"/>
              <w:spacing w:after="0" w:line="159" w:lineRule="exact"/>
              <w:rPr>
                <w:sz w:val="20"/>
                <w:szCs w:val="20"/>
                <w:color w:val="auto"/>
              </w:rPr>
            </w:pPr>
            <w:r>
              <w:rPr>
                <w:rFonts w:ascii="Arial" w:cs="Arial" w:eastAsia="Arial" w:hAnsi="Arial"/>
                <w:sz w:val="14"/>
                <w:szCs w:val="14"/>
                <w:b w:val="1"/>
                <w:bCs w:val="1"/>
                <w:color w:val="auto"/>
              </w:rPr>
              <w:t>June 30,</w:t>
            </w:r>
          </w:p>
        </w:tc>
      </w:tr>
      <w:tr>
        <w:trPr>
          <w:trHeight w:val="184"/>
        </w:trPr>
        <w:tc>
          <w:tcPr>
            <w:tcW w:w="68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r>
      <w:tr>
        <w:trPr>
          <w:trHeight w:val="219"/>
        </w:trPr>
        <w:tc>
          <w:tcPr>
            <w:tcW w:w="68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w:t>
            </w:r>
          </w:p>
        </w:tc>
      </w:tr>
      <w:tr>
        <w:trPr>
          <w:trHeight w:val="224"/>
        </w:trPr>
        <w:tc>
          <w:tcPr>
            <w:tcW w:w="6940" w:type="dxa"/>
            <w:vAlign w:val="bottom"/>
            <w:gridSpan w:val="2"/>
          </w:tcPr>
          <w:p>
            <w:pPr>
              <w:ind w:left="460"/>
              <w:spacing w:after="0"/>
              <w:rPr>
                <w:sz w:val="20"/>
                <w:szCs w:val="20"/>
                <w:color w:val="auto"/>
              </w:rPr>
            </w:pPr>
            <w:r>
              <w:rPr>
                <w:rFonts w:ascii="Arial" w:cs="Arial" w:eastAsia="Arial" w:hAnsi="Arial"/>
                <w:sz w:val="18"/>
                <w:szCs w:val="18"/>
                <w:color w:val="auto"/>
              </w:rPr>
              <w:t>Japan</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3,363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4" w:name="page15"/>
    <w:bookmarkEnd w:id="14"/>
    <w:p>
      <w:pPr>
        <w:ind w:firstLine="397"/>
        <w:spacing w:after="0" w:line="306" w:lineRule="auto"/>
        <w:rPr>
          <w:sz w:val="20"/>
          <w:szCs w:val="20"/>
          <w:color w:val="auto"/>
        </w:rPr>
      </w:pPr>
      <w:r>
        <w:rPr>
          <w:rFonts w:ascii="Arial" w:cs="Arial" w:eastAsia="Arial" w:hAnsi="Arial"/>
          <w:sz w:val="15"/>
          <w:szCs w:val="15"/>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$2.2 million in aggregate consideration).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50" w:lineRule="exact"/>
        <w:rPr>
          <w:sz w:val="20"/>
          <w:szCs w:val="20"/>
          <w:color w:val="auto"/>
        </w:rPr>
      </w:pPr>
    </w:p>
    <w:p>
      <w:pPr>
        <w:ind w:right="100" w:firstLine="397"/>
        <w:spacing w:after="0" w:line="263" w:lineRule="auto"/>
        <w:rPr>
          <w:sz w:val="20"/>
          <w:szCs w:val="20"/>
          <w:color w:val="auto"/>
        </w:rPr>
      </w:pPr>
      <w:r>
        <w:rPr>
          <w:rFonts w:ascii="Arial" w:cs="Arial" w:eastAsia="Arial" w:hAnsi="Arial"/>
          <w:sz w:val="17"/>
          <w:szCs w:val="17"/>
          <w:color w:val="auto"/>
        </w:rPr>
        <w:t xml:space="preserve">Upon conversion of the convertible promissory note receivable with GEG, the Company held a minority interest (less than 20%) in GEG,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118" w:lineRule="exact"/>
        <w:rPr>
          <w:sz w:val="20"/>
          <w:szCs w:val="20"/>
          <w:color w:val="auto"/>
        </w:rPr>
      </w:pPr>
    </w:p>
    <w:p>
      <w:pPr>
        <w:ind w:right="40" w:firstLine="397"/>
        <w:spacing w:after="0" w:line="317" w:lineRule="auto"/>
        <w:rPr>
          <w:sz w:val="20"/>
          <w:szCs w:val="20"/>
          <w:color w:val="auto"/>
        </w:rPr>
      </w:pPr>
      <w:r>
        <w:rPr>
          <w:rFonts w:ascii="Arial" w:cs="Arial" w:eastAsia="Arial" w:hAnsi="Arial"/>
          <w:sz w:val="15"/>
          <w:szCs w:val="15"/>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September 30, 2021 and June 30, 2021, respectively. During the three months ended September 30, 2021 and 2020, there were no price changes or impairments recognized.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56" w:lineRule="exact"/>
        <w:rPr>
          <w:sz w:val="20"/>
          <w:szCs w:val="20"/>
          <w:color w:val="auto"/>
        </w:rPr>
      </w:pPr>
    </w:p>
    <w:p>
      <w:pPr>
        <w:ind w:right="220" w:firstLine="397"/>
        <w:spacing w:after="0" w:line="254"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to ten years. As of September 30, 2021, the weighted average remaining lease term and weighted average discount rate for operating leases was 8.84 years and 3.31%, respectively.</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the three months ended September 30, 2021 and 2020, operating lease expense was $0.8 million and $1.2 million, respectively.</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Borders>
              <w:bottom w:val="single" w:sz="8" w:color="CCEEFF"/>
            </w:tcBorders>
          </w:tcPr>
          <w:p>
            <w:pPr>
              <w:spacing w:after="0"/>
              <w:rPr>
                <w:sz w:val="16"/>
                <w:szCs w:val="16"/>
                <w:color w:val="auto"/>
              </w:rPr>
            </w:pPr>
          </w:p>
        </w:tc>
        <w:tc>
          <w:tcPr>
            <w:tcW w:w="362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r>
      <w:tr>
        <w:trPr>
          <w:trHeight w:val="184"/>
        </w:trPr>
        <w:tc>
          <w:tcPr>
            <w:tcW w:w="696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shd w:val="clear" w:color="auto" w:fill="CCEEFF"/>
          </w:tcPr>
          <w:p>
            <w:pPr>
              <w:spacing w:after="0"/>
              <w:rPr>
                <w:sz w:val="15"/>
                <w:szCs w:val="15"/>
                <w:color w:val="auto"/>
              </w:rPr>
            </w:pPr>
          </w:p>
        </w:tc>
      </w:tr>
      <w:tr>
        <w:trPr>
          <w:trHeight w:val="218"/>
        </w:trPr>
        <w:tc>
          <w:tcPr>
            <w:tcW w:w="6960" w:type="dxa"/>
            <w:vAlign w:val="bottom"/>
          </w:tcPr>
          <w:p>
            <w:pPr>
              <w:ind w:left="420"/>
              <w:spacing w:after="0"/>
              <w:rPr>
                <w:sz w:val="20"/>
                <w:szCs w:val="20"/>
                <w:color w:val="auto"/>
              </w:rPr>
            </w:pPr>
            <w:r>
              <w:rPr>
                <w:rFonts w:ascii="Arial" w:cs="Arial" w:eastAsia="Arial" w:hAnsi="Arial"/>
                <w:sz w:val="18"/>
                <w:szCs w:val="18"/>
                <w:color w:val="auto"/>
              </w:rPr>
              <w:t>Operating cash outflows from operating leases</w:t>
            </w:r>
          </w:p>
        </w:tc>
        <w:tc>
          <w:tcPr>
            <w:tcW w:w="1540" w:type="dxa"/>
            <w:vAlign w:val="bottom"/>
          </w:tcPr>
          <w:p>
            <w:pPr>
              <w:jc w:val="right"/>
              <w:ind w:right="96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1460" w:type="dxa"/>
            <w:vAlign w:val="bottom"/>
          </w:tcPr>
          <w:p>
            <w:pPr>
              <w:jc w:val="right"/>
              <w:ind w:right="87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25"/>
        </w:trPr>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Right-of-use assets obtained in exchange for lease obligations</w:t>
            </w:r>
          </w:p>
        </w:tc>
        <w:tc>
          <w:tcPr>
            <w:tcW w:w="1540" w:type="dxa"/>
            <w:vAlign w:val="bottom"/>
            <w:shd w:val="clear" w:color="auto" w:fill="CCEEFF"/>
          </w:tcPr>
          <w:p>
            <w:pPr>
              <w:jc w:val="right"/>
              <w:ind w:right="96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14,682</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color w:val="auto"/>
        </w:rPr>
        <w:t>Maturity of lease liabilities at September 30, 2021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2022 (remaining nine months ending June 30, 2022)</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24"/>
        </w:trPr>
        <w:tc>
          <w:tcPr>
            <w:tcW w:w="9020" w:type="dxa"/>
            <w:vAlign w:val="bottom"/>
          </w:tcPr>
          <w:p>
            <w:pPr>
              <w:ind w:left="4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5"/>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r>
      <w:tr>
        <w:trPr>
          <w:trHeight w:val="218"/>
        </w:trPr>
        <w:tc>
          <w:tcPr>
            <w:tcW w:w="9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w:t>
            </w:r>
          </w:p>
        </w:tc>
      </w:tr>
      <w:tr>
        <w:trPr>
          <w:trHeight w:val="224"/>
        </w:trPr>
        <w:tc>
          <w:tcPr>
            <w:tcW w:w="91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43"/>
        </w:trPr>
        <w:tc>
          <w:tcPr>
            <w:tcW w:w="9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Present value of lease liabilities</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30, 2016, the Company entered into a loan agreement (the “2016 Loan Agreement”) to refinance its outstanding debt. In connection with the</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31"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23"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6" w:lineRule="exact"/>
        <w:rPr>
          <w:sz w:val="20"/>
          <w:szCs w:val="20"/>
          <w:color w:val="auto"/>
        </w:rPr>
      </w:pPr>
    </w:p>
    <w:p>
      <w:pPr>
        <w:ind w:right="240" w:firstLine="397"/>
        <w:spacing w:after="0" w:line="317" w:lineRule="auto"/>
        <w:rPr>
          <w:sz w:val="20"/>
          <w:szCs w:val="20"/>
          <w:color w:val="auto"/>
        </w:rPr>
      </w:pPr>
      <w:r>
        <w:rPr>
          <w:rFonts w:ascii="Arial" w:cs="Arial" w:eastAsia="Arial" w:hAnsi="Arial"/>
          <w:sz w:val="15"/>
          <w:szCs w:val="15"/>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80"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right="80" w:firstLine="397"/>
        <w:spacing w:after="0" w:line="308" w:lineRule="auto"/>
        <w:rPr>
          <w:sz w:val="20"/>
          <w:szCs w:val="20"/>
          <w:color w:val="auto"/>
        </w:rPr>
      </w:pPr>
      <w:r>
        <w:rPr>
          <w:rFonts w:ascii="Arial" w:cs="Arial" w:eastAsia="Arial" w:hAnsi="Arial"/>
          <w:sz w:val="15"/>
          <w:szCs w:val="15"/>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6" w:name="page17"/>
    <w:bookmarkEnd w:id="16"/>
    <w:p>
      <w:pPr>
        <w:ind w:firstLine="397"/>
        <w:spacing w:after="0" w:line="303" w:lineRule="auto"/>
        <w:rPr>
          <w:sz w:val="20"/>
          <w:szCs w:val="20"/>
          <w:color w:val="auto"/>
        </w:rPr>
      </w:pPr>
      <w:r>
        <w:rPr>
          <w:rFonts w:ascii="Arial" w:cs="Arial" w:eastAsia="Arial" w:hAnsi="Arial"/>
          <w:sz w:val="15"/>
          <w:szCs w:val="15"/>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September 30, 2021, the Company was in compliance with all applicable covenants under the 2016 Credit Facility, as amended.</w:t>
      </w:r>
    </w:p>
    <w:p>
      <w:pPr>
        <w:spacing w:after="0" w:line="76" w:lineRule="exact"/>
        <w:rPr>
          <w:sz w:val="20"/>
          <w:szCs w:val="20"/>
          <w:color w:val="auto"/>
        </w:rPr>
      </w:pPr>
    </w:p>
    <w:p>
      <w:pPr>
        <w:ind w:right="600" w:firstLine="397"/>
        <w:spacing w:after="0" w:line="364" w:lineRule="auto"/>
        <w:rPr>
          <w:sz w:val="20"/>
          <w:szCs w:val="20"/>
          <w:color w:val="auto"/>
        </w:rPr>
      </w:pPr>
      <w:r>
        <w:rPr>
          <w:rFonts w:ascii="Arial" w:cs="Arial" w:eastAsia="Arial" w:hAnsi="Arial"/>
          <w:sz w:val="15"/>
          <w:szCs w:val="15"/>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56" w:lineRule="exact"/>
        <w:rPr>
          <w:sz w:val="20"/>
          <w:szCs w:val="20"/>
          <w:color w:val="auto"/>
        </w:rPr>
      </w:pPr>
    </w:p>
    <w:p>
      <w:pPr>
        <w:ind w:right="120" w:firstLine="397"/>
        <w:spacing w:after="0" w:line="254" w:lineRule="auto"/>
        <w:rPr>
          <w:sz w:val="20"/>
          <w:szCs w:val="20"/>
          <w:color w:val="auto"/>
        </w:rPr>
      </w:pPr>
      <w:r>
        <w:rPr>
          <w:rFonts w:ascii="Arial" w:cs="Arial" w:eastAsia="Arial" w:hAnsi="Arial"/>
          <w:sz w:val="18"/>
          <w:szCs w:val="18"/>
          <w:color w:val="auto"/>
        </w:rPr>
        <w:t>During the three months ended September 30, 2021 and 2020, the Company issued 30,000 shares and 2,000 shares, respectively, of common stock upon the exercise of options. During the three months ended September 30, 2021 and 2020, approximately 19,000 and 38,000 shares, respectively, of restricted stock were canceled or surrendered as payment of tax withholding upon vesting.</w:t>
      </w:r>
    </w:p>
    <w:p>
      <w:pPr>
        <w:spacing w:after="0" w:line="110" w:lineRule="exact"/>
        <w:rPr>
          <w:sz w:val="20"/>
          <w:szCs w:val="20"/>
          <w:color w:val="auto"/>
        </w:rPr>
      </w:pPr>
    </w:p>
    <w:p>
      <w:pPr>
        <w:ind w:right="120" w:firstLine="397"/>
        <w:spacing w:after="0" w:line="301" w:lineRule="auto"/>
        <w:rPr>
          <w:sz w:val="20"/>
          <w:szCs w:val="20"/>
          <w:color w:val="auto"/>
        </w:rPr>
      </w:pPr>
      <w:r>
        <w:rPr>
          <w:rFonts w:ascii="Arial" w:cs="Arial" w:eastAsia="Arial" w:hAnsi="Arial"/>
          <w:sz w:val="15"/>
          <w:szCs w:val="15"/>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and, on August 27, 2020, the Board of Directors approved an amendment to the share repurchase program to increase the authorized share repurchase amount from $15 million to $35 million and to extend the duration of the program through November 30, 2023. During the three months ended September 30, 2021 and 2020, the Company purchased 0.5 million shares and 0.1 million shares of common stock at an aggregate price of $3.5 million and $2.0 million under this repurchase program, respectively. At September 30, 2021, there is $8.0 million remaining under this repurchase program.</w:t>
      </w:r>
    </w:p>
    <w:p>
      <w:pPr>
        <w:spacing w:after="0" w:line="92" w:lineRule="exact"/>
        <w:rPr>
          <w:sz w:val="20"/>
          <w:szCs w:val="20"/>
          <w:color w:val="auto"/>
        </w:rPr>
      </w:pPr>
    </w:p>
    <w:p>
      <w:pPr>
        <w:ind w:right="200" w:firstLine="397"/>
        <w:spacing w:after="0" w:line="263" w:lineRule="auto"/>
        <w:rPr>
          <w:sz w:val="20"/>
          <w:szCs w:val="20"/>
          <w:color w:val="auto"/>
        </w:rPr>
      </w:pPr>
      <w:r>
        <w:rPr>
          <w:rFonts w:ascii="Arial" w:cs="Arial" w:eastAsia="Arial" w:hAnsi="Arial"/>
          <w:sz w:val="18"/>
          <w:szCs w:val="18"/>
          <w:color w:val="auto"/>
        </w:rPr>
        <w:t>The Company’s Certificate of Incorporation authorizes the issuance of preferred stock. However, as of September 30, 2021, none have been issued nor have any rights or preferences been assigned to the preferred stock by the Company’s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Equity-Settled Plans</w:t>
      </w:r>
    </w:p>
    <w:p>
      <w:pPr>
        <w:spacing w:after="0" w:line="156"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of $9.45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 As of September 30, 2021, under the 2007 Plan, there were stock option awards outstanding, net of awards expired, for an aggregate of approximately 3,000 shares of the Company's common stock.</w:t>
      </w:r>
    </w:p>
    <w:p>
      <w:pPr>
        <w:spacing w:after="0" w:line="104" w:lineRule="exact"/>
        <w:rPr>
          <w:sz w:val="20"/>
          <w:szCs w:val="20"/>
          <w:color w:val="auto"/>
        </w:rPr>
      </w:pPr>
    </w:p>
    <w:p>
      <w:pPr>
        <w:jc w:val="both"/>
        <w:ind w:right="40" w:firstLine="397"/>
        <w:spacing w:after="0" w:line="254" w:lineRule="auto"/>
        <w:rPr>
          <w:sz w:val="20"/>
          <w:szCs w:val="20"/>
          <w:color w:val="auto"/>
        </w:rPr>
      </w:pPr>
      <w:r>
        <w:rPr>
          <w:rFonts w:ascii="Arial" w:cs="Arial" w:eastAsia="Arial" w:hAnsi="Arial"/>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7" w:name="page18"/>
    <w:bookmarkEnd w:id="17"/>
    <w:p>
      <w:pPr>
        <w:ind w:right="20"/>
        <w:spacing w:after="0" w:line="308" w:lineRule="auto"/>
        <w:rPr>
          <w:sz w:val="20"/>
          <w:szCs w:val="20"/>
          <w:color w:val="auto"/>
        </w:rPr>
      </w:pPr>
      <w:r>
        <w:rPr>
          <w:rFonts w:ascii="Arial" w:cs="Arial" w:eastAsia="Arial" w:hAnsi="Arial"/>
          <w:sz w:val="15"/>
          <w:szCs w:val="15"/>
          <w:color w:val="auto"/>
        </w:rPr>
        <w:t>of awards. Awards to purchase common stock have been granted pursuant to the 2010 Plan and are outstanding to various employees, officers and directors. Outstanding stock options awarded under the 2010 Plan have exercise prices between $9.31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September 30, 2021, under the 2010 Plan, there were stock option awards outstanding, net of awards expired, for an aggregate of approximately 27,000 shares of the Company's common stock.</w:t>
      </w:r>
    </w:p>
    <w:p>
      <w:pPr>
        <w:spacing w:after="0" w:line="73" w:lineRule="exact"/>
        <w:rPr>
          <w:sz w:val="20"/>
          <w:szCs w:val="20"/>
          <w:color w:val="auto"/>
        </w:rPr>
      </w:pPr>
    </w:p>
    <w:p>
      <w:pPr>
        <w:ind w:right="60" w:firstLine="397"/>
        <w:spacing w:after="0" w:line="263" w:lineRule="auto"/>
        <w:rPr>
          <w:sz w:val="20"/>
          <w:szCs w:val="20"/>
          <w:color w:val="auto"/>
        </w:rPr>
      </w:pPr>
      <w:r>
        <w:rPr>
          <w:rFonts w:ascii="Arial" w:cs="Arial" w:eastAsia="Arial" w:hAnsi="Arial"/>
          <w:sz w:val="17"/>
          <w:szCs w:val="17"/>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September 30, 2021,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September 30, 2021, under the 2017 Plan, there were stock option awards outstanding, net of awards expired, for an aggregate of 0.1 million shares of the Company's common stock.</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Cash-Settled Plans</w:t>
      </w:r>
    </w:p>
    <w:p>
      <w:pPr>
        <w:spacing w:after="0" w:line="156"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Employee Stock Purchase Plan</w:t>
      </w:r>
    </w:p>
    <w:p>
      <w:pPr>
        <w:spacing w:after="0" w:line="156" w:lineRule="exact"/>
        <w:rPr>
          <w:sz w:val="20"/>
          <w:szCs w:val="20"/>
          <w:color w:val="auto"/>
        </w:rPr>
      </w:pPr>
    </w:p>
    <w:p>
      <w:pPr>
        <w:ind w:right="260" w:firstLine="397"/>
        <w:spacing w:after="0" w:line="29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91"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September 30, 2021,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10"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12" w:lineRule="exact"/>
        <w:rPr>
          <w:sz w:val="20"/>
          <w:szCs w:val="20"/>
          <w:color w:val="auto"/>
        </w:rPr>
      </w:pPr>
    </w:p>
    <w:p>
      <w:pPr>
        <w:ind w:right="400" w:firstLine="397"/>
        <w:spacing w:after="0" w:line="263"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15" w:lineRule="exact"/>
        <w:rPr>
          <w:sz w:val="20"/>
          <w:szCs w:val="20"/>
          <w:color w:val="auto"/>
        </w:rPr>
      </w:pPr>
    </w:p>
    <w:p>
      <w:pPr>
        <w:ind w:right="240" w:firstLine="397"/>
        <w:spacing w:after="0" w:line="263" w:lineRule="auto"/>
        <w:rPr>
          <w:sz w:val="20"/>
          <w:szCs w:val="20"/>
          <w:color w:val="auto"/>
        </w:rPr>
      </w:pPr>
      <w:r>
        <w:rPr>
          <w:rFonts w:ascii="Arial" w:cs="Arial" w:eastAsia="Arial" w:hAnsi="Arial"/>
          <w:sz w:val="18"/>
          <w:szCs w:val="18"/>
          <w:color w:val="auto"/>
        </w:rPr>
        <w:t>During the three months ended September 30, 2021 and 2020, approximately 27,000 shares and 23,000 shares of common stock were issued under the ESPP,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37" w:lineRule="exact"/>
        <w:rPr>
          <w:sz w:val="20"/>
          <w:szCs w:val="20"/>
          <w:color w:val="auto"/>
        </w:rPr>
      </w:pPr>
    </w:p>
    <w:p>
      <w:pPr>
        <w:ind w:firstLine="397"/>
        <w:spacing w:after="0" w:line="317" w:lineRule="auto"/>
        <w:rPr>
          <w:sz w:val="20"/>
          <w:szCs w:val="20"/>
          <w:color w:val="auto"/>
        </w:rPr>
      </w:pPr>
      <w:r>
        <w:rPr>
          <w:rFonts w:ascii="Arial" w:cs="Arial" w:eastAsia="Arial" w:hAnsi="Arial"/>
          <w:sz w:val="15"/>
          <w:szCs w:val="15"/>
          <w:color w:val="auto"/>
        </w:rPr>
        <w:t>In accordance with accounting guidance for stock-based compensation, payments in equity instruments for goods or services are accounted for by the fair value method. For the three months ended September 30, 2021, stock-based compensation of $0.6 million was reflected as an increase to additional paid-in capital, all of which was employee related. For the three months ended September 30, 2020, stock-based compensation of $0.5 million was reflected as an increase to additional paid-in capital and a decrease of $0.1 million was included in other accrued expenses, all of which was employee related.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7"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 xml:space="preserve">The Company accounts for contingent liabilities in accordance with ASC 450, </w:t>
      </w:r>
      <w:r>
        <w:rPr>
          <w:rFonts w:ascii="Arial" w:cs="Arial" w:eastAsia="Arial" w:hAnsi="Arial"/>
          <w:sz w:val="15"/>
          <w:szCs w:val="15"/>
          <w:i w:val="1"/>
          <w:iCs w:val="1"/>
          <w:color w:val="auto"/>
        </w:rPr>
        <w:t>Contingencies</w:t>
      </w:r>
      <w:r>
        <w:rPr>
          <w:rFonts w:ascii="Arial" w:cs="Arial" w:eastAsia="Arial" w:hAnsi="Arial"/>
          <w:sz w:val="15"/>
          <w:szCs w:val="15"/>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2021, and based on the assessment, there are no probable loss contingencies requiring accrual or disclosures within its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0" w:lineRule="exact"/>
        <w:rPr>
          <w:sz w:val="20"/>
          <w:szCs w:val="20"/>
          <w:color w:val="auto"/>
        </w:rPr>
      </w:pPr>
    </w:p>
    <w:p>
      <w:pPr>
        <w:ind w:right="20" w:firstLine="397"/>
        <w:spacing w:after="0" w:line="299" w:lineRule="auto"/>
        <w:rPr>
          <w:sz w:val="20"/>
          <w:szCs w:val="20"/>
          <w:color w:val="auto"/>
        </w:rPr>
      </w:pPr>
      <w:r>
        <w:rPr>
          <w:rFonts w:ascii="Arial" w:cs="Arial" w:eastAsia="Arial" w:hAnsi="Arial"/>
          <w:sz w:val="15"/>
          <w:szCs w:val="15"/>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74" w:lineRule="exact"/>
        <w:rPr>
          <w:sz w:val="20"/>
          <w:szCs w:val="20"/>
          <w:color w:val="auto"/>
        </w:rPr>
      </w:pPr>
    </w:p>
    <w:p>
      <w:pPr>
        <w:ind w:right="40" w:firstLine="397"/>
        <w:spacing w:after="0" w:line="263" w:lineRule="auto"/>
        <w:rPr>
          <w:sz w:val="20"/>
          <w:szCs w:val="20"/>
          <w:color w:val="auto"/>
        </w:rPr>
      </w:pPr>
      <w:r>
        <w:rPr>
          <w:rFonts w:ascii="Arial" w:cs="Arial" w:eastAsia="Arial" w:hAnsi="Arial"/>
          <w:sz w:val="15"/>
          <w:szCs w:val="15"/>
          <w:b w:val="1"/>
          <w:bCs w:val="1"/>
          <w:color w:val="auto"/>
        </w:rPr>
        <w:t>Class Action Lawsuit (</w:t>
      </w:r>
      <w:r>
        <w:rPr>
          <w:rFonts w:ascii="Arial" w:cs="Arial" w:eastAsia="Arial" w:hAnsi="Arial"/>
          <w:sz w:val="15"/>
          <w:szCs w:val="15"/>
          <w:b w:val="1"/>
          <w:bCs w:val="1"/>
          <w:i w:val="1"/>
          <w:iCs w:val="1"/>
          <w:color w:val="auto"/>
        </w:rPr>
        <w:t>Smith v. LifeVantage Corp</w:t>
      </w:r>
      <w:r>
        <w:rPr>
          <w:rFonts w:ascii="Arial" w:cs="Arial" w:eastAsia="Arial" w:hAnsi="Arial"/>
          <w:sz w:val="15"/>
          <w:szCs w:val="15"/>
          <w:b w:val="1"/>
          <w:bCs w:val="1"/>
          <w:color w:val="auto"/>
        </w:rPr>
        <w:t xml:space="preserve">.): </w:t>
      </w:r>
      <w:r>
        <w:rPr>
          <w:rFonts w:ascii="Arial" w:cs="Arial" w:eastAsia="Arial" w:hAnsi="Arial"/>
          <w:sz w:val="15"/>
          <w:szCs w:val="15"/>
          <w:color w:val="auto"/>
        </w:rPr>
        <w:t>On January 24, 2018, a purported class action was filed in the United States District Court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5"/>
          <w:szCs w:val="15"/>
          <w:color w:val="auto"/>
        </w:rPr>
        <w:t>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Initial discovery has begun and will continue per the amended scheduling order.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has not set a hearing for the motion for class certification and it is unknown when the court may rule.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286" w:lineRule="exact"/>
        <w:rPr>
          <w:sz w:val="20"/>
          <w:szCs w:val="20"/>
          <w:color w:val="auto"/>
        </w:rPr>
      </w:pPr>
    </w:p>
    <w:p>
      <w:pPr>
        <w:ind w:right="100" w:firstLine="397"/>
        <w:spacing w:after="0" w:line="320" w:lineRule="auto"/>
        <w:rPr>
          <w:sz w:val="20"/>
          <w:szCs w:val="20"/>
          <w:color w:val="auto"/>
        </w:rPr>
      </w:pPr>
      <w:r>
        <w:rPr>
          <w:rFonts w:ascii="Arial" w:cs="Arial" w:eastAsia="Arial" w:hAnsi="Arial"/>
          <w:sz w:val="15"/>
          <w:szCs w:val="15"/>
          <w:b w:val="1"/>
          <w:bCs w:val="1"/>
          <w:color w:val="auto"/>
        </w:rPr>
        <w:t xml:space="preserve">Other Matters. </w:t>
      </w:r>
      <w:r>
        <w:rPr>
          <w:rFonts w:ascii="Arial" w:cs="Arial" w:eastAsia="Arial" w:hAnsi="Arial"/>
          <w:sz w:val="15"/>
          <w:szCs w:val="15"/>
          <w:color w:val="auto"/>
        </w:rPr>
        <w:t>In addition to the matters described above, the Company also may become involved in other litigation and regulatory matters incidental</w:t>
      </w:r>
      <w:r>
        <w:rPr>
          <w:rFonts w:ascii="Arial" w:cs="Arial" w:eastAsia="Arial" w:hAnsi="Arial"/>
          <w:sz w:val="15"/>
          <w:szCs w:val="15"/>
          <w:b w:val="1"/>
          <w:bCs w:val="1"/>
          <w:color w:val="auto"/>
        </w:rPr>
        <w:t xml:space="preserve"> </w:t>
      </w:r>
      <w:r>
        <w:rPr>
          <w:rFonts w:ascii="Arial" w:cs="Arial" w:eastAsia="Arial" w:hAnsi="Arial"/>
          <w:sz w:val="15"/>
          <w:szCs w:val="15"/>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56"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No payments were made to GEG for software and application development service during the three months ended September 30, 2021 and 2020.</w:t>
      </w:r>
    </w:p>
    <w:p>
      <w:pPr>
        <w:spacing w:after="0" w:line="120" w:lineRule="exact"/>
        <w:rPr>
          <w:sz w:val="20"/>
          <w:szCs w:val="20"/>
          <w:color w:val="auto"/>
        </w:rPr>
      </w:pPr>
    </w:p>
    <w:p>
      <w:pPr>
        <w:ind w:right="3980"/>
        <w:spacing w:after="0" w:line="40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firstLine="317"/>
        <w:spacing w:after="0" w:line="308" w:lineRule="auto"/>
        <w:rPr>
          <w:sz w:val="20"/>
          <w:szCs w:val="20"/>
          <w:color w:val="auto"/>
        </w:rPr>
      </w:pPr>
      <w:r>
        <w:rPr>
          <w:rFonts w:ascii="Arial" w:cs="Arial" w:eastAsia="Arial" w:hAnsi="Arial"/>
          <w:sz w:val="15"/>
          <w:szCs w:val="15"/>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86" w:lineRule="exact"/>
        <w:rPr>
          <w:sz w:val="20"/>
          <w:szCs w:val="20"/>
          <w:color w:val="auto"/>
        </w:rPr>
      </w:pPr>
    </w:p>
    <w:p>
      <w:pPr>
        <w:jc w:val="both"/>
        <w:ind w:right="140" w:firstLine="317"/>
        <w:spacing w:after="0" w:line="254"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0" w:lineRule="exact"/>
        <w:rPr>
          <w:sz w:val="20"/>
          <w:szCs w:val="20"/>
          <w:color w:val="auto"/>
        </w:rPr>
      </w:pPr>
    </w:p>
    <w:p>
      <w:pPr>
        <w:ind w:left="640" w:right="160" w:hanging="317"/>
        <w:spacing w:after="0" w:line="21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including our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 ProBio and Daily Wellness dietary supplements, our line of Nrf2 enhanced TrueScience® skin, hair, bath &amp; body, and targeted relief products, Petandim</w:t>
      </w:r>
      <w:r>
        <w:rPr>
          <w:rFonts w:ascii="Arial" w:cs="Arial" w:eastAsia="Arial" w:hAnsi="Arial"/>
          <w:sz w:val="22"/>
          <w:szCs w:val="22"/>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our smart weight management system.;</w:t>
      </w:r>
    </w:p>
    <w:p>
      <w:pPr>
        <w:spacing w:after="0" w:line="134"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compensation plan and other sales initiatives and incentives; and</w:t>
      </w:r>
    </w:p>
    <w:p>
      <w:pPr>
        <w:spacing w:after="0" w:line="149" w:lineRule="exact"/>
        <w:rPr>
          <w:rFonts w:ascii="Arial" w:cs="Arial" w:eastAsia="Arial" w:hAnsi="Arial"/>
          <w:sz w:val="18"/>
          <w:szCs w:val="18"/>
          <w:color w:val="auto"/>
        </w:rPr>
      </w:pPr>
    </w:p>
    <w:p>
      <w:pPr>
        <w:ind w:left="640" w:hanging="31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37" w:lineRule="exact"/>
        <w:rPr>
          <w:sz w:val="20"/>
          <w:szCs w:val="20"/>
          <w:color w:val="auto"/>
        </w:rPr>
      </w:pPr>
    </w:p>
    <w:p>
      <w:pPr>
        <w:ind w:right="40" w:firstLine="317"/>
        <w:spacing w:after="0" w:line="317" w:lineRule="auto"/>
        <w:rPr>
          <w:sz w:val="20"/>
          <w:szCs w:val="20"/>
          <w:color w:val="auto"/>
        </w:rPr>
      </w:pPr>
      <w:r>
        <w:rPr>
          <w:rFonts w:ascii="Arial" w:cs="Arial" w:eastAsia="Arial" w:hAnsi="Arial"/>
          <w:sz w:val="15"/>
          <w:szCs w:val="15"/>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and Singapore. In addition, we sell our products in a number of countries to customers for personal consumption only and in China through a China approved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ind w:right="60"/>
        <w:spacing w:after="0" w:line="263" w:lineRule="auto"/>
        <w:rPr>
          <w:sz w:val="20"/>
          <w:szCs w:val="20"/>
          <w:color w:val="auto"/>
        </w:rPr>
      </w:pPr>
      <w:r>
        <w:rPr>
          <w:rFonts w:ascii="Arial" w:cs="Arial" w:eastAsia="Arial" w:hAnsi="Arial"/>
          <w:sz w:val="18"/>
          <w:szCs w:val="18"/>
          <w:color w:val="auto"/>
        </w:rPr>
        <w:t>cross-border e-commerce business model. Entering a new market requires a considerable amount of time, resources and continued support. If we are unable to properly support an existing or new market, our revenue growth may be negatively impacted.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56" w:lineRule="exact"/>
        <w:rPr>
          <w:sz w:val="20"/>
          <w:szCs w:val="20"/>
          <w:color w:val="auto"/>
        </w:rPr>
      </w:pPr>
    </w:p>
    <w:p>
      <w:pPr>
        <w:ind w:right="20" w:firstLine="317"/>
        <w:spacing w:after="0" w:line="298" w:lineRule="auto"/>
        <w:rPr>
          <w:sz w:val="20"/>
          <w:szCs w:val="20"/>
          <w:color w:val="auto"/>
        </w:rPr>
      </w:pPr>
      <w:r>
        <w:rPr>
          <w:rFonts w:ascii="Arial" w:cs="Arial" w:eastAsia="Arial" w:hAnsi="Arial"/>
          <w:sz w:val="15"/>
          <w:szCs w:val="15"/>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transitioned our corporate workforce to a remote working environment, temporarily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314" w:lineRule="exact"/>
        <w:rPr>
          <w:sz w:val="20"/>
          <w:szCs w:val="20"/>
          <w:color w:val="auto"/>
        </w:rPr>
      </w:pPr>
    </w:p>
    <w:p>
      <w:pPr>
        <w:ind w:right="80" w:firstLine="317"/>
        <w:spacing w:after="0" w:line="266" w:lineRule="auto"/>
        <w:rPr>
          <w:sz w:val="20"/>
          <w:szCs w:val="20"/>
          <w:color w:val="auto"/>
        </w:rPr>
      </w:pPr>
      <w:r>
        <w:rPr>
          <w:rFonts w:ascii="Arial" w:cs="Arial" w:eastAsia="Arial" w:hAnsi="Arial"/>
          <w:sz w:val="17"/>
          <w:szCs w:val="17"/>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Near the end of fiscal 2020 we transitioned all of our corporate employees to a work from home model and during July 2021 we began to implement a hybrid schedule with opportunities for employees to return back to the office. To date, our employees are performing and adapting well with the evolving environment. With respect to liquidity, we are evaluating and taking actions to ensure that we continue to responsibly manage expenses across our organization.</w:t>
      </w:r>
    </w:p>
    <w:p>
      <w:pPr>
        <w:spacing w:after="0" w:line="101" w:lineRule="exact"/>
        <w:rPr>
          <w:sz w:val="20"/>
          <w:szCs w:val="20"/>
          <w:color w:val="auto"/>
        </w:rPr>
      </w:pPr>
    </w:p>
    <w:p>
      <w:pPr>
        <w:ind w:right="240" w:firstLine="317"/>
        <w:spacing w:after="0" w:line="251"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9" w:lineRule="exact"/>
        <w:rPr>
          <w:sz w:val="20"/>
          <w:szCs w:val="20"/>
          <w:color w:val="auto"/>
        </w:rPr>
      </w:pPr>
    </w:p>
    <w:p>
      <w:pPr>
        <w:ind w:firstLine="317"/>
        <w:spacing w:after="0" w:line="233"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scientifically-validated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ProBio and Daily Wellness dietary supplements, TrueScience</w:t>
      </w:r>
      <w:r>
        <w:rPr>
          <w:rFonts w:ascii="Arial" w:cs="Arial" w:eastAsia="Arial" w:hAnsi="Arial"/>
          <w:sz w:val="20"/>
          <w:szCs w:val="20"/>
          <w:color w:val="auto"/>
          <w:vertAlign w:val="superscript"/>
        </w:rPr>
        <w:t>®</w:t>
      </w:r>
      <w:r>
        <w:rPr>
          <w:rFonts w:ascii="Arial" w:cs="Arial" w:eastAsia="Arial" w:hAnsi="Arial"/>
          <w:sz w:val="16"/>
          <w:szCs w:val="16"/>
          <w:color w:val="auto"/>
        </w:rPr>
        <w:t>, our line of skin, bath &amp; body, target relief,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our companion pet supplement formulated to combat oxidative stress in dogs, Axio</w:t>
      </w:r>
      <w:r>
        <w:rPr>
          <w:rFonts w:ascii="Arial" w:cs="Arial" w:eastAsia="Arial" w:hAnsi="Arial"/>
          <w:sz w:val="20"/>
          <w:szCs w:val="20"/>
          <w:color w:val="auto"/>
          <w:vertAlign w:val="superscript"/>
        </w:rPr>
        <w:t>®</w:t>
      </w:r>
      <w:r>
        <w:rPr>
          <w:rFonts w:ascii="Arial" w:cs="Arial" w:eastAsia="Arial" w:hAnsi="Arial"/>
          <w:sz w:val="16"/>
          <w:szCs w:val="16"/>
          <w:color w:val="auto"/>
        </w:rPr>
        <w:t>, our nootropic energy drink mixes, and PhysIQ</w:t>
      </w:r>
      <w:r>
        <w:rPr>
          <w:rFonts w:ascii="Arial" w:cs="Arial" w:eastAsia="Arial" w:hAnsi="Arial"/>
          <w:sz w:val="20"/>
          <w:szCs w:val="20"/>
          <w:color w:val="auto"/>
          <w:vertAlign w:val="superscript"/>
        </w:rPr>
        <w:t>™</w:t>
      </w:r>
      <w:r>
        <w:rPr>
          <w:rFonts w:ascii="Arial" w:cs="Arial" w:eastAsia="Arial" w:hAnsi="Arial"/>
          <w:sz w:val="16"/>
          <w:szCs w:val="16"/>
          <w:color w:val="auto"/>
        </w:rPr>
        <w:t>, our smart weight management system.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and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together has been shown to produce synergistic benefits greater than using the single products on their own.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Daily Wellness is a dietary supplement designed to support and strengthen immune health. Our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anti-aging skin and hair care, and CBD Nrf2 enhanced, bath &amp; body, targeted relief products includes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Perfecting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ind w:right="320"/>
        <w:spacing w:after="0" w:line="213" w:lineRule="auto"/>
        <w:rPr>
          <w:sz w:val="20"/>
          <w:szCs w:val="20"/>
          <w:color w:val="auto"/>
        </w:rPr>
      </w:pPr>
      <w:r>
        <w:rPr>
          <w:rFonts w:ascii="Arial" w:cs="Arial" w:eastAsia="Arial" w:hAnsi="Arial"/>
          <w:sz w:val="17"/>
          <w:szCs w:val="17"/>
          <w:color w:val="auto"/>
        </w:rPr>
        <w:t>Lotion,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Beauty Serum,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Hand Cream,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Invigorating Shampoo,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Nourishing Conditioner,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Scalp Serum,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Body Lotion,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Body Wash,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Body Butter,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Deodorant,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Soothing Balm, and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Body Rub. Petandim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a supplement specially formulated to combat oxidative stress in dogs through Nrf2 activation. Axio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our line of our nootropic energy drink mixes formulated to promote alertness and support mental performance.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Prebiotic and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Whey Protein, all formulated to aid in weight management.</w:t>
      </w:r>
    </w:p>
    <w:p>
      <w:pPr>
        <w:spacing w:after="0" w:line="122" w:lineRule="exact"/>
        <w:rPr>
          <w:sz w:val="20"/>
          <w:szCs w:val="20"/>
          <w:color w:val="auto"/>
        </w:rPr>
      </w:pPr>
    </w:p>
    <w:p>
      <w:pPr>
        <w:ind w:firstLine="397"/>
        <w:spacing w:after="0" w:line="237"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 and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1"/>
          <w:szCs w:val="21"/>
          <w:color w:val="auto"/>
          <w:vertAlign w:val="superscript"/>
        </w:rPr>
        <w:t>™</w:t>
      </w:r>
      <w:r>
        <w:rPr>
          <w:rFonts w:ascii="Arial" w:cs="Arial" w:eastAsia="Arial" w:hAnsi="Arial"/>
          <w:sz w:val="17"/>
          <w:szCs w:val="17"/>
          <w:color w:val="auto"/>
        </w:rPr>
        <w:t>, we added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Tri-Synergizer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and was designed to effectively and synergistically reduce oxidative stress, support mitochondria function, increase sirtuin activity, and target cell signaling pathways to fight the effects of aging. We also offer stacks for our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lines.</w:t>
      </w:r>
    </w:p>
    <w:p>
      <w:pPr>
        <w:spacing w:after="0" w:line="58" w:lineRule="exact"/>
        <w:rPr>
          <w:sz w:val="20"/>
          <w:szCs w:val="20"/>
          <w:color w:val="auto"/>
        </w:rPr>
      </w:pPr>
    </w:p>
    <w:p>
      <w:pPr>
        <w:ind w:right="80" w:firstLine="397"/>
        <w:spacing w:after="0" w:line="293"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43" w:lineRule="exact"/>
        <w:rPr>
          <w:sz w:val="20"/>
          <w:szCs w:val="20"/>
          <w:color w:val="auto"/>
        </w:rPr>
      </w:pPr>
    </w:p>
    <w:p>
      <w:pPr>
        <w:ind w:right="160" w:firstLine="397"/>
        <w:spacing w:after="0" w:line="249"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22" w:name="page23"/>
    <w:bookmarkEnd w:id="22"/>
    <w:p>
      <w:pPr>
        <w:ind w:firstLine="397"/>
        <w:spacing w:after="0" w:line="271"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September 30,</w:t>
            </w: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0"/>
                <w:szCs w:val="10"/>
                <w:color w:val="auto"/>
              </w:rPr>
            </w:pPr>
          </w:p>
        </w:tc>
        <w:tc>
          <w:tcPr>
            <w:tcW w:w="158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24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from Prior Year</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CEEFF"/>
          </w:tcPr>
          <w:p>
            <w:pPr>
              <w:ind w:left="420"/>
              <w:spacing w:after="0" w:line="154" w:lineRule="exact"/>
              <w:rPr>
                <w:sz w:val="20"/>
                <w:szCs w:val="20"/>
                <w:color w:val="auto"/>
              </w:rPr>
            </w:pPr>
            <w:r>
              <w:rPr>
                <w:rFonts w:ascii="Arial" w:cs="Arial" w:eastAsia="Arial" w:hAnsi="Arial"/>
                <w:sz w:val="17"/>
                <w:szCs w:val="17"/>
                <w:color w:val="auto"/>
              </w:rPr>
              <w:t>Active Independent</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64.5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67.6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(13.0)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480" w:type="dxa"/>
            <w:vAlign w:val="bottom"/>
          </w:tcPr>
          <w:p>
            <w:pPr>
              <w:ind w:left="760"/>
              <w:spacing w:after="0" w:line="153" w:lineRule="exact"/>
              <w:rPr>
                <w:sz w:val="20"/>
                <w:szCs w:val="20"/>
                <w:color w:val="auto"/>
              </w:rPr>
            </w:pPr>
            <w:r>
              <w:rPr>
                <w:rFonts w:ascii="Arial" w:cs="Arial" w:eastAsia="Arial" w:hAnsi="Arial"/>
                <w:sz w:val="17"/>
                <w:szCs w:val="17"/>
                <w:color w:val="auto"/>
              </w:rPr>
              <w:t>Total Active</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62,000</w:t>
            </w:r>
          </w:p>
        </w:tc>
        <w:tc>
          <w:tcPr>
            <w:tcW w:w="80" w:type="dxa"/>
            <w:vAlign w:val="bottom"/>
          </w:tcPr>
          <w:p>
            <w:pPr>
              <w:spacing w:after="0"/>
              <w:rPr>
                <w:sz w:val="13"/>
                <w:szCs w:val="13"/>
                <w:color w:val="auto"/>
              </w:rPr>
            </w:pPr>
          </w:p>
        </w:tc>
        <w:tc>
          <w:tcPr>
            <w:tcW w:w="1100" w:type="dxa"/>
            <w:vAlign w:val="bottom"/>
            <w:vMerge w:val="restart"/>
          </w:tcPr>
          <w:p>
            <w:pPr>
              <w:jc w:val="right"/>
              <w:ind w:right="34"/>
              <w:spacing w:after="0"/>
              <w:rPr>
                <w:sz w:val="20"/>
                <w:szCs w:val="20"/>
                <w:color w:val="auto"/>
              </w:rPr>
            </w:pPr>
            <w:r>
              <w:rPr>
                <w:rFonts w:ascii="Arial" w:cs="Arial" w:eastAsia="Arial" w:hAnsi="Arial"/>
                <w:sz w:val="18"/>
                <w:szCs w:val="18"/>
                <w:color w:val="auto"/>
              </w:rPr>
              <w:t>100.0</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Pr>
          <w:p>
            <w:pPr>
              <w:spacing w:after="0"/>
              <w:rPr>
                <w:sz w:val="13"/>
                <w:szCs w:val="13"/>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34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(8.8)</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20"/>
              <w:spacing w:after="0" w:line="197" w:lineRule="exact"/>
              <w:rPr>
                <w:sz w:val="20"/>
                <w:szCs w:val="20"/>
                <w:color w:val="auto"/>
              </w:rPr>
            </w:pPr>
            <w:r>
              <w:rPr>
                <w:rFonts w:ascii="Arial" w:cs="Arial" w:eastAsia="Arial" w:hAnsi="Arial"/>
                <w:sz w:val="18"/>
                <w:szCs w:val="18"/>
                <w:color w:val="auto"/>
              </w:rPr>
              <w:t>Independent Distributors</w:t>
            </w: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420"/>
              <w:spacing w:after="0"/>
              <w:rPr>
                <w:sz w:val="20"/>
                <w:szCs w:val="20"/>
                <w:color w:val="auto"/>
              </w:rPr>
            </w:pPr>
            <w:r>
              <w:rPr>
                <w:rFonts w:ascii="Arial" w:cs="Arial" w:eastAsia="Arial" w:hAnsi="Arial"/>
                <w:sz w:val="18"/>
                <w:szCs w:val="18"/>
                <w:color w:val="auto"/>
              </w:rPr>
              <w:t>Active Customers</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48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22.1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340" w:type="dxa"/>
            <w:vAlign w:val="bottom"/>
            <w:tcBorders>
              <w:bottom w:val="single" w:sz="8" w:color="CCEEFF"/>
            </w:tcBorders>
            <w:gridSpan w:val="2"/>
          </w:tcPr>
          <w:p>
            <w:pPr>
              <w:jc w:val="right"/>
              <w:ind w:right="161"/>
              <w:spacing w:after="0"/>
              <w:rPr>
                <w:sz w:val="20"/>
                <w:szCs w:val="20"/>
                <w:color w:val="auto"/>
              </w:rPr>
            </w:pPr>
            <w:r>
              <w:rPr>
                <w:rFonts w:ascii="Arial" w:cs="Arial" w:eastAsia="Arial" w:hAnsi="Arial"/>
                <w:sz w:val="18"/>
                <w:szCs w:val="18"/>
                <w:color w:val="auto"/>
              </w:rPr>
              <w:t>17.4</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1"/>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34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Active Accounts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5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70.1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73.8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(12,000)</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26.2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480" w:type="dxa"/>
            <w:vAlign w:val="bottom"/>
          </w:tcPr>
          <w:p>
            <w:pPr>
              <w:ind w:left="760"/>
              <w:spacing w:after="0"/>
              <w:rPr>
                <w:sz w:val="20"/>
                <w:szCs w:val="20"/>
                <w:color w:val="auto"/>
              </w:rPr>
            </w:pPr>
            <w:r>
              <w:rPr>
                <w:rFonts w:ascii="Arial" w:cs="Arial" w:eastAsia="Arial" w:hAnsi="Arial"/>
                <w:sz w:val="18"/>
                <w:szCs w:val="18"/>
                <w:color w:val="auto"/>
                <w:w w:val="98"/>
              </w:rPr>
              <w:t>Total Active Accounts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164,000</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and 2020</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We generated net revenue of $53.2 million and $54.8 million during the three months ended September 30, 2021 and 2020,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negatively impacted our revenue $0.1 million or 0.2% during the three months ended September 30, 2021.</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Americas</w:t>
      </w:r>
      <w:r>
        <w:rPr>
          <w:rFonts w:ascii="Arial" w:cs="Arial" w:eastAsia="Arial" w:hAnsi="Arial"/>
          <w:sz w:val="15"/>
          <w:szCs w:val="15"/>
          <w:color w:val="auto"/>
        </w:rPr>
        <w:t>. The following table sets forth revenue for the three months ended September 30, 2021 and 2020 for the Americas region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5"/>
        </w:trPr>
        <w:tc>
          <w:tcPr>
            <w:tcW w:w="50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7"/>
                <w:szCs w:val="17"/>
                <w:color w:val="auto"/>
              </w:rPr>
            </w:pPr>
          </w:p>
        </w:tc>
      </w:tr>
      <w:tr>
        <w:trPr>
          <w:trHeight w:val="223"/>
        </w:trPr>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3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34,297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36,108</w:t>
            </w:r>
          </w:p>
        </w:tc>
        <w:tc>
          <w:tcPr>
            <w:tcW w:w="1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0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82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Americas Total</w:t>
            </w:r>
          </w:p>
        </w:tc>
        <w:tc>
          <w:tcPr>
            <w:tcW w:w="13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36,449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38,675</w:t>
            </w:r>
          </w:p>
        </w:tc>
        <w:tc>
          <w:tcPr>
            <w:tcW w:w="18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right="40" w:firstLine="397"/>
        <w:spacing w:after="0" w:line="264" w:lineRule="auto"/>
        <w:rPr>
          <w:sz w:val="20"/>
          <w:szCs w:val="20"/>
          <w:color w:val="auto"/>
        </w:rPr>
      </w:pPr>
      <w:r>
        <w:rPr>
          <w:rFonts w:ascii="Arial" w:cs="Arial" w:eastAsia="Arial" w:hAnsi="Arial"/>
          <w:sz w:val="15"/>
          <w:szCs w:val="15"/>
          <w:color w:val="auto"/>
        </w:rPr>
        <w:t>Revenue in the Americas region for the three months ended September 30, 2021 decreased $2.2 million or 5.8% from the prior year period. Total Active Accounts decreased by 9.4% in the region compared to the prior year period which drove the decrease in revenue. Revenue decreases were partially offset due to an increase in average revenue per account, due in part to recent product launches and limited time product offers in place during the current year period.</w:t>
      </w:r>
    </w:p>
    <w:p>
      <w:pPr>
        <w:jc w:val="both"/>
        <w:ind w:right="260"/>
        <w:spacing w:after="0" w:line="282" w:lineRule="auto"/>
        <w:rPr>
          <w:sz w:val="20"/>
          <w:szCs w:val="20"/>
          <w:color w:val="auto"/>
        </w:rPr>
      </w:pPr>
      <w:r>
        <w:rPr>
          <w:rFonts w:ascii="Arial" w:cs="Arial" w:eastAsia="Arial" w:hAnsi="Arial"/>
          <w:sz w:val="15"/>
          <w:szCs w:val="15"/>
          <w:color w:val="auto"/>
        </w:rPr>
        <w:t>Our Independent Distributors have been forced to continually adapt to the changing business and social environments due to the COVID-19 pandemic. We remain committed to providing digital tools and support to our distributors to help them growth their businesses despite difficulties with in person meetings and events and are rolling out new hybrid in person and virtual meeting opportunities to provide better training and business support to our distributors.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3" w:name="page24"/>
    <w:bookmarkEnd w:id="23"/>
    <w:p>
      <w:pPr>
        <w:ind w:right="220" w:firstLine="397"/>
        <w:spacing w:after="0" w:line="263"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three months ended September 30, 2021 and 2020 for the Asia/Pacific &amp; Europe region and its principal markets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5"/>
        </w:trPr>
        <w:tc>
          <w:tcPr>
            <w:tcW w:w="5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auto"/>
            </w:tcBorders>
          </w:tcPr>
          <w:p>
            <w:pPr>
              <w:spacing w:after="0"/>
              <w:rPr>
                <w:sz w:val="17"/>
                <w:szCs w:val="17"/>
                <w:color w:val="auto"/>
              </w:rPr>
            </w:pPr>
          </w:p>
        </w:tc>
      </w:tr>
      <w:tr>
        <w:trPr>
          <w:trHeight w:val="223"/>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13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10,431</w:t>
            </w:r>
          </w:p>
        </w:tc>
        <w:tc>
          <w:tcPr>
            <w:tcW w:w="1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100" w:type="dxa"/>
            <w:vAlign w:val="bottom"/>
          </w:tcPr>
          <w:p>
            <w:pPr>
              <w:ind w:left="420"/>
              <w:spacing w:after="0"/>
              <w:rPr>
                <w:sz w:val="20"/>
                <w:szCs w:val="20"/>
                <w:color w:val="auto"/>
              </w:rPr>
            </w:pPr>
            <w:r>
              <w:rPr>
                <w:rFonts w:ascii="Arial" w:cs="Arial" w:eastAsia="Arial" w:hAnsi="Arial"/>
                <w:sz w:val="18"/>
                <w:szCs w:val="18"/>
                <w:color w:val="auto"/>
              </w:rPr>
              <w:t>Australia &amp; New Zealand</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2,503</w:t>
            </w:r>
          </w:p>
        </w:tc>
        <w:tc>
          <w:tcPr>
            <w:tcW w:w="1800" w:type="dxa"/>
            <w:vAlign w:val="bottom"/>
            <w:gridSpan w:val="2"/>
          </w:tcPr>
          <w:p>
            <w:pPr>
              <w:jc w:val="right"/>
              <w:ind w:right="210"/>
              <w:spacing w:after="0"/>
              <w:rPr>
                <w:sz w:val="20"/>
                <w:szCs w:val="20"/>
                <w:color w:val="auto"/>
              </w:rPr>
            </w:pPr>
            <w:r>
              <w:rPr>
                <w:rFonts w:ascii="Arial" w:cs="Arial" w:eastAsia="Arial" w:hAnsi="Arial"/>
                <w:sz w:val="18"/>
                <w:szCs w:val="18"/>
                <w:color w:val="auto"/>
              </w:rPr>
              <w:t>41.7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Greater China</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1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80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Asia/Pacific &amp; Europe Total</w:t>
            </w:r>
          </w:p>
        </w:tc>
        <w:tc>
          <w:tcPr>
            <w:tcW w:w="13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16,775</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16,152</w:t>
            </w:r>
          </w:p>
        </w:tc>
        <w:tc>
          <w:tcPr>
            <w:tcW w:w="18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ind w:firstLine="397"/>
        <w:spacing w:after="0" w:line="280" w:lineRule="auto"/>
        <w:rPr>
          <w:sz w:val="20"/>
          <w:szCs w:val="20"/>
          <w:color w:val="auto"/>
        </w:rPr>
      </w:pPr>
      <w:r>
        <w:rPr>
          <w:rFonts w:ascii="Arial" w:cs="Arial" w:eastAsia="Arial" w:hAnsi="Arial"/>
          <w:sz w:val="15"/>
          <w:szCs w:val="15"/>
          <w:color w:val="auto"/>
        </w:rPr>
        <w:t>Revenue in the Asia/Pacific &amp; Europe region increased $0.6 million or 3.9% for the three months ended September 30, 2021 as compared to the prior year period. Active Accounts in the region increased 8.9% compared to the prior year period. Japan revenues continue to be down slightly as compared to the prior year period due to continued restrictions in place for in person meetings and recruiting due to the COVID-19 pandemic. We continue to be encouraged by the results we are seeing in our Australia and New Zealand region due to continued distributor leadership development and advancement within the region.</w:t>
      </w:r>
    </w:p>
    <w:p>
      <w:pPr>
        <w:spacing w:after="0" w:line="94" w:lineRule="exact"/>
        <w:rPr>
          <w:sz w:val="20"/>
          <w:szCs w:val="20"/>
          <w:color w:val="auto"/>
        </w:rPr>
      </w:pPr>
    </w:p>
    <w:p>
      <w:pPr>
        <w:ind w:right="20" w:firstLine="397"/>
        <w:spacing w:after="0" w:line="311" w:lineRule="auto"/>
        <w:rPr>
          <w:sz w:val="20"/>
          <w:szCs w:val="20"/>
          <w:color w:val="auto"/>
        </w:rPr>
      </w:pPr>
      <w:r>
        <w:rPr>
          <w:rFonts w:ascii="Arial" w:cs="Arial" w:eastAsia="Arial" w:hAnsi="Arial"/>
          <w:sz w:val="15"/>
          <w:szCs w:val="15"/>
          <w:color w:val="auto"/>
        </w:rPr>
        <w:t>Overall, revenue in the Asia/Pacific &amp; Europe region was negatively impacted by foreign currency exchange rate fluctuations in the amount of approximately $0.3 million or 1.6% during the three months ended September 30, 2021 as compared to the prior year period, mainly due to currency fluctuations in Japan, partially offset by currency benefits in other markets within the region. Revenue in Japan was negatively impacted by foreign exchange rate fluctuations in the amount of approximately $0.4 million or 4.5% during the three months ended September 30, 2021 as compared to the prior year period. On a constant currency basis, revenue in Japan decreased 1.1% for the three months ended September 30, 2021 as compared to the prior year period.</w:t>
      </w:r>
    </w:p>
    <w:p>
      <w:pPr>
        <w:spacing w:after="0" w:line="72" w:lineRule="exact"/>
        <w:rPr>
          <w:sz w:val="20"/>
          <w:szCs w:val="20"/>
          <w:color w:val="auto"/>
        </w:rPr>
      </w:pPr>
    </w:p>
    <w:p>
      <w:pPr>
        <w:ind w:right="80" w:firstLine="397"/>
        <w:spacing w:after="0" w:line="308" w:lineRule="auto"/>
        <w:rPr>
          <w:sz w:val="20"/>
          <w:szCs w:val="20"/>
          <w:color w:val="auto"/>
        </w:rPr>
      </w:pPr>
      <w:r>
        <w:rPr>
          <w:rFonts w:ascii="Arial" w:cs="Arial" w:eastAsia="Arial" w:hAnsi="Arial"/>
          <w:sz w:val="15"/>
          <w:szCs w:val="15"/>
          <w:color w:val="auto"/>
        </w:rPr>
        <w:t>Globally, our sales and marketing efforts continue to be directed toward strengthening our core business through our fiscal year initiatives and building our worldwide revenue. In October 2021, we held our first major event with both in person and virtual attendance options since the start of the COVID-19 global pandemic and we plan to hold additional in person meetings throughout the year as we are able. During fiscal 2022, we also have plans for both future market expansion and continued product expansion, including the launch of our new LifeVantage IC Bright eye health product that we launched during our October global convention. We expect this launch and other continued expansion will drive revenue growth globally through increased average order size and increased ability to attract and retain new independent distributors and customers with a compelling product lineup.</w:t>
      </w:r>
    </w:p>
    <w:p>
      <w:pPr>
        <w:spacing w:after="0" w:line="166" w:lineRule="exact"/>
        <w:rPr>
          <w:sz w:val="20"/>
          <w:szCs w:val="20"/>
          <w:color w:val="auto"/>
        </w:rPr>
      </w:pPr>
    </w:p>
    <w:p>
      <w:pPr>
        <w:ind w:firstLine="397"/>
        <w:spacing w:after="0" w:line="22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September 30, 2021 and 2020 was 82.3% and 82.9%, respectively.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margins, as compared to the prior year period, is primarily due to increased inventory obsolescence expenses and increased shipping to customer expenses during the current year period as well as shifts in geographic and product sales mix.</w:t>
      </w:r>
    </w:p>
    <w:p>
      <w:pPr>
        <w:spacing w:after="0" w:line="121" w:lineRule="exact"/>
        <w:rPr>
          <w:sz w:val="20"/>
          <w:szCs w:val="20"/>
          <w:color w:val="auto"/>
        </w:rPr>
      </w:pPr>
    </w:p>
    <w:p>
      <w:pPr>
        <w:ind w:right="120" w:firstLine="397"/>
        <w:spacing w:after="0" w:line="311" w:lineRule="auto"/>
        <w:rPr>
          <w:sz w:val="20"/>
          <w:szCs w:val="20"/>
          <w:color w:val="auto"/>
        </w:rPr>
      </w:pPr>
      <w:r>
        <w:rPr>
          <w:rFonts w:ascii="Arial" w:cs="Arial" w:eastAsia="Arial" w:hAnsi="Arial"/>
          <w:sz w:val="15"/>
          <w:szCs w:val="15"/>
          <w:i w:val="1"/>
          <w:iCs w:val="1"/>
          <w:color w:val="auto"/>
        </w:rPr>
        <w:t xml:space="preserve">Commissions and Incentives. </w:t>
      </w:r>
      <w:r>
        <w:rPr>
          <w:rFonts w:ascii="Arial" w:cs="Arial" w:eastAsia="Arial" w:hAnsi="Arial"/>
          <w:sz w:val="15"/>
          <w:szCs w:val="15"/>
          <w:color w:val="auto"/>
        </w:rPr>
        <w:t>Commissions and incentives expenses during the three months ended September 30, 2021 were $24.1 million or 45.3%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as compared to $25.6 million or 46.8% of revenue for the three months ended September 30, 2020. The decrease in commissions and incentives expenses as a percentage of revenue for the three months ended September 30, 2021 compared to 2020 is due mainly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spacing w:after="0" w:line="85" w:lineRule="exact"/>
        <w:rPr>
          <w:sz w:val="20"/>
          <w:szCs w:val="20"/>
          <w:color w:val="auto"/>
        </w:rPr>
      </w:pPr>
    </w:p>
    <w:p>
      <w:pPr>
        <w:ind w:right="20" w:firstLine="397"/>
        <w:spacing w:after="0" w:line="308" w:lineRule="auto"/>
        <w:rPr>
          <w:sz w:val="20"/>
          <w:szCs w:val="20"/>
          <w:color w:val="auto"/>
        </w:rPr>
      </w:pPr>
      <w:r>
        <w:rPr>
          <w:rFonts w:ascii="Arial" w:cs="Arial" w:eastAsia="Arial" w:hAnsi="Arial"/>
          <w:sz w:val="15"/>
          <w:szCs w:val="15"/>
          <w:i w:val="1"/>
          <w:iCs w:val="1"/>
          <w:color w:val="auto"/>
        </w:rPr>
        <w:t xml:space="preserve">Selling, General and Administrative. </w:t>
      </w:r>
      <w:r>
        <w:rPr>
          <w:rFonts w:ascii="Arial" w:cs="Arial" w:eastAsia="Arial" w:hAnsi="Arial"/>
          <w:sz w:val="15"/>
          <w:szCs w:val="15"/>
          <w:color w:val="auto"/>
        </w:rPr>
        <w:t>Selling, general and administrative expenses during the three months ended September 30, 2021 were $15.1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or 28.3% of revenue as compared to $16.3 million or 29.7% of revenue for the three months ended September 30, 2020. The decrease in selling, general and administrative expenses during the three months ended September 30, 2021 compared to the prior year period is primarily due to decreased executive severance and transition expenses, legal expenses, and a reduction in depreciation in corporate office leasehold improvements due to the exercise of an early termination clause in our Sandy, Utah corporate office lease during the three months ended September 30, 2020. These decreases were offset by increases in event and travel expenses as restrictions related to the COVID-19 pandemic have begun to ease.</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expect selling, general and administrative expenses, as a percent of revenue, to remain steady during the remainder of the fiscal year.</w:t>
      </w:r>
    </w:p>
    <w:p>
      <w:pPr>
        <w:spacing w:after="0" w:line="161" w:lineRule="exact"/>
        <w:rPr>
          <w:sz w:val="20"/>
          <w:szCs w:val="20"/>
          <w:color w:val="auto"/>
        </w:rPr>
      </w:pPr>
    </w:p>
    <w:p>
      <w:pPr>
        <w:ind w:right="160" w:firstLine="436"/>
        <w:spacing w:after="0" w:line="263"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2021, we recognized total other expense of $0.2 million as compared to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$0.1 million for the three months ended September 30, 2020. Total other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for the three months ended September 30, 2021 and 2020 consisted primarily of foreign currency gains and losses and interest expense.</w:t>
      </w:r>
    </w:p>
    <w:p>
      <w:pPr>
        <w:spacing w:after="0" w:line="137" w:lineRule="exact"/>
        <w:rPr>
          <w:sz w:val="20"/>
          <w:szCs w:val="20"/>
          <w:color w:val="auto"/>
        </w:rPr>
      </w:pPr>
    </w:p>
    <w:p>
      <w:pPr>
        <w:ind w:right="40" w:firstLine="397"/>
        <w:spacing w:after="0" w:line="263"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income tax expense of $1.1 million for the three months ended September 30, 2021, as compared to $0.9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2020.</w:t>
      </w:r>
    </w:p>
    <w:p>
      <w:pPr>
        <w:spacing w:after="0" w:line="115"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effective tax rate was 25.2% of pre-tax income during the three months ended September 30, 2021, compared to 26.8% for the prior year period. The change in the tax rate for the three months ended September 30, 2021 was mainly due to more favorable tax deductions, relative to pre-tax income during the current year, as compared to the prior year period.</w:t>
      </w:r>
    </w:p>
    <w:p>
      <w:pPr>
        <w:spacing w:after="0" w:line="123" w:lineRule="exact"/>
        <w:rPr>
          <w:sz w:val="20"/>
          <w:szCs w:val="20"/>
          <w:color w:val="auto"/>
        </w:rPr>
      </w:pPr>
    </w:p>
    <w:p>
      <w:pPr>
        <w:ind w:right="300" w:firstLine="397"/>
        <w:spacing w:after="0" w:line="254" w:lineRule="auto"/>
        <w:rPr>
          <w:sz w:val="20"/>
          <w:szCs w:val="20"/>
          <w:color w:val="auto"/>
        </w:rPr>
      </w:pPr>
      <w:r>
        <w:rPr>
          <w:rFonts w:ascii="Arial" w:cs="Arial" w:eastAsia="Arial" w:hAnsi="Arial"/>
          <w:sz w:val="18"/>
          <w:szCs w:val="18"/>
          <w:color w:val="auto"/>
        </w:rPr>
        <w:t>We expect that our effective tax rate will fluctuate slightly during the remainder of fiscal 2022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50"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112"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color w:val="auto"/>
        </w:rPr>
        <w:t>As of September 30, 2021, our available liquidity was $19.9 million, which consisted of available cash and cash equivalents. This represents a decrease of $3.2 million from the $23.2 million in cash and cash equivalents as of June 30, 2021.</w:t>
      </w:r>
    </w:p>
    <w:p>
      <w:pPr>
        <w:spacing w:after="0" w:line="115" w:lineRule="exact"/>
        <w:rPr>
          <w:sz w:val="20"/>
          <w:szCs w:val="20"/>
          <w:color w:val="auto"/>
        </w:rPr>
      </w:pPr>
    </w:p>
    <w:p>
      <w:pPr>
        <w:ind w:right="200" w:firstLine="397"/>
        <w:spacing w:after="0" w:line="263" w:lineRule="auto"/>
        <w:rPr>
          <w:sz w:val="20"/>
          <w:szCs w:val="20"/>
          <w:color w:val="auto"/>
        </w:rPr>
      </w:pPr>
      <w:r>
        <w:rPr>
          <w:rFonts w:ascii="Arial" w:cs="Arial" w:eastAsia="Arial" w:hAnsi="Arial"/>
          <w:sz w:val="18"/>
          <w:szCs w:val="18"/>
          <w:color w:val="auto"/>
        </w:rPr>
        <w:t>During the three months ended September 30, 2021, our net cash provided by operating activities was $0.5 million as compared to our net cash used in operating activities of $1.1 million during the three months ended September 30, 2020.</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During the three months ended September 30, 2021, our net cash used in investing activities was $0.4 million, as a result of the purchase of fixed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months ended September 30, 2020, our net cash used in investing activities was $1.0 million, as a result of the purchase of fixed assets.</w:t>
      </w:r>
    </w:p>
    <w:p>
      <w:pPr>
        <w:spacing w:after="0" w:line="160" w:lineRule="exact"/>
        <w:rPr>
          <w:sz w:val="20"/>
          <w:szCs w:val="20"/>
          <w:color w:val="auto"/>
        </w:rPr>
      </w:pPr>
    </w:p>
    <w:p>
      <w:pPr>
        <w:ind w:right="80" w:firstLine="397"/>
        <w:spacing w:after="0" w:line="268" w:lineRule="auto"/>
        <w:rPr>
          <w:sz w:val="20"/>
          <w:szCs w:val="20"/>
          <w:color w:val="auto"/>
        </w:rPr>
      </w:pPr>
      <w:r>
        <w:rPr>
          <w:rFonts w:ascii="Arial" w:cs="Arial" w:eastAsia="Arial" w:hAnsi="Arial"/>
          <w:sz w:val="17"/>
          <w:szCs w:val="17"/>
          <w:color w:val="auto"/>
        </w:rPr>
        <w:t>Cash used in financing activities during the three months ended September 30, 2021 was $3.3 million as a result of our repurchase of common stock and shares purchased as payment of tax withholding upon vesting of equity awards, partially offset by proceeds from stock issued under our employee stock purchase plan and stock option exercises. Cash used in financing activities during the three months ended September 30, 2020 was $2.2 million as a result of our repurchase of common stock, and shares purchased as payment of tax withholding upon vesting of equity awards, partially offset by proceeds from stock issued under our employee stock purchase plan and stock option exercises.</w:t>
      </w:r>
    </w:p>
    <w:p>
      <w:pPr>
        <w:spacing w:after="0" w:line="112" w:lineRule="exact"/>
        <w:rPr>
          <w:sz w:val="20"/>
          <w:szCs w:val="20"/>
          <w:color w:val="auto"/>
        </w:rPr>
      </w:pPr>
    </w:p>
    <w:p>
      <w:pPr>
        <w:jc w:val="both"/>
        <w:ind w:right="160" w:firstLine="397"/>
        <w:spacing w:after="0" w:line="329" w:lineRule="auto"/>
        <w:rPr>
          <w:sz w:val="20"/>
          <w:szCs w:val="20"/>
          <w:color w:val="auto"/>
        </w:rPr>
      </w:pPr>
      <w:r>
        <w:rPr>
          <w:rFonts w:ascii="Arial" w:cs="Arial" w:eastAsia="Arial" w:hAnsi="Arial"/>
          <w:sz w:val="15"/>
          <w:szCs w:val="15"/>
          <w:color w:val="auto"/>
        </w:rPr>
        <w:t>At September 30, 2021 and June 30, 2021, the total amount of our foreign subsidiary cash was $12.1 million and $9.2 million, respectively. The federal tax reform legislation that was passed into law during December 2017 enacted a 100% dividend deduction for &gt; 10% owned foreign corporations. Therefore, in the future, if needed, we expect to be able to repatriate cash from foreign subsidiaries without paying additional U.S. taxes.</w:t>
      </w:r>
    </w:p>
    <w:p>
      <w:pPr>
        <w:spacing w:after="0" w:line="71" w:lineRule="exact"/>
        <w:rPr>
          <w:sz w:val="20"/>
          <w:szCs w:val="20"/>
          <w:color w:val="auto"/>
        </w:rPr>
      </w:pPr>
    </w:p>
    <w:p>
      <w:pPr>
        <w:ind w:right="40" w:firstLine="397"/>
        <w:spacing w:after="0" w:line="304" w:lineRule="auto"/>
        <w:rPr>
          <w:sz w:val="20"/>
          <w:szCs w:val="20"/>
          <w:color w:val="auto"/>
        </w:rPr>
      </w:pPr>
      <w:r>
        <w:rPr>
          <w:rFonts w:ascii="Arial" w:cs="Arial" w:eastAsia="Arial" w:hAnsi="Arial"/>
          <w:sz w:val="15"/>
          <w:szCs w:val="15"/>
          <w:color w:val="auto"/>
        </w:rPr>
        <w:t>At September 30, 2021, we had working capital (current assets minus current liabilities) of $22.6 million, compared to working capital of $22.9 million at June 30, 2021.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0"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p>
      <w:pPr>
        <w:ind w:right="800"/>
        <w:spacing w:after="0" w:line="263" w:lineRule="auto"/>
        <w:rPr>
          <w:sz w:val="20"/>
          <w:szCs w:val="20"/>
          <w:color w:val="auto"/>
        </w:rPr>
      </w:pPr>
      <w:r>
        <w:rPr>
          <w:rFonts w:ascii="Arial" w:cs="Arial" w:eastAsia="Arial" w:hAnsi="Arial"/>
          <w:sz w:val="18"/>
          <w:szCs w:val="18"/>
          <w:color w:val="auto"/>
        </w:rPr>
        <w:t>among other purposes, working capital, capital expenditures, other corporate expenses and acquisitions of assets, licenses, products, technologies or businesses.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0"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May 4, 2018, we entered into a loan modification agreement, which amended the 2016 Credit Facility (“Amendment No. 1”). Amendment No. 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revised the maturity date from March 30, 2019 to March 31, 2021 and increased the fixed interest rate for the term loan from 4.93% to 5.68%. Amendment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No. 1 also revised certain financial covenants. The minimum fixed charge coverage ratio (as defined in Amendment No. 1) was revised from a minimum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1.50 to 1.00 to 1.25 to 1.00, measured on a trailing twelve-month basis, at the end of each fiscal quarter. The minimum working capital was increased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 million to $8.0 million. The funded debt to EBITDA ratio was replaced with the total liabilities to tangible net worth ratio (as defined in Amendment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 of not greater than 3.00 to 1.00 at the end of each quarter. The minimum tangible net worth measure was removed from the financial covenants.</w:t>
      </w:r>
    </w:p>
    <w:p>
      <w:pPr>
        <w:spacing w:after="0" w:line="150"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101"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2021, we were in compliance with all applicable non-financial and restrictive covenants under the 2016 Credit Facility, as amended.</w:t>
      </w:r>
    </w:p>
    <w:p>
      <w:pPr>
        <w:spacing w:after="0" w:line="112" w:lineRule="exact"/>
        <w:rPr>
          <w:sz w:val="20"/>
          <w:szCs w:val="20"/>
          <w:color w:val="auto"/>
        </w:rPr>
      </w:pPr>
    </w:p>
    <w:p>
      <w:pPr>
        <w:ind w:right="40" w:firstLine="397"/>
        <w:spacing w:after="0" w:line="263"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15" w:lineRule="exact"/>
        <w:rPr>
          <w:sz w:val="20"/>
          <w:szCs w:val="20"/>
          <w:color w:val="auto"/>
        </w:rPr>
      </w:pPr>
    </w:p>
    <w:p>
      <w:pPr>
        <w:ind w:left="640" w:right="380" w:hanging="317"/>
        <w:spacing w:after="0" w:line="263"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1" w:lineRule="exact"/>
        <w:rPr>
          <w:rFonts w:ascii="Arial" w:cs="Arial" w:eastAsia="Arial" w:hAnsi="Arial"/>
          <w:sz w:val="18"/>
          <w:szCs w:val="18"/>
          <w:color w:val="auto"/>
        </w:rPr>
      </w:pPr>
    </w:p>
    <w:p>
      <w:pPr>
        <w:ind w:left="640" w:right="320" w:hanging="317"/>
        <w:spacing w:after="0" w:line="263"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114" w:lineRule="exact"/>
        <w:rPr>
          <w:rFonts w:ascii="Arial" w:cs="Arial" w:eastAsia="Arial" w:hAnsi="Arial"/>
          <w:sz w:val="18"/>
          <w:szCs w:val="18"/>
          <w:color w:val="auto"/>
        </w:rPr>
      </w:pPr>
    </w:p>
    <w:p>
      <w:pPr>
        <w:ind w:left="640" w:right="160" w:hanging="317"/>
        <w:spacing w:after="0" w:line="263"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ratio of debt (total liabilities) to tangible net worth (as defined in the 2016 Loan Agreement, as amended) of not greater than 2.00 to 1.00 at the end of each quarter, measured on a trailing twelve month basis.</w:t>
      </w:r>
    </w:p>
    <w:p>
      <w:pPr>
        <w:spacing w:after="0" w:line="115" w:lineRule="exact"/>
        <w:rPr>
          <w:sz w:val="20"/>
          <w:szCs w:val="20"/>
          <w:color w:val="auto"/>
        </w:rPr>
      </w:pPr>
    </w:p>
    <w:p>
      <w:pPr>
        <w:ind w:right="440" w:firstLine="397"/>
        <w:spacing w:after="0" w:line="364" w:lineRule="auto"/>
        <w:rPr>
          <w:sz w:val="20"/>
          <w:szCs w:val="20"/>
          <w:color w:val="auto"/>
        </w:rPr>
      </w:pPr>
      <w:r>
        <w:rPr>
          <w:rFonts w:ascii="Arial" w:cs="Arial" w:eastAsia="Arial" w:hAnsi="Arial"/>
          <w:sz w:val="15"/>
          <w:szCs w:val="15"/>
          <w:color w:val="auto"/>
        </w:rPr>
        <w:t>As of September 30, 2021,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6" w:name="page27"/>
    <w:bookmarkEnd w:id="26"/>
    <w:p>
      <w:pPr>
        <w:ind w:right="260" w:firstLine="397"/>
        <w:spacing w:after="0" w:line="263"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2021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vMerge w:val="restart"/>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Less than</w:t>
            </w:r>
          </w:p>
        </w:tc>
        <w:tc>
          <w:tcPr>
            <w:tcW w:w="580" w:type="dxa"/>
            <w:vAlign w:val="bottom"/>
          </w:tcPr>
          <w:p>
            <w:pPr>
              <w:spacing w:after="0"/>
              <w:rPr>
                <w:sz w:val="11"/>
                <w:szCs w:val="11"/>
                <w:color w:val="auto"/>
              </w:rPr>
            </w:pPr>
          </w:p>
        </w:tc>
        <w:tc>
          <w:tcPr>
            <w:tcW w:w="9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8"/>
              </w:rPr>
              <w:t>1 year</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0" w:type="dxa"/>
            <w:vAlign w:val="bottom"/>
          </w:tcPr>
          <w:p>
            <w:pPr>
              <w:spacing w:after="0"/>
              <w:rPr>
                <w:sz w:val="1"/>
                <w:szCs w:val="1"/>
                <w:color w:val="auto"/>
              </w:rPr>
            </w:pPr>
          </w:p>
        </w:tc>
      </w:tr>
      <w:tr>
        <w:trPr>
          <w:trHeight w:val="225"/>
        </w:trPr>
        <w:tc>
          <w:tcPr>
            <w:tcW w:w="3140" w:type="dxa"/>
            <w:vAlign w:val="bottom"/>
            <w:gridSpan w:val="2"/>
          </w:tcPr>
          <w:p>
            <w:pPr>
              <w:ind w:left="420"/>
              <w:spacing w:after="0" w:line="225"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2"/>
                <w:szCs w:val="22"/>
                <w:color w:val="auto"/>
                <w:vertAlign w:val="superscript"/>
              </w:rPr>
              <w:t>(1)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tcBorders>
              <w:top w:val="single" w:sz="8" w:color="CCEEFF"/>
              <w:bottom w:val="single" w:sz="8" w:color="CCEEFF"/>
            </w:tcBorders>
            <w:gridSpan w:val="2"/>
            <w:shd w:val="clear" w:color="auto" w:fill="CCEEFF"/>
          </w:tcPr>
          <w:p>
            <w:pPr>
              <w:ind w:left="420"/>
              <w:spacing w:after="0" w:line="204"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 Other operating obligations represent contractual obligations primarily related to marketing and sponsorship commitments and purchases of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2021, we did not have any off-balance sheet arrangements.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6"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0" w:lineRule="exact"/>
        <w:rPr>
          <w:sz w:val="20"/>
          <w:szCs w:val="20"/>
          <w:color w:val="auto"/>
        </w:rPr>
      </w:pPr>
    </w:p>
    <w:p>
      <w:pPr>
        <w:ind w:right="120" w:firstLine="397"/>
        <w:spacing w:after="0" w:line="27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50" w:lineRule="exact"/>
        <w:rPr>
          <w:sz w:val="20"/>
          <w:szCs w:val="20"/>
          <w:color w:val="auto"/>
        </w:rPr>
      </w:pPr>
    </w:p>
    <w:p>
      <w:pPr>
        <w:ind w:right="180" w:firstLine="397"/>
        <w:spacing w:after="0" w:line="249"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September 30, 2021, our shipments of products sold totaling approximately $19.3 million were subject to the return policy.</w:t>
      </w:r>
    </w:p>
    <w:p>
      <w:pPr>
        <w:spacing w:after="0" w:line="129"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$0.1 million at September 30, 2021, compared with $0.2 million at June 30, 2021.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50" w:lineRule="exact"/>
        <w:rPr>
          <w:sz w:val="20"/>
          <w:szCs w:val="20"/>
          <w:color w:val="auto"/>
        </w:rPr>
      </w:pPr>
    </w:p>
    <w:p>
      <w:pPr>
        <w:ind w:firstLine="397"/>
        <w:spacing w:after="0" w:line="317" w:lineRule="auto"/>
        <w:rPr>
          <w:sz w:val="20"/>
          <w:szCs w:val="20"/>
          <w:color w:val="auto"/>
        </w:rPr>
      </w:pPr>
      <w:r>
        <w:rPr>
          <w:rFonts w:ascii="Arial" w:cs="Arial" w:eastAsia="Arial" w:hAnsi="Arial"/>
          <w:sz w:val="15"/>
          <w:szCs w:val="15"/>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80" w:lineRule="exact"/>
        <w:rPr>
          <w:sz w:val="20"/>
          <w:szCs w:val="20"/>
          <w:color w:val="auto"/>
        </w:rPr>
      </w:pPr>
    </w:p>
    <w:p>
      <w:pPr>
        <w:ind w:right="340" w:firstLine="397"/>
        <w:spacing w:after="0" w:line="263" w:lineRule="auto"/>
        <w:rPr>
          <w:sz w:val="20"/>
          <w:szCs w:val="20"/>
          <w:color w:val="auto"/>
        </w:rPr>
      </w:pPr>
      <w:r>
        <w:rPr>
          <w:rFonts w:ascii="Arial" w:cs="Arial" w:eastAsia="Arial" w:hAnsi="Arial"/>
          <w:sz w:val="18"/>
          <w:szCs w:val="18"/>
          <w:color w:val="auto"/>
        </w:rPr>
        <w:t>During the three months ended September 30, 2021 and 2020, we recognized expenses of approximately $0.3 million and $0.1 million, respectively, related to obsolete and slow-moving inventory.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Revenue Recognition</w:t>
      </w:r>
    </w:p>
    <w:p>
      <w:pPr>
        <w:spacing w:after="0" w:line="137" w:lineRule="exact"/>
        <w:rPr>
          <w:sz w:val="20"/>
          <w:szCs w:val="20"/>
          <w:color w:val="auto"/>
        </w:rPr>
      </w:pPr>
    </w:p>
    <w:p>
      <w:pPr>
        <w:ind w:right="12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37"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6"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56" w:lineRule="exact"/>
        <w:rPr>
          <w:sz w:val="20"/>
          <w:szCs w:val="20"/>
          <w:color w:val="auto"/>
        </w:rPr>
      </w:pPr>
    </w:p>
    <w:p>
      <w:pPr>
        <w:ind w:right="60" w:firstLine="397"/>
        <w:spacing w:after="0" w:line="262" w:lineRule="auto"/>
        <w:rPr>
          <w:sz w:val="20"/>
          <w:szCs w:val="20"/>
          <w:color w:val="auto"/>
        </w:rPr>
      </w:pPr>
      <w:r>
        <w:rPr>
          <w:rFonts w:ascii="Arial" w:cs="Arial" w:eastAsia="Arial" w:hAnsi="Arial"/>
          <w:sz w:val="17"/>
          <w:szCs w:val="17"/>
          <w:color w:val="auto"/>
        </w:rPr>
        <w:t>During the three months ended September 30, 2021, approximately 36%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2021, we did not have any derivative instruments. A 10% strengthening of the U.S. dollar compared to all of the foreign currencies in which we transact business would have resulted in a 3.2% decrease of our three months ended September 30, 2021 revenue, in the amount of $1.7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6"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8" w:name="page29"/>
    <w:bookmarkEnd w:id="28"/>
    <w:p>
      <w:pPr>
        <w:ind w:right="100"/>
        <w:spacing w:after="0" w:line="317" w:lineRule="auto"/>
        <w:rPr>
          <w:sz w:val="20"/>
          <w:szCs w:val="20"/>
          <w:color w:val="auto"/>
        </w:rPr>
      </w:pPr>
      <w:r>
        <w:rPr>
          <w:rFonts w:ascii="Arial" w:cs="Arial" w:eastAsia="Arial" w:hAnsi="Arial"/>
          <w:sz w:val="15"/>
          <w:szCs w:val="15"/>
          <w:color w:val="auto"/>
        </w:rPr>
        <w:t>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6" w:lineRule="exact"/>
        <w:rPr>
          <w:sz w:val="20"/>
          <w:szCs w:val="20"/>
          <w:color w:val="auto"/>
        </w:rPr>
      </w:pPr>
    </w:p>
    <w:p>
      <w:pPr>
        <w:ind w:right="120" w:firstLine="397"/>
        <w:spacing w:after="0" w:line="263" w:lineRule="auto"/>
        <w:rPr>
          <w:sz w:val="20"/>
          <w:szCs w:val="20"/>
          <w:color w:val="auto"/>
        </w:rPr>
      </w:pPr>
      <w:r>
        <w:rPr>
          <w:rFonts w:ascii="Arial" w:cs="Arial" w:eastAsia="Arial" w:hAnsi="Arial"/>
          <w:sz w:val="18"/>
          <w:szCs w:val="18"/>
          <w:color w:val="auto"/>
        </w:rPr>
        <w:t>There were no changes in our internal controls over financial reporting during the quarter ended September 30, 2021 that have materially affected or are reasonably likely to materially affect our internal controls over financial reporting.</w:t>
      </w:r>
    </w:p>
    <w:p>
      <w:pPr>
        <w:spacing w:after="0" w:line="115" w:lineRule="exact"/>
        <w:rPr>
          <w:sz w:val="20"/>
          <w:szCs w:val="20"/>
          <w:color w:val="auto"/>
        </w:rPr>
      </w:pPr>
    </w:p>
    <w:p>
      <w:pPr>
        <w:ind w:right="200" w:firstLine="397"/>
        <w:spacing w:after="0" w:line="249"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2021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56"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6" w:lineRule="exact"/>
        <w:rPr>
          <w:sz w:val="20"/>
          <w:szCs w:val="20"/>
          <w:color w:val="auto"/>
        </w:rPr>
      </w:pPr>
    </w:p>
    <w:p>
      <w:pPr>
        <w:ind w:right="360" w:firstLine="397"/>
        <w:spacing w:after="0" w:line="263"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3"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2021, filed on August 19, 2021.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6"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On November 27, 2017, our Board of Directors approved a stock repurchase plan, as amended on February 1, 2019 and August 27, 2020. Under the plan, we are authorized to repurchase up to $35.0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September 30, 2021, we repurchased 0.5 million shares of our common stock on the open market at an aggregate purchase price of $3.5 million under this repurchase program.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ind w:right="180" w:firstLine="397"/>
        <w:spacing w:after="0" w:line="263"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September 30, 2021. All purchases listed below were made in the open market at prevailing market prices.</w:t>
      </w:r>
    </w:p>
    <w:tbl>
      <w:tblPr>
        <w:tblLayout w:type="fixed"/>
        <w:tblInd w:w="0" w:type="dxa"/>
        <w:tblCellMar>
          <w:top w:w="0" w:type="dxa"/>
          <w:left w:w="0" w:type="dxa"/>
          <w:bottom w:w="0" w:type="dxa"/>
          <w:right w:w="0" w:type="dxa"/>
        </w:tblCellMar>
      </w:tblPr>
      <w:tr>
        <w:trPr>
          <w:trHeight w:val="180"/>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right"/>
              <w:ind w:right="32"/>
              <w:spacing w:after="0" w:line="180"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2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Maximum Dollar Value</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4"/>
              </w:rPr>
              <w:t>Shares Purchased as</w:t>
            </w:r>
          </w:p>
        </w:tc>
        <w:tc>
          <w:tcPr>
            <w:tcW w:w="10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4"/>
                <w:szCs w:val="14"/>
                <w:color w:val="auto"/>
              </w:rPr>
            </w:pPr>
          </w:p>
        </w:tc>
        <w:tc>
          <w:tcPr>
            <w:tcW w:w="232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4"/>
              </w:rPr>
              <w:t>Average Price Paid Per</w:t>
            </w: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0"/>
              </w:rPr>
              <w:t>Part of Publicly</w:t>
            </w:r>
          </w:p>
        </w:tc>
        <w:tc>
          <w:tcPr>
            <w:tcW w:w="100" w:type="dxa"/>
            <w:vAlign w:val="bottom"/>
          </w:tcPr>
          <w:p>
            <w:pPr>
              <w:spacing w:after="0"/>
              <w:rPr>
                <w:sz w:val="14"/>
                <w:szCs w:val="14"/>
                <w:color w:val="auto"/>
              </w:rPr>
            </w:pPr>
          </w:p>
        </w:tc>
        <w:tc>
          <w:tcPr>
            <w:tcW w:w="23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8"/>
              </w:rPr>
              <w:t>of Shares that May Yet Be</w:t>
            </w:r>
          </w:p>
        </w:tc>
        <w:tc>
          <w:tcPr>
            <w:tcW w:w="0" w:type="dxa"/>
            <w:vAlign w:val="bottom"/>
          </w:tcPr>
          <w:p>
            <w:pPr>
              <w:spacing w:after="0"/>
              <w:rPr>
                <w:sz w:val="1"/>
                <w:szCs w:val="1"/>
                <w:color w:val="auto"/>
              </w:rPr>
            </w:pPr>
          </w:p>
        </w:tc>
      </w:tr>
      <w:tr>
        <w:trPr>
          <w:trHeight w:val="172"/>
        </w:trPr>
        <w:tc>
          <w:tcPr>
            <w:tcW w:w="242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7"/>
              </w:rPr>
              <w:t>Announced Plans or</w:t>
            </w:r>
          </w:p>
        </w:tc>
        <w:tc>
          <w:tcPr>
            <w:tcW w:w="100" w:type="dxa"/>
            <w:vAlign w:val="bottom"/>
          </w:tcPr>
          <w:p>
            <w:pPr>
              <w:spacing w:after="0"/>
              <w:rPr>
                <w:sz w:val="14"/>
                <w:szCs w:val="14"/>
                <w:color w:val="auto"/>
              </w:rPr>
            </w:pPr>
          </w:p>
        </w:tc>
        <w:tc>
          <w:tcPr>
            <w:tcW w:w="2320" w:type="dxa"/>
            <w:vAlign w:val="bottom"/>
            <w:gridSpan w:val="2"/>
          </w:tcPr>
          <w:p>
            <w:pPr>
              <w:jc w:val="center"/>
              <w:spacing w:after="0" w:line="172" w:lineRule="exact"/>
              <w:rPr>
                <w:sz w:val="20"/>
                <w:szCs w:val="20"/>
                <w:color w:val="auto"/>
              </w:rPr>
            </w:pPr>
            <w:r>
              <w:rPr>
                <w:rFonts w:ascii="Arial" w:cs="Arial" w:eastAsia="Arial" w:hAnsi="Arial"/>
                <w:sz w:val="18"/>
                <w:szCs w:val="18"/>
                <w:b w:val="1"/>
                <w:bCs w:val="1"/>
                <w:color w:val="auto"/>
                <w:w w:val="87"/>
              </w:rPr>
              <w:t>Purchased Under the Plans or</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18"/>
        </w:trPr>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1 - July 31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113,981</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113,981</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10,669,175</w:t>
            </w:r>
          </w:p>
        </w:tc>
        <w:tc>
          <w:tcPr>
            <w:tcW w:w="0" w:type="dxa"/>
            <w:vAlign w:val="bottom"/>
          </w:tcPr>
          <w:p>
            <w:pPr>
              <w:spacing w:after="0"/>
              <w:rPr>
                <w:sz w:val="1"/>
                <w:szCs w:val="1"/>
                <w:color w:val="auto"/>
              </w:rPr>
            </w:pPr>
          </w:p>
        </w:tc>
      </w:tr>
      <w:tr>
        <w:trPr>
          <w:trHeight w:val="224"/>
        </w:trPr>
        <w:tc>
          <w:tcPr>
            <w:tcW w:w="2520" w:type="dxa"/>
            <w:vAlign w:val="bottom"/>
            <w:gridSpan w:val="2"/>
          </w:tcPr>
          <w:p>
            <w:pPr>
              <w:ind w:left="420"/>
              <w:spacing w:after="0"/>
              <w:rPr>
                <w:sz w:val="20"/>
                <w:szCs w:val="20"/>
                <w:color w:val="auto"/>
              </w:rPr>
            </w:pPr>
            <w:r>
              <w:rPr>
                <w:rFonts w:ascii="Arial" w:cs="Arial" w:eastAsia="Arial" w:hAnsi="Arial"/>
                <w:sz w:val="18"/>
                <w:szCs w:val="18"/>
                <w:color w:val="auto"/>
              </w:rPr>
              <w:t>August 1 - August31</w:t>
            </w:r>
          </w:p>
        </w:tc>
        <w:tc>
          <w:tcPr>
            <w:tcW w:w="1880" w:type="dxa"/>
            <w:vAlign w:val="bottom"/>
          </w:tcPr>
          <w:p>
            <w:pPr>
              <w:jc w:val="right"/>
              <w:spacing w:after="0"/>
              <w:rPr>
                <w:sz w:val="20"/>
                <w:szCs w:val="20"/>
                <w:color w:val="auto"/>
              </w:rPr>
            </w:pPr>
            <w:r>
              <w:rPr>
                <w:rFonts w:ascii="Arial" w:cs="Arial" w:eastAsia="Arial" w:hAnsi="Arial"/>
                <w:sz w:val="18"/>
                <w:szCs w:val="18"/>
                <w:color w:val="auto"/>
              </w:rPr>
              <w:t>170,754</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170,754</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9,369,322</w:t>
            </w:r>
          </w:p>
        </w:tc>
        <w:tc>
          <w:tcPr>
            <w:tcW w:w="0" w:type="dxa"/>
            <w:vAlign w:val="bottom"/>
          </w:tcPr>
          <w:p>
            <w:pPr>
              <w:spacing w:after="0"/>
              <w:rPr>
                <w:sz w:val="1"/>
                <w:szCs w:val="1"/>
                <w:color w:val="auto"/>
              </w:rPr>
            </w:pPr>
          </w:p>
        </w:tc>
      </w:tr>
      <w:tr>
        <w:trPr>
          <w:trHeight w:val="225"/>
        </w:trPr>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September 1 -September 30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175,049</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175,049</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8,015,878</w:t>
            </w:r>
          </w:p>
        </w:tc>
        <w:tc>
          <w:tcPr>
            <w:tcW w:w="0" w:type="dxa"/>
            <w:vAlign w:val="bottom"/>
          </w:tcPr>
          <w:p>
            <w:pPr>
              <w:spacing w:after="0"/>
              <w:rPr>
                <w:sz w:val="1"/>
                <w:szCs w:val="1"/>
                <w:color w:val="auto"/>
              </w:rPr>
            </w:pPr>
          </w:p>
        </w:tc>
      </w:tr>
      <w:tr>
        <w:trPr>
          <w:trHeight w:val="218"/>
        </w:trPr>
        <w:tc>
          <w:tcPr>
            <w:tcW w:w="25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459,784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459,784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02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4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276"/>
        </w:trPr>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Certificate of Incorporation, as filed with the Delaware Secretary of</w:t>
              </w:r>
            </w:hyperlink>
          </w:p>
        </w:tc>
        <w:tc>
          <w:tcPr>
            <w:tcW w:w="4440" w:type="dxa"/>
            <w:vAlign w:val="bottom"/>
          </w:tcPr>
          <w:p>
            <w:pPr>
              <w:ind w:left="20"/>
              <w:spacing w:after="0"/>
              <w:rPr>
                <w:sz w:val="20"/>
                <w:szCs w:val="20"/>
                <w:color w:val="auto"/>
              </w:rPr>
            </w:pPr>
            <w:r>
              <w:rPr>
                <w:rFonts w:ascii="Arial" w:cs="Arial" w:eastAsia="Arial" w:hAnsi="Arial"/>
                <w:sz w:val="18"/>
                <w:szCs w:val="18"/>
                <w:color w:val="auto"/>
                <w:w w:val="91"/>
              </w:rPr>
              <w:t>Exhibit 3.1 to the Current Report on Form 8-K filed on March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49">
              <w:r>
                <w:rPr>
                  <w:rFonts w:ascii="Arial" w:cs="Arial" w:eastAsia="Arial" w:hAnsi="Arial"/>
                  <w:sz w:val="17"/>
                  <w:szCs w:val="17"/>
                  <w:color w:val="0000FF"/>
                  <w:w w:val="92"/>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Arial" w:cs="Arial" w:eastAsia="Arial" w:hAnsi="Arial"/>
                <w:sz w:val="17"/>
                <w:szCs w:val="17"/>
                <w:color w:val="auto"/>
              </w:rPr>
              <w:t>13, 2018.</w:t>
            </w: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Bylaws, August 9, 2019</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Exhibit 3.1 to the Current Report on Form 8-K filed on</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August 15, 2019</w:t>
            </w:r>
          </w:p>
        </w:tc>
      </w:tr>
      <w:tr>
        <w:trPr>
          <w:trHeight w:val="279"/>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principal executive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w:anchor="page33">
              <w:r>
                <w:rPr>
                  <w:rFonts w:ascii="Arial" w:cs="Arial" w:eastAsia="Arial" w:hAnsi="Arial"/>
                  <w:sz w:val="17"/>
                  <w:szCs w:val="17"/>
                  <w:color w:val="0000FF"/>
                </w:rPr>
                <w:t>14(a)/15d-14(a)</w:t>
              </w:r>
            </w:hyperlink>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principal financial officer pursuant to Rule 13a-</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34">
              <w:r>
                <w:rPr>
                  <w:rFonts w:ascii="Arial" w:cs="Arial" w:eastAsia="Arial" w:hAnsi="Arial"/>
                  <w:sz w:val="17"/>
                  <w:szCs w:val="17"/>
                  <w:color w:val="0000FF"/>
                </w:rPr>
                <w:t>14(a)/15d-14(a)</w:t>
              </w:r>
            </w:hyperlink>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of principal executive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3"/>
              </w:rPr>
            </w:pPr>
            <w:hyperlink w:anchor="page35">
              <w:r>
                <w:rPr>
                  <w:rFonts w:ascii="Arial" w:cs="Arial" w:eastAsia="Arial" w:hAnsi="Arial"/>
                  <w:sz w:val="17"/>
                  <w:szCs w:val="17"/>
                  <w:color w:val="0000FF"/>
                  <w:w w:val="93"/>
                </w:rPr>
                <w:t>as adopted pursuant to Section 906 of the Sarbanes-Oxley Act of 2002</w:t>
              </w:r>
            </w:hyperlink>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10"/>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Certification of principal financial officer pursuant to 18 U.S.C. 1350,</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2"/>
              </w:rPr>
            </w:pPr>
            <w:hyperlink w:anchor="page36">
              <w:r>
                <w:rPr>
                  <w:rFonts w:ascii="Arial" w:cs="Arial" w:eastAsia="Arial" w:hAnsi="Arial"/>
                  <w:sz w:val="17"/>
                  <w:szCs w:val="17"/>
                  <w:color w:val="0000FF"/>
                  <w:w w:val="92"/>
                </w:rPr>
                <w:t>as adopted pursuant to Section 906 of the Sarbanes-Oxley Act of 2002</w:t>
              </w:r>
            </w:hyperlink>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298"/>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w w:val="99"/>
              </w:rPr>
              <w:t>The following financial information from the Company’s quarterly</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report on Form 10-Q for the quarter ended September 30, 2021</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formatted in Inline XBRL (extensible Business Reporting Language):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2"/>
              </w:rPr>
              <w:t>(i) Unaudited Condensed Consolidated Balance Sheets at September</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30, 2021 and June 30, 2021; (ii) Unaudited Condensed Consolidated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4"/>
              </w:rPr>
              <w:t>Statements of Operations and Other Comprehensive Income for the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6"/>
              </w:rPr>
              <w:t>three months ended September 30, 2021 and 2020; (iii) Unaudited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6"/>
              </w:rPr>
              <w:t>Condensed Consolidated Statement of Stockholders’ Equity for the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6"/>
              </w:rPr>
              <w:t>three months ended September 30, 2021 and 2020; (iv) Unaudited</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8"/>
              </w:rPr>
              <w:t>Condensed Consolidated Statements of Cash Flows for the three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months ended September 30, 2021 and 2020; and (v) Notes to</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2"/>
              </w:rPr>
              <w:t>Unaudited Condensed Consolidated Financial Statements, tagged as</w:t>
            </w:r>
          </w:p>
        </w:tc>
        <w:tc>
          <w:tcPr>
            <w:tcW w:w="4440" w:type="dxa"/>
            <w:vAlign w:val="bottom"/>
          </w:tcPr>
          <w:p>
            <w:pPr>
              <w:spacing w:after="0"/>
              <w:rPr>
                <w:sz w:val="14"/>
                <w:szCs w:val="14"/>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blocks of text</w:t>
            </w:r>
          </w:p>
        </w:tc>
        <w:tc>
          <w:tcPr>
            <w:tcW w:w="4440" w:type="dxa"/>
            <w:vAlign w:val="bottom"/>
          </w:tcPr>
          <w:p>
            <w:pPr>
              <w:spacing w:after="0"/>
              <w:rPr>
                <w:sz w:val="19"/>
                <w:szCs w:val="19"/>
                <w:color w:val="auto"/>
              </w:rPr>
            </w:pPr>
          </w:p>
        </w:tc>
      </w:tr>
      <w:tr>
        <w:trPr>
          <w:trHeight w:val="174"/>
        </w:trPr>
        <w:tc>
          <w:tcPr>
            <w:tcW w:w="980" w:type="dxa"/>
            <w:vAlign w:val="bottom"/>
          </w:tcPr>
          <w:p>
            <w:pPr>
              <w:jc w:val="center"/>
              <w:spacing w:after="0" w:line="174" w:lineRule="exact"/>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4" w:lineRule="exact"/>
              <w:rPr>
                <w:sz w:val="20"/>
                <w:szCs w:val="20"/>
                <w:color w:val="auto"/>
              </w:rPr>
            </w:pPr>
            <w:r>
              <w:rPr>
                <w:rFonts w:ascii="Arial" w:cs="Arial" w:eastAsia="Arial" w:hAnsi="Arial"/>
                <w:sz w:val="18"/>
                <w:szCs w:val="18"/>
                <w:color w:val="auto"/>
              </w:rPr>
              <w:t>Cover Page Interactive Data File (formatted as Inline XBRL and</w:t>
            </w:r>
          </w:p>
        </w:tc>
        <w:tc>
          <w:tcPr>
            <w:tcW w:w="4440" w:type="dxa"/>
            <w:vAlign w:val="bottom"/>
          </w:tcPr>
          <w:p>
            <w:pPr>
              <w:ind w:left="20"/>
              <w:spacing w:after="0" w:line="174" w:lineRule="exact"/>
              <w:rPr>
                <w:sz w:val="20"/>
                <w:szCs w:val="20"/>
                <w:color w:val="auto"/>
              </w:rPr>
            </w:pPr>
            <w:r>
              <w:rPr>
                <w:rFonts w:ascii="Arial" w:cs="Arial" w:eastAsia="Arial" w:hAnsi="Arial"/>
                <w:sz w:val="18"/>
                <w:szCs w:val="18"/>
                <w:color w:val="auto"/>
              </w:rPr>
              <w:t>Filed herewith</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4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40"/>
          </w:cols>
          <w:pgMar w:left="320" w:top="1020" w:right="239" w:bottom="1440" w:gutter="0" w:footer="0" w:header="0"/>
        </w:sectPr>
      </w:pPr>
    </w:p>
    <w:p>
      <w:pPr>
        <w:spacing w:after="0" w:line="5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firstLine="436"/>
        <w:spacing w:after="0" w:line="219" w:lineRule="auto"/>
        <w:rPr>
          <w:sz w:val="20"/>
          <w:szCs w:val="20"/>
          <w:color w:val="auto"/>
        </w:rPr>
      </w:pPr>
      <w:r>
        <w:rPr>
          <w:rFonts w:ascii="Arial" w:cs="Arial" w:eastAsia="Arial" w:hAnsi="Arial"/>
          <w:sz w:val="18"/>
          <w:szCs w:val="18"/>
          <w:color w:val="auto"/>
        </w:rPr>
        <w:t>This certification is being furnished solely to accompany this report pursuant to 18 U.S.C. 1350, and is not being filed for purposes o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ectPr>
          <w:pgSz w:w="11900" w:h="16838" w:orient="portrait"/>
          <w:cols w:equalWidth="0" w:num="2">
            <w:col w:w="1200" w:space="360"/>
            <w:col w:w="9780"/>
          </w:cols>
          <w:pgMar w:left="320" w:top="10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86995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type w:val="continuous"/>
        </w:sectPr>
      </w:pPr>
    </w:p>
    <w:bookmarkStart w:id="31" w:name="page32"/>
    <w:bookmarkEnd w:id="31"/>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5"/>
          <w:szCs w:val="15"/>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Steven R. Fife</w:t>
      </w:r>
    </w:p>
    <w:p>
      <w:pPr>
        <w:ind w:left="5520"/>
        <w:spacing w:after="0" w:line="199" w:lineRule="auto"/>
        <w:rPr>
          <w:sz w:val="20"/>
          <w:szCs w:val="20"/>
          <w:color w:val="auto"/>
        </w:rPr>
      </w:pPr>
      <w:r>
        <w:rPr>
          <w:rFonts w:ascii="Arial" w:cs="Arial" w:eastAsia="Arial" w:hAnsi="Arial"/>
          <w:sz w:val="18"/>
          <w:szCs w:val="18"/>
          <w:color w:val="auto"/>
        </w:rPr>
        <w:t>President and Chief Executive Officer</w:t>
      </w:r>
    </w:p>
    <w:p>
      <w:pPr>
        <w:ind w:left="5520"/>
        <w:spacing w:after="0"/>
        <w:rPr>
          <w:sz w:val="20"/>
          <w:szCs w:val="20"/>
          <w:color w:val="auto"/>
        </w:rPr>
      </w:pPr>
      <w:r>
        <w:rPr>
          <w:rFonts w:ascii="Arial" w:cs="Arial" w:eastAsia="Arial" w:hAnsi="Arial"/>
          <w:sz w:val="18"/>
          <w:szCs w:val="18"/>
          <w:color w:val="auto"/>
        </w:rPr>
        <w:t>(Principal Executive Officer)</w:t>
      </w:r>
    </w:p>
    <w:p>
      <w:pPr>
        <w:spacing w:after="0" w:line="268"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5"/>
          <w:szCs w:val="15"/>
          <w:color w:val="auto"/>
        </w:rPr>
        <w:t>/s/ Carl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Carl Aure</w:t>
      </w:r>
    </w:p>
    <w:p>
      <w:pPr>
        <w:ind w:left="5520"/>
        <w:spacing w:after="0" w:line="199" w:lineRule="auto"/>
        <w:rPr>
          <w:sz w:val="20"/>
          <w:szCs w:val="20"/>
          <w:color w:val="auto"/>
        </w:rPr>
      </w:pPr>
      <w:r>
        <w:rPr>
          <w:rFonts w:ascii="Arial" w:cs="Arial" w:eastAsia="Arial" w:hAnsi="Arial"/>
          <w:sz w:val="18"/>
          <w:szCs w:val="18"/>
          <w:color w:val="auto"/>
        </w:rPr>
        <w:t>Chief Financial Officer</w:t>
      </w:r>
    </w:p>
    <w:p>
      <w:pPr>
        <w:ind w:left="55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1020" w:right="5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10795</wp:posOffset>
            </wp:positionV>
            <wp:extent cx="2971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November 4, 2021</w:t>
      </w:r>
      <w:r>
        <w:rPr>
          <w:rFonts w:ascii="Arial" w:cs="Arial" w:eastAsia="Arial" w:hAnsi="Arial"/>
          <w:sz w:val="18"/>
          <w:szCs w:val="18"/>
          <w:color w:val="auto"/>
        </w:rPr>
        <w:t>(Principal Executive Officer)</w:t>
      </w:r>
    </w:p>
    <w:p>
      <w:pPr>
        <w:sectPr>
          <w:pgSz w:w="11900" w:h="16838" w:orient="portrait"/>
          <w:cols w:equalWidth="0" w:num="1">
            <w:col w:w="11240"/>
          </w:cols>
          <w:pgMar w:left="320" w:top="87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Carl Aure, certify that:</w:t>
      </w:r>
    </w:p>
    <w:p>
      <w:pPr>
        <w:spacing w:after="0" w:line="150"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Carl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10795</wp:posOffset>
            </wp:positionV>
            <wp:extent cx="2971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Carl Aure</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November 4, 2021</w:t>
      </w:r>
      <w:r>
        <w:rPr>
          <w:rFonts w:ascii="Arial" w:cs="Arial" w:eastAsia="Arial" w:hAnsi="Arial"/>
          <w:sz w:val="18"/>
          <w:szCs w:val="18"/>
          <w:color w:val="auto"/>
        </w:rPr>
        <w:t>(Principal Financial Officer)</w:t>
      </w:r>
    </w:p>
    <w:p>
      <w:pPr>
        <w:sectPr>
          <w:pgSz w:w="11900" w:h="16838" w:orient="portrait"/>
          <w:cols w:equalWidth="0" w:num="1">
            <w:col w:w="11240"/>
          </w:cols>
          <w:pgMar w:left="320" w:top="87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ind w:right="18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2021,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10795</wp:posOffset>
            </wp:positionV>
            <wp:extent cx="2971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November 4, 2021</w:t>
      </w:r>
      <w:r>
        <w:rPr>
          <w:rFonts w:ascii="Arial" w:cs="Arial" w:eastAsia="Arial" w:hAnsi="Arial"/>
          <w:sz w:val="18"/>
          <w:szCs w:val="18"/>
          <w:color w:val="auto"/>
        </w:rPr>
        <w:t>(Principal Executive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ind w:right="32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2021, with the Securities and Exchange Commission on the date hereof (the “report”), I, Carl Aure, Principal Financial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Carl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10795</wp:posOffset>
            </wp:positionV>
            <wp:extent cx="2971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Carl Aure</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November 4, 2021</w:t>
      </w:r>
      <w:r>
        <w:rPr>
          <w:rFonts w:ascii="Arial" w:cs="Arial" w:eastAsia="Arial" w:hAnsi="Arial"/>
          <w:sz w:val="18"/>
          <w:szCs w:val="18"/>
          <w:color w:val="auto"/>
        </w:rPr>
        <w:t>(Principal Financial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849146/000084914618000046/ex31-certificateofincorpor.htm" TargetMode="External"/><Relationship Id="rId50"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2021-11-04T15:23:48Z</dcterms:created>
  <dcterms:modified xsi:type="dcterms:W3CDTF">2021-11-04T15:23:48Z</dcterms:modified>
</cp:coreProperties>
</file>