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62" w:lineRule="exact"/>
        <w:rPr>
          <w:sz w:val="24"/>
          <w:szCs w:val="24"/>
          <w:color w:val="auto"/>
        </w:rPr>
      </w:pPr>
    </w:p>
    <w:p>
      <w:pPr>
        <w:ind w:left="720" w:right="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340"/>
          </w:cols>
          <w:pgMar w:left="240" w:top="733" w:right="319" w:bottom="1440" w:gutter="0" w:footer="0" w:header="0"/>
        </w:sectPr>
      </w:pPr>
    </w:p>
    <w:p>
      <w:pPr>
        <w:spacing w:after="0" w:line="153"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080"/>
          </w:cols>
          <w:pgMar w:left="240" w:top="733" w:right="31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0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220"/>
          </w:cols>
          <w:pgMar w:left="240" w:top="733" w:right="3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9785 S. Monroe Street, Ste 400, Sandy, UT 84070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340"/>
          </w:cols>
          <w:pgMar w:left="240" w:top="733" w:right="319" w:bottom="1440" w:gutter="0" w:footer="0" w:header="0"/>
          <w:type w:val="continuous"/>
        </w:sectPr>
      </w:pPr>
    </w:p>
    <w:p>
      <w:pPr>
        <w:spacing w:after="0" w:line="168"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60"/>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68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issuer’s common stock, par value $0.0001 per share, as of October 26, 2018 was 14,102,178.</w:t>
      </w:r>
    </w:p>
    <w:p>
      <w:pPr>
        <w:sectPr>
          <w:pgSz w:w="11900" w:h="16838" w:orient="portrait"/>
          <w:cols w:equalWidth="0" w:num="1">
            <w:col w:w="11340"/>
          </w:cols>
          <w:pgMar w:left="240" w:top="733"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2018</w:t>
            </w: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2,067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13,627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6,141</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38,938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6,587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Long-term deferred income tax asset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3,255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51,142</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3,813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23,805</w:t>
            </w:r>
          </w:p>
        </w:tc>
      </w:tr>
      <w:tr>
        <w:trPr>
          <w:trHeight w:val="270"/>
        </w:trPr>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29,195</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Preferred stock — par value $0.0001 per share, 5,000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 par value $0.0001 per share, 40,000 shares authorized and 14,103 and 14,073</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issued and outstanding as of September 30, 2018 and June 30, 2018,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124,663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(102,731)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21,947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51,142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17,301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15,581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20" w:type="dxa"/>
            <w:vAlign w:val="bottom"/>
            <w:gridSpan w:val="3"/>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2018</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14,073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124,663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21,947</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Cumulative effect of adoption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accounting principle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July 1, 2018</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14,073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21,944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September 30, 2018</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14,103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125,464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23,531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convertible note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Purchase of equipment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Exercise of options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17,123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12,288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paid for interest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660" w:type="dxa"/>
            <w:vAlign w:val="bottom"/>
          </w:tcPr>
          <w:p>
            <w:pPr>
              <w:ind w:left="1140"/>
              <w:spacing w:after="0"/>
              <w:rPr>
                <w:sz w:val="20"/>
                <w:szCs w:val="20"/>
                <w:color w:val="auto"/>
              </w:rPr>
            </w:pPr>
            <w:r>
              <w:rPr>
                <w:rFonts w:ascii="Arial" w:cs="Arial" w:eastAsia="Arial" w:hAnsi="Arial"/>
                <w:sz w:val="18"/>
                <w:szCs w:val="18"/>
                <w:color w:val="auto"/>
              </w:rPr>
              <w:t>Cash paid for income taxes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2018 included in the annual report on Form 10-K filed with the Securities and Exchange Commission (“SEC”) on August 15,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customers and independent distributors. The Company sells its products in the United States, Japan, Hong Kong, Australia, Canada, Mexico, Thailand, the United Kingdom, the Netherlands, Germany, Austria and Taiwan. The Company also sells its products in a number of countries to customers for personal consumption only. In addition, the Company sells its products in China through an e-commerce business model.</w:t>
      </w:r>
    </w:p>
    <w:p>
      <w:pPr>
        <w:spacing w:after="0" w:line="112" w:lineRule="exact"/>
        <w:rPr>
          <w:sz w:val="20"/>
          <w:szCs w:val="20"/>
          <w:color w:val="auto"/>
        </w:rPr>
      </w:pPr>
    </w:p>
    <w:p>
      <w:pPr>
        <w:ind w:right="40" w:firstLine="405"/>
        <w:spacing w:after="0" w:line="197"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anti-aging skin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its Smart Energy Drink mixes,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 and Omega+, its sustainable fish oil supplement.</w:t>
      </w:r>
    </w:p>
    <w:p>
      <w:pPr>
        <w:spacing w:after="0" w:line="12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2018, and the results of operations for the three months ended September 30, 2018 and 2017, and the cash flows for the three months ended September 30, 2018 and 2017.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2018, pursuant to the rules and regulations of the SEC. For further information, refer to the financial statements and notes thereto as of and for the year ended June 30, 2018, and included in the annual report on Form 10-K on file with the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impairment of receivables, share-based compensation, and loss contingencies.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income (expense), net in the condensed consolidated statements of operations and comprehensive income. For the three months ended September 30, 2018 and 2017, net foreign currency gains of $10,000 and $0.1 million, respectively, are recorded in other income (expense), net.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all settled by the end of September 2018 and were not designated for hedge accounting. For the three months ended September 30, 2018 and 2017, a realized loss of $0.1 million and a realized gain of $3,000, respectively, related to forward contracts, are recorded in other income (expense), net. The Company did not hold any derivative instruments at September 30,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2018, the Company had $13.9 million in cash accounts at one financial institution and $3.2 million in accounts at other financial institutions. As of September 30, 2018 and June 30, 2018,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accounts receivable as of September 30, 2018 and June 30, 2018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2018 is not necessary. No bad debt expense has been recorded for the three months ended September 30, 2018 and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June 30, 2018,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7,859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5,768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13,627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Inventories are carried and depicted above at the lower of cost or market, using the first-in, first-out method, which includes a reduction in inventory values of $1.2 million and $1.4 million at September 30, 2018 and June 30, 2018, respectively, related to obsolete and slow-moving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Receivable</w:t>
      </w:r>
    </w:p>
    <w:p>
      <w:pPr>
        <w:spacing w:after="0" w:line="14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Interest shall accrue at a rate of 8% per annum,</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color w:val="auto"/>
        </w:rPr>
        <w:t>compounded annually. The principal and unpaid accrued interest of the note will either be repaid in cash or converted into shares of equity securities of GEG. As of September 30, 2018, the note receivable balance was $1.4 million, which is included in prepaid expenses and other on the condensed consolidated balance sheet.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customers for returned product. The Company allows terminating independent distributors to return up to 30% of unopened, unexpired product that they have purchased within the prior twelve months for a full refund, less a 10% restocking fee.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2018 and 2017 were $0.4 million and $0.3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uses historical data for estimating the expected life of stock options.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ind w:right="80" w:firstLine="432"/>
        <w:spacing w:after="0" w:line="264" w:lineRule="auto"/>
        <w:rPr>
          <w:sz w:val="20"/>
          <w:szCs w:val="20"/>
          <w:color w:val="auto"/>
        </w:rPr>
      </w:pPr>
      <w:r>
        <w:rPr>
          <w:rFonts w:ascii="Arial" w:cs="Arial" w:eastAsia="Arial" w:hAnsi="Arial"/>
          <w:sz w:val="18"/>
          <w:szCs w:val="18"/>
          <w:color w:val="auto"/>
        </w:rPr>
        <w:t>For the three months ended September 30, 2018 and 2017, the Company recognized income tax expense of $0.3 million and $0.4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For the three months ended September 30, 2018 and 2017, the effects of approximately 9,000 and 0.2 million common shares, respectively, issuable upon exercise of options and non-vested shares of restricted stock are not included in computations as their effect was anti-dilutive.</w:t>
      </w:r>
    </w:p>
    <w:p>
      <w:pPr>
        <w:spacing w:after="0" w:line="6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13,987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basic</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diluted</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disaggregate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two geographic regions: the Americas region and the Asia/Pacific &amp; Europe region. See disaggregated revenue in Note 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00" w:type="dxa"/>
            <w:vAlign w:val="bottom"/>
          </w:tcPr>
          <w:p>
            <w:pPr>
              <w:jc w:val="right"/>
              <w:ind w:right="439"/>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9,778</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Japan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921</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260" w:firstLine="405"/>
        <w:spacing w:after="0" w:line="288" w:lineRule="auto"/>
        <w:rPr>
          <w:sz w:val="20"/>
          <w:szCs w:val="20"/>
          <w:color w:val="auto"/>
        </w:rPr>
      </w:pPr>
      <w:r>
        <w:rPr>
          <w:rFonts w:ascii="Arial" w:cs="Arial" w:eastAsia="Arial" w:hAnsi="Arial"/>
          <w:sz w:val="16"/>
          <w:szCs w:val="16"/>
          <w:color w:val="auto"/>
        </w:rPr>
        <w:t>Topic 606 outlines a single comprehensive model for entities to use in accounting for revenue arising from contracts with customers and supersedes most current revenue recognition guidance, including industry-specific guidance. The core principle of Topic 606 is for companies to recognize revenue to depict the transfer of goods or services to customers in amounts that reflect the consideration it expects to receive in exchange for those goods or services.</w:t>
      </w:r>
    </w:p>
    <w:p>
      <w:pPr>
        <w:ind w:right="60"/>
        <w:spacing w:after="0" w:line="270" w:lineRule="auto"/>
        <w:rPr>
          <w:sz w:val="20"/>
          <w:szCs w:val="20"/>
          <w:color w:val="auto"/>
        </w:rPr>
      </w:pPr>
      <w:r>
        <w:rPr>
          <w:rFonts w:ascii="Arial" w:cs="Arial" w:eastAsia="Arial" w:hAnsi="Arial"/>
          <w:sz w:val="17"/>
          <w:szCs w:val="17"/>
          <w:color w:val="auto"/>
        </w:rPr>
        <w:t>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was effective for the Company beginning on July 1, 2018 with the option to adopt using either a full retrospective or a modified retrospective approach. The Company adopted Topic 606 using the modified retrospective approach, under which the cumulative effect of initially applying Topic 606 was recognized as an immaterial adjustment to the opening balance of retained earnings during the first quarter of fiscal 2019. The impact to revenues as a result of applying Topic 606 was a decrease of $0.1 million for the three months ended September 30, 2018.</w:t>
      </w:r>
    </w:p>
    <w:p>
      <w:pPr>
        <w:spacing w:after="0" w:line="98"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The Company evaluated each of its revenue streams and identified similar performance obligations under Topic 606 as compared to previous revenue recognition guidance. During its evaluation, the Company reviewed its loyalty points program and, based on the new guidance, changed the method of accounting from a cost provision method to a deferred revenue method, which resulted in immaterial adjustments to beginning balances upon adoption.</w:t>
      </w:r>
    </w:p>
    <w:p>
      <w:pPr>
        <w:spacing w:after="0" w:line="6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There are also considerations related to internal control over financial reporting associated with implementing Topic 606. The Company evaluated its control framework for revenue recognition and identified no material changes needed in response to the new guidance. The Company also evaluated the expanded disclosure requirements under Topic 606 and designed and implemented the appropriate controls over gathering and reporting the information required under Topic 606. See Note 3.</w:t>
      </w:r>
    </w:p>
    <w:p>
      <w:pPr>
        <w:spacing w:after="0" w:line="106"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expects that adoption will have an impact on its consolidated balance sheets related to recording right-of-use assets and corresponding lease liabilities.</w:t>
      </w:r>
    </w:p>
    <w:p>
      <w:pPr>
        <w:spacing w:after="0" w:line="9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May 2017,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This ASU became effective for the Company on July 1, 2018 and will be applied to any award modified on or after July 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Revenues are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0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6"/>
          <w:szCs w:val="16"/>
          <w:color w:val="auto"/>
        </w:rPr>
        <w:t>The Company generates the majority of its revenues through product sales to customers. These products include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the Omega+ sustainable fish oil.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0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also charges amounts to independent distributors to attend events held by the Company. Tickets to events are sold as standalone items or included within packs sold to independent distributors.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Company records deferred revenue when cash payments are received or due in advance of performance, including amounts which are refundable. Deferred revenue is included in accrued expenses in the condensed consolidated balance sheets and includes pre-sell tickets to events and obligations related to the Company’s loyalty points program.</w:t>
      </w:r>
    </w:p>
    <w:p>
      <w:pPr>
        <w:spacing w:after="0" w:line="100"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66"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Company offers a loyalty points program for its customers that allows the customers to earn points from ongoing purchases that can be redeemed for products. The Company accounts for these points as a reduction to the transaction price based on estimated usage and defers revenue until the points are redeemed.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Returns and Allowances</w:t>
      </w:r>
    </w:p>
    <w:p>
      <w:pPr>
        <w:spacing w:after="0" w:line="14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independent distributors to return up to 30% of unopened, unexpired product that they have purchased within the prior twelve months for a full refund, less a 10% restocking fee. The Company establishes a refund liability reserve and an asset reserve for its right to recover products based on historical experience. The returns asset reserve and returns liability reserve are evaluated on a quarterly basis. As of September 30, 2018 and June 30, 2018, the returns liability reserve, net was $0.3 million and $0.4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reports revenue in two geographic regions: the Americas region and the Asia/Pacific &amp; Europe region. The following table presents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revenues disaggregated by these two geographic regions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41,079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12,964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49,127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264"/>
        </w:trPr>
        <w:tc>
          <w:tcPr>
            <w:tcW w:w="8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34,115</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Japan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10,856</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Long-Term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0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ind w:right="40"/>
        <w:spacing w:after="0" w:line="279" w:lineRule="auto"/>
        <w:rPr>
          <w:sz w:val="20"/>
          <w:szCs w:val="20"/>
          <w:color w:val="auto"/>
        </w:rPr>
      </w:pPr>
      <w:r>
        <w:rPr>
          <w:rFonts w:ascii="Arial" w:cs="Arial" w:eastAsia="Arial" w:hAnsi="Arial"/>
          <w:sz w:val="17"/>
          <w:szCs w:val="17"/>
          <w:color w:val="auto"/>
        </w:rPr>
        <w:t>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9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September 30, 2018, the Company was in compliance with all applicable covenants under the 2016 Credit Facility, as amended.</w:t>
      </w:r>
    </w:p>
    <w:p>
      <w:pPr>
        <w:spacing w:after="0" w:line="8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Company’s book value for the 2016 Credit Facility, as amended, approximates the fair value. Aggregate future principal payments required in accordance with the terms of the 2016 Credit Facility, as amended,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(remaining nine months ending June 30, 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37"/>
        </w:trPr>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148"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During the three months ended September 30, 2018, the Company issued 35,000 shares of common stock upon the exercise of options. During the three months ended September 30, 2018, 5,000 shares of restricted stock were canceled or surrendered as payment of tax withholding upon vesting.</w:t>
      </w:r>
    </w:p>
    <w:p>
      <w:pPr>
        <w:spacing w:after="0" w:line="43"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Accordingly, transactions, if any, would be completed in accordance with the terms of the stock repurchase plan, including specified price, volume and timing conditions. The authorization may be suspended or discontinued at any time and expires on November 27, 2020. During the three months</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ended September 30, 2018, no shares of common stock were purchased by the Company under this repurchase program. At September 30, 2018, there is $3.5 million remaining under this repurchase program.</w:t>
      </w:r>
    </w:p>
    <w:p>
      <w:pPr>
        <w:spacing w:after="0" w:line="10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September 30, 2018, none have been issued and no rights or preferences have been assigned to the preferred shares by the Company’s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Equity-Settled Plans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40" w:firstLine="432"/>
        <w:spacing w:after="0" w:line="255" w:lineRule="auto"/>
        <w:rPr>
          <w:sz w:val="20"/>
          <w:szCs w:val="20"/>
          <w:color w:val="auto"/>
        </w:rPr>
      </w:pPr>
      <w:r>
        <w:rPr>
          <w:rFonts w:ascii="Arial" w:cs="Arial" w:eastAsia="Arial" w:hAnsi="Arial"/>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1.1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11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 adopted, and the stockholders approved, the 2017 Long-Term Incentive Plan (the “2017 Plan”), effective February 16, 2017, to provide incentives to eligible employees, directors and consultants. On February 2, 2018, the stockholders approved an amendment to the 2017 Plan to increase by 425,000 shares the number of shares of the Company's common stock that are available for issuance under the 2017 Plan. The maximum number of shares that can be issued under the 2017 Plan is not to exceed 1,550,000 shares, calculated as the sum of (i) 1,075,000 shares and (ii) up to 475,000 shares previously reserved for issuance under the 2010 Plan, including shares returned upon cancellation, termination or forfeiture of awards that were previously granted under that plan. As of September 30, 2018, a maximum of 1.5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the shares subject to the award are added back to the 2017 Plan upon expiration of the award. The contractual term of stock options granted are substantially the same as described above for the 2007 Plan and 2010 Plan. As of September 30, 2018, there were stock option awards outstanding, net of awards expired, for an aggregate of 0.5 million shares of the Company's common stock.</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months ended September 30, 2018, stock-based compensation of $0.6 million was reflected as an increase to additional paid-in capital and an increase of $0.7 million was included in other accrued expenses, all of which was employee related. For the three months ended September 30, 2017, stock-based compensation of $0.4 million was reflected as an increase to additional paid-in capital and an increase of $0.2 million was included in other accrued expenses, all of which was employee related.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2018,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of Connecticut, entitled </w:t>
      </w:r>
      <w:r>
        <w:rPr>
          <w:rFonts w:ascii="Arial" w:cs="Arial" w:eastAsia="Arial" w:hAnsi="Arial"/>
          <w:sz w:val="16"/>
          <w:szCs w:val="16"/>
          <w:i w:val="1"/>
          <w:iCs w:val="1"/>
          <w:color w:val="auto"/>
        </w:rPr>
        <w:t>Smith v. LifeVantage Corp</w:t>
      </w:r>
      <w:r>
        <w:rPr>
          <w:rFonts w:ascii="Arial" w:cs="Arial" w:eastAsia="Arial" w:hAnsi="Arial"/>
          <w:sz w:val="16"/>
          <w:szCs w:val="16"/>
          <w:color w:val="auto"/>
        </w:rPr>
        <w:t>.,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However, the amended complaint adds a new antitrust claim, alleging that the Company fraudulently obtained patents for its products and is attempting to use those patents in an anti-competitive manner. LifeVantage must file a response to the amended complaint no later than November 5, 2018.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4"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1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48"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Company contracted with GEG for outsourced software application development services pursuant to an agreement entered into between the Company and GEG, which included a convertible note. For discussion related to the convertible note between the Company and GEG, see Note 2. David Toole, who served as a member of the Company's board of directors until February 2, 2018, is a majority owner and an officer of GEG.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are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customers and independent distributors. We engage in the identification, research, development and distribution of advanced nutraceutical dietary supplements and personal care products. We currently sell our products to customers and independent distributors in two geographic regions that we have classified as the Americas region and the Asia/Pacific &amp; Europe region.</w:t>
      </w:r>
    </w:p>
    <w:p>
      <w:pPr>
        <w:spacing w:after="0" w:line="7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89" w:lineRule="exact"/>
        <w:rPr>
          <w:sz w:val="20"/>
          <w:szCs w:val="20"/>
          <w:color w:val="auto"/>
        </w:rPr>
      </w:pPr>
    </w:p>
    <w:p>
      <w:pPr>
        <w:ind w:left="740" w:right="220" w:hanging="327"/>
        <w:spacing w:after="0" w:line="23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scientifically-validated products, including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and Omega+ sustainable fish oil supplement;</w:t>
      </w:r>
    </w:p>
    <w:p>
      <w:pPr>
        <w:spacing w:after="0" w:line="24"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Japan, Hong Kong, Australia, Canada, Mexico, Thailand, the United Kingdom, the Netherlands, Germany, Austria and Taiwan.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firstLine="405"/>
        <w:spacing w:after="0" w:line="226"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Petandim™ for Dogs, and Omega+, our sustainable fish oil supplement.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Petandim™ for Dogs is a supplement specially formulated to combat oxidative stress in dogs through Nrf2 activation. Omega+ is a dietary supplement that combines DHA and EPA Omega-3 fatty acids, Omega-7 fatty acids, and Vitamin D3 to support cognitive health, cardiovascular health, skin health, and the immune system.</w:t>
      </w:r>
    </w:p>
    <w:p>
      <w:pPr>
        <w:spacing w:after="0" w:line="129"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A stack consists of multiple products bundled together that are designed to achieve a specific result. The Vitality Stack includes four of our nutrigenomics products -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NRF1 and Nrf2 Synergizers™, Omega+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ProBio. It was designed to provide a foundation for wellness, supporting healthy organs, including the brain, heart, eyes, and other vitals. Vitality Stack is our premier product bundle and we also offer stacks for our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5" w:right="239" w:bottom="1440" w:gutter="0" w:footer="0" w:header="0"/>
        </w:sectPr>
      </w:pPr>
    </w:p>
    <w:bookmarkStart w:id="18" w:name="page19"/>
    <w:bookmarkEnd w:id="18"/>
    <w:p>
      <w:pPr>
        <w:ind w:right="100" w:firstLine="324"/>
        <w:spacing w:after="0" w:line="277"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in selling our products and on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10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members those independent distributors and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4"/>
                <w:szCs w:val="14"/>
                <w:b w:val="1"/>
                <w:bCs w:val="1"/>
                <w:color w:val="auto"/>
                <w:w w:val="91"/>
              </w:rPr>
              <w:t>Active Customers By Region</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4"/>
                <w:szCs w:val="14"/>
                <w:b w:val="1"/>
                <w:bCs w:val="1"/>
                <w:color w:val="auto"/>
                <w:w w:val="92"/>
              </w:rPr>
              <w:t>As of 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166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Change from Prior</w:t>
            </w:r>
          </w:p>
        </w:tc>
        <w:tc>
          <w:tcPr>
            <w:tcW w:w="10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4"/>
                <w:szCs w:val="14"/>
                <w:b w:val="1"/>
                <w:bCs w:val="1"/>
                <w:color w:val="auto"/>
                <w:w w:val="90"/>
              </w:rPr>
              <w:t>As of 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16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0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2018 compared to the Three Months Ended September 30,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generated net revenue of $55.6 million and $49.1 million during the three months ended September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negatively impacted our revenue $0.3 million or 0.6% during the three months ended September 30, 2018.</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Americas</w:t>
      </w:r>
      <w:r>
        <w:rPr>
          <w:rFonts w:ascii="Arial" w:cs="Arial" w:eastAsia="Arial" w:hAnsi="Arial"/>
          <w:sz w:val="17"/>
          <w:szCs w:val="17"/>
          <w:color w:val="auto"/>
        </w:rPr>
        <w:t>. The following table sets forth revenue for the three months ended September 30, 2018 and 2017 for the Americas region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7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41,079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36,163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Revenue in the Americas region for the three months ended September 30, 2018 increased $4.9 million or 13.6% from the prior year same period. Revenue in the United States increased due to our continued investment in our red carpet program and an overall increase in active customers and independent distributors during the quarter. Revenues in Canada and Mexico continue to grow due to the above mentioned initiatives and further expansion of our product lines in those markets.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180" w:firstLine="405"/>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three months ended September 30, 2018 and 2017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112.2 %</w:t>
            </w: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Asia/Pacific &amp; Europe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Revenue in the Asia/Pacific &amp; Europe region increased $1.6 million or 12.1% for the three months ended September 30, 2018 as compared to the prior year period. The year over year increase in this region was mainly due to increased revenues in our recently launched Taiwan market and substantial increases in our Europe and Australia markets as we continue to focus on growth in these regions. Revenue in the Asia/Pacific &amp; Europe region was negatively impacted approximately $0.2 million or 1.3% during the three months ended September 30, 2018, as compared to the prior year period, by foreign currency exchange rate fluctuations. Foreign currency fluctuations had a minimal impact on our Japan market during the quarter. On a constant currency basis, revenue in Japan decreased 6.9% for the three months ended September 30, 2018, as compared to the prior year period. Revenue in Japan decreased mainly due to an overall decrease in active customers and independent distributors.</w:t>
      </w:r>
    </w:p>
    <w:p>
      <w:pPr>
        <w:spacing w:after="0" w:line="9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We continue to focus on strengthening our core business through our fiscal 2019 initiatives, which include continued investment in our red carpet program, expanding our global footprint and the continued development and enhancement of compelling distributor training tools and technologies that will help our independent distributors grow their businesses. During the three months ended September 30, 2018, we completed our first full fiscal quarter of operations in Taiwan, opened full on the ground business operations in Austria and held large events for our independent distributors in the U.S. and Japan. We continue working on refining our mainland China e-commerce business model and remain committed to pursuing growth in each of our markets and operating our business in accordance with our strengthened business practices.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percentage for the three months ended September 30, 2018 and 2017 was 83.5% and 82.2%, respectively.</w:t>
      </w:r>
    </w:p>
    <w:p>
      <w:pPr>
        <w:spacing w:after="0" w:line="15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a percentage of total revenues, cost of sales for the three months ended September 30, 2018 decreased to 16.5% compared to 17.8% for the three months ended September 30, 2017. The decrease in cost of sales as a percentage of revenue is primarily due to benefits of a price increase and changes to our product sales mix.</w:t>
      </w:r>
    </w:p>
    <w:p>
      <w:pPr>
        <w:spacing w:after="0" w:line="10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September 30, 2018 increased to $45.1 million or 81.1%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$39.0 million or 79.4% of revenues during the three months ended September 30, 2017. Operating expenses consist of commission and incentives expenses and selling, general and administrative expenses.</w:t>
      </w:r>
    </w:p>
    <w:p>
      <w:pPr>
        <w:spacing w:after="0" w:line="10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i w:val="1"/>
          <w:iCs w:val="1"/>
          <w:color w:val="auto"/>
        </w:rPr>
        <w:t xml:space="preserve">Commissions and Incentives. </w:t>
      </w:r>
      <w:r>
        <w:rPr>
          <w:rFonts w:ascii="Arial" w:cs="Arial" w:eastAsia="Arial" w:hAnsi="Arial"/>
          <w:sz w:val="16"/>
          <w:szCs w:val="16"/>
          <w:color w:val="auto"/>
        </w:rPr>
        <w:t>Commissions and incentives expenses during the three months ended September 30, 2018 were $27.8 million or 50.0%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as compared to commissions and incentives expenses of $23.4 million or 47.6% of revenues for the three months ended September 30, 2017.</w:t>
      </w:r>
    </w:p>
    <w:p>
      <w:pPr>
        <w:spacing w:after="0" w:line="43"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increase in commissions and incentives expenses as a percentage of revenues for the three months ended September 30, 2018 as compared to the prior year period is due to the continued investment in our red carpet program and other promotional programs and incentives designed to increase revenues. We also held several incentive events during the first quarter of fiscal 2019 which contributed to the increased percentage. Distributor commissions as a percentage of commissionable revenues generated remained consistent during the comparable periods.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expect commissions and incentives expenses for fiscal 2019 to decrease slightly as a percentage of revenue as we continue to refine our investments in our incentive and promotional activities. We anticipate that there will continue to be fluctuations from quarter to quarter caused by the timing and magnitude of compensation and incentive programs.</w:t>
      </w:r>
    </w:p>
    <w:p>
      <w:pPr>
        <w:spacing w:after="0" w:line="100"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during the three months ended September 30, 2018 were $17.3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selling, general and administrative expenses of $15.6 million for the three months ended September 30, 2017.</w:t>
      </w:r>
    </w:p>
    <w:p>
      <w:pPr>
        <w:spacing w:after="0" w:line="6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increase in selling, general and administrative expenses during the three months ended September 30, 2018 compared to the prior year same period primarily was due to expenses associated with both our U.S. Elite Academy and our Japan convention held during the quarter. Expenses associated with employee stock compensation also increased as a result of the increase in our share price as compared to the prior year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right="200" w:firstLine="432"/>
        <w:spacing w:after="0" w:line="264" w:lineRule="auto"/>
        <w:rPr>
          <w:sz w:val="20"/>
          <w:szCs w:val="20"/>
          <w:color w:val="auto"/>
        </w:rPr>
      </w:pPr>
      <w:r>
        <w:rPr>
          <w:rFonts w:ascii="Arial" w:cs="Arial" w:eastAsia="Arial" w:hAnsi="Arial"/>
          <w:sz w:val="18"/>
          <w:szCs w:val="18"/>
          <w:color w:val="auto"/>
        </w:rPr>
        <w:t>We expect selling, general and administrative expenses, as a percent of revenue, to decrease slightly for the remainder of the fiscal year as we execute on our strategic investments and initiatives. We also anticipate that there will be fluctuations from period to period due to the timing of product and market launches and other planned events.</w:t>
      </w:r>
    </w:p>
    <w:p>
      <w:pPr>
        <w:spacing w:after="0" w:line="10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2018, we recognized net other expenses of $0.2 million as compared to net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$0.1 million for the three months ended September 30, 2017. Total other expense for the three months ended September 30, 2018 consisted primarily of interest expense and foreign currency gains and losses.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months ended September 30, 2018 and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an income tax expense of $0.3 million for the three months ended September 30, 2018 as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$0.4 million for the three months ended September 30, 2017.</w:t>
      </w:r>
    </w:p>
    <w:p>
      <w:pPr>
        <w:spacing w:after="0" w:line="8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effective tax rate was 21.8% of pre-tax income during the three months ended September 30, 2018, compared to 35.1% for the same prior year period. The decrease in the effective tax rate for the three months ended September 30, 2018 is largely due to federal tax reform legislation enacted during December 2017 that reduced the corporate tax rate from 35% to 21%. The tax rate for our first quarter of fiscal 2019 was also favorably benefited by discrete book to tax differences that occurred during the quarter.</w:t>
      </w:r>
    </w:p>
    <w:p>
      <w:pPr>
        <w:spacing w:after="0" w:line="10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expect that our effective tax rate will increase during the remainder of fiscal 2019; however, our tax rate can be significantly impacted by various book to tax differences and fluctuations in our stock price that occur during the year which are difficult to forecast.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2018, our available liquidity was $17.1 million, which consisted of available cash and cash equivalents. This represents an increase of $0.5 million from the $16.7 million in cash and cash equivalents as of June 30, 2018.</w:t>
      </w:r>
    </w:p>
    <w:p>
      <w:pPr>
        <w:spacing w:after="0" w:line="8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three months ended September 30, 2018, our net cash provided by operating activities was $2.4 million as compared to net cash provided by operating activities of $2.5 million during the three months ended September 30, 2017.</w:t>
      </w:r>
    </w:p>
    <w:p>
      <w:pPr>
        <w:spacing w:after="0" w:line="8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three months ended September 30, 2018, our net cash used in investing activities was $1.5 million, as a result of investments in a convertible note receivable and the purchase of fixed assets. During the three months ended September 30, 2017, our net cash used in investing activities was $1.2 million, as a result of the purchase of fixed assets.</w:t>
      </w:r>
    </w:p>
    <w:p>
      <w:pPr>
        <w:spacing w:after="0" w:line="10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Cash used in financing activities during the three months ended September 30, 2018 was $0.3 million as a result of our quarterly principal payments on the 2016 Term Loan, partially offset by proceeds from stock option exercises. Cash used in financing activities during the three months ended September 30, 2017 was $0.5 million as a result of our quarterly principal payments on the 2016 Term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440" w:firstLine="432"/>
        <w:spacing w:after="0" w:line="264" w:lineRule="auto"/>
        <w:rPr>
          <w:sz w:val="20"/>
          <w:szCs w:val="20"/>
          <w:color w:val="auto"/>
        </w:rPr>
      </w:pPr>
      <w:r>
        <w:rPr>
          <w:rFonts w:ascii="Arial" w:cs="Arial" w:eastAsia="Arial" w:hAnsi="Arial"/>
          <w:sz w:val="18"/>
          <w:szCs w:val="18"/>
          <w:color w:val="auto"/>
        </w:rPr>
        <w:t>At September 30, 2018 and June 30, 2018, the total amount of our foreign subsidiary cash was $4.0 million and $4.3 million, respectively. The December 2017 tax reform previously mentioned enacted a 100% dividend deduction for &gt; 10% owned foreign corporations. Therefore, in the future, if needed, we can repatriate cash from foreign subsidiaries without paying additional U.S. taxes.</w:t>
      </w:r>
    </w:p>
    <w:p>
      <w:pPr>
        <w:spacing w:after="0" w:line="10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At September 30, 2018, we had working capital (current assets minus current liabilities) of $16.9 million, compared to working capital of $15.1 million at June 30, 2018.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$2.0 million. We would also consider realigning our strategic plans including a reduction in capital spending and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0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On May 4, 2018, the Company entered into a loan modification agreement, which amended its 2016 Credit Facility (“Amendment No. 1”). Amendment No. 1 revised the maturity date from March 30, 2019 to March 31, 2021 (the “Maturity Date”) and increased the fixed interest rate for the term loan from</w:t>
      </w:r>
    </w:p>
    <w:p>
      <w:pPr>
        <w:ind w:right="20"/>
        <w:spacing w:after="0" w:line="253" w:lineRule="auto"/>
        <w:rPr>
          <w:sz w:val="20"/>
          <w:szCs w:val="20"/>
          <w:color w:val="auto"/>
        </w:rPr>
      </w:pPr>
      <w:r>
        <w:rPr>
          <w:rFonts w:ascii="Arial" w:cs="Arial" w:eastAsia="Arial" w:hAnsi="Arial"/>
          <w:sz w:val="18"/>
          <w:szCs w:val="18"/>
          <w:color w:val="auto"/>
        </w:rPr>
        <w:t>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2018, we were in compliance with all applicable non-financial and restrictive covenants under the 2016 Credit Facility, as amended.</w:t>
      </w:r>
    </w:p>
    <w:p>
      <w:pPr>
        <w:spacing w:after="0" w:line="91"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9" w:lineRule="exact"/>
        <w:rPr>
          <w:sz w:val="20"/>
          <w:szCs w:val="20"/>
          <w:color w:val="auto"/>
        </w:rPr>
      </w:pPr>
    </w:p>
    <w:p>
      <w:pPr>
        <w:ind w:left="660" w:right="3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1.25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2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$8.0 million; and</w:t>
      </w:r>
    </w:p>
    <w:p>
      <w:pPr>
        <w:spacing w:after="0" w:line="89"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89"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As of September 30, 2018,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2018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11,261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26,923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580" w:hanging="328"/>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obligations represent non-cancelable contractual obligations primarily related to marketing and sponsorship commitments and purchases of inventory.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we did not have any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September 30, 2018, our shipments of products sold totaling approximately $17.9 million were subject to the return policy. In addition, we allow terminating independent distributors to return up to 30% of unopened, unexpired product they purchased within the prior twelve months.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September 30, 2018, compared with $0.4 million at June 30, 2018.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During the three months ended September 30, 2018 and 2017, we recognized expenses of $0.3 million and $0.3 million, respectively, related to obsolete and slow-moving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During the three months ended September 30, 2018, approximately 31.1%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2018, we did not have any derivative instruments. A 10% strengthening of the U.S. dollar compared to all of the foreign currencies in which we transact business would have resulted in a 2.8% decrease of our three months ended September 30, 2018 revenue, in the amount of $1.6 million.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amended. Based on that evaluation, our Chief Executive Officer and Chief Financial Officer concluded that our disclosure controls and procedures were designed and operating effectively as of September 30,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September 30, 2018 that have materially affected or are reasonably likely to materially affect our internal controls over financial reporting.</w:t>
      </w:r>
    </w:p>
    <w:p>
      <w:pPr>
        <w:spacing w:after="0" w:line="8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2018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Note 7 to our unaudited condensed consolidated financial statements contained within this quarterly report on Form 10-Q for a discussion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2018, filed on August 15, 2018.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1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p>
      <w:pPr>
        <w:ind w:left="360"/>
        <w:spacing w:after="0"/>
        <w:tabs>
          <w:tab w:leader="none" w:pos="3160" w:val="left"/>
          <w:tab w:leader="none" w:pos="73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p>
      <w:pPr>
        <w:spacing w:after="0" w:line="239" w:lineRule="exact"/>
        <w:rPr>
          <w:sz w:val="20"/>
          <w:szCs w:val="20"/>
          <w:color w:val="auto"/>
        </w:rPr>
      </w:pPr>
    </w:p>
    <w:p>
      <w:pPr>
        <w:ind w:left="6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0">
        <w:r>
          <w:rPr>
            <w:rFonts w:ascii="Arial" w:cs="Arial" w:eastAsia="Arial" w:hAnsi="Arial"/>
            <w:sz w:val="16"/>
            <w:szCs w:val="16"/>
            <w:u w:val="single" w:color="auto"/>
            <w:color w:val="0000FF"/>
          </w:rPr>
          <w:t>Plan of Conversion, dated March 9, 2018</w:t>
        </w:r>
      </w:hyperlink>
    </w:p>
    <w:p>
      <w:pPr>
        <w:spacing w:after="0" w:line="200" w:lineRule="exact"/>
        <w:rPr>
          <w:sz w:val="20"/>
          <w:szCs w:val="20"/>
          <w:color w:val="auto"/>
        </w:rPr>
      </w:pPr>
    </w:p>
    <w:p>
      <w:pPr>
        <w:spacing w:after="0" w:line="255" w:lineRule="exact"/>
        <w:rPr>
          <w:sz w:val="20"/>
          <w:szCs w:val="20"/>
          <w:color w:val="auto"/>
        </w:rPr>
      </w:pPr>
    </w:p>
    <w:p>
      <w:pPr>
        <w:ind w:left="1300" w:right="24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1">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State on March 9, 2018</w:t>
        </w:r>
      </w:hyperlink>
    </w:p>
    <w:p>
      <w:pPr>
        <w:spacing w:after="0" w:line="184" w:lineRule="exact"/>
        <w:rPr>
          <w:sz w:val="20"/>
          <w:szCs w:val="20"/>
          <w:color w:val="auto"/>
        </w:rPr>
      </w:pPr>
    </w:p>
    <w:p>
      <w:pPr>
        <w:ind w:left="6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2">
        <w:r>
          <w:rPr>
            <w:rFonts w:ascii="Arial" w:cs="Arial" w:eastAsia="Arial" w:hAnsi="Arial"/>
            <w:sz w:val="16"/>
            <w:szCs w:val="16"/>
            <w:u w:val="single" w:color="auto"/>
            <w:color w:val="0000FF"/>
          </w:rPr>
          <w:t>Bylaws, effective March 9, 2018</w:t>
        </w:r>
      </w:hyperlink>
    </w:p>
    <w:p>
      <w:pPr>
        <w:spacing w:after="0" w:line="200" w:lineRule="exact"/>
        <w:rPr>
          <w:sz w:val="20"/>
          <w:szCs w:val="20"/>
          <w:color w:val="auto"/>
        </w:rPr>
      </w:pPr>
    </w:p>
    <w:p>
      <w:pPr>
        <w:spacing w:after="0" w:line="255" w:lineRule="exact"/>
        <w:rPr>
          <w:sz w:val="20"/>
          <w:szCs w:val="20"/>
          <w:color w:val="auto"/>
        </w:rPr>
      </w:pPr>
    </w:p>
    <w:p>
      <w:pPr>
        <w:ind w:left="1300" w:right="2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13">
        <w:r>
          <w:rPr>
            <w:rFonts w:ascii="Arial" w:cs="Arial" w:eastAsia="Arial" w:hAnsi="Arial"/>
            <w:sz w:val="18"/>
            <w:szCs w:val="18"/>
            <w:u w:val="single" w:color="auto"/>
            <w:color w:val="0000FF"/>
          </w:rPr>
          <w:t>Certificate of Conversion as filed with the Delaware Secretary of State</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on March 9, 2018</w:t>
        </w:r>
      </w:hyperlink>
    </w:p>
    <w:p>
      <w:pPr>
        <w:spacing w:after="0" w:line="184" w:lineRule="exact"/>
        <w:rPr>
          <w:sz w:val="20"/>
          <w:szCs w:val="20"/>
          <w:color w:val="auto"/>
        </w:rPr>
      </w:pPr>
    </w:p>
    <w:p>
      <w:pPr>
        <w:ind w:left="1300" w:right="8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4">
        <w:r>
          <w:rPr>
            <w:rFonts w:ascii="Arial" w:cs="Arial" w:eastAsia="Arial" w:hAnsi="Arial"/>
            <w:sz w:val="18"/>
            <w:szCs w:val="18"/>
            <w:u w:val="single" w:color="auto"/>
            <w:color w:val="0000FF"/>
          </w:rPr>
          <w:t>Statement of Conversion as filed with the Colorado Secretary of State</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on March 9, 2018</w:t>
        </w:r>
      </w:hyperlink>
    </w:p>
    <w:p>
      <w:pPr>
        <w:spacing w:after="0" w:line="184" w:lineRule="exact"/>
        <w:rPr>
          <w:sz w:val="20"/>
          <w:szCs w:val="20"/>
          <w:color w:val="auto"/>
        </w:rPr>
      </w:pPr>
    </w:p>
    <w:p>
      <w:pPr>
        <w:ind w:left="1300" w:right="460" w:hanging="66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8"/>
            <w:szCs w:val="18"/>
            <w:u w:val="single" w:color="auto"/>
            <w:color w:val="0000FF"/>
          </w:rPr>
          <w:t>Certification of principal executive officer pursuant to Rule 13a-</w:t>
        </w:r>
      </w:hyperlink>
      <w:hyperlink w:anchor="page28">
        <w:r>
          <w:rPr>
            <w:rFonts w:ascii="Arial" w:cs="Arial" w:eastAsia="Arial" w:hAnsi="Arial"/>
            <w:sz w:val="18"/>
            <w:szCs w:val="18"/>
            <w:u w:val="single" w:color="auto"/>
            <w:color w:val="0000FF"/>
          </w:rPr>
          <w:t>14(a)/15d-14(a)</w:t>
        </w:r>
      </w:hyperlink>
    </w:p>
    <w:p>
      <w:pPr>
        <w:spacing w:after="0" w:line="184" w:lineRule="exact"/>
        <w:rPr>
          <w:sz w:val="20"/>
          <w:szCs w:val="20"/>
          <w:color w:val="auto"/>
        </w:rPr>
      </w:pPr>
    </w:p>
    <w:p>
      <w:pPr>
        <w:ind w:left="1300" w:right="520" w:hanging="66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8"/>
            <w:szCs w:val="18"/>
            <w:u w:val="single" w:color="auto"/>
            <w:color w:val="0000FF"/>
          </w:rPr>
          <w:t>Certification of principal financial officer pursuant to Rule 13a-</w:t>
        </w:r>
      </w:hyperlink>
      <w:hyperlink w:anchor="page29">
        <w:r>
          <w:rPr>
            <w:rFonts w:ascii="Arial" w:cs="Arial" w:eastAsia="Arial" w:hAnsi="Arial"/>
            <w:sz w:val="18"/>
            <w:szCs w:val="18"/>
            <w:u w:val="single" w:color="auto"/>
            <w:color w:val="0000FF"/>
          </w:rPr>
          <w:t>14(a)/15d-14(a)</w:t>
        </w:r>
      </w:hyperlink>
    </w:p>
    <w:p>
      <w:pPr>
        <w:spacing w:after="0" w:line="184" w:lineRule="exact"/>
        <w:rPr>
          <w:sz w:val="20"/>
          <w:szCs w:val="20"/>
          <w:color w:val="auto"/>
        </w:rPr>
      </w:pPr>
    </w:p>
    <w:p>
      <w:pPr>
        <w:jc w:val="right"/>
        <w:ind w:left="58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32.1*   </w:t>
      </w:r>
      <w:hyperlink w:anchor="page30">
        <w:r>
          <w:rPr>
            <w:rFonts w:ascii="Arial" w:cs="Arial" w:eastAsia="Arial" w:hAnsi="Arial"/>
            <w:sz w:val="17"/>
            <w:szCs w:val="17"/>
            <w:u w:val="single" w:color="auto"/>
            <w:color w:val="0000FF"/>
          </w:rPr>
          <w:t>Certification of principal executive officer pursuant to 18 U.S.C. 1350,</w:t>
        </w:r>
      </w:hyperlink>
      <w:r>
        <w:rPr>
          <w:rFonts w:ascii="Arial" w:cs="Arial" w:eastAsia="Arial" w:hAnsi="Arial"/>
          <w:sz w:val="17"/>
          <w:szCs w:val="17"/>
          <w:color w:val="auto"/>
        </w:rPr>
        <w:t xml:space="preserve"> </w:t>
      </w:r>
      <w:hyperlink w:anchor="page30">
        <w:r>
          <w:rPr>
            <w:rFonts w:ascii="Arial" w:cs="Arial" w:eastAsia="Arial" w:hAnsi="Arial"/>
            <w:sz w:val="17"/>
            <w:szCs w:val="17"/>
            <w:u w:val="single" w:color="auto"/>
            <w:color w:val="0000FF"/>
          </w:rPr>
          <w:t>as adopted pursuant to Section 906 of the Sarbanes-Oxley Act of 2002</w:t>
        </w:r>
      </w:hyperlink>
    </w:p>
    <w:p>
      <w:pPr>
        <w:spacing w:after="0" w:line="160" w:lineRule="exact"/>
        <w:rPr>
          <w:sz w:val="20"/>
          <w:szCs w:val="20"/>
          <w:color w:val="auto"/>
        </w:rPr>
      </w:pPr>
    </w:p>
    <w:p>
      <w:pPr>
        <w:jc w:val="right"/>
        <w:ind w:left="580" w:right="4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32.2*   </w:t>
      </w:r>
      <w:hyperlink w:anchor="page31">
        <w:r>
          <w:rPr>
            <w:rFonts w:ascii="Arial" w:cs="Arial" w:eastAsia="Arial" w:hAnsi="Arial"/>
            <w:sz w:val="17"/>
            <w:szCs w:val="17"/>
            <w:u w:val="single" w:color="auto"/>
            <w:color w:val="0000FF"/>
          </w:rPr>
          <w:t>Certification of principal financial officer pursuant to 18 U.S.C. 1350,</w:t>
        </w:r>
      </w:hyperlink>
      <w:r>
        <w:rPr>
          <w:rFonts w:ascii="Arial" w:cs="Arial" w:eastAsia="Arial" w:hAnsi="Arial"/>
          <w:sz w:val="17"/>
          <w:szCs w:val="17"/>
          <w:color w:val="auto"/>
        </w:rPr>
        <w:t xml:space="preserve"> </w:t>
      </w:r>
      <w:hyperlink w:anchor="page31">
        <w:r>
          <w:rPr>
            <w:rFonts w:ascii="Arial" w:cs="Arial" w:eastAsia="Arial" w:hAnsi="Arial"/>
            <w:sz w:val="17"/>
            <w:szCs w:val="17"/>
            <w:u w:val="single" w:color="auto"/>
            <w:color w:val="0000FF"/>
          </w:rPr>
          <w:t>as adopted pursuant to Section 906 of the Sarbanes-Oxley Act of 2002</w:t>
        </w:r>
      </w:hyperlink>
    </w:p>
    <w:p>
      <w:pPr>
        <w:spacing w:after="0" w:line="160" w:lineRule="exact"/>
        <w:rPr>
          <w:sz w:val="20"/>
          <w:szCs w:val="20"/>
          <w:color w:val="auto"/>
        </w:rPr>
      </w:pPr>
    </w:p>
    <w:p>
      <w:pPr>
        <w:ind w:left="1300" w:right="60" w:hanging="718"/>
        <w:spacing w:after="0" w:line="28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quarter ended September 30, 2018 formatted in XBRL (extensible Business Reporting Language): (i) Unaudited Condensed Consolidated Balance Sheets at September 30, 2018 and June 30, 2018; (ii) Unaudited Condensed Consolidated Statements of Operations and Other Comprehensive Income for the three months ended September 30, 2018 and 2017; (iii) Unaudited Condensed Consolidated Statement of Stockholders’ Equity for the three months ended September 30, 2018; (iv) Unaudited Condensed Consolidated Statements of Cash Flows for the three months ended September 30, 2018 and 2017; and (v) Notes to Unaudited Condensed Consolidated Financial Statements, tagged as blocks of text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2.1 to the Current Report on Form 8-K filed on March 13, 2018.</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3.2 to the Current Report on Form 8-K filed on March 13, 2018.</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3.3 to the Current Report on Form 8-K filed on March 13, 2018.</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3.4 to the Current Report on Form 8-K filed on March 13,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633" w:lineRule="exact"/>
        <w:rPr>
          <w:sz w:val="20"/>
          <w:szCs w:val="20"/>
          <w:color w:val="auto"/>
        </w:rPr>
      </w:pPr>
    </w:p>
    <w:p>
      <w:pPr>
        <w:sectPr>
          <w:pgSz w:w="11900" w:h="16838" w:orient="portrait"/>
          <w:cols w:equalWidth="0" w:num="2">
            <w:col w:w="6400" w:space="220"/>
            <w:col w:w="4600"/>
          </w:cols>
          <w:pgMar w:left="240" w:top="580" w:right="439" w:bottom="1440" w:gutter="0" w:footer="0" w:header="0"/>
          <w:type w:val="continuous"/>
        </w:sectPr>
      </w:pPr>
    </w:p>
    <w:p>
      <w:pPr>
        <w:spacing w:after="0" w:line="77" w:lineRule="exact"/>
        <w:rPr>
          <w:sz w:val="20"/>
          <w:szCs w:val="20"/>
          <w:color w:val="auto"/>
        </w:rPr>
      </w:pPr>
    </w:p>
    <w:p>
      <w:pPr>
        <w:ind w:left="1220" w:hanging="717"/>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580" w:right="439" w:bottom="1440" w:gutter="0" w:footer="0" w:header="0"/>
          <w:type w:val="continuous"/>
        </w:sectPr>
      </w:pPr>
    </w:p>
    <w:bookmarkStart w:id="26" w:name="page27"/>
    <w:bookmarkEnd w:id="2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580"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2018,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2018,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10" Type="http://schemas.openxmlformats.org/officeDocument/2006/relationships/hyperlink" Target="http://www.sec.gov/Archives/edgar/data/849146/000084914618000046/ex21-planofconversion.htm" TargetMode="External"/><Relationship Id="rId11" Type="http://schemas.openxmlformats.org/officeDocument/2006/relationships/hyperlink" Target="http://www.sec.gov/Archives/edgar/data/849146/000084914618000046/ex31-certificateofincorpor.htm" TargetMode="External"/><Relationship Id="rId12" Type="http://schemas.openxmlformats.org/officeDocument/2006/relationships/hyperlink" Target="http://www.sec.gov/Archives/edgar/data/849146/000084914618000046/ex32-bylaws.htm" TargetMode="External"/><Relationship Id="rId13" Type="http://schemas.openxmlformats.org/officeDocument/2006/relationships/hyperlink" Target="http://www.sec.gov/Archives/edgar/data/849146/000084914618000046/ex33-certificateofconversi.htm" TargetMode="External"/><Relationship Id="rId14" Type="http://schemas.openxmlformats.org/officeDocument/2006/relationships/hyperlink" Target="http://www.sec.gov/Archives/edgar/data/849146/000084914618000046/ex34-statementofconver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2019-12-28T18:55:04Z</dcterms:created>
  <dcterms:modified xsi:type="dcterms:W3CDTF">2019-12-28T18:55:04Z</dcterms:modified>
</cp:coreProperties>
</file>