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line="234" w:lineRule="auto"/>
        <w:rPr>
          <w:sz w:val="20"/>
          <w:szCs w:val="20"/>
          <w:color w:val="auto"/>
        </w:rPr>
      </w:pPr>
      <w:r>
        <w:rPr>
          <w:rFonts w:ascii="Arial" w:cs="Arial" w:eastAsia="Arial" w:hAnsi="Arial"/>
          <w:sz w:val="16"/>
          <w:szCs w:val="16"/>
          <w:b w:val="1"/>
          <w:bCs w:val="1"/>
          <w:color w:val="auto"/>
        </w:rPr>
        <w:t>Washington, D.C. 20549</w:t>
      </w: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5"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294"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UNDER SECTION 13 OR 15 (d) OF THE SECURITIES EXCHANGE ACT OF 1934</w:t>
      </w:r>
    </w:p>
    <w:p>
      <w:pPr>
        <w:spacing w:after="0" w:line="85" w:lineRule="exact"/>
        <w:rPr>
          <w:rFonts w:ascii="MS PGothic" w:cs="MS PGothic" w:eastAsia="MS PGothic" w:hAnsi="MS PGothic"/>
          <w:sz w:val="16"/>
          <w:szCs w:val="16"/>
          <w:color w:val="auto"/>
        </w:rPr>
      </w:pPr>
    </w:p>
    <w:p>
      <w:pPr>
        <w:ind w:left="37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FOR THE QUARTERLY PERIOD ENDED MARCH 31, 2021</w:t>
      </w:r>
    </w:p>
    <w:p>
      <w:pPr>
        <w:spacing w:after="0" w:line="122"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77"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920" w:type="dxa"/>
            <w:vAlign w:val="bottom"/>
            <w:gridSpan w:val="3"/>
          </w:tcPr>
          <w:p>
            <w:pPr>
              <w:ind w:left="280"/>
              <w:spacing w:after="0"/>
              <w:rPr>
                <w:sz w:val="20"/>
                <w:szCs w:val="20"/>
                <w:color w:val="auto"/>
              </w:rPr>
            </w:pPr>
            <w:r>
              <w:rPr>
                <w:rFonts w:ascii="Arial" w:cs="Arial" w:eastAsia="Arial" w:hAnsi="Arial"/>
                <w:sz w:val="14"/>
                <w:szCs w:val="14"/>
                <w:b w:val="1"/>
                <w:bCs w:val="1"/>
                <w:color w:val="auto"/>
              </w:rPr>
              <w:t>FOR THE TRANSITION PERIOD FROM</w:t>
            </w:r>
          </w:p>
        </w:tc>
        <w:tc>
          <w:tcPr>
            <w:tcW w:w="720" w:type="dxa"/>
            <w:vAlign w:val="bottom"/>
            <w:tcBorders>
              <w:bottom w:val="single" w:sz="8" w:color="auto"/>
            </w:tcBorders>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TO</w:t>
            </w:r>
          </w:p>
        </w:tc>
        <w:tc>
          <w:tcPr>
            <w:tcW w:w="720" w:type="dxa"/>
            <w:vAlign w:val="bottom"/>
            <w:tcBorders>
              <w:bottom w:val="single" w:sz="8" w:color="auto"/>
            </w:tcBorders>
            <w:gridSpan w:val="3"/>
          </w:tcPr>
          <w:p>
            <w:pPr>
              <w:spacing w:after="0"/>
              <w:rPr>
                <w:sz w:val="14"/>
                <w:szCs w:val="14"/>
                <w:color w:val="auto"/>
              </w:rPr>
            </w:pPr>
          </w:p>
        </w:tc>
        <w:tc>
          <w:tcPr>
            <w:tcW w:w="3460" w:type="dxa"/>
            <w:vAlign w:val="bottom"/>
          </w:tcPr>
          <w:p>
            <w:pPr>
              <w:spacing w:after="0"/>
              <w:rPr>
                <w:sz w:val="14"/>
                <w:szCs w:val="14"/>
                <w:color w:val="auto"/>
              </w:rPr>
            </w:pPr>
          </w:p>
        </w:tc>
      </w:tr>
      <w:tr>
        <w:trPr>
          <w:trHeight w:val="300"/>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60" w:type="dxa"/>
            <w:vAlign w:val="bottom"/>
            <w:gridSpan w:val="2"/>
          </w:tcPr>
          <w:p>
            <w:pPr>
              <w:jc w:val="center"/>
              <w:ind w:left="615"/>
              <w:spacing w:after="0"/>
              <w:rPr>
                <w:sz w:val="20"/>
                <w:szCs w:val="20"/>
                <w:color w:val="auto"/>
              </w:rPr>
            </w:pPr>
            <w:r>
              <w:rPr>
                <w:rFonts w:ascii="Arial" w:cs="Arial" w:eastAsia="Arial" w:hAnsi="Arial"/>
                <w:sz w:val="14"/>
                <w:szCs w:val="14"/>
                <w:b w:val="1"/>
                <w:bCs w:val="1"/>
                <w:color w:val="auto"/>
                <w:w w:val="91"/>
              </w:rPr>
              <w:t>Commission file number 001-35647</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08"/>
        </w:trPr>
        <w:tc>
          <w:tcPr>
            <w:tcW w:w="3180" w:type="dxa"/>
            <w:vAlign w:val="bottom"/>
          </w:tcPr>
          <w:p>
            <w:pPr>
              <w:spacing w:after="0"/>
              <w:rPr>
                <w:sz w:val="9"/>
                <w:szCs w:val="9"/>
                <w:color w:val="auto"/>
              </w:rPr>
            </w:pPr>
          </w:p>
        </w:tc>
        <w:tc>
          <w:tcPr>
            <w:tcW w:w="4280" w:type="dxa"/>
            <w:vAlign w:val="bottom"/>
            <w:gridSpan w:val="6"/>
          </w:tcPr>
          <w:p>
            <w:pPr>
              <w:jc w:val="center"/>
              <w:ind w:left="524"/>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60" w:type="dxa"/>
            <w:vAlign w:val="bottom"/>
          </w:tcPr>
          <w:p>
            <w:pPr>
              <w:spacing w:after="0"/>
              <w:rPr>
                <w:sz w:val="9"/>
                <w:szCs w:val="9"/>
                <w:color w:val="auto"/>
              </w:rPr>
            </w:pPr>
          </w:p>
        </w:tc>
      </w:tr>
      <w:tr>
        <w:trPr>
          <w:trHeight w:val="549"/>
        </w:trPr>
        <w:tc>
          <w:tcPr>
            <w:tcW w:w="3180" w:type="dxa"/>
            <w:vAlign w:val="bottom"/>
          </w:tcPr>
          <w:p>
            <w:pPr>
              <w:spacing w:after="0"/>
              <w:rPr>
                <w:sz w:val="24"/>
                <w:szCs w:val="24"/>
                <w:color w:val="auto"/>
              </w:rPr>
            </w:pPr>
          </w:p>
        </w:tc>
        <w:tc>
          <w:tcPr>
            <w:tcW w:w="8080" w:type="dxa"/>
            <w:vAlign w:val="bottom"/>
            <w:gridSpan w:val="9"/>
          </w:tcPr>
          <w:p>
            <w:pPr>
              <w:jc w:val="center"/>
              <w:ind w:right="3136"/>
              <w:spacing w:after="0"/>
              <w:rPr>
                <w:sz w:val="20"/>
                <w:szCs w:val="20"/>
                <w:color w:val="auto"/>
              </w:rPr>
            </w:pPr>
            <w:r>
              <w:rPr>
                <w:rFonts w:ascii="Arial" w:cs="Arial" w:eastAsia="Arial" w:hAnsi="Arial"/>
                <w:sz w:val="31"/>
                <w:szCs w:val="31"/>
                <w:b w:val="1"/>
                <w:bCs w:val="1"/>
                <w:color w:val="auto"/>
              </w:rPr>
              <w:t>LIFEVANTAGE CORPORATION</w:t>
            </w:r>
          </w:p>
        </w:tc>
      </w:tr>
      <w:tr>
        <w:trPr>
          <w:trHeight w:val="165"/>
        </w:trPr>
        <w:tc>
          <w:tcPr>
            <w:tcW w:w="3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500" w:type="dxa"/>
            <w:vAlign w:val="bottom"/>
            <w:gridSpan w:val="7"/>
          </w:tcPr>
          <w:p>
            <w:pPr>
              <w:jc w:val="center"/>
              <w:ind w:right="3716"/>
              <w:spacing w:after="0"/>
              <w:rPr>
                <w:sz w:val="20"/>
                <w:szCs w:val="20"/>
                <w:color w:val="auto"/>
              </w:rPr>
            </w:pPr>
            <w:r>
              <w:rPr>
                <w:rFonts w:ascii="Arial" w:cs="Arial" w:eastAsia="Arial" w:hAnsi="Arial"/>
                <w:sz w:val="13"/>
                <w:szCs w:val="13"/>
                <w:b w:val="1"/>
                <w:bCs w:val="1"/>
                <w:color w:val="auto"/>
                <w:w w:val="87"/>
              </w:rPr>
              <w:t>(Exact name of Registrant as specified in its charter)</w:t>
            </w:r>
          </w:p>
        </w:tc>
      </w:tr>
      <w:tr>
        <w:trPr>
          <w:trHeight w:val="135"/>
        </w:trPr>
        <w:tc>
          <w:tcPr>
            <w:tcW w:w="3180" w:type="dxa"/>
            <w:vAlign w:val="bottom"/>
          </w:tcPr>
          <w:p>
            <w:pPr>
              <w:spacing w:after="0"/>
              <w:rPr>
                <w:sz w:val="11"/>
                <w:szCs w:val="11"/>
                <w:color w:val="auto"/>
              </w:rPr>
            </w:pPr>
          </w:p>
        </w:tc>
        <w:tc>
          <w:tcPr>
            <w:tcW w:w="4280" w:type="dxa"/>
            <w:vAlign w:val="bottom"/>
            <w:gridSpan w:val="6"/>
          </w:tcPr>
          <w:p>
            <w:pPr>
              <w:jc w:val="center"/>
              <w:ind w:left="524"/>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60" w:type="dxa"/>
            <w:vAlign w:val="bottom"/>
          </w:tcPr>
          <w:p>
            <w:pPr>
              <w:spacing w:after="0"/>
              <w:rPr>
                <w:sz w:val="11"/>
                <w:szCs w:val="11"/>
                <w:color w:val="auto"/>
              </w:rPr>
            </w:pPr>
          </w:p>
        </w:tc>
      </w:tr>
      <w:tr>
        <w:trPr>
          <w:trHeight w:val="385"/>
        </w:trPr>
        <w:tc>
          <w:tcPr>
            <w:tcW w:w="3180" w:type="dxa"/>
            <w:vAlign w:val="bottom"/>
          </w:tcPr>
          <w:p>
            <w:pPr>
              <w:ind w:left="2480"/>
              <w:spacing w:after="0"/>
              <w:rPr>
                <w:sz w:val="20"/>
                <w:szCs w:val="20"/>
                <w:color w:val="auto"/>
              </w:rPr>
            </w:pPr>
            <w:r>
              <w:rPr>
                <w:rFonts w:ascii="Arial" w:cs="Arial" w:eastAsia="Arial" w:hAnsi="Arial"/>
                <w:sz w:val="14"/>
                <w:szCs w:val="14"/>
                <w:b w:val="1"/>
                <w:bCs w:val="1"/>
                <w:color w:val="auto"/>
              </w:rPr>
              <w:t>Delaware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gridSpan w:val="5"/>
          </w:tcPr>
          <w:p>
            <w:pPr>
              <w:jc w:val="right"/>
              <w:ind w:right="2296"/>
              <w:spacing w:after="0"/>
              <w:rPr>
                <w:sz w:val="20"/>
                <w:szCs w:val="20"/>
                <w:color w:val="auto"/>
              </w:rPr>
            </w:pPr>
            <w:r>
              <w:rPr>
                <w:rFonts w:ascii="Arial" w:cs="Arial" w:eastAsia="Arial" w:hAnsi="Arial"/>
                <w:sz w:val="14"/>
                <w:szCs w:val="14"/>
                <w:b w:val="1"/>
                <w:bCs w:val="1"/>
                <w:color w:val="auto"/>
              </w:rPr>
              <w:t>90-0224471</w:t>
            </w:r>
          </w:p>
        </w:tc>
      </w:tr>
      <w:tr>
        <w:trPr>
          <w:trHeight w:val="145"/>
        </w:trPr>
        <w:tc>
          <w:tcPr>
            <w:tcW w:w="6820" w:type="dxa"/>
            <w:vAlign w:val="bottom"/>
            <w:gridSpan w:val="5"/>
          </w:tcPr>
          <w:p>
            <w:pPr>
              <w:ind w:left="1420"/>
              <w:spacing w:after="0"/>
              <w:rPr>
                <w:sz w:val="20"/>
                <w:szCs w:val="20"/>
                <w:color w:val="auto"/>
              </w:rPr>
            </w:pPr>
            <w:r>
              <w:rPr>
                <w:rFonts w:ascii="Arial" w:cs="Arial" w:eastAsia="Arial" w:hAnsi="Arial"/>
                <w:sz w:val="11"/>
                <w:szCs w:val="11"/>
                <w:color w:val="auto"/>
              </w:rPr>
              <w:t>(State or other jurisdiction of incorporation or organization)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gridSpan w:val="2"/>
          </w:tcPr>
          <w:p>
            <w:pPr>
              <w:jc w:val="center"/>
              <w:ind w:right="1616"/>
              <w:spacing w:after="0"/>
              <w:rPr>
                <w:sz w:val="20"/>
                <w:szCs w:val="20"/>
                <w:color w:val="auto"/>
              </w:rPr>
            </w:pPr>
            <w:r>
              <w:rPr>
                <w:rFonts w:ascii="Arial" w:cs="Arial" w:eastAsia="Arial" w:hAnsi="Arial"/>
                <w:sz w:val="11"/>
                <w:szCs w:val="11"/>
                <w:color w:val="auto"/>
                <w:w w:val="97"/>
              </w:rPr>
              <w:t>(IRS Employer Identification No.)</w:t>
            </w:r>
          </w:p>
        </w:tc>
      </w:tr>
      <w:tr>
        <w:trPr>
          <w:trHeight w:val="290"/>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7"/>
          </w:tcPr>
          <w:p>
            <w:pPr>
              <w:jc w:val="center"/>
              <w:ind w:right="3716"/>
              <w:spacing w:after="0"/>
              <w:rPr>
                <w:sz w:val="20"/>
                <w:szCs w:val="20"/>
                <w:color w:val="auto"/>
              </w:rPr>
            </w:pPr>
            <w:r>
              <w:rPr>
                <w:rFonts w:ascii="Arial" w:cs="Arial" w:eastAsia="Arial" w:hAnsi="Arial"/>
                <w:sz w:val="14"/>
                <w:szCs w:val="14"/>
                <w:b w:val="1"/>
                <w:bCs w:val="1"/>
                <w:color w:val="auto"/>
                <w:w w:val="93"/>
              </w:rPr>
              <w:t>3300 Triumph Blvd, Suite 700, Lehi, UT 84043</w:t>
            </w:r>
          </w:p>
        </w:tc>
      </w:tr>
      <w:tr>
        <w:trPr>
          <w:trHeight w:val="145"/>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500" w:type="dxa"/>
            <w:vAlign w:val="bottom"/>
            <w:gridSpan w:val="7"/>
          </w:tcPr>
          <w:p>
            <w:pPr>
              <w:jc w:val="center"/>
              <w:ind w:right="3716"/>
              <w:spacing w:after="0"/>
              <w:rPr>
                <w:sz w:val="20"/>
                <w:szCs w:val="20"/>
                <w:color w:val="auto"/>
              </w:rPr>
            </w:pPr>
            <w:r>
              <w:rPr>
                <w:rFonts w:ascii="Arial" w:cs="Arial" w:eastAsia="Arial" w:hAnsi="Arial"/>
                <w:sz w:val="11"/>
                <w:szCs w:val="11"/>
                <w:color w:val="auto"/>
                <w:w w:val="95"/>
              </w:rPr>
              <w:t>(Address of principal executive offices, including zip code)</w:t>
            </w:r>
          </w:p>
        </w:tc>
      </w:tr>
      <w:tr>
        <w:trPr>
          <w:trHeight w:val="280"/>
        </w:trPr>
        <w:tc>
          <w:tcPr>
            <w:tcW w:w="3180" w:type="dxa"/>
            <w:vAlign w:val="bottom"/>
          </w:tcPr>
          <w:p>
            <w:pPr>
              <w:spacing w:after="0"/>
              <w:rPr>
                <w:sz w:val="24"/>
                <w:szCs w:val="24"/>
                <w:color w:val="auto"/>
              </w:rPr>
            </w:pPr>
          </w:p>
        </w:tc>
        <w:tc>
          <w:tcPr>
            <w:tcW w:w="2920" w:type="dxa"/>
            <w:vAlign w:val="bottom"/>
            <w:gridSpan w:val="3"/>
          </w:tcPr>
          <w:p>
            <w:pPr>
              <w:jc w:val="center"/>
              <w:ind w:left="1884"/>
              <w:spacing w:after="0"/>
              <w:rPr>
                <w:sz w:val="20"/>
                <w:szCs w:val="20"/>
                <w:color w:val="auto"/>
              </w:rPr>
            </w:pPr>
            <w:r>
              <w:rPr>
                <w:rFonts w:ascii="Arial" w:cs="Arial" w:eastAsia="Arial" w:hAnsi="Arial"/>
                <w:sz w:val="14"/>
                <w:szCs w:val="14"/>
                <w:b w:val="1"/>
                <w:bCs w:val="1"/>
                <w:color w:val="auto"/>
                <w:w w:val="91"/>
              </w:rPr>
              <w:t>(801) 432-9000</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45"/>
        </w:trPr>
        <w:tc>
          <w:tcPr>
            <w:tcW w:w="3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gridSpan w:val="2"/>
          </w:tcPr>
          <w:p>
            <w:pPr>
              <w:jc w:val="center"/>
              <w:ind w:left="615"/>
              <w:spacing w:after="0"/>
              <w:rPr>
                <w:sz w:val="20"/>
                <w:szCs w:val="20"/>
                <w:color w:val="auto"/>
              </w:rPr>
            </w:pPr>
            <w:r>
              <w:rPr>
                <w:rFonts w:ascii="Arial" w:cs="Arial" w:eastAsia="Arial" w:hAnsi="Arial"/>
                <w:sz w:val="11"/>
                <w:szCs w:val="11"/>
                <w:color w:val="auto"/>
                <w:w w:val="92"/>
              </w:rPr>
              <w:t>(Registrant’s telephone number)</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tcPr>
          <w:p>
            <w:pPr>
              <w:spacing w:after="0"/>
              <w:rPr>
                <w:sz w:val="12"/>
                <w:szCs w:val="12"/>
                <w:color w:val="auto"/>
              </w:rPr>
            </w:pPr>
          </w:p>
        </w:tc>
      </w:tr>
      <w:tr>
        <w:trPr>
          <w:trHeight w:val="358"/>
        </w:trPr>
        <w:tc>
          <w:tcPr>
            <w:tcW w:w="3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00" w:type="dxa"/>
            <w:vAlign w:val="bottom"/>
            <w:gridSpan w:val="7"/>
          </w:tcPr>
          <w:p>
            <w:pPr>
              <w:jc w:val="center"/>
              <w:ind w:right="3696"/>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r>
      <w:tr>
        <w:trPr>
          <w:trHeight w:val="202"/>
        </w:trPr>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Common Stock, par value $0.0001</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rPr>
              <w:t>LFVN</w:t>
            </w: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5"/>
              </w:rPr>
              <w:t>The Nasdaq Stock Market LLC</w:t>
            </w:r>
          </w:p>
        </w:tc>
      </w:tr>
      <w:tr>
        <w:trPr>
          <w:trHeight w:val="136"/>
        </w:trPr>
        <w:tc>
          <w:tcPr>
            <w:tcW w:w="3180" w:type="dxa"/>
            <w:vAlign w:val="bottom"/>
          </w:tcPr>
          <w:p>
            <w:pPr>
              <w:ind w:left="1420"/>
              <w:spacing w:after="0"/>
              <w:rPr>
                <w:sz w:val="20"/>
                <w:szCs w:val="20"/>
                <w:color w:val="auto"/>
              </w:rPr>
            </w:pPr>
            <w:r>
              <w:rPr>
                <w:rFonts w:ascii="Arial" w:cs="Arial" w:eastAsia="Arial" w:hAnsi="Arial"/>
                <w:sz w:val="11"/>
                <w:szCs w:val="11"/>
                <w:color w:val="auto"/>
              </w:rPr>
              <w:t>Title of each class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60" w:type="dxa"/>
            <w:vAlign w:val="bottom"/>
            <w:gridSpan w:val="2"/>
          </w:tcPr>
          <w:p>
            <w:pPr>
              <w:jc w:val="center"/>
              <w:ind w:left="575"/>
              <w:spacing w:after="0"/>
              <w:rPr>
                <w:sz w:val="20"/>
                <w:szCs w:val="20"/>
                <w:color w:val="auto"/>
              </w:rPr>
            </w:pPr>
            <w:r>
              <w:rPr>
                <w:rFonts w:ascii="Arial" w:cs="Arial" w:eastAsia="Arial" w:hAnsi="Arial"/>
                <w:sz w:val="11"/>
                <w:szCs w:val="11"/>
                <w:color w:val="auto"/>
                <w:w w:val="95"/>
              </w:rPr>
              <w:t>Trading Symbol(s)</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60" w:type="dxa"/>
            <w:vAlign w:val="bottom"/>
          </w:tcPr>
          <w:p>
            <w:pPr>
              <w:jc w:val="center"/>
              <w:ind w:right="196"/>
              <w:spacing w:after="0"/>
              <w:rPr>
                <w:sz w:val="20"/>
                <w:szCs w:val="20"/>
                <w:color w:val="auto"/>
              </w:rPr>
            </w:pPr>
            <w:r>
              <w:rPr>
                <w:rFonts w:ascii="Arial" w:cs="Arial" w:eastAsia="Arial" w:hAnsi="Arial"/>
                <w:sz w:val="11"/>
                <w:szCs w:val="11"/>
                <w:color w:val="auto"/>
                <w:w w:val="91"/>
              </w:rPr>
              <w:t>Name of each exchange on which registered</w:t>
            </w:r>
          </w:p>
        </w:tc>
      </w:tr>
    </w:tbl>
    <w:p>
      <w:pPr>
        <w:spacing w:after="0" w:line="79"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125"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2" w:lineRule="exact"/>
        <w:rPr>
          <w:sz w:val="24"/>
          <w:szCs w:val="24"/>
          <w:color w:val="auto"/>
        </w:rPr>
      </w:pPr>
    </w:p>
    <w:p>
      <w:pPr>
        <w:ind w:right="80"/>
        <w:spacing w:after="0" w:line="26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3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12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60"/>
              <w:spacing w:after="0"/>
              <w:rPr>
                <w:sz w:val="20"/>
                <w:szCs w:val="20"/>
                <w:color w:val="auto"/>
              </w:rPr>
            </w:pPr>
            <w:r>
              <w:rPr>
                <w:rFonts w:ascii="Arial" w:cs="Arial" w:eastAsia="Arial" w:hAnsi="Arial"/>
                <w:sz w:val="13"/>
                <w:szCs w:val="13"/>
                <w:color w:val="auto"/>
              </w:rPr>
              <w:t>Accelerated filer</w:t>
            </w:r>
          </w:p>
        </w:tc>
        <w:tc>
          <w:tcPr>
            <w:tcW w:w="19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3360" w:type="dxa"/>
            <w:vAlign w:val="bottom"/>
          </w:tcPr>
          <w:p>
            <w:pPr>
              <w:spacing w:after="0"/>
              <w:rPr>
                <w:sz w:val="20"/>
                <w:szCs w:val="20"/>
                <w:color w:val="auto"/>
              </w:rPr>
            </w:pPr>
            <w:r>
              <w:rPr>
                <w:rFonts w:ascii="Arial" w:cs="Arial" w:eastAsia="Arial" w:hAnsi="Arial"/>
                <w:sz w:val="13"/>
                <w:szCs w:val="13"/>
                <w:color w:val="auto"/>
              </w:rPr>
              <w:t>Non-accelerated filer</w:t>
            </w:r>
          </w:p>
        </w:tc>
        <w:tc>
          <w:tcPr>
            <w:tcW w:w="2120" w:type="dxa"/>
            <w:vAlign w:val="bottom"/>
          </w:tcPr>
          <w:p>
            <w:pPr>
              <w:ind w:left="1820"/>
              <w:spacing w:after="0" w:line="131" w:lineRule="exact"/>
              <w:rPr>
                <w:sz w:val="20"/>
                <w:szCs w:val="20"/>
                <w:color w:val="auto"/>
              </w:rPr>
            </w:pPr>
            <w:r>
              <w:rPr>
                <w:rFonts w:ascii="MS PGothic" w:cs="MS PGothic" w:eastAsia="MS PGothic" w:hAnsi="MS PGothic"/>
                <w:sz w:val="13"/>
                <w:szCs w:val="13"/>
                <w:color w:val="auto"/>
              </w:rPr>
              <w:t>☐</w:t>
            </w:r>
          </w:p>
        </w:tc>
        <w:tc>
          <w:tcPr>
            <w:tcW w:w="3480" w:type="dxa"/>
            <w:vAlign w:val="bottom"/>
          </w:tcPr>
          <w:p>
            <w:pPr>
              <w:ind w:left="160"/>
              <w:spacing w:after="0"/>
              <w:rPr>
                <w:sz w:val="20"/>
                <w:szCs w:val="20"/>
                <w:color w:val="auto"/>
              </w:rPr>
            </w:pPr>
            <w:r>
              <w:rPr>
                <w:rFonts w:ascii="Arial" w:cs="Arial" w:eastAsia="Arial" w:hAnsi="Arial"/>
                <w:sz w:val="13"/>
                <w:szCs w:val="13"/>
                <w:color w:val="auto"/>
              </w:rPr>
              <w:t>Smaller reporting company</w:t>
            </w:r>
          </w:p>
        </w:tc>
        <w:tc>
          <w:tcPr>
            <w:tcW w:w="198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3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120" w:type="dxa"/>
            <w:vAlign w:val="bottom"/>
          </w:tcPr>
          <w:p>
            <w:pPr>
              <w:ind w:left="182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54"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7" w:lineRule="exact"/>
        <w:rPr>
          <w:sz w:val="24"/>
          <w:szCs w:val="24"/>
          <w:color w:val="auto"/>
        </w:rPr>
      </w:pPr>
    </w:p>
    <w:p>
      <w:pPr>
        <w:ind w:right="4220"/>
        <w:spacing w:after="0" w:line="242"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The number of shares outstanding of the issuer’s common stock, par value $0.0001 per share, as of April 23, 2021 was 14,004,850.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426720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19"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96"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right="20" w:hanging="260"/>
        <w:spacing w:after="0" w:line="281" w:lineRule="auto"/>
        <w:tabs>
          <w:tab w:leader="none" w:pos="516" w:val="left"/>
        </w:tabs>
        <w:numPr>
          <w:ilvl w:val="0"/>
          <w:numId w:val="3"/>
        </w:numPr>
        <w:rPr>
          <w:rFonts w:ascii="Arial" w:cs="Arial" w:eastAsia="Arial" w:hAnsi="Arial"/>
          <w:sz w:val="14"/>
          <w:szCs w:val="14"/>
          <w:b w:val="1"/>
          <w:bCs w:val="1"/>
          <w:color w:val="auto"/>
        </w:rPr>
      </w:pPr>
      <w:r>
        <w:rPr>
          <w:rFonts w:ascii="Arial" w:cs="Arial" w:eastAsia="Arial" w:hAnsi="Arial"/>
          <w:sz w:val="14"/>
          <w:szCs w:val="14"/>
          <w:color w:val="auto"/>
        </w:rPr>
        <w:t>The COVID-19 pandemic or the widespread outbreak of any other illness or communicable disease or any other public health crisis, could adversely affect our business, results of operations and financial condition;</w:t>
      </w:r>
    </w:p>
    <w:p>
      <w:pPr>
        <w:spacing w:after="0" w:line="79" w:lineRule="exact"/>
        <w:rPr>
          <w:rFonts w:ascii="Arial" w:cs="Arial" w:eastAsia="Arial" w:hAnsi="Arial"/>
          <w:sz w:val="14"/>
          <w:szCs w:val="14"/>
          <w:b w:val="1"/>
          <w:bCs w:val="1"/>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properly manage, motivate and retain our independent distributors or to attract new customers and independent distributors on an ongoing basis;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manage existing markets, open new international markets or expand our operations;</w:t>
      </w:r>
    </w:p>
    <w:p>
      <w:pPr>
        <w:spacing w:after="0" w:line="114"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Non-compliance by our independent distributors with applicable legal requirements or our policies and procedures, including making improper and/or illegal claims about our products or earnings opportunity;</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of new products and technological innovations to gain customer or independent distributor or market acceptance;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execute our product launch process due to increased pressure on our supply chain, information systems and management;</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appropriately manage our inventory;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Potential adverse effects on our business and stock price due to ineffective internal controls;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in our information technology systems;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protect against cyber security risks and to maintain the integrity of data;</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comply with financial covenants imposed by our credit facility and the impact of debt service obligations and restrictive debt covenants;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International trade or foreign exchange restrictions, increased tariffs, foreign currency exchange fluctuations;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raise additional capital or complete desired acquisitions;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Dependence upon a few products for revenue;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High quality materials for our products may become difficult to obtain or expensive;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Dependence on third parties to manufacture our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to the transportation channels used to distribute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subject to a product recall;</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 w:name="page3"/>
    <w:bookmarkEnd w:id="2"/>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Unfavorable publicity on our business or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direct selling program could be found to not be in compliance with current or newly adopted laws or regulations in various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Legal proceedings may be expensive and time consuming;</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Strict government regulations on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Regulations governing the production or marketing of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 of investigatory and enforcement action;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 authorities may question our tax positions or transfer pricing policies or change their laws in a manner that could increase our effective tax rate or otherwise harm our business;</w:t>
      </w:r>
    </w:p>
    <w:p>
      <w:pPr>
        <w:spacing w:after="0" w:line="148" w:lineRule="exact"/>
        <w:rPr>
          <w:rFonts w:ascii="Arial" w:cs="Arial" w:eastAsia="Arial" w:hAnsi="Arial"/>
          <w:sz w:val="12"/>
          <w:szCs w:val="12"/>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anti-corruption laws;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Loss of, or inability to attract, key personnel;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held responsible for certain taxes or assessments and other obligations relating to the activity of our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Competition in the dietary supplement and personal care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protect our intellectual property rights;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Third party claims that we infringe on their intellectual property;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 liability claims against us;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political, foreign exchange and other risks associated with international operations;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delisting of our common stock due to non-compliance with Nasdaq's continued listing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of the market price of our common stock;</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Substantial sales of shares may negatively impact the market price of our common stock;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Dilution of outstanding common shares may occur if holders of our existing options exercise their securities or upon future vesting of restricted stock units.</w:t>
      </w:r>
    </w:p>
    <w:p>
      <w:pPr>
        <w:spacing w:after="0" w:line="115" w:lineRule="exact"/>
        <w:rPr>
          <w:sz w:val="20"/>
          <w:szCs w:val="20"/>
          <w:color w:val="auto"/>
        </w:rPr>
      </w:pPr>
    </w:p>
    <w:p>
      <w:pPr>
        <w:ind w:right="60" w:firstLine="318"/>
        <w:spacing w:after="0" w:line="321" w:lineRule="auto"/>
        <w:rPr>
          <w:sz w:val="20"/>
          <w:szCs w:val="20"/>
          <w:color w:val="auto"/>
        </w:rPr>
      </w:pPr>
      <w:r>
        <w:rPr>
          <w:rFonts w:ascii="Arial" w:cs="Arial" w:eastAsia="Arial" w:hAnsi="Arial"/>
          <w:sz w:val="13"/>
          <w:szCs w:val="13"/>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34"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color w:val="auto"/>
        </w:rPr>
        <w:t>LIFEVANTAGE CORPORATION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INDEX</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20" w:type="dxa"/>
            <w:vAlign w:val="bottom"/>
            <w:gridSpan w:val="4"/>
          </w:tcPr>
          <w:p>
            <w:pPr>
              <w:ind w:left="360"/>
              <w:spacing w:after="0"/>
              <w:rPr>
                <w:sz w:val="20"/>
                <w:szCs w:val="20"/>
                <w:color w:val="auto"/>
              </w:rPr>
            </w:pPr>
            <w:r>
              <w:rPr>
                <w:rFonts w:ascii="Arial" w:cs="Arial" w:eastAsia="Arial" w:hAnsi="Arial"/>
                <w:sz w:val="11"/>
                <w:szCs w:val="11"/>
                <w:b w:val="1"/>
                <w:bCs w:val="1"/>
                <w:color w:val="auto"/>
              </w:rPr>
              <w:t>PAGE</w:t>
            </w:r>
          </w:p>
        </w:tc>
      </w:tr>
      <w:tr>
        <w:trPr>
          <w:trHeight w:val="137"/>
        </w:trPr>
        <w:tc>
          <w:tcPr>
            <w:tcW w:w="20" w:type="dxa"/>
            <w:vAlign w:val="bottom"/>
          </w:tcPr>
          <w:p>
            <w:pPr>
              <w:spacing w:after="0"/>
              <w:rPr>
                <w:sz w:val="11"/>
                <w:szCs w:val="11"/>
                <w:color w:val="auto"/>
              </w:rPr>
            </w:pPr>
          </w:p>
        </w:tc>
        <w:tc>
          <w:tcPr>
            <w:tcW w:w="1880" w:type="dxa"/>
            <w:vAlign w:val="bottom"/>
            <w:gridSpan w:val="6"/>
          </w:tcPr>
          <w:p>
            <w:pPr>
              <w:spacing w:after="0" w:line="117" w:lineRule="exact"/>
              <w:rPr>
                <w:rFonts w:ascii="Arial" w:cs="Arial" w:eastAsia="Arial" w:hAnsi="Arial"/>
                <w:sz w:val="13"/>
                <w:szCs w:val="13"/>
                <w:color w:val="0000FF"/>
              </w:rPr>
            </w:pPr>
            <w:hyperlink w:anchor="page4">
              <w:r>
                <w:rPr>
                  <w:rFonts w:ascii="Arial" w:cs="Arial" w:eastAsia="Arial" w:hAnsi="Arial"/>
                  <w:sz w:val="13"/>
                  <w:szCs w:val="13"/>
                  <w:color w:val="0000FF"/>
                </w:rPr>
                <w:t>PART I. Financial Information</w:t>
              </w:r>
            </w:hyperlink>
          </w:p>
        </w:tc>
        <w:tc>
          <w:tcPr>
            <w:tcW w:w="8360" w:type="dxa"/>
            <w:vAlign w:val="bottom"/>
            <w:gridSpan w:val="14"/>
          </w:tcPr>
          <w:p>
            <w:pPr>
              <w:spacing w:after="0"/>
              <w:rPr>
                <w:sz w:val="11"/>
                <w:szCs w:val="11"/>
                <w:color w:val="auto"/>
              </w:rPr>
            </w:pPr>
          </w:p>
        </w:tc>
        <w:tc>
          <w:tcPr>
            <w:tcW w:w="1000" w:type="dxa"/>
            <w:vAlign w:val="bottom"/>
            <w:tcBorders>
              <w:top w:val="single" w:sz="8" w:color="auto"/>
            </w:tcBorders>
            <w:gridSpan w:val="3"/>
          </w:tcPr>
          <w:p>
            <w:pPr>
              <w:jc w:val="right"/>
              <w:ind w:right="20"/>
              <w:spacing w:after="0" w:line="118" w:lineRule="exact"/>
              <w:rPr>
                <w:rFonts w:ascii="Arial" w:cs="Arial" w:eastAsia="Arial" w:hAnsi="Arial"/>
                <w:sz w:val="13"/>
                <w:szCs w:val="13"/>
                <w:color w:val="0000FF"/>
              </w:rPr>
            </w:pPr>
            <w:hyperlink w:anchor="page4">
              <w:r>
                <w:rPr>
                  <w:rFonts w:ascii="Arial" w:cs="Arial" w:eastAsia="Arial" w:hAnsi="Arial"/>
                  <w:sz w:val="13"/>
                  <w:szCs w:val="13"/>
                  <w:color w:val="0000FF"/>
                </w:rPr>
                <w:t>5</w:t>
              </w:r>
            </w:hyperlink>
          </w:p>
        </w:tc>
        <w:tc>
          <w:tcPr>
            <w:tcW w:w="2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9080" w:type="dxa"/>
            <w:vAlign w:val="bottom"/>
            <w:gridSpan w:val="18"/>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Financial Statements:</w:t>
              </w:r>
            </w:hyperlink>
          </w:p>
        </w:tc>
        <w:tc>
          <w:tcPr>
            <w:tcW w:w="1000" w:type="dxa"/>
            <w:vAlign w:val="bottom"/>
            <w:gridSpan w:val="3"/>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10"/>
          </w:tcPr>
          <w:p>
            <w:pPr>
              <w:spacing w:after="0"/>
              <w:rPr>
                <w:rFonts w:ascii="Arial" w:cs="Arial" w:eastAsia="Arial" w:hAnsi="Arial"/>
                <w:sz w:val="14"/>
                <w:szCs w:val="14"/>
                <w:color w:val="0000FF"/>
                <w:w w:val="89"/>
              </w:rPr>
            </w:pPr>
            <w:hyperlink w:anchor="page5">
              <w:r>
                <w:rPr>
                  <w:rFonts w:ascii="Arial" w:cs="Arial" w:eastAsia="Arial" w:hAnsi="Arial"/>
                  <w:sz w:val="14"/>
                  <w:szCs w:val="14"/>
                  <w:color w:val="0000FF"/>
                  <w:w w:val="89"/>
                </w:rPr>
                <w:t>Condensed Consolidated Balance Sheets (unaudited)</w:t>
              </w:r>
            </w:hyperlink>
          </w:p>
        </w:tc>
        <w:tc>
          <w:tcPr>
            <w:tcW w:w="6080" w:type="dxa"/>
            <w:vAlign w:val="bottom"/>
            <w:gridSpan w:val="8"/>
          </w:tcPr>
          <w:p>
            <w:pPr>
              <w:spacing w:after="0"/>
              <w:rPr>
                <w:sz w:val="13"/>
                <w:szCs w:val="13"/>
                <w:color w:val="auto"/>
              </w:rPr>
            </w:pPr>
          </w:p>
        </w:tc>
        <w:tc>
          <w:tcPr>
            <w:tcW w:w="1000" w:type="dxa"/>
            <w:vAlign w:val="bottom"/>
            <w:gridSpan w:val="3"/>
          </w:tcPr>
          <w:p>
            <w:pPr>
              <w:jc w:val="right"/>
              <w:ind w:right="20"/>
              <w:spacing w:after="0"/>
              <w:rPr>
                <w:rFonts w:ascii="Arial" w:cs="Arial" w:eastAsia="Arial" w:hAnsi="Arial"/>
                <w:sz w:val="14"/>
                <w:szCs w:val="14"/>
                <w:color w:val="0000FF"/>
              </w:rPr>
            </w:pPr>
            <w:hyperlink w:anchor="page5">
              <w:r>
                <w:rPr>
                  <w:rFonts w:ascii="Arial" w:cs="Arial" w:eastAsia="Arial" w:hAnsi="Arial"/>
                  <w:sz w:val="14"/>
                  <w:szCs w:val="14"/>
                  <w:color w:val="0000FF"/>
                </w:rPr>
                <w:t>5</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80" w:type="dxa"/>
            <w:vAlign w:val="bottom"/>
            <w:gridSpan w:val="18"/>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Operations and Comprehensive Income (unaudited)</w:t>
              </w:r>
            </w:hyperlink>
          </w:p>
        </w:tc>
        <w:tc>
          <w:tcPr>
            <w:tcW w:w="1000" w:type="dxa"/>
            <w:vAlign w:val="bottom"/>
            <w:gridSpan w:val="3"/>
          </w:tcPr>
          <w:p>
            <w:pPr>
              <w:jc w:val="right"/>
              <w:ind w:right="20"/>
              <w:spacing w:after="0"/>
              <w:rPr>
                <w:rFonts w:ascii="Arial" w:cs="Arial" w:eastAsia="Arial" w:hAnsi="Arial"/>
                <w:sz w:val="14"/>
                <w:szCs w:val="14"/>
                <w:color w:val="0000FF"/>
              </w:rPr>
            </w:pPr>
            <w:hyperlink w:anchor="page6">
              <w:r>
                <w:rPr>
                  <w:rFonts w:ascii="Arial" w:cs="Arial" w:eastAsia="Arial" w:hAnsi="Arial"/>
                  <w:sz w:val="14"/>
                  <w:szCs w:val="14"/>
                  <w:color w:val="0000FF"/>
                </w:rPr>
                <w:t>6</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100" w:type="dxa"/>
            <w:vAlign w:val="bottom"/>
            <w:gridSpan w:val="15"/>
          </w:tcPr>
          <w:p>
            <w:pPr>
              <w:spacing w:after="0"/>
              <w:rPr>
                <w:rFonts w:ascii="Arial" w:cs="Arial" w:eastAsia="Arial" w:hAnsi="Arial"/>
                <w:sz w:val="14"/>
                <w:szCs w:val="14"/>
                <w:color w:val="0000FF"/>
                <w:w w:val="91"/>
              </w:rPr>
            </w:pPr>
            <w:hyperlink w:anchor="page6">
              <w:r>
                <w:rPr>
                  <w:rFonts w:ascii="Arial" w:cs="Arial" w:eastAsia="Arial" w:hAnsi="Arial"/>
                  <w:sz w:val="14"/>
                  <w:szCs w:val="14"/>
                  <w:color w:val="0000FF"/>
                  <w:w w:val="91"/>
                </w:rPr>
                <w:t>Condensed Consolidated Statement of Stockholders’ Equity (unaudited)</w:t>
              </w:r>
            </w:hyperlink>
          </w:p>
        </w:tc>
        <w:tc>
          <w:tcPr>
            <w:tcW w:w="1080" w:type="dxa"/>
            <w:vAlign w:val="bottom"/>
            <w:gridSpan w:val="2"/>
          </w:tcPr>
          <w:p>
            <w:pPr>
              <w:spacing w:after="0"/>
              <w:rPr>
                <w:sz w:val="13"/>
                <w:szCs w:val="13"/>
                <w:color w:val="auto"/>
              </w:rPr>
            </w:pPr>
          </w:p>
        </w:tc>
        <w:tc>
          <w:tcPr>
            <w:tcW w:w="3900" w:type="dxa"/>
            <w:vAlign w:val="bottom"/>
          </w:tcPr>
          <w:p>
            <w:pPr>
              <w:spacing w:after="0"/>
              <w:rPr>
                <w:sz w:val="13"/>
                <w:szCs w:val="13"/>
                <w:color w:val="auto"/>
              </w:rPr>
            </w:pPr>
          </w:p>
        </w:tc>
        <w:tc>
          <w:tcPr>
            <w:tcW w:w="1000" w:type="dxa"/>
            <w:vAlign w:val="bottom"/>
            <w:gridSpan w:val="3"/>
          </w:tcPr>
          <w:p>
            <w:pPr>
              <w:jc w:val="right"/>
              <w:ind w:right="20"/>
              <w:spacing w:after="0"/>
              <w:rPr>
                <w:rFonts w:ascii="Arial" w:cs="Arial" w:eastAsia="Arial" w:hAnsi="Arial"/>
                <w:sz w:val="14"/>
                <w:szCs w:val="14"/>
                <w:color w:val="0000FF"/>
              </w:rPr>
            </w:pPr>
            <w:hyperlink w:anchor="page6">
              <w:r>
                <w:rPr>
                  <w:rFonts w:ascii="Arial" w:cs="Arial" w:eastAsia="Arial" w:hAnsi="Arial"/>
                  <w:sz w:val="14"/>
                  <w:szCs w:val="14"/>
                  <w:color w:val="0000FF"/>
                </w:rPr>
                <w:t>7</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20" w:type="dxa"/>
            <w:vAlign w:val="bottom"/>
            <w:gridSpan w:val="13"/>
          </w:tcPr>
          <w:p>
            <w:pPr>
              <w:spacing w:after="0"/>
              <w:rPr>
                <w:rFonts w:ascii="Arial" w:cs="Arial" w:eastAsia="Arial" w:hAnsi="Arial"/>
                <w:sz w:val="14"/>
                <w:szCs w:val="14"/>
                <w:color w:val="0000FF"/>
                <w:w w:val="90"/>
              </w:rPr>
            </w:pPr>
            <w:hyperlink w:anchor="page8">
              <w:r>
                <w:rPr>
                  <w:rFonts w:ascii="Arial" w:cs="Arial" w:eastAsia="Arial" w:hAnsi="Arial"/>
                  <w:sz w:val="14"/>
                  <w:szCs w:val="14"/>
                  <w:color w:val="0000FF"/>
                  <w:w w:val="90"/>
                </w:rPr>
                <w:t>Condensed Consolidated Statements of Cash Flows (unaudited)</w:t>
              </w:r>
            </w:hyperlink>
          </w:p>
        </w:tc>
        <w:tc>
          <w:tcPr>
            <w:tcW w:w="480" w:type="dxa"/>
            <w:vAlign w:val="bottom"/>
            <w:gridSpan w:val="2"/>
          </w:tcPr>
          <w:p>
            <w:pPr>
              <w:spacing w:after="0"/>
              <w:rPr>
                <w:sz w:val="13"/>
                <w:szCs w:val="13"/>
                <w:color w:val="auto"/>
              </w:rPr>
            </w:pPr>
          </w:p>
        </w:tc>
        <w:tc>
          <w:tcPr>
            <w:tcW w:w="4980" w:type="dxa"/>
            <w:vAlign w:val="bottom"/>
            <w:gridSpan w:val="3"/>
          </w:tcPr>
          <w:p>
            <w:pPr>
              <w:spacing w:after="0"/>
              <w:rPr>
                <w:sz w:val="13"/>
                <w:szCs w:val="13"/>
                <w:color w:val="auto"/>
              </w:rPr>
            </w:pPr>
          </w:p>
        </w:tc>
        <w:tc>
          <w:tcPr>
            <w:tcW w:w="1000" w:type="dxa"/>
            <w:vAlign w:val="bottom"/>
            <w:gridSpan w:val="3"/>
          </w:tcPr>
          <w:p>
            <w:pPr>
              <w:jc w:val="right"/>
              <w:ind w:right="20"/>
              <w:spacing w:after="0"/>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40" w:type="dxa"/>
            <w:vAlign w:val="bottom"/>
            <w:tcBorders>
              <w:bottom w:val="single" w:sz="8" w:color="0000FF"/>
            </w:tcBorders>
            <w:gridSpan w:val="14"/>
          </w:tcPr>
          <w:p>
            <w:pPr>
              <w:spacing w:after="0"/>
              <w:rPr>
                <w:rFonts w:ascii="Arial" w:cs="Arial" w:eastAsia="Arial" w:hAnsi="Arial"/>
                <w:sz w:val="14"/>
                <w:szCs w:val="14"/>
                <w:color w:val="0000FF"/>
                <w:w w:val="90"/>
              </w:rPr>
            </w:pPr>
            <w:hyperlink w:anchor="page9">
              <w:r>
                <w:rPr>
                  <w:rFonts w:ascii="Arial" w:cs="Arial" w:eastAsia="Arial" w:hAnsi="Arial"/>
                  <w:sz w:val="14"/>
                  <w:szCs w:val="14"/>
                  <w:color w:val="0000FF"/>
                  <w:w w:val="90"/>
                </w:rPr>
                <w:t>Notes to Condensed Consolidated Financial Statements (unaudited)</w:t>
              </w:r>
            </w:hyperlink>
          </w:p>
        </w:tc>
        <w:tc>
          <w:tcPr>
            <w:tcW w:w="5240" w:type="dxa"/>
            <w:vAlign w:val="bottom"/>
            <w:gridSpan w:val="4"/>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9">
              <w:r>
                <w:rPr>
                  <w:rFonts w:ascii="Arial" w:cs="Arial" w:eastAsia="Arial" w:hAnsi="Arial"/>
                  <w:sz w:val="14"/>
                  <w:szCs w:val="14"/>
                  <w:color w:val="0000FF"/>
                  <w:w w:val="76"/>
                </w:rPr>
                <w:t>10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2.</w:t>
            </w:r>
          </w:p>
        </w:tc>
        <w:tc>
          <w:tcPr>
            <w:tcW w:w="9080" w:type="dxa"/>
            <w:vAlign w:val="bottom"/>
            <w:gridSpan w:val="18"/>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Management's Discussion and Analysis of Financial Condition and Results of Operations</w:t>
              </w:r>
            </w:hyperlink>
          </w:p>
        </w:tc>
        <w:tc>
          <w:tcPr>
            <w:tcW w:w="980" w:type="dxa"/>
            <w:vAlign w:val="bottom"/>
            <w:gridSpan w:val="2"/>
          </w:tcPr>
          <w:p>
            <w:pPr>
              <w:jc w:val="right"/>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440" w:type="dxa"/>
            <w:vAlign w:val="bottom"/>
            <w:tcBorders>
              <w:top w:val="single" w:sz="8" w:color="0000FF"/>
              <w:bottom w:val="single" w:sz="8" w:color="0000FF"/>
            </w:tcBorders>
            <w:gridSpan w:val="12"/>
          </w:tcPr>
          <w:p>
            <w:pPr>
              <w:spacing w:after="0"/>
              <w:rPr>
                <w:rFonts w:ascii="Arial" w:cs="Arial" w:eastAsia="Arial" w:hAnsi="Arial"/>
                <w:sz w:val="14"/>
                <w:szCs w:val="14"/>
                <w:color w:val="0000FF"/>
                <w:w w:val="93"/>
              </w:rPr>
            </w:pPr>
            <w:hyperlink w:anchor="page29">
              <w:r>
                <w:rPr>
                  <w:rFonts w:ascii="Arial" w:cs="Arial" w:eastAsia="Arial" w:hAnsi="Arial"/>
                  <w:sz w:val="14"/>
                  <w:szCs w:val="14"/>
                  <w:color w:val="0000FF"/>
                  <w:w w:val="93"/>
                </w:rPr>
                <w:t>Quantitative and Qualitative Disclosures About Market Risk</w:t>
              </w:r>
            </w:hyperlink>
          </w:p>
        </w:tc>
        <w:tc>
          <w:tcPr>
            <w:tcW w:w="1620" w:type="dxa"/>
            <w:vAlign w:val="bottom"/>
            <w:tcBorders>
              <w:top w:val="single" w:sz="8" w:color="0000FF"/>
            </w:tcBorders>
            <w:gridSpan w:val="4"/>
          </w:tcPr>
          <w:p>
            <w:pPr>
              <w:spacing w:after="0"/>
              <w:rPr>
                <w:sz w:val="13"/>
                <w:szCs w:val="13"/>
                <w:color w:val="auto"/>
              </w:rPr>
            </w:pPr>
          </w:p>
        </w:tc>
        <w:tc>
          <w:tcPr>
            <w:tcW w:w="402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29">
              <w:r>
                <w:rPr>
                  <w:rFonts w:ascii="Arial" w:cs="Arial" w:eastAsia="Arial" w:hAnsi="Arial"/>
                  <w:sz w:val="14"/>
                  <w:szCs w:val="14"/>
                  <w:color w:val="0000FF"/>
                  <w:w w:val="76"/>
                </w:rPr>
                <w:t>29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400" w:type="dxa"/>
            <w:vAlign w:val="bottom"/>
            <w:tcBorders>
              <w:bottom w:val="single" w:sz="8" w:color="0000FF"/>
            </w:tcBorders>
            <w:gridSpan w:val="8"/>
          </w:tcPr>
          <w:p>
            <w:pPr>
              <w:spacing w:after="0"/>
              <w:rPr>
                <w:rFonts w:ascii="Arial" w:cs="Arial" w:eastAsia="Arial" w:hAnsi="Arial"/>
                <w:sz w:val="14"/>
                <w:szCs w:val="14"/>
                <w:color w:val="0000FF"/>
                <w:w w:val="89"/>
              </w:rPr>
            </w:pPr>
            <w:hyperlink w:anchor="page29">
              <w:r>
                <w:rPr>
                  <w:rFonts w:ascii="Arial" w:cs="Arial" w:eastAsia="Arial" w:hAnsi="Arial"/>
                  <w:sz w:val="14"/>
                  <w:szCs w:val="14"/>
                  <w:color w:val="0000FF"/>
                  <w:w w:val="89"/>
                </w:rPr>
                <w:t>Controls and Procedures</w:t>
              </w:r>
            </w:hyperlink>
          </w:p>
        </w:tc>
        <w:tc>
          <w:tcPr>
            <w:tcW w:w="7680" w:type="dxa"/>
            <w:vAlign w:val="bottom"/>
            <w:gridSpan w:val="10"/>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29">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3"/>
        </w:trPr>
        <w:tc>
          <w:tcPr>
            <w:tcW w:w="20" w:type="dxa"/>
            <w:vAlign w:val="bottom"/>
          </w:tcPr>
          <w:p>
            <w:pPr>
              <w:spacing w:after="0"/>
              <w:rPr>
                <w:sz w:val="24"/>
                <w:szCs w:val="24"/>
                <w:color w:val="auto"/>
              </w:rPr>
            </w:pPr>
          </w:p>
        </w:tc>
        <w:tc>
          <w:tcPr>
            <w:tcW w:w="1580" w:type="dxa"/>
            <w:vAlign w:val="bottom"/>
            <w:tcBorders>
              <w:bottom w:val="single" w:sz="8" w:color="0000FF"/>
            </w:tcBorders>
            <w:gridSpan w:val="3"/>
          </w:tcPr>
          <w:p>
            <w:pPr>
              <w:spacing w:after="0"/>
              <w:rPr>
                <w:rFonts w:ascii="Arial" w:cs="Arial" w:eastAsia="Arial" w:hAnsi="Arial"/>
                <w:sz w:val="14"/>
                <w:szCs w:val="14"/>
                <w:color w:val="0000FF"/>
                <w:w w:val="94"/>
              </w:rPr>
            </w:pPr>
            <w:hyperlink w:anchor="page30">
              <w:r>
                <w:rPr>
                  <w:rFonts w:ascii="Arial" w:cs="Arial" w:eastAsia="Arial" w:hAnsi="Arial"/>
                  <w:sz w:val="14"/>
                  <w:szCs w:val="14"/>
                  <w:color w:val="0000FF"/>
                  <w:w w:val="94"/>
                </w:rPr>
                <w:t>PART II. Other Information</w:t>
              </w:r>
            </w:hyperlink>
          </w:p>
        </w:tc>
        <w:tc>
          <w:tcPr>
            <w:tcW w:w="8660" w:type="dxa"/>
            <w:vAlign w:val="bottom"/>
            <w:gridSpan w:val="17"/>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060" w:type="dxa"/>
            <w:vAlign w:val="bottom"/>
            <w:tcBorders>
              <w:bottom w:val="single" w:sz="8" w:color="0000FF"/>
            </w:tcBorders>
            <w:gridSpan w:val="6"/>
          </w:tcPr>
          <w:p>
            <w:pPr>
              <w:spacing w:after="0"/>
              <w:rPr>
                <w:rFonts w:ascii="Arial" w:cs="Arial" w:eastAsia="Arial" w:hAnsi="Arial"/>
                <w:sz w:val="14"/>
                <w:szCs w:val="14"/>
                <w:color w:val="0000FF"/>
                <w:w w:val="89"/>
              </w:rPr>
            </w:pPr>
            <w:hyperlink w:anchor="page30">
              <w:r>
                <w:rPr>
                  <w:rFonts w:ascii="Arial" w:cs="Arial" w:eastAsia="Arial" w:hAnsi="Arial"/>
                  <w:sz w:val="14"/>
                  <w:szCs w:val="14"/>
                  <w:color w:val="0000FF"/>
                  <w:w w:val="89"/>
                </w:rPr>
                <w:t>Legal Proceedings</w:t>
              </w:r>
            </w:hyperlink>
          </w:p>
        </w:tc>
        <w:tc>
          <w:tcPr>
            <w:tcW w:w="8020" w:type="dxa"/>
            <w:vAlign w:val="bottom"/>
            <w:gridSpan w:val="12"/>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720" w:type="dxa"/>
            <w:vAlign w:val="bottom"/>
            <w:tcBorders>
              <w:bottom w:val="single" w:sz="8" w:color="0000FF"/>
            </w:tcBorders>
            <w:gridSpan w:val="4"/>
          </w:tcPr>
          <w:p>
            <w:pPr>
              <w:spacing w:after="0"/>
              <w:rPr>
                <w:rFonts w:ascii="Arial" w:cs="Arial" w:eastAsia="Arial" w:hAnsi="Arial"/>
                <w:sz w:val="14"/>
                <w:szCs w:val="14"/>
                <w:color w:val="0000FF"/>
                <w:w w:val="89"/>
              </w:rPr>
            </w:pPr>
            <w:hyperlink w:anchor="page30">
              <w:r>
                <w:rPr>
                  <w:rFonts w:ascii="Arial" w:cs="Arial" w:eastAsia="Arial" w:hAnsi="Arial"/>
                  <w:sz w:val="14"/>
                  <w:szCs w:val="14"/>
                  <w:color w:val="0000FF"/>
                  <w:w w:val="89"/>
                </w:rPr>
                <w:t>Risk Factors</w:t>
              </w:r>
            </w:hyperlink>
          </w:p>
        </w:tc>
        <w:tc>
          <w:tcPr>
            <w:tcW w:w="8360" w:type="dxa"/>
            <w:vAlign w:val="bottom"/>
            <w:gridSpan w:val="14"/>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2.</w:t>
            </w:r>
          </w:p>
        </w:tc>
        <w:tc>
          <w:tcPr>
            <w:tcW w:w="9080" w:type="dxa"/>
            <w:vAlign w:val="bottom"/>
            <w:gridSpan w:val="18"/>
          </w:tcPr>
          <w:p>
            <w:pPr>
              <w:spacing w:after="0"/>
              <w:rPr>
                <w:rFonts w:ascii="Arial" w:cs="Arial" w:eastAsia="Arial" w:hAnsi="Arial"/>
                <w:sz w:val="14"/>
                <w:szCs w:val="14"/>
                <w:color w:val="0000FF"/>
              </w:rPr>
            </w:pPr>
            <w:hyperlink w:anchor="page30">
              <w:r>
                <w:rPr>
                  <w:rFonts w:ascii="Arial" w:cs="Arial" w:eastAsia="Arial" w:hAnsi="Arial"/>
                  <w:sz w:val="14"/>
                  <w:szCs w:val="14"/>
                  <w:color w:val="0000FF"/>
                </w:rPr>
                <w:t>Unregistered Sales of Equity Securities and Use of Proceeds</w:t>
              </w:r>
            </w:hyperlink>
          </w:p>
        </w:tc>
        <w:tc>
          <w:tcPr>
            <w:tcW w:w="980" w:type="dxa"/>
            <w:vAlign w:val="bottom"/>
            <w:gridSpan w:val="2"/>
          </w:tcPr>
          <w:p>
            <w:pPr>
              <w:jc w:val="right"/>
              <w:spacing w:after="0"/>
              <w:rPr>
                <w:rFonts w:ascii="Arial" w:cs="Arial" w:eastAsia="Arial" w:hAnsi="Arial"/>
                <w:sz w:val="14"/>
                <w:szCs w:val="14"/>
                <w:color w:val="0000FF"/>
              </w:rPr>
            </w:pPr>
            <w:hyperlink w:anchor="page30">
              <w:r>
                <w:rPr>
                  <w:rFonts w:ascii="Arial" w:cs="Arial" w:eastAsia="Arial" w:hAnsi="Arial"/>
                  <w:sz w:val="14"/>
                  <w:szCs w:val="14"/>
                  <w:color w:val="0000FF"/>
                </w:rPr>
                <w:t>30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3.</w:t>
            </w:r>
          </w:p>
        </w:tc>
        <w:tc>
          <w:tcPr>
            <w:tcW w:w="184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1"/>
              </w:rPr>
            </w:pPr>
            <w:hyperlink w:anchor="page31">
              <w:r>
                <w:rPr>
                  <w:rFonts w:ascii="Arial" w:cs="Arial" w:eastAsia="Arial" w:hAnsi="Arial"/>
                  <w:sz w:val="14"/>
                  <w:szCs w:val="14"/>
                  <w:color w:val="0000FF"/>
                  <w:w w:val="91"/>
                </w:rPr>
                <w:t>Defaults Upon Senior Securities</w:t>
              </w:r>
            </w:hyperlink>
          </w:p>
        </w:tc>
        <w:tc>
          <w:tcPr>
            <w:tcW w:w="1580" w:type="dxa"/>
            <w:vAlign w:val="bottom"/>
            <w:tcBorders>
              <w:top w:val="single" w:sz="8" w:color="0000FF"/>
            </w:tcBorders>
            <w:gridSpan w:val="2"/>
          </w:tcPr>
          <w:p>
            <w:pPr>
              <w:spacing w:after="0"/>
              <w:rPr>
                <w:sz w:val="13"/>
                <w:szCs w:val="13"/>
                <w:color w:val="auto"/>
              </w:rPr>
            </w:pPr>
          </w:p>
        </w:tc>
        <w:tc>
          <w:tcPr>
            <w:tcW w:w="5660" w:type="dxa"/>
            <w:vAlign w:val="bottom"/>
            <w:gridSpan w:val="7"/>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4.</w:t>
            </w:r>
          </w:p>
        </w:tc>
        <w:tc>
          <w:tcPr>
            <w:tcW w:w="1400" w:type="dxa"/>
            <w:vAlign w:val="bottom"/>
            <w:tcBorders>
              <w:bottom w:val="single" w:sz="8" w:color="0000FF"/>
            </w:tcBorders>
            <w:gridSpan w:val="8"/>
          </w:tcPr>
          <w:p>
            <w:pPr>
              <w:spacing w:after="0"/>
              <w:rPr>
                <w:rFonts w:ascii="Arial" w:cs="Arial" w:eastAsia="Arial" w:hAnsi="Arial"/>
                <w:sz w:val="14"/>
                <w:szCs w:val="14"/>
                <w:color w:val="0000FF"/>
                <w:w w:val="91"/>
              </w:rPr>
            </w:pPr>
            <w:hyperlink w:anchor="page31">
              <w:r>
                <w:rPr>
                  <w:rFonts w:ascii="Arial" w:cs="Arial" w:eastAsia="Arial" w:hAnsi="Arial"/>
                  <w:sz w:val="14"/>
                  <w:szCs w:val="14"/>
                  <w:color w:val="0000FF"/>
                  <w:w w:val="91"/>
                </w:rPr>
                <w:t>Mine Safety Disclosures</w:t>
              </w:r>
            </w:hyperlink>
          </w:p>
        </w:tc>
        <w:tc>
          <w:tcPr>
            <w:tcW w:w="7680" w:type="dxa"/>
            <w:vAlign w:val="bottom"/>
            <w:gridSpan w:val="10"/>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5.</w:t>
            </w:r>
          </w:p>
        </w:tc>
        <w:tc>
          <w:tcPr>
            <w:tcW w:w="1040" w:type="dxa"/>
            <w:vAlign w:val="bottom"/>
            <w:tcBorders>
              <w:bottom w:val="single" w:sz="8" w:color="0000FF"/>
            </w:tcBorders>
            <w:gridSpan w:val="5"/>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Other Information</w:t>
              </w:r>
            </w:hyperlink>
          </w:p>
        </w:tc>
        <w:tc>
          <w:tcPr>
            <w:tcW w:w="8040" w:type="dxa"/>
            <w:vAlign w:val="bottom"/>
            <w:gridSpan w:val="13"/>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color w:val="auto"/>
              </w:rPr>
              <w:t>Item 6.</w:t>
            </w:r>
          </w:p>
        </w:tc>
        <w:tc>
          <w:tcPr>
            <w:tcW w:w="480" w:type="dxa"/>
            <w:vAlign w:val="bottom"/>
            <w:tcBorders>
              <w:bottom w:val="single" w:sz="8" w:color="0000FF"/>
            </w:tcBorders>
            <w:gridSpan w:val="2"/>
          </w:tcPr>
          <w:p>
            <w:pPr>
              <w:spacing w:after="0"/>
              <w:rPr>
                <w:rFonts w:ascii="Arial" w:cs="Arial" w:eastAsia="Arial" w:hAnsi="Arial"/>
                <w:sz w:val="14"/>
                <w:szCs w:val="14"/>
                <w:color w:val="0000FF"/>
                <w:w w:val="93"/>
              </w:rPr>
            </w:pPr>
            <w:hyperlink w:anchor="page31">
              <w:r>
                <w:rPr>
                  <w:rFonts w:ascii="Arial" w:cs="Arial" w:eastAsia="Arial" w:hAnsi="Arial"/>
                  <w:sz w:val="14"/>
                  <w:szCs w:val="14"/>
                  <w:color w:val="0000FF"/>
                  <w:w w:val="93"/>
                </w:rPr>
                <w:t>Exhibits</w:t>
              </w:r>
            </w:hyperlink>
          </w:p>
        </w:tc>
        <w:tc>
          <w:tcPr>
            <w:tcW w:w="8600" w:type="dxa"/>
            <w:vAlign w:val="bottom"/>
            <w:gridSpan w:val="16"/>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31">
              <w:r>
                <w:rPr>
                  <w:rFonts w:ascii="Arial" w:cs="Arial" w:eastAsia="Arial" w:hAnsi="Arial"/>
                  <w:sz w:val="14"/>
                  <w:szCs w:val="14"/>
                  <w:color w:val="0000FF"/>
                  <w:w w:val="76"/>
                </w:rPr>
                <w:t>32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Signatures</w:t>
              </w:r>
            </w:hyperlink>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80" w:type="dxa"/>
            <w:vAlign w:val="bottom"/>
            <w:gridSpan w:val="2"/>
          </w:tcPr>
          <w:p>
            <w:pPr>
              <w:jc w:val="right"/>
              <w:spacing w:after="0"/>
              <w:rPr>
                <w:rFonts w:ascii="Arial" w:cs="Arial" w:eastAsia="Arial" w:hAnsi="Arial"/>
                <w:sz w:val="14"/>
                <w:szCs w:val="14"/>
                <w:color w:val="0000FF"/>
              </w:rPr>
            </w:pPr>
            <w:hyperlink w:anchor="page32">
              <w:r>
                <w:rPr>
                  <w:rFonts w:ascii="Arial" w:cs="Arial" w:eastAsia="Arial" w:hAnsi="Arial"/>
                  <w:sz w:val="14"/>
                  <w:szCs w:val="14"/>
                  <w:color w:val="0000FF"/>
                </w:rPr>
                <w:t>33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92"/>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16"/>
          </w:tcPr>
          <w:p>
            <w:pPr>
              <w:ind w:left="442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ind w:left="220"/>
              <w:spacing w:after="0"/>
              <w:rPr>
                <w:sz w:val="20"/>
                <w:szCs w:val="20"/>
                <w:color w:val="auto"/>
              </w:rPr>
            </w:pPr>
            <w:r>
              <w:rPr>
                <w:rFonts w:ascii="Arial" w:cs="Arial" w:eastAsia="Arial" w:hAnsi="Arial"/>
                <w:sz w:val="11"/>
                <w:szCs w:val="11"/>
                <w:b w:val="1"/>
                <w:bCs w:val="1"/>
                <w:color w:val="auto"/>
              </w:rPr>
              <w:t>March 31, 2021</w:t>
            </w:r>
          </w:p>
        </w:tc>
        <w:tc>
          <w:tcPr>
            <w:tcW w:w="320" w:type="dxa"/>
            <w:vAlign w:val="bottom"/>
          </w:tcPr>
          <w:p>
            <w:pPr>
              <w:spacing w:after="0"/>
              <w:rPr>
                <w:sz w:val="12"/>
                <w:szCs w:val="12"/>
                <w:color w:val="auto"/>
              </w:rPr>
            </w:pPr>
          </w:p>
        </w:tc>
        <w:tc>
          <w:tcPr>
            <w:tcW w:w="1440" w:type="dxa"/>
            <w:vAlign w:val="bottom"/>
          </w:tcPr>
          <w:p>
            <w:pPr>
              <w:jc w:val="right"/>
              <w:ind w:right="493"/>
              <w:spacing w:after="0"/>
              <w:rPr>
                <w:sz w:val="20"/>
                <w:szCs w:val="20"/>
                <w:color w:val="auto"/>
              </w:rPr>
            </w:pPr>
            <w:r>
              <w:rPr>
                <w:rFonts w:ascii="Arial" w:cs="Arial" w:eastAsia="Arial" w:hAnsi="Arial"/>
                <w:sz w:val="11"/>
                <w:szCs w:val="11"/>
                <w:b w:val="1"/>
                <w:bCs w:val="1"/>
                <w:color w:val="auto"/>
              </w:rPr>
              <w:t>June 30, 2020</w:t>
            </w:r>
          </w:p>
        </w:tc>
        <w:tc>
          <w:tcPr>
            <w:tcW w:w="0" w:type="dxa"/>
            <w:vAlign w:val="bottom"/>
          </w:tcPr>
          <w:p>
            <w:pPr>
              <w:spacing w:after="0"/>
              <w:rPr>
                <w:sz w:val="1"/>
                <w:szCs w:val="1"/>
                <w:color w:val="auto"/>
              </w:rPr>
            </w:pPr>
          </w:p>
        </w:tc>
      </w:tr>
      <w:tr>
        <w:trPr>
          <w:trHeight w:val="168"/>
        </w:trPr>
        <w:tc>
          <w:tcPr>
            <w:tcW w:w="7640" w:type="dxa"/>
            <w:vAlign w:val="bottom"/>
          </w:tcPr>
          <w:p>
            <w:pPr>
              <w:ind w:left="20"/>
              <w:spacing w:after="0"/>
              <w:rPr>
                <w:sz w:val="20"/>
                <w:szCs w:val="20"/>
                <w:color w:val="auto"/>
              </w:rPr>
            </w:pPr>
            <w:r>
              <w:rPr>
                <w:rFonts w:ascii="Arial" w:cs="Arial" w:eastAsia="Arial" w:hAnsi="Arial"/>
                <w:sz w:val="13"/>
                <w:szCs w:val="13"/>
                <w:i w:val="1"/>
                <w:iCs w:val="1"/>
                <w:color w:val="auto"/>
              </w:rPr>
              <w:t>(In thousands, except per share data)</w:t>
            </w:r>
          </w:p>
        </w:tc>
        <w:tc>
          <w:tcPr>
            <w:tcW w:w="3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22,138</w:t>
            </w: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Accounts receivable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3,307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2,610</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 receivable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Inventory,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14,820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13,888</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5,774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5,232</w:t>
            </w:r>
          </w:p>
        </w:tc>
        <w:tc>
          <w:tcPr>
            <w:tcW w:w="0" w:type="dxa"/>
            <w:vAlign w:val="bottom"/>
          </w:tcPr>
          <w:p>
            <w:pPr>
              <w:spacing w:after="0"/>
              <w:rPr>
                <w:sz w:val="1"/>
                <w:szCs w:val="1"/>
                <w:color w:val="auto"/>
              </w:rPr>
            </w:pPr>
          </w:p>
        </w:tc>
      </w:tr>
      <w:tr>
        <w:trPr>
          <w:trHeight w:val="160"/>
        </w:trPr>
        <w:tc>
          <w:tcPr>
            <w:tcW w:w="7640" w:type="dxa"/>
            <w:vAlign w:val="bottom"/>
          </w:tcPr>
          <w:p>
            <w:pPr>
              <w:ind w:left="520"/>
              <w:spacing w:after="0"/>
              <w:rPr>
                <w:sz w:val="20"/>
                <w:szCs w:val="20"/>
                <w:color w:val="auto"/>
              </w:rPr>
            </w:pPr>
            <w:r>
              <w:rPr>
                <w:rFonts w:ascii="Arial" w:cs="Arial" w:eastAsia="Arial" w:hAnsi="Arial"/>
                <w:sz w:val="13"/>
                <w:szCs w:val="13"/>
                <w:color w:val="auto"/>
              </w:rPr>
              <w:t>Total current assets</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43,620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43,868</w:t>
            </w:r>
          </w:p>
        </w:tc>
        <w:tc>
          <w:tcPr>
            <w:tcW w:w="0" w:type="dxa"/>
            <w:vAlign w:val="bottom"/>
          </w:tcPr>
          <w:p>
            <w:pPr>
              <w:spacing w:after="0"/>
              <w:rPr>
                <w:sz w:val="1"/>
                <w:szCs w:val="1"/>
                <w:color w:val="auto"/>
              </w:rPr>
            </w:pPr>
          </w:p>
        </w:tc>
      </w:tr>
      <w:tr>
        <w:trPr>
          <w:trHeight w:val="202"/>
        </w:trPr>
        <w:tc>
          <w:tcPr>
            <w:tcW w:w="7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Property and equipment,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11,428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7,170</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Right-of-use assets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13,579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Intangible assets, net</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 asset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2,164</w:t>
            </w: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Equity securities</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2,205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2,205</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long-term assets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w:t>
            </w:r>
          </w:p>
        </w:tc>
        <w:tc>
          <w:tcPr>
            <w:tcW w:w="0" w:type="dxa"/>
            <w:vAlign w:val="bottom"/>
          </w:tcPr>
          <w:p>
            <w:pPr>
              <w:spacing w:after="0"/>
              <w:rPr>
                <w:sz w:val="1"/>
                <w:szCs w:val="1"/>
                <w:color w:val="auto"/>
              </w:rPr>
            </w:pPr>
          </w:p>
        </w:tc>
      </w:tr>
      <w:tr>
        <w:trPr>
          <w:trHeight w:val="160"/>
        </w:trPr>
        <w:tc>
          <w:tcPr>
            <w:tcW w:w="76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58,877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0"/>
              <w:spacing w:after="0"/>
              <w:rPr>
                <w:sz w:val="20"/>
                <w:szCs w:val="20"/>
                <w:color w:val="auto"/>
              </w:rPr>
            </w:pPr>
            <w:r>
              <w:rPr>
                <w:rFonts w:ascii="Arial" w:cs="Arial" w:eastAsia="Arial" w:hAnsi="Arial"/>
                <w:sz w:val="13"/>
                <w:szCs w:val="13"/>
                <w:color w:val="auto"/>
              </w:rPr>
              <w:t>LIABILITIES AND STOCKHOLDERS’ EQUITY</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5,161</w:t>
            </w:r>
          </w:p>
        </w:tc>
        <w:tc>
          <w:tcPr>
            <w:tcW w:w="1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3,521</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Commissions payable</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9,219</w:t>
            </w: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Income tax payable</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Lease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0" w:type="dxa"/>
            <w:vAlign w:val="bottom"/>
          </w:tcPr>
          <w:p>
            <w:pPr>
              <w:spacing w:after="0"/>
              <w:rPr>
                <w:sz w:val="1"/>
                <w:szCs w:val="1"/>
                <w:color w:val="auto"/>
              </w:rPr>
            </w:pPr>
          </w:p>
        </w:tc>
      </w:tr>
      <w:tr>
        <w:trPr>
          <w:trHeight w:val="170"/>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accrued expenses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7,190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10,311</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current liabilities</w:t>
            </w:r>
          </w:p>
        </w:tc>
        <w:tc>
          <w:tcPr>
            <w:tcW w:w="3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22,277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25,019</w:t>
            </w: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lease liabilities</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16,195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liabilities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liabilities</w:t>
            </w: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39,491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25,623</w:t>
            </w:r>
          </w:p>
        </w:tc>
        <w:tc>
          <w:tcPr>
            <w:tcW w:w="0" w:type="dxa"/>
            <w:vAlign w:val="bottom"/>
          </w:tcPr>
          <w:p>
            <w:pPr>
              <w:spacing w:after="0"/>
              <w:rPr>
                <w:sz w:val="1"/>
                <w:szCs w:val="1"/>
                <w:color w:val="auto"/>
              </w:rPr>
            </w:pPr>
          </w:p>
        </w:tc>
      </w:tr>
      <w:tr>
        <w:trPr>
          <w:trHeight w:val="150"/>
        </w:trPr>
        <w:tc>
          <w:tcPr>
            <w:tcW w:w="7640" w:type="dxa"/>
            <w:vAlign w:val="bottom"/>
          </w:tcPr>
          <w:p>
            <w:pPr>
              <w:ind w:left="20"/>
              <w:spacing w:after="0"/>
              <w:rPr>
                <w:sz w:val="20"/>
                <w:szCs w:val="20"/>
                <w:color w:val="auto"/>
              </w:rPr>
            </w:pPr>
            <w:r>
              <w:rPr>
                <w:rFonts w:ascii="Arial" w:cs="Arial" w:eastAsia="Arial" w:hAnsi="Arial"/>
                <w:sz w:val="13"/>
                <w:szCs w:val="13"/>
                <w:color w:val="auto"/>
              </w:rPr>
              <w:t>Commitments and contingencies - Note 8</w:t>
            </w: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Preferred stock — par value $0.0001 per share, 5,000 shares authorized, no shares issued or outstanding</w:t>
            </w:r>
          </w:p>
        </w:tc>
        <w:tc>
          <w:tcPr>
            <w:tcW w:w="300" w:type="dxa"/>
            <w:vAlign w:val="bottom"/>
          </w:tcPr>
          <w:p>
            <w:pPr>
              <w:spacing w:after="0"/>
              <w:rPr>
                <w:sz w:val="14"/>
                <w:szCs w:val="14"/>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7640" w:type="dxa"/>
            <w:vAlign w:val="bottom"/>
            <w:shd w:val="clear" w:color="auto" w:fill="CCEEFF"/>
          </w:tcPr>
          <w:p>
            <w:pPr>
              <w:ind w:left="280"/>
              <w:spacing w:after="0" w:line="128" w:lineRule="exact"/>
              <w:rPr>
                <w:sz w:val="20"/>
                <w:szCs w:val="20"/>
                <w:color w:val="auto"/>
              </w:rPr>
            </w:pPr>
            <w:r>
              <w:rPr>
                <w:rFonts w:ascii="Arial" w:cs="Arial" w:eastAsia="Arial" w:hAnsi="Arial"/>
                <w:sz w:val="13"/>
                <w:szCs w:val="13"/>
                <w:color w:val="auto"/>
                <w:w w:val="92"/>
              </w:rPr>
              <w:t>Common stock — par value $0.0001 per share, 40,000 shares authorized and 13,989 and 14,313 issued and outstanding as of March 31,</w:t>
            </w:r>
          </w:p>
        </w:tc>
        <w:tc>
          <w:tcPr>
            <w:tcW w:w="3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04"/>
        </w:trPr>
        <w:tc>
          <w:tcPr>
            <w:tcW w:w="764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2021 and June 30, 2020, respectively</w:t>
            </w:r>
          </w:p>
        </w:tc>
        <w:tc>
          <w:tcPr>
            <w:tcW w:w="30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7640" w:type="dxa"/>
            <w:vAlign w:val="bottom"/>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640" w:type="dxa"/>
            <w:vAlign w:val="bottom"/>
          </w:tcPr>
          <w:p>
            <w:pPr>
              <w:ind w:left="280"/>
              <w:spacing w:after="0"/>
              <w:rPr>
                <w:sz w:val="20"/>
                <w:szCs w:val="20"/>
                <w:color w:val="auto"/>
              </w:rPr>
            </w:pPr>
            <w:r>
              <w:rPr>
                <w:rFonts w:ascii="Arial" w:cs="Arial" w:eastAsia="Arial" w:hAnsi="Arial"/>
                <w:sz w:val="13"/>
                <w:szCs w:val="13"/>
                <w:color w:val="auto"/>
              </w:rPr>
              <w:t>Additional paid-in capital</w:t>
            </w: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128,842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126,416</w:t>
            </w: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deficit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(93,320)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(93,307)</w:t>
            </w:r>
          </w:p>
        </w:tc>
        <w:tc>
          <w:tcPr>
            <w:tcW w:w="0" w:type="dxa"/>
            <w:vAlign w:val="bottom"/>
          </w:tcPr>
          <w:p>
            <w:pPr>
              <w:spacing w:after="0"/>
              <w:rPr>
                <w:sz w:val="1"/>
                <w:szCs w:val="1"/>
                <w:color w:val="auto"/>
              </w:rPr>
            </w:pPr>
          </w:p>
        </w:tc>
      </w:tr>
      <w:tr>
        <w:trPr>
          <w:trHeight w:val="170"/>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stockholders’ equity</w:t>
            </w:r>
          </w:p>
        </w:tc>
        <w:tc>
          <w:tcPr>
            <w:tcW w:w="3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35,628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33,254</w:t>
            </w:r>
          </w:p>
        </w:tc>
        <w:tc>
          <w:tcPr>
            <w:tcW w:w="0" w:type="dxa"/>
            <w:vAlign w:val="bottom"/>
          </w:tcPr>
          <w:p>
            <w:pPr>
              <w:spacing w:after="0"/>
              <w:rPr>
                <w:sz w:val="1"/>
                <w:szCs w:val="1"/>
                <w:color w:val="auto"/>
              </w:rPr>
            </w:pPr>
          </w:p>
        </w:tc>
      </w:tr>
      <w:tr>
        <w:trPr>
          <w:trHeight w:val="160"/>
        </w:trPr>
        <w:tc>
          <w:tcPr>
            <w:tcW w:w="7640" w:type="dxa"/>
            <w:vAlign w:val="bottom"/>
          </w:tcPr>
          <w:p>
            <w:pPr>
              <w:ind w:left="20"/>
              <w:spacing w:after="0"/>
              <w:rPr>
                <w:sz w:val="20"/>
                <w:szCs w:val="20"/>
                <w:color w:val="auto"/>
              </w:rPr>
            </w:pPr>
            <w:r>
              <w:rPr>
                <w:rFonts w:ascii="Arial" w:cs="Arial" w:eastAsia="Arial" w:hAnsi="Arial"/>
                <w:sz w:val="13"/>
                <w:szCs w:val="13"/>
                <w:color w:val="auto"/>
              </w:rPr>
              <w:t>TOTAL LIABILITIES AND STOCKHOLDERS’ EQUITY</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75,119</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58,877</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5" w:name="page6"/>
    <w:bookmarkEnd w:id="5"/>
    <w:p>
      <w:pPr>
        <w:jc w:val="center"/>
        <w:spacing w:after="0" w:line="276" w:lineRule="auto"/>
        <w:rPr>
          <w:sz w:val="20"/>
          <w:szCs w:val="20"/>
          <w:color w:val="auto"/>
        </w:rPr>
      </w:pPr>
      <w:r>
        <w:rPr>
          <w:rFonts w:ascii="Arial" w:cs="Arial" w:eastAsia="Arial" w:hAnsi="Arial"/>
          <w:sz w:val="14"/>
          <w:szCs w:val="14"/>
          <w:color w:val="auto"/>
        </w:rPr>
        <w:t>LIFEVANTAGE CORPORATION AND SUBSIDIARIES CONDENSED CONSOLIDATED STATEMENTS OF OPERATIONS AND COMPREHENSIVE INCOME (Unaudited)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1"/>
                <w:szCs w:val="11"/>
                <w:b w:val="1"/>
                <w:bCs w:val="1"/>
                <w:color w:val="auto"/>
              </w:rPr>
              <w:t>Nine Months Ended March 31,</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37"/>
        </w:trPr>
        <w:tc>
          <w:tcPr>
            <w:tcW w:w="5260" w:type="dxa"/>
            <w:vAlign w:val="bottom"/>
          </w:tcPr>
          <w:p>
            <w:pPr>
              <w:ind w:left="20"/>
              <w:spacing w:after="0"/>
              <w:rPr>
                <w:sz w:val="20"/>
                <w:szCs w:val="20"/>
                <w:color w:val="auto"/>
              </w:rPr>
            </w:pPr>
            <w:r>
              <w:rPr>
                <w:rFonts w:ascii="Arial" w:cs="Arial" w:eastAsia="Arial" w:hAnsi="Arial"/>
                <w:sz w:val="11"/>
                <w:szCs w:val="11"/>
                <w:i w:val="1"/>
                <w:iCs w:val="1"/>
                <w:color w:val="auto"/>
              </w:rPr>
              <w:t>(In thousands, except per share data)</w:t>
            </w: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56,077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165,405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173,547</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8,818</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28,404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28,515</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145,032</w:t>
            </w: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Commissions and incentives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25,154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82,677</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Selling, general and administrative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15,510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17,281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53,098</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40,664</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125,966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135,775</w:t>
            </w:r>
          </w:p>
        </w:tc>
        <w:tc>
          <w:tcPr>
            <w:tcW w:w="0" w:type="dxa"/>
            <w:vAlign w:val="bottom"/>
          </w:tcPr>
          <w:p>
            <w:pPr>
              <w:spacing w:after="0"/>
              <w:rPr>
                <w:sz w:val="1"/>
                <w:szCs w:val="1"/>
                <w:color w:val="auto"/>
              </w:rPr>
            </w:pPr>
          </w:p>
        </w:tc>
      </w:tr>
      <w:tr>
        <w:trPr>
          <w:trHeight w:val="171"/>
        </w:trPr>
        <w:tc>
          <w:tcPr>
            <w:tcW w:w="52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11,035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9,257</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80"/>
              <w:spacing w:after="0"/>
              <w:rPr>
                <w:sz w:val="20"/>
                <w:szCs w:val="20"/>
                <w:color w:val="auto"/>
              </w:rPr>
            </w:pPr>
            <w:r>
              <w:rPr>
                <w:rFonts w:ascii="Arial" w:cs="Arial" w:eastAsia="Arial" w:hAnsi="Arial"/>
                <w:sz w:val="14"/>
                <w:szCs w:val="14"/>
                <w:color w:val="auto"/>
              </w:rPr>
              <w:t>Interest expense, net</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other expense</w:t>
            </w:r>
          </w:p>
        </w:tc>
        <w:tc>
          <w:tcPr>
            <w:tcW w:w="9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8,573</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 expense</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2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Arial" w:cs="Arial" w:eastAsia="Arial" w:hAnsi="Arial"/>
                <w:sz w:val="14"/>
                <w:szCs w:val="14"/>
                <w:color w:val="auto"/>
              </w:rPr>
              <w:t>Diluted</w:t>
            </w:r>
          </w:p>
        </w:tc>
        <w:tc>
          <w:tcPr>
            <w:tcW w:w="920" w:type="dxa"/>
            <w:vAlign w:val="bottom"/>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5"/>
                <w:szCs w:val="15"/>
                <w:color w:val="auto"/>
              </w:rPr>
            </w:pP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outstanding:</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80"/>
              <w:spacing w:after="0"/>
              <w:rPr>
                <w:sz w:val="20"/>
                <w:szCs w:val="20"/>
                <w:color w:val="auto"/>
              </w:rPr>
            </w:pPr>
            <w:r>
              <w:rPr>
                <w:rFonts w:ascii="Arial" w:cs="Arial" w:eastAsia="Arial" w:hAnsi="Arial"/>
                <w:sz w:val="14"/>
                <w:szCs w:val="14"/>
                <w:color w:val="auto"/>
              </w:rPr>
              <w:t>Basic</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14,071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14,054</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14,592</w:t>
            </w: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Foreign currency translation adjustment</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9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2" w:right="3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2160" w:type="dxa"/>
            <w:vAlign w:val="bottom"/>
            <w:gridSpan w:val="3"/>
            <w:vMerge w:val="restart"/>
          </w:tcPr>
          <w:p>
            <w:pPr>
              <w:jc w:val="right"/>
              <w:ind w:right="492"/>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Accumulated</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216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1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13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Other</w:t>
            </w: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Shares</w:t>
            </w:r>
          </w:p>
        </w:tc>
        <w:tc>
          <w:tcPr>
            <w:tcW w:w="880" w:type="dxa"/>
            <w:vAlign w:val="bottom"/>
          </w:tcPr>
          <w:p>
            <w:pPr>
              <w:jc w:val="right"/>
              <w:ind w:right="12"/>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Comprehensive Income</w:t>
            </w:r>
          </w:p>
        </w:tc>
        <w:tc>
          <w:tcPr>
            <w:tcW w:w="260" w:type="dxa"/>
            <w:vAlign w:val="bottom"/>
          </w:tcPr>
          <w:p>
            <w:pPr>
              <w:spacing w:after="0"/>
              <w:rPr>
                <w:sz w:val="13"/>
                <w:szCs w:val="13"/>
                <w:color w:val="auto"/>
              </w:rPr>
            </w:pPr>
          </w:p>
        </w:tc>
        <w:tc>
          <w:tcPr>
            <w:tcW w:w="940" w:type="dxa"/>
            <w:vAlign w:val="bottom"/>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4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2020</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14,313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126,416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(93,307)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33,254</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equity award plans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w w:val="91"/>
              </w:rPr>
              <w:t>Common stock issued under employee stock purchase plan</w:t>
            </w:r>
          </w:p>
        </w:tc>
        <w:tc>
          <w:tcPr>
            <w:tcW w:w="12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7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September 30,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14,238</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126,687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(92,856)</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34,136</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20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equity award plans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Balances, December 31, 2020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14,151</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(93,044)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35,516</w:t>
            </w: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options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w w:val="91"/>
              </w:rPr>
              <w:t>Common stock issued under employee stock purchase plan</w:t>
            </w: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issued under equity award plans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Balances, March 31,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13,989</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128,842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(93,320)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35,628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4" w:right="339" w:bottom="1440" w:gutter="0" w:footer="0" w:header="0"/>
        </w:sectPr>
      </w:pPr>
    </w:p>
    <w:bookmarkStart w:id="7" w:name="page8"/>
    <w:bookmarkEnd w:id="7"/>
    <w:p>
      <w:pPr>
        <w:jc w:val="center"/>
        <w:spacing w:after="0" w:line="276" w:lineRule="auto"/>
        <w:rPr>
          <w:sz w:val="20"/>
          <w:szCs w:val="20"/>
          <w:color w:val="auto"/>
        </w:rPr>
      </w:pPr>
      <w:r>
        <w:rPr>
          <w:rFonts w:ascii="Arial" w:cs="Arial" w:eastAsia="Arial" w:hAnsi="Arial"/>
          <w:sz w:val="14"/>
          <w:szCs w:val="14"/>
          <w:color w:val="auto"/>
        </w:rPr>
        <w:t>LIFEVANTAGE CORPORATION AND SUBSIDIARIES CONDENSED CONSOLIDATED STATEMENT OF STOCKHOLDERS’ EQUITY (CONTINUED) (Unaudited)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2160" w:type="dxa"/>
            <w:vAlign w:val="bottom"/>
            <w:gridSpan w:val="3"/>
            <w:vMerge w:val="restart"/>
          </w:tcPr>
          <w:p>
            <w:pPr>
              <w:jc w:val="right"/>
              <w:ind w:right="492"/>
              <w:spacing w:after="0"/>
              <w:rPr>
                <w:sz w:val="20"/>
                <w:szCs w:val="20"/>
                <w:color w:val="auto"/>
              </w:rPr>
            </w:pPr>
            <w:r>
              <w:rPr>
                <w:rFonts w:ascii="Arial" w:cs="Arial" w:eastAsia="Arial" w:hAnsi="Arial"/>
                <w:sz w:val="11"/>
                <w:szCs w:val="11"/>
                <w:b w:val="1"/>
                <w:bCs w:val="1"/>
                <w:color w:val="auto"/>
              </w:rPr>
              <w:t>Common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Accumulated</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440" w:type="dxa"/>
            <w:vAlign w:val="bottom"/>
          </w:tcPr>
          <w:p>
            <w:pPr>
              <w:spacing w:after="0"/>
              <w:rPr>
                <w:sz w:val="7"/>
                <w:szCs w:val="7"/>
                <w:color w:val="auto"/>
              </w:rPr>
            </w:pPr>
          </w:p>
        </w:tc>
        <w:tc>
          <w:tcPr>
            <w:tcW w:w="2160" w:type="dxa"/>
            <w:vAlign w:val="bottom"/>
            <w:tcBorders>
              <w:bottom w:val="single" w:sz="8" w:color="auto"/>
            </w:tcBorders>
            <w:gridSpan w:val="3"/>
            <w:vMerge w:val="continue"/>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100" w:type="dxa"/>
            <w:vAlign w:val="bottom"/>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136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Other</w:t>
            </w: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80" w:type="dxa"/>
            <w:vAlign w:val="bottom"/>
            <w:gridSpan w:val="2"/>
          </w:tcPr>
          <w:p>
            <w:pPr>
              <w:ind w:left="420"/>
              <w:spacing w:after="0"/>
              <w:rPr>
                <w:sz w:val="20"/>
                <w:szCs w:val="20"/>
                <w:color w:val="auto"/>
              </w:rPr>
            </w:pPr>
            <w:r>
              <w:rPr>
                <w:rFonts w:ascii="Arial" w:cs="Arial" w:eastAsia="Arial" w:hAnsi="Arial"/>
                <w:sz w:val="11"/>
                <w:szCs w:val="11"/>
                <w:b w:val="1"/>
                <w:bCs w:val="1"/>
                <w:color w:val="auto"/>
              </w:rPr>
              <w:t>Shares</w:t>
            </w:r>
          </w:p>
        </w:tc>
        <w:tc>
          <w:tcPr>
            <w:tcW w:w="880" w:type="dxa"/>
            <w:vAlign w:val="bottom"/>
          </w:tcPr>
          <w:p>
            <w:pPr>
              <w:jc w:val="right"/>
              <w:ind w:right="12"/>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80" w:type="dxa"/>
            <w:vAlign w:val="bottom"/>
          </w:tcPr>
          <w:p>
            <w:pPr>
              <w:spacing w:after="0"/>
              <w:rPr>
                <w:sz w:val="13"/>
                <w:szCs w:val="13"/>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Comprehensive Income</w:t>
            </w:r>
          </w:p>
        </w:tc>
        <w:tc>
          <w:tcPr>
            <w:tcW w:w="260" w:type="dxa"/>
            <w:vAlign w:val="bottom"/>
          </w:tcPr>
          <w:p>
            <w:pPr>
              <w:spacing w:after="0"/>
              <w:rPr>
                <w:sz w:val="13"/>
                <w:szCs w:val="13"/>
                <w:color w:val="auto"/>
              </w:rPr>
            </w:pPr>
          </w:p>
        </w:tc>
        <w:tc>
          <w:tcPr>
            <w:tcW w:w="940" w:type="dxa"/>
            <w:vAlign w:val="bottom"/>
          </w:tcPr>
          <w:p>
            <w:pPr>
              <w:jc w:val="right"/>
              <w:ind w:right="41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7"/>
        </w:trPr>
        <w:tc>
          <w:tcPr>
            <w:tcW w:w="34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June 30, 2019</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14,114</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127,096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(99,960)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shd w:val="clear" w:color="auto" w:fill="CCEEFF"/>
          </w:tcPr>
          <w:p>
            <w:pPr>
              <w:jc w:val="center"/>
              <w:ind w:left="931"/>
              <w:spacing w:after="0"/>
              <w:rPr>
                <w:sz w:val="20"/>
                <w:szCs w:val="20"/>
                <w:color w:val="auto"/>
              </w:rPr>
            </w:pPr>
            <w:r>
              <w:rPr>
                <w:rFonts w:ascii="Arial" w:cs="Arial" w:eastAsia="Arial" w:hAnsi="Arial"/>
                <w:sz w:val="14"/>
                <w:szCs w:val="14"/>
                <w:b w:val="1"/>
                <w:bCs w:val="1"/>
                <w:color w:val="auto"/>
                <w:w w:val="89"/>
              </w:rPr>
              <w:t>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27,199</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Cumulative effect of adoption of accounting principle</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71"/>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July 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14,114</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127,096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(99,452)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shd w:val="clear" w:color="auto" w:fill="CCEEFF"/>
          </w:tcPr>
          <w:p>
            <w:pPr>
              <w:jc w:val="center"/>
              <w:ind w:left="931"/>
              <w:spacing w:after="0"/>
              <w:rPr>
                <w:sz w:val="20"/>
                <w:szCs w:val="20"/>
                <w:color w:val="auto"/>
              </w:rPr>
            </w:pPr>
            <w:r>
              <w:rPr>
                <w:rFonts w:ascii="Arial" w:cs="Arial" w:eastAsia="Arial" w:hAnsi="Arial"/>
                <w:sz w:val="14"/>
                <w:szCs w:val="14"/>
                <w:b w:val="1"/>
                <w:bCs w:val="1"/>
                <w:color w:val="auto"/>
                <w:w w:val="89"/>
              </w:rPr>
              <w:t>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27,707</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1,276</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Common stock issued under 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60" w:type="dxa"/>
            <w:vAlign w:val="bottom"/>
          </w:tcPr>
          <w:p>
            <w:pPr>
              <w:jc w:val="center"/>
              <w:ind w:left="911"/>
              <w:spacing w:after="0"/>
              <w:rPr>
                <w:sz w:val="20"/>
                <w:szCs w:val="20"/>
                <w:color w:val="auto"/>
              </w:rPr>
            </w:pPr>
            <w:r>
              <w:rPr>
                <w:rFonts w:ascii="Arial" w:cs="Arial" w:eastAsia="Arial" w:hAnsi="Arial"/>
                <w:sz w:val="14"/>
                <w:szCs w:val="14"/>
                <w:color w:val="auto"/>
                <w:w w:val="96"/>
              </w:rPr>
              <w:t>(16)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Balances, September 30, 2019</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14,034</w:t>
            </w:r>
          </w:p>
        </w:tc>
        <w:tc>
          <w:tcPr>
            <w:tcW w:w="80" w:type="dxa"/>
            <w:vAlign w:val="bottom"/>
          </w:tcPr>
          <w:p>
            <w:pPr>
              <w:spacing w:after="0"/>
              <w:rPr>
                <w:sz w:val="14"/>
                <w:szCs w:val="14"/>
                <w:color w:val="auto"/>
              </w:rPr>
            </w:pPr>
          </w:p>
        </w:tc>
        <w:tc>
          <w:tcPr>
            <w:tcW w:w="880" w:type="dxa"/>
            <w:vAlign w:val="bottom"/>
            <w:tcBorders>
              <w:top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128,661</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(99,084)</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tcBorders>
          </w:tcPr>
          <w:p>
            <w:pPr>
              <w:jc w:val="center"/>
              <w:ind w:left="931"/>
              <w:spacing w:after="0"/>
              <w:rPr>
                <w:sz w:val="20"/>
                <w:szCs w:val="20"/>
                <w:color w:val="auto"/>
              </w:rPr>
            </w:pPr>
            <w:r>
              <w:rPr>
                <w:rFonts w:ascii="Arial" w:cs="Arial" w:eastAsia="Arial" w:hAnsi="Arial"/>
                <w:sz w:val="14"/>
                <w:szCs w:val="14"/>
                <w:b w:val="1"/>
                <w:bCs w:val="1"/>
                <w:color w:val="auto"/>
                <w:w w:val="89"/>
              </w:rPr>
              <w:t>46</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29,624</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options</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Common stock issued under equity award plans</w:t>
            </w:r>
          </w:p>
        </w:tc>
        <w:tc>
          <w:tcPr>
            <w:tcW w:w="1200" w:type="dxa"/>
            <w:vAlign w:val="bottom"/>
          </w:tcPr>
          <w:p>
            <w:pPr>
              <w:jc w:val="right"/>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tcPr>
          <w:p>
            <w:pPr>
              <w:jc w:val="right"/>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center"/>
              <w:ind w:left="911"/>
              <w:spacing w:after="0"/>
              <w:rPr>
                <w:sz w:val="20"/>
                <w:szCs w:val="20"/>
                <w:color w:val="auto"/>
              </w:rPr>
            </w:pPr>
            <w:r>
              <w:rPr>
                <w:rFonts w:ascii="Arial" w:cs="Arial" w:eastAsia="Arial" w:hAnsi="Arial"/>
                <w:sz w:val="14"/>
                <w:szCs w:val="14"/>
                <w:color w:val="auto"/>
                <w:w w:val="96"/>
              </w:rPr>
              <w:t>(14)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4,303</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2019</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125,858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(96,793)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shd w:val="clear" w:color="auto" w:fill="CCEEFF"/>
          </w:tcPr>
          <w:p>
            <w:pPr>
              <w:jc w:val="center"/>
              <w:ind w:left="931"/>
              <w:spacing w:after="0"/>
              <w:rPr>
                <w:sz w:val="20"/>
                <w:szCs w:val="20"/>
                <w:color w:val="auto"/>
              </w:rPr>
            </w:pPr>
            <w:r>
              <w:rPr>
                <w:rFonts w:ascii="Arial" w:cs="Arial" w:eastAsia="Arial" w:hAnsi="Arial"/>
                <w:sz w:val="14"/>
                <w:szCs w:val="14"/>
                <w:b w:val="1"/>
                <w:bCs w:val="1"/>
                <w:color w:val="auto"/>
                <w:w w:val="89"/>
              </w:rPr>
              <w:t>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29,098</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Exercise of options</w:t>
            </w: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Common stock issued under employee stock purchase plan</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Common stock issued under equity award plans</w:t>
            </w:r>
          </w:p>
        </w:tc>
        <w:tc>
          <w:tcPr>
            <w:tcW w:w="1200" w:type="dxa"/>
            <w:vAlign w:val="bottom"/>
          </w:tcPr>
          <w:p>
            <w:pPr>
              <w:jc w:val="right"/>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4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Shares canceled or surrendered as payment of tax</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withholding and other</w:t>
            </w:r>
          </w:p>
        </w:tc>
        <w:tc>
          <w:tcPr>
            <w:tcW w:w="1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Repurchase of company stock</w:t>
            </w:r>
          </w:p>
        </w:tc>
        <w:tc>
          <w:tcPr>
            <w:tcW w:w="1200" w:type="dxa"/>
            <w:vAlign w:val="bottom"/>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left="831"/>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71"/>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Balances, March 31, 2020</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14,295</w:t>
            </w:r>
          </w:p>
        </w:tc>
        <w:tc>
          <w:tcPr>
            <w:tcW w:w="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125,697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(97,132)</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top w:val="single" w:sz="8" w:color="auto"/>
              <w:bottom w:val="single" w:sz="8" w:color="auto"/>
            </w:tcBorders>
          </w:tcPr>
          <w:p>
            <w:pPr>
              <w:jc w:val="center"/>
              <w:ind w:left="931"/>
              <w:spacing w:after="0"/>
              <w:rPr>
                <w:sz w:val="20"/>
                <w:szCs w:val="20"/>
                <w:color w:val="auto"/>
              </w:rPr>
            </w:pPr>
            <w:r>
              <w:rPr>
                <w:rFonts w:ascii="Arial" w:cs="Arial" w:eastAsia="Arial" w:hAnsi="Arial"/>
                <w:sz w:val="14"/>
                <w:szCs w:val="14"/>
                <w:b w:val="1"/>
                <w:bCs w:val="1"/>
                <w:color w:val="auto"/>
                <w:w w:val="89"/>
              </w:rPr>
              <w:t>32</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28,598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86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5"/>
              </w:rPr>
              <w:t>Nine Months Ended March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37"/>
        </w:trPr>
        <w:tc>
          <w:tcPr>
            <w:tcW w:w="76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7,987</w:t>
            </w:r>
          </w:p>
        </w:tc>
        <w:tc>
          <w:tcPr>
            <w:tcW w:w="100" w:type="dxa"/>
            <w:vAlign w:val="bottom"/>
          </w:tcPr>
          <w:p>
            <w:pPr>
              <w:spacing w:after="0"/>
              <w:rPr>
                <w:sz w:val="15"/>
                <w:szCs w:val="15"/>
                <w:color w:val="auto"/>
              </w:rPr>
            </w:pPr>
          </w:p>
        </w:tc>
        <w:tc>
          <w:tcPr>
            <w:tcW w:w="740" w:type="dxa"/>
            <w:vAlign w:val="bottom"/>
          </w:tcPr>
          <w:p>
            <w:pPr>
              <w:jc w:val="right"/>
              <w:ind w:right="5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7,725</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Stock-based compensation</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Amortization of right-of-use assets</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Amortization of deferred financing fees</w:t>
            </w:r>
          </w:p>
        </w:tc>
        <w:tc>
          <w:tcPr>
            <w:tcW w:w="10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Amortization of debt discount</w:t>
            </w:r>
          </w:p>
        </w:tc>
        <w:tc>
          <w:tcPr>
            <w:tcW w:w="10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Deferred income tax</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Income tax receivable</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(1,147)</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Inventory, net</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Prepaid expenses and other</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long-term assets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Accounts payable</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Income tax payable</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80"/>
        </w:trPr>
        <w:tc>
          <w:tcPr>
            <w:tcW w:w="7640" w:type="dxa"/>
            <w:vAlign w:val="bottom"/>
          </w:tcPr>
          <w:p>
            <w:pPr>
              <w:ind w:left="520"/>
              <w:spacing w:after="0"/>
              <w:rPr>
                <w:sz w:val="20"/>
                <w:szCs w:val="20"/>
                <w:color w:val="auto"/>
              </w:rPr>
            </w:pPr>
            <w:r>
              <w:rPr>
                <w:rFonts w:ascii="Arial" w:cs="Arial" w:eastAsia="Arial" w:hAnsi="Arial"/>
                <w:sz w:val="14"/>
                <w:szCs w:val="14"/>
                <w:color w:val="auto"/>
              </w:rPr>
              <w:t>Other accrued expenses</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Lease liabilities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long-term liabilities</w:t>
            </w: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7,899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8,977</w:t>
            </w:r>
          </w:p>
        </w:tc>
        <w:tc>
          <w:tcPr>
            <w:tcW w:w="0" w:type="dxa"/>
            <w:vAlign w:val="bottom"/>
          </w:tcPr>
          <w:p>
            <w:pPr>
              <w:spacing w:after="0"/>
              <w:rPr>
                <w:sz w:val="1"/>
                <w:szCs w:val="1"/>
                <w:color w:val="auto"/>
              </w:rPr>
            </w:pPr>
          </w:p>
        </w:tc>
      </w:tr>
      <w:tr>
        <w:trPr>
          <w:trHeight w:val="180"/>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0" w:type="dxa"/>
            <w:vAlign w:val="bottom"/>
          </w:tcPr>
          <w:p>
            <w:pPr>
              <w:spacing w:after="0"/>
              <w:rPr>
                <w:sz w:val="1"/>
                <w:szCs w:val="1"/>
                <w:color w:val="auto"/>
              </w:rPr>
            </w:pPr>
          </w:p>
        </w:tc>
      </w:tr>
      <w:tr>
        <w:trPr>
          <w:trHeight w:val="171"/>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(3,261)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(2,107)</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Arial" w:cs="Arial" w:eastAsia="Arial" w:hAnsi="Arial"/>
                <w:sz w:val="14"/>
                <w:szCs w:val="14"/>
                <w:color w:val="auto"/>
              </w:rPr>
              <w:t>Repurchase of company stock</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on term loan</w:t>
            </w:r>
          </w:p>
        </w:tc>
        <w:tc>
          <w:tcPr>
            <w:tcW w:w="10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Arial" w:cs="Arial" w:eastAsia="Arial" w:hAnsi="Arial"/>
                <w:sz w:val="14"/>
                <w:szCs w:val="14"/>
                <w:color w:val="auto"/>
              </w:rPr>
              <w:t>Shares purchased as payment of tax withholding and other</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(6,096)</w:t>
            </w:r>
          </w:p>
        </w:tc>
        <w:tc>
          <w:tcPr>
            <w:tcW w:w="0" w:type="dxa"/>
            <w:vAlign w:val="bottom"/>
          </w:tcPr>
          <w:p>
            <w:pPr>
              <w:spacing w:after="0"/>
              <w:rPr>
                <w:sz w:val="1"/>
                <w:szCs w:val="1"/>
                <w:color w:val="auto"/>
              </w:rPr>
            </w:pPr>
          </w:p>
        </w:tc>
      </w:tr>
      <w:tr>
        <w:trPr>
          <w:trHeight w:val="181"/>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Exercise of options</w:t>
            </w: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(7,777)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(12,274)</w:t>
            </w:r>
          </w:p>
        </w:tc>
        <w:tc>
          <w:tcPr>
            <w:tcW w:w="0" w:type="dxa"/>
            <w:vAlign w:val="bottom"/>
          </w:tcPr>
          <w:p>
            <w:pPr>
              <w:spacing w:after="0"/>
              <w:rPr>
                <w:sz w:val="1"/>
                <w:szCs w:val="1"/>
                <w:color w:val="auto"/>
              </w:rPr>
            </w:pPr>
          </w:p>
        </w:tc>
      </w:tr>
      <w:tr>
        <w:trPr>
          <w:trHeight w:val="180"/>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Foreign Currency Effect on Cash</w:t>
            </w:r>
          </w:p>
        </w:tc>
        <w:tc>
          <w:tcPr>
            <w:tcW w:w="10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Decrease in Cash and Cash Equivalents:</w:t>
            </w:r>
          </w:p>
        </w:tc>
        <w:tc>
          <w:tcPr>
            <w:tcW w:w="10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(5,360)</w:t>
            </w:r>
          </w:p>
        </w:tc>
        <w:tc>
          <w:tcPr>
            <w:tcW w:w="0" w:type="dxa"/>
            <w:vAlign w:val="bottom"/>
          </w:tcPr>
          <w:p>
            <w:pPr>
              <w:spacing w:after="0"/>
              <w:rPr>
                <w:sz w:val="1"/>
                <w:szCs w:val="1"/>
                <w:color w:val="auto"/>
              </w:rPr>
            </w:pPr>
          </w:p>
        </w:tc>
      </w:tr>
      <w:tr>
        <w:trPr>
          <w:trHeight w:val="18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 beginning of period</w:t>
            </w: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18,824</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 end of period</w:t>
            </w:r>
          </w:p>
        </w:tc>
        <w:tc>
          <w:tcPr>
            <w:tcW w:w="104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18,955</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13,464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Non Cash Investing and Financing Activities: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6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in property and equipment and lease liabilities from lease incentives</w:t>
            </w:r>
          </w:p>
        </w:tc>
        <w:tc>
          <w:tcPr>
            <w:tcW w:w="104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1040" w:type="dxa"/>
            <w:vAlign w:val="bottom"/>
            <w:shd w:val="clear" w:color="auto" w:fill="CCEEFF"/>
          </w:tcPr>
          <w:p>
            <w:pPr>
              <w:jc w:val="right"/>
              <w:ind w:right="892"/>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764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1040" w:type="dxa"/>
            <w:vAlign w:val="bottom"/>
          </w:tcPr>
          <w:p>
            <w:pPr>
              <w:jc w:val="right"/>
              <w:ind w:right="892"/>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3,331</w:t>
            </w:r>
          </w:p>
        </w:tc>
        <w:tc>
          <w:tcPr>
            <w:tcW w:w="100" w:type="dxa"/>
            <w:vAlign w:val="bottom"/>
          </w:tcPr>
          <w:p>
            <w:pPr>
              <w:spacing w:after="0"/>
              <w:rPr>
                <w:sz w:val="15"/>
                <w:szCs w:val="15"/>
                <w:color w:val="auto"/>
              </w:rPr>
            </w:pPr>
          </w:p>
        </w:tc>
        <w:tc>
          <w:tcPr>
            <w:tcW w:w="740" w:type="dxa"/>
            <w:vAlign w:val="bottom"/>
          </w:tcPr>
          <w:p>
            <w:pPr>
              <w:jc w:val="right"/>
              <w:ind w:right="5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115" w:lineRule="exact"/>
        <w:rPr>
          <w:sz w:val="20"/>
          <w:szCs w:val="20"/>
          <w:color w:val="auto"/>
        </w:rPr>
      </w:pPr>
    </w:p>
    <w:p>
      <w:pPr>
        <w:ind w:right="640" w:firstLine="318"/>
        <w:spacing w:after="0" w:line="368" w:lineRule="auto"/>
        <w:rPr>
          <w:sz w:val="20"/>
          <w:szCs w:val="20"/>
          <w:color w:val="auto"/>
        </w:rPr>
      </w:pPr>
      <w:r>
        <w:rPr>
          <w:rFonts w:ascii="Arial" w:cs="Arial" w:eastAsia="Arial" w:hAnsi="Arial"/>
          <w:sz w:val="12"/>
          <w:szCs w:val="12"/>
          <w:color w:val="auto"/>
        </w:rPr>
        <w:t>These unaudited condensed consolidated financial statements and notes should be read in conjunction with the audited financial statements and notes of LifeVantage Corporation (the “Company”) as of and for the year ended June 30, 2020 included in the annual report on Form 10-K filed with the Securities and Exchange Commission (“SEC”) on August 18, 2020.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Organization and Basis of Presentation</w:t>
      </w:r>
    </w:p>
    <w:p>
      <w:pPr>
        <w:spacing w:after="0" w:line="129"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LifeVantage Corporation is a company focused on biohacking the aging code through nutrigenomics, the study of how nutrition and naturally occurring compounds affect human genes to support good health. LifeVantage is dedicated to helping people achieve their health, wellness and financial goals. The Company provides quality, scientifically-validated products to customers and independent distributors and a financially rewarding direct sales opportunity to independent distributors. The Company sells its products in the United States, Mexico, Japan, Australia, Hong Kong, Canada, Thailand, the United Kingdom, the Netherlands, Germany, Taiwan, Austria, Spain, Ireland, Belgium, New Zealand and Singapore. In addition, the Company sells its products in a number of countries to customers for personal consumption only and in China through a cross-border e-commerce business model.</w:t>
      </w:r>
    </w:p>
    <w:p>
      <w:pPr>
        <w:spacing w:after="0" w:line="81" w:lineRule="exact"/>
        <w:rPr>
          <w:sz w:val="20"/>
          <w:szCs w:val="20"/>
          <w:color w:val="auto"/>
        </w:rPr>
      </w:pPr>
    </w:p>
    <w:p>
      <w:pPr>
        <w:ind w:right="80" w:firstLine="318"/>
        <w:spacing w:after="0" w:line="228" w:lineRule="auto"/>
        <w:rPr>
          <w:sz w:val="20"/>
          <w:szCs w:val="20"/>
          <w:color w:val="auto"/>
        </w:rPr>
      </w:pPr>
      <w:r>
        <w:rPr>
          <w:rFonts w:ascii="Arial" w:cs="Arial" w:eastAsia="Arial" w:hAnsi="Arial"/>
          <w:sz w:val="14"/>
          <w:szCs w:val="14"/>
          <w:color w:val="auto"/>
        </w:rPr>
        <w:t>The Company engages in the identification, research, development and distribution of advanced nutrigenomic activators, dietary supplements, nootropics, pre- and pro-biotics, weight management, and skin and hair care products. The Company's line of scientifically-validated dietary supplements includes its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family of products,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and Daily Wellness dietary supplements,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and hair care products,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 Dogs, its companion pet supplement formulated to combat oxidative stress in dogs, Axio</w:t>
      </w:r>
      <w:r>
        <w:rPr>
          <w:rFonts w:ascii="Arial" w:cs="Arial" w:eastAsia="Arial" w:hAnsi="Arial"/>
          <w:sz w:val="18"/>
          <w:szCs w:val="18"/>
          <w:color w:val="auto"/>
          <w:vertAlign w:val="superscript"/>
        </w:rPr>
        <w:t>®</w:t>
      </w:r>
      <w:r>
        <w:rPr>
          <w:rFonts w:ascii="Arial" w:cs="Arial" w:eastAsia="Arial" w:hAnsi="Arial"/>
          <w:sz w:val="14"/>
          <w:szCs w:val="14"/>
          <w:color w:val="auto"/>
        </w:rPr>
        <w:t>, its nootropic energy drink mixes, and its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smart weight management system.</w:t>
      </w:r>
    </w:p>
    <w:p>
      <w:pPr>
        <w:spacing w:after="0" w:line="42" w:lineRule="exact"/>
        <w:rPr>
          <w:sz w:val="20"/>
          <w:szCs w:val="20"/>
          <w:color w:val="auto"/>
        </w:rPr>
      </w:pPr>
    </w:p>
    <w:p>
      <w:pPr>
        <w:ind w:firstLine="318"/>
        <w:spacing w:after="0" w:line="260" w:lineRule="auto"/>
        <w:rPr>
          <w:sz w:val="20"/>
          <w:szCs w:val="20"/>
          <w:color w:val="auto"/>
        </w:rPr>
      </w:pPr>
      <w:r>
        <w:rPr>
          <w:rFonts w:ascii="Arial" w:cs="Arial" w:eastAsia="Arial" w:hAnsi="Arial"/>
          <w:sz w:val="14"/>
          <w:szCs w:val="14"/>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March 31, 2021, and the results of operations for the three and nine months ended March 31, 2021 and 2020, and the cash flows for the nine months ended March 31, 2021 and 2020.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93"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The condensed consolidated financial statements and notes included herein are presented as required by Form 10-Q, and do not contain certain information included in the Company’s audited financial statements and notes for the fiscal year ended June 30, 2020, pursuant to the rules and regulations of the SEC. For further information, refer to the financial statements and notes thereto as of and for the year ended June 30, 2020, and included in the annual report on Form 10-K on file with the SEC.</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29" w:lineRule="exact"/>
        <w:rPr>
          <w:sz w:val="20"/>
          <w:szCs w:val="20"/>
          <w:color w:val="auto"/>
        </w:rPr>
      </w:pPr>
    </w:p>
    <w:p>
      <w:pPr>
        <w:ind w:right="60" w:firstLine="318"/>
        <w:spacing w:after="0" w:line="281" w:lineRule="auto"/>
        <w:rPr>
          <w:sz w:val="20"/>
          <w:szCs w:val="20"/>
          <w:color w:val="auto"/>
        </w:rPr>
      </w:pPr>
      <w:r>
        <w:rPr>
          <w:rFonts w:ascii="Arial" w:cs="Arial" w:eastAsia="Arial" w:hAnsi="Arial"/>
          <w:sz w:val="14"/>
          <w:szCs w:val="14"/>
          <w:color w:val="auto"/>
        </w:rPr>
        <w:t>The condensed consolidated financial statements include the accounts of the Company and its wholly-owned subsidiaries. All significant intercompany accounts and transactions are eliminated in consolidation.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19" w:lineRule="exact"/>
        <w:rPr>
          <w:sz w:val="20"/>
          <w:szCs w:val="20"/>
          <w:color w:val="auto"/>
        </w:rPr>
      </w:pPr>
    </w:p>
    <w:p>
      <w:pPr>
        <w:ind w:right="280" w:firstLine="318"/>
        <w:spacing w:after="0" w:line="284" w:lineRule="auto"/>
        <w:rPr>
          <w:sz w:val="20"/>
          <w:szCs w:val="20"/>
          <w:color w:val="auto"/>
        </w:rPr>
      </w:pPr>
      <w:r>
        <w:rPr>
          <w:rFonts w:ascii="Arial" w:cs="Arial" w:eastAsia="Arial" w:hAnsi="Arial"/>
          <w:sz w:val="13"/>
          <w:szCs w:val="13"/>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29" w:lineRule="exact"/>
        <w:rPr>
          <w:sz w:val="20"/>
          <w:szCs w:val="20"/>
          <w:color w:val="auto"/>
        </w:rPr>
      </w:pPr>
    </w:p>
    <w:p>
      <w:pPr>
        <w:ind w:right="200" w:firstLine="318"/>
        <w:spacing w:after="0" w:line="267" w:lineRule="auto"/>
        <w:rPr>
          <w:sz w:val="20"/>
          <w:szCs w:val="20"/>
          <w:color w:val="auto"/>
        </w:rPr>
      </w:pPr>
      <w:r>
        <w:rPr>
          <w:rFonts w:ascii="Arial" w:cs="Arial" w:eastAsia="Arial" w:hAnsi="Arial"/>
          <w:sz w:val="14"/>
          <w:szCs w:val="14"/>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10" w:name="page11"/>
    <w:bookmarkEnd w:id="10"/>
    <w:p>
      <w:pPr>
        <w:spacing w:after="0" w:line="262" w:lineRule="auto"/>
        <w:rPr>
          <w:sz w:val="20"/>
          <w:szCs w:val="20"/>
          <w:color w:val="auto"/>
        </w:rPr>
      </w:pPr>
      <w:r>
        <w:rPr>
          <w:rFonts w:ascii="Arial" w:cs="Arial" w:eastAsia="Arial" w:hAnsi="Arial"/>
          <w:sz w:val="14"/>
          <w:szCs w:val="14"/>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March 31, 2021 and 2020, net foreign currency losses of $0.3 million and $0.5 million, respectively, are recorded in other expense, net. For the nine months ended March 31, 2021 and 2020, net foreign currency gains of $0.2 million and losses of $0.5 million, respectively, are recorded in other expense, net.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 Instruments and Hedging Activities</w:t>
      </w:r>
    </w:p>
    <w:p>
      <w:pPr>
        <w:spacing w:after="0" w:line="129" w:lineRule="exact"/>
        <w:rPr>
          <w:sz w:val="20"/>
          <w:szCs w:val="20"/>
          <w:color w:val="auto"/>
        </w:rPr>
      </w:pPr>
    </w:p>
    <w:p>
      <w:pPr>
        <w:ind w:right="480" w:firstLine="318"/>
        <w:spacing w:after="0" w:line="368" w:lineRule="auto"/>
        <w:rPr>
          <w:sz w:val="20"/>
          <w:szCs w:val="20"/>
          <w:color w:val="auto"/>
        </w:rPr>
      </w:pPr>
      <w:r>
        <w:rPr>
          <w:rFonts w:ascii="Arial" w:cs="Arial" w:eastAsia="Arial" w:hAnsi="Arial"/>
          <w:sz w:val="12"/>
          <w:szCs w:val="12"/>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33"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To hedge risks associated with the foreign-currency-denominated intercompany transactions, the Company entered into forward foreign exchange contracts which were all settled by the end of March 2021 and were not designated for hedge accounting. For the three months ended March 31, 2021 and 2020, realized losses of $26,000 and gains of $0.1 million, respectively, related to forward contracts, are recorded in other expense, net. For the nine months ended March 31, 2021 and 2020, realized losses of $0.4 million and $0.2 million, respectively, related to forward contracts, are recorded in other expense, net. The Company did not hold any derivative instruments at March 31, 2021.</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Company considers only its monetary liquid assets with original maturities of three months or less as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19" w:lineRule="exact"/>
        <w:rPr>
          <w:sz w:val="20"/>
          <w:szCs w:val="20"/>
          <w:color w:val="auto"/>
        </w:rPr>
      </w:pPr>
    </w:p>
    <w:p>
      <w:pPr>
        <w:ind w:right="160" w:firstLine="318"/>
        <w:spacing w:after="0" w:line="262" w:lineRule="auto"/>
        <w:rPr>
          <w:sz w:val="20"/>
          <w:szCs w:val="20"/>
          <w:color w:val="auto"/>
        </w:rPr>
      </w:pPr>
      <w:r>
        <w:rPr>
          <w:rFonts w:ascii="Arial" w:cs="Arial" w:eastAsia="Arial" w:hAnsi="Arial"/>
          <w:sz w:val="14"/>
          <w:szCs w:val="14"/>
          <w:color w:val="auto"/>
        </w:rPr>
        <w:t>Accounting guidance for financial instruments requires disclosure of significant concentrations of credit risk regardless of the degree of such risk. Financial instruments with significant credit risk include cash and investments. At March 31, 2021, the Company had $13.8 million in cash accounts at one financial institution and $5.1 million in accounts at other financial institutions. At June 30, 2020, the Company had $17.8 million in cash accounts at one financial institution and $4.3 million in accounts at other financial institutions. As of March 31, 2021 and June 30, 2020, and during the periods then ended, the Company’s cash balances exceeded federally insured limits.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29"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Company’s accounts receivable as of March 31, 2021 and June 30, 2020 consist primarily of credit card receivables. Based on the Company’s verification process for customer credit cards and historical information available, management has determined that an allowance for doubtful accounts on credit card sales related to its customer sales as of March 31, 2021 is not necessary. No bad debt expense was recorded during the three and nine months ended March 31, 2021 and 2020.</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As of March 31, 2021 and June 30, 2020, inventory consisted of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20" w:type="dxa"/>
            <w:vAlign w:val="bottom"/>
            <w:gridSpan w:val="3"/>
          </w:tcPr>
          <w:p>
            <w:pPr>
              <w:jc w:val="center"/>
              <w:ind w:left="295"/>
              <w:spacing w:after="0"/>
              <w:rPr>
                <w:sz w:val="20"/>
                <w:szCs w:val="20"/>
                <w:color w:val="auto"/>
              </w:rPr>
            </w:pPr>
            <w:r>
              <w:rPr>
                <w:rFonts w:ascii="Arial" w:cs="Arial" w:eastAsia="Arial" w:hAnsi="Arial"/>
                <w:sz w:val="11"/>
                <w:szCs w:val="11"/>
                <w:b w:val="1"/>
                <w:bCs w:val="1"/>
                <w:color w:val="auto"/>
                <w:w w:val="94"/>
              </w:rPr>
              <w:t>March 31,</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920" w:type="dxa"/>
            <w:vAlign w:val="bottom"/>
            <w:gridSpan w:val="3"/>
          </w:tcPr>
          <w:p>
            <w:pPr>
              <w:jc w:val="center"/>
              <w:ind w:left="315"/>
              <w:spacing w:after="0"/>
              <w:rPr>
                <w:sz w:val="20"/>
                <w:szCs w:val="20"/>
                <w:color w:val="auto"/>
              </w:rPr>
            </w:pPr>
            <w:r>
              <w:rPr>
                <w:rFonts w:ascii="Arial" w:cs="Arial" w:eastAsia="Arial" w:hAnsi="Arial"/>
                <w:sz w:val="11"/>
                <w:szCs w:val="11"/>
                <w:b w:val="1"/>
                <w:bCs w:val="1"/>
                <w:color w:val="auto"/>
                <w:w w:val="95"/>
              </w:rPr>
              <w:t>June 30,</w:t>
            </w:r>
          </w:p>
        </w:tc>
        <w:tc>
          <w:tcPr>
            <w:tcW w:w="1060" w:type="dxa"/>
            <w:vAlign w:val="bottom"/>
          </w:tcPr>
          <w:p>
            <w:pPr>
              <w:spacing w:after="0"/>
              <w:rPr>
                <w:sz w:val="10"/>
                <w:szCs w:val="10"/>
                <w:color w:val="auto"/>
              </w:rPr>
            </w:pPr>
          </w:p>
        </w:tc>
      </w:tr>
      <w:tr>
        <w:trPr>
          <w:trHeight w:val="148"/>
        </w:trPr>
        <w:tc>
          <w:tcPr>
            <w:tcW w:w="34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1"/>
                <w:szCs w:val="11"/>
                <w:b w:val="1"/>
                <w:bCs w:val="1"/>
                <w:color w:val="auto"/>
              </w:rPr>
              <w:t>2021</w:t>
            </w: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1"/>
                <w:szCs w:val="11"/>
                <w:b w:val="1"/>
                <w:bCs w:val="1"/>
                <w:color w:val="auto"/>
              </w:rPr>
              <w:t>2020</w:t>
            </w:r>
          </w:p>
        </w:tc>
        <w:tc>
          <w:tcPr>
            <w:tcW w:w="1060" w:type="dxa"/>
            <w:vAlign w:val="bottom"/>
            <w:tcBorders>
              <w:bottom w:val="single" w:sz="8" w:color="auto"/>
            </w:tcBorders>
          </w:tcPr>
          <w:p>
            <w:pPr>
              <w:spacing w:after="0"/>
              <w:rPr>
                <w:sz w:val="12"/>
                <w:szCs w:val="12"/>
                <w:color w:val="auto"/>
              </w:rPr>
            </w:pPr>
          </w:p>
        </w:tc>
      </w:tr>
      <w:tr>
        <w:trPr>
          <w:trHeight w:val="172"/>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73.5 %</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10,164</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73.2 %</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Raw materials</w:t>
            </w: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3,922</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3,724</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26.8 %</w:t>
            </w:r>
          </w:p>
        </w:tc>
      </w:tr>
      <w:tr>
        <w:trPr>
          <w:trHeight w:val="196"/>
        </w:trPr>
        <w:tc>
          <w:tcPr>
            <w:tcW w:w="3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inventory</w:t>
            </w: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14,820</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Inventories are carried at the lower of cost or net realizable value, using the first-in, first-out method, which includes a reduction in inventory values of $0.4 million and $0.2 million at March 31, 2021 and June 30, 2020,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29"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60"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1" w:name="page12"/>
    <w:bookmarkEnd w:id="11"/>
    <w:p>
      <w:pPr>
        <w:ind w:left="520" w:right="120" w:hanging="260"/>
        <w:spacing w:after="0" w:line="28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Level 3—Valuations derived from valuation techniques in which one or more significant inputs or significant value drivers are unobservable.</w:t>
      </w:r>
    </w:p>
    <w:p>
      <w:pPr>
        <w:spacing w:after="0" w:line="125"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19" w:lineRule="exact"/>
        <w:rPr>
          <w:sz w:val="20"/>
          <w:szCs w:val="20"/>
          <w:color w:val="auto"/>
        </w:rPr>
      </w:pPr>
    </w:p>
    <w:p>
      <w:pPr>
        <w:ind w:right="360" w:firstLine="318"/>
        <w:spacing w:after="0" w:line="321" w:lineRule="auto"/>
        <w:rPr>
          <w:sz w:val="20"/>
          <w:szCs w:val="20"/>
          <w:color w:val="auto"/>
        </w:rPr>
      </w:pPr>
      <w:r>
        <w:rPr>
          <w:rFonts w:ascii="Arial" w:cs="Arial" w:eastAsia="Arial" w:hAnsi="Arial"/>
          <w:sz w:val="13"/>
          <w:szCs w:val="13"/>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51" w:lineRule="exact"/>
        <w:rPr>
          <w:sz w:val="20"/>
          <w:szCs w:val="20"/>
          <w:color w:val="auto"/>
        </w:rPr>
      </w:pPr>
    </w:p>
    <w:p>
      <w:pPr>
        <w:ind w:right="40" w:firstLine="318"/>
        <w:spacing w:after="0" w:line="252" w:lineRule="auto"/>
        <w:rPr>
          <w:sz w:val="20"/>
          <w:szCs w:val="20"/>
          <w:color w:val="auto"/>
        </w:rPr>
      </w:pPr>
      <w:r>
        <w:rPr>
          <w:rFonts w:ascii="Arial" w:cs="Arial" w:eastAsia="Arial" w:hAnsi="Arial"/>
          <w:sz w:val="13"/>
          <w:szCs w:val="13"/>
          <w:color w:val="auto"/>
        </w:rPr>
        <w:t>The Company generates the majority of its revenue through product sales to customers. These products include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dietary supplements,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and Daily Wellness dietary supplements, the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Nrf2-infused skin and hair care products,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Dogs,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Smart Energy Drink mixes, and the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02" w:lineRule="exact"/>
        <w:rPr>
          <w:sz w:val="20"/>
          <w:szCs w:val="20"/>
          <w:color w:val="auto"/>
        </w:rPr>
      </w:pPr>
    </w:p>
    <w:p>
      <w:pPr>
        <w:ind w:right="60" w:firstLine="318"/>
        <w:spacing w:after="0" w:line="297" w:lineRule="auto"/>
        <w:rPr>
          <w:sz w:val="20"/>
          <w:szCs w:val="20"/>
          <w:color w:val="auto"/>
        </w:rPr>
      </w:pPr>
      <w:r>
        <w:rPr>
          <w:rFonts w:ascii="Arial" w:cs="Arial" w:eastAsia="Arial" w:hAnsi="Arial"/>
          <w:sz w:val="13"/>
          <w:szCs w:val="13"/>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60" w:lineRule="exact"/>
        <w:rPr>
          <w:sz w:val="20"/>
          <w:szCs w:val="20"/>
          <w:color w:val="auto"/>
        </w:rPr>
      </w:pPr>
    </w:p>
    <w:p>
      <w:pPr>
        <w:ind w:right="80" w:firstLine="318"/>
        <w:spacing w:after="0" w:line="260" w:lineRule="auto"/>
        <w:rPr>
          <w:sz w:val="20"/>
          <w:szCs w:val="20"/>
          <w:color w:val="auto"/>
        </w:rPr>
      </w:pPr>
      <w:r>
        <w:rPr>
          <w:rFonts w:ascii="Arial" w:cs="Arial" w:eastAsia="Arial" w:hAnsi="Arial"/>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March 31, 2021 and June 30, 2020, the returns liability reserve, net was $0.2 million and $0.3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Shipping and Handling</w:t>
      </w:r>
    </w:p>
    <w:p>
      <w:pPr>
        <w:spacing w:after="0" w:line="129" w:lineRule="exact"/>
        <w:rPr>
          <w:sz w:val="20"/>
          <w:szCs w:val="20"/>
          <w:color w:val="auto"/>
        </w:rPr>
      </w:pPr>
    </w:p>
    <w:p>
      <w:pPr>
        <w:ind w:right="420" w:firstLine="318"/>
        <w:spacing w:after="0" w:line="281" w:lineRule="auto"/>
        <w:rPr>
          <w:sz w:val="20"/>
          <w:szCs w:val="20"/>
          <w:color w:val="auto"/>
        </w:rPr>
      </w:pPr>
      <w:r>
        <w:rPr>
          <w:rFonts w:ascii="Arial" w:cs="Arial" w:eastAsia="Arial" w:hAnsi="Arial"/>
          <w:sz w:val="14"/>
          <w:szCs w:val="14"/>
          <w:color w:val="auto"/>
        </w:rPr>
        <w:t>Shipping and handling costs associated with inbound freight and freight out to customers and independent distributors are included in cost of sales. Shipping and handling fees charged to customers and independent distributors are included in revenue.</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Costs</w:t>
      </w:r>
    </w:p>
    <w:p>
      <w:pPr>
        <w:spacing w:after="0" w:line="129" w:lineRule="exact"/>
        <w:rPr>
          <w:sz w:val="20"/>
          <w:szCs w:val="20"/>
          <w:color w:val="auto"/>
        </w:rPr>
      </w:pPr>
    </w:p>
    <w:p>
      <w:pPr>
        <w:ind w:firstLine="318"/>
        <w:spacing w:after="0" w:line="321" w:lineRule="auto"/>
        <w:rPr>
          <w:sz w:val="20"/>
          <w:szCs w:val="20"/>
          <w:color w:val="auto"/>
        </w:rPr>
      </w:pPr>
      <w:r>
        <w:rPr>
          <w:rFonts w:ascii="Arial" w:cs="Arial" w:eastAsia="Arial" w:hAnsi="Arial"/>
          <w:sz w:val="13"/>
          <w:szCs w:val="13"/>
          <w:color w:val="auto"/>
        </w:rPr>
        <w:t>The Company expenses all costs related to research and development activities, as incurred. Research and development expenses for the three months ended March 31, 2021 and 2020 were $0.2 million and $0.2 million, respectively. Research and development expenses for the nine months ended March 31, 2021 and 2020 were $0.6 million and $0.8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19"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89"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2" w:name="page13"/>
    <w:bookmarkEnd w:id="12"/>
    <w:p>
      <w:pPr>
        <w:jc w:val="both"/>
        <w:ind w:right="80"/>
        <w:spacing w:after="0" w:line="262" w:lineRule="auto"/>
        <w:rPr>
          <w:sz w:val="20"/>
          <w:szCs w:val="20"/>
          <w:color w:val="auto"/>
        </w:rPr>
      </w:pPr>
      <w:r>
        <w:rPr>
          <w:rFonts w:ascii="Arial" w:cs="Arial" w:eastAsia="Arial" w:hAnsi="Arial"/>
          <w:sz w:val="14"/>
          <w:szCs w:val="14"/>
          <w:color w:val="auto"/>
        </w:rPr>
        <w:t>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82" w:lineRule="exact"/>
        <w:rPr>
          <w:sz w:val="20"/>
          <w:szCs w:val="20"/>
          <w:color w:val="auto"/>
        </w:rPr>
      </w:pPr>
    </w:p>
    <w:p>
      <w:pPr>
        <w:ind w:right="120" w:firstLine="318"/>
        <w:spacing w:after="0" w:line="267" w:lineRule="auto"/>
        <w:rPr>
          <w:sz w:val="20"/>
          <w:szCs w:val="20"/>
          <w:color w:val="auto"/>
        </w:rPr>
      </w:pPr>
      <w:r>
        <w:rPr>
          <w:rFonts w:ascii="Arial" w:cs="Arial" w:eastAsia="Arial" w:hAnsi="Arial"/>
          <w:sz w:val="14"/>
          <w:szCs w:val="14"/>
          <w:color w:val="auto"/>
        </w:rPr>
        <w:t>The pandemic caused by coronavirus (“COVID-19”) has resulted in disruptions which have forced the Company's corporate workforce to a remote working environment. As of September 1, 2020, the Company abandoned the ROU asset related to the Corporate office lease in Sandy, Utah, as this lease terminated in February 2021. A new Corporate office was opened in Lehi, Utah in January 2021.</w:t>
      </w:r>
    </w:p>
    <w:p>
      <w:pPr>
        <w:spacing w:after="0" w:line="89"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As a result of the abandonment of the Sandy, Utah office, operating lease expenses related to the ROU asset, along with the remaining leasehold assets in the office, have been reduced to their salvage values, which the Company has determined to be zero. The total expense related to the abandonment of the ROU asset for the nine months ended March 31, 2021 is $0.8 million and is included in selling, general, and administrative expenses. There is no remaining lease liability for the Sandy, Utah office at March 31, 2021.</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19" w:lineRule="exact"/>
        <w:rPr>
          <w:sz w:val="20"/>
          <w:szCs w:val="20"/>
          <w:color w:val="auto"/>
        </w:rPr>
      </w:pPr>
    </w:p>
    <w:p>
      <w:pPr>
        <w:jc w:val="both"/>
        <w:ind w:right="80" w:firstLine="318"/>
        <w:spacing w:after="0" w:line="262" w:lineRule="auto"/>
        <w:rPr>
          <w:sz w:val="20"/>
          <w:szCs w:val="20"/>
          <w:color w:val="auto"/>
        </w:rPr>
      </w:pPr>
      <w:r>
        <w:rPr>
          <w:rFonts w:ascii="Arial" w:cs="Arial" w:eastAsia="Arial" w:hAnsi="Arial"/>
          <w:sz w:val="14"/>
          <w:szCs w:val="14"/>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9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93"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81" w:lineRule="exact"/>
        <w:rPr>
          <w:sz w:val="20"/>
          <w:szCs w:val="20"/>
          <w:color w:val="auto"/>
        </w:rPr>
      </w:pPr>
    </w:p>
    <w:p>
      <w:pPr>
        <w:jc w:val="both"/>
        <w:ind w:right="40" w:firstLine="318"/>
        <w:spacing w:after="0" w:line="368" w:lineRule="auto"/>
        <w:rPr>
          <w:sz w:val="20"/>
          <w:szCs w:val="20"/>
          <w:color w:val="auto"/>
        </w:rPr>
      </w:pPr>
      <w:r>
        <w:rPr>
          <w:rFonts w:ascii="Arial" w:cs="Arial" w:eastAsia="Arial" w:hAnsi="Arial"/>
          <w:sz w:val="12"/>
          <w:szCs w:val="12"/>
          <w:color w:val="auto"/>
        </w:rPr>
        <w:t>For the nine months ended March 31, 2021 and 2020, the Company recognized income tax expense of $2.8 million and $0.8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850" w:right="41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Income Per Share</w:t>
      </w:r>
    </w:p>
    <w:p>
      <w:pPr>
        <w:spacing w:after="0" w:line="119" w:lineRule="exact"/>
        <w:rPr>
          <w:sz w:val="20"/>
          <w:szCs w:val="20"/>
          <w:color w:val="auto"/>
        </w:rPr>
      </w:pPr>
    </w:p>
    <w:p>
      <w:pPr>
        <w:ind w:right="180" w:firstLine="318"/>
        <w:spacing w:after="0" w:line="267" w:lineRule="auto"/>
        <w:rPr>
          <w:sz w:val="20"/>
          <w:szCs w:val="20"/>
          <w:color w:val="auto"/>
        </w:rPr>
      </w:pPr>
      <w:r>
        <w:rPr>
          <w:rFonts w:ascii="Arial" w:cs="Arial" w:eastAsia="Arial" w:hAnsi="Arial"/>
          <w:sz w:val="14"/>
          <w:szCs w:val="14"/>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89" w:lineRule="exact"/>
        <w:rPr>
          <w:sz w:val="20"/>
          <w:szCs w:val="20"/>
          <w:color w:val="auto"/>
        </w:rPr>
      </w:pPr>
    </w:p>
    <w:p>
      <w:pPr>
        <w:ind w:right="200" w:firstLine="318"/>
        <w:spacing w:after="0" w:line="297" w:lineRule="auto"/>
        <w:rPr>
          <w:sz w:val="20"/>
          <w:szCs w:val="20"/>
          <w:color w:val="auto"/>
        </w:rPr>
      </w:pPr>
      <w:r>
        <w:rPr>
          <w:rFonts w:ascii="Arial" w:cs="Arial" w:eastAsia="Arial" w:hAnsi="Arial"/>
          <w:sz w:val="13"/>
          <w:szCs w:val="13"/>
          <w:color w:val="auto"/>
        </w:rPr>
        <w:t>For the three months ended March 31, 2021 and 2020, the effects of approximately 50,000 and 9,000 common shares, respectively, issuable upon exercise of options and non-vested shares of restricted stock are not included in computations as their effect was anti-dilutive. For the nine months ended March 31, 2021 and 2020, the effects of approximately 0.1 million and 0.1 million common shares, respectively, issuable upon exercise of options and non-vested shares of restricted stock are not included in computations as their effect was anti-dilutive.</w:t>
      </w:r>
    </w:p>
    <w:p>
      <w:pPr>
        <w:spacing w:after="0" w:line="71"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1"/>
                <w:szCs w:val="11"/>
                <w:b w:val="1"/>
                <w:bCs w:val="1"/>
                <w:color w:val="auto"/>
              </w:rPr>
              <w:t>Three Months Ended March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1"/>
                <w:szCs w:val="11"/>
                <w:b w:val="1"/>
                <w:bCs w:val="1"/>
                <w:color w:val="auto"/>
              </w:rPr>
              <w:t>Nine Months Ended March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920" w:type="dxa"/>
            <w:vAlign w:val="bottom"/>
          </w:tcPr>
          <w:p>
            <w:pPr>
              <w:jc w:val="right"/>
              <w:ind w:right="755"/>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5"/>
                <w:szCs w:val="15"/>
                <w:color w:val="auto"/>
              </w:rPr>
            </w:pPr>
          </w:p>
        </w:tc>
        <w:tc>
          <w:tcPr>
            <w:tcW w:w="900" w:type="dxa"/>
            <w:vAlign w:val="bottom"/>
          </w:tcPr>
          <w:p>
            <w:pPr>
              <w:jc w:val="right"/>
              <w:ind w:right="753"/>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7,987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7,725</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280"/>
              <w:spacing w:after="0"/>
              <w:rPr>
                <w:sz w:val="20"/>
                <w:szCs w:val="20"/>
                <w:color w:val="auto"/>
              </w:rPr>
            </w:pPr>
            <w:r>
              <w:rPr>
                <w:rFonts w:ascii="Arial" w:cs="Arial" w:eastAsia="Arial" w:hAnsi="Arial"/>
                <w:sz w:val="14"/>
                <w:szCs w:val="14"/>
                <w:color w:val="auto"/>
              </w:rPr>
              <w:t>Basic weighted-average common shares outstanding</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14,071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14,252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14,175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14,054</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Stock awards and options</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weighted-average common shares outstanding</w:t>
            </w:r>
          </w:p>
        </w:tc>
        <w:tc>
          <w:tcPr>
            <w:tcW w:w="9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14,689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14,420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Net income per share, basic</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vMerge w:val="continue"/>
          </w:tcPr>
          <w:p>
            <w:pPr>
              <w:spacing w:after="0"/>
              <w:rPr>
                <w:sz w:val="12"/>
                <w:szCs w:val="12"/>
                <w:color w:val="auto"/>
              </w:rPr>
            </w:pPr>
          </w:p>
        </w:tc>
        <w:tc>
          <w:tcPr>
            <w:tcW w:w="920" w:type="dxa"/>
            <w:vAlign w:val="bottom"/>
            <w:tcBorders>
              <w:bottom w:val="single" w:sz="8" w:color="auto"/>
            </w:tcBorders>
          </w:tcPr>
          <w:p>
            <w:pPr>
              <w:jc w:val="right"/>
              <w:ind w:right="755"/>
              <w:spacing w:after="0" w:line="143"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53"/>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0.12</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0.56</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per share, diluted</w:t>
            </w:r>
          </w:p>
        </w:tc>
        <w:tc>
          <w:tcPr>
            <w:tcW w:w="92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29"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Company's revenue disaggregated by these two geographic regions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tcPr>
          <w:p>
            <w:pPr>
              <w:jc w:val="right"/>
              <w:ind w:right="629"/>
              <w:spacing w:after="0"/>
              <w:rPr>
                <w:sz w:val="20"/>
                <w:szCs w:val="20"/>
                <w:color w:val="auto"/>
              </w:rPr>
            </w:pPr>
            <w:r>
              <w:rPr>
                <w:rFonts w:ascii="Arial" w:cs="Arial" w:eastAsia="Arial" w:hAnsi="Arial"/>
                <w:sz w:val="11"/>
                <w:szCs w:val="11"/>
                <w:b w:val="1"/>
                <w:bCs w:val="1"/>
                <w:color w:val="auto"/>
              </w:rPr>
              <w:t>Three Months Ended March 31,</w:t>
            </w: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1"/>
                <w:szCs w:val="11"/>
                <w:b w:val="1"/>
                <w:bCs w:val="1"/>
                <w:color w:val="auto"/>
              </w:rPr>
              <w:t>Nine Months Ended March 31,</w:t>
            </w:r>
          </w:p>
        </w:tc>
      </w:tr>
      <w:tr>
        <w:trPr>
          <w:trHeight w:val="142"/>
        </w:trPr>
        <w:tc>
          <w:tcPr>
            <w:tcW w:w="2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Americas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40,181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116,979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124,646</w:t>
            </w:r>
          </w:p>
        </w:tc>
      </w:tr>
      <w:tr>
        <w:trPr>
          <w:trHeight w:val="180"/>
        </w:trPr>
        <w:tc>
          <w:tcPr>
            <w:tcW w:w="20" w:type="dxa"/>
            <w:vAlign w:val="bottom"/>
            <w:tcBorders>
              <w:bottom w:val="single" w:sz="8" w:color="CCEEFF"/>
            </w:tcBorders>
          </w:tcPr>
          <w:p>
            <w:pPr>
              <w:spacing w:after="0"/>
              <w:rPr>
                <w:sz w:val="15"/>
                <w:szCs w:val="15"/>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Asia/Pacific &amp; Europe</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15,149</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15,896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48,426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48,901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56,077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165,405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173,547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8840" w:type="dxa"/>
            <w:vAlign w:val="bottom"/>
            <w:gridSpan w:val="9"/>
          </w:tcPr>
          <w:p>
            <w:pPr>
              <w:ind w:left="300"/>
              <w:spacing w:after="0"/>
              <w:rPr>
                <w:sz w:val="20"/>
                <w:szCs w:val="20"/>
                <w:color w:val="auto"/>
              </w:rPr>
            </w:pPr>
            <w:r>
              <w:rPr>
                <w:rFonts w:ascii="Arial" w:cs="Arial" w:eastAsia="Arial" w:hAnsi="Arial"/>
                <w:sz w:val="14"/>
                <w:szCs w:val="14"/>
                <w:color w:val="auto"/>
                <w:w w:val="95"/>
              </w:rPr>
              <w:t>Additional information as to the Company’s revenue from operations in the most significant geographical areas is set forth below (in thousands):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2"/>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5"/>
          </w:tcPr>
          <w:p>
            <w:pPr>
              <w:jc w:val="right"/>
              <w:ind w:right="629"/>
              <w:spacing w:after="0"/>
              <w:rPr>
                <w:sz w:val="20"/>
                <w:szCs w:val="20"/>
                <w:color w:val="auto"/>
              </w:rPr>
            </w:pPr>
            <w:r>
              <w:rPr>
                <w:rFonts w:ascii="Arial" w:cs="Arial" w:eastAsia="Arial" w:hAnsi="Arial"/>
                <w:sz w:val="11"/>
                <w:szCs w:val="11"/>
                <w:b w:val="1"/>
                <w:bCs w:val="1"/>
                <w:color w:val="auto"/>
              </w:rPr>
              <w:t>Three Months Ended March 31,</w:t>
            </w:r>
          </w:p>
        </w:tc>
        <w:tc>
          <w:tcPr>
            <w:tcW w:w="10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1"/>
                <w:szCs w:val="11"/>
                <w:b w:val="1"/>
                <w:bCs w:val="1"/>
                <w:color w:val="auto"/>
              </w:rPr>
              <w:t>Nine Months Ended March 31,</w:t>
            </w:r>
          </w:p>
        </w:tc>
      </w:tr>
      <w:tr>
        <w:trPr>
          <w:trHeight w:val="142"/>
        </w:trPr>
        <w:tc>
          <w:tcPr>
            <w:tcW w:w="2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shd w:val="clear" w:color="auto" w:fill="CCEEFF"/>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37,720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109,593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116,421</w:t>
            </w: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Japan</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9,622</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9,986</w:t>
            </w:r>
          </w:p>
        </w:tc>
        <w:tc>
          <w:tcPr>
            <w:tcW w:w="640" w:type="dxa"/>
            <w:vAlign w:val="bottom"/>
            <w:gridSpan w:val="2"/>
          </w:tcPr>
          <w:p>
            <w:pPr>
              <w:jc w:val="right"/>
              <w:ind w:right="389"/>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31,172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31,541</w:t>
            </w:r>
          </w:p>
        </w:tc>
      </w:tr>
      <w:tr>
        <w:trPr>
          <w:trHeight w:val="286"/>
        </w:trPr>
        <w:tc>
          <w:tcPr>
            <w:tcW w:w="20" w:type="dxa"/>
            <w:vAlign w:val="bottom"/>
          </w:tcPr>
          <w:p>
            <w:pPr>
              <w:spacing w:after="0"/>
              <w:rPr>
                <w:sz w:val="24"/>
                <w:szCs w:val="24"/>
                <w:color w:val="auto"/>
              </w:rPr>
            </w:pPr>
          </w:p>
        </w:tc>
        <w:tc>
          <w:tcPr>
            <w:tcW w:w="7260" w:type="dxa"/>
            <w:vAlign w:val="bottom"/>
            <w:gridSpan w:val="5"/>
          </w:tcPr>
          <w:p>
            <w:pPr>
              <w:ind w:left="340"/>
              <w:spacing w:after="0"/>
              <w:rPr>
                <w:sz w:val="20"/>
                <w:szCs w:val="20"/>
                <w:color w:val="auto"/>
              </w:rPr>
            </w:pPr>
            <w:r>
              <w:rPr>
                <w:rFonts w:ascii="Arial" w:cs="Arial" w:eastAsia="Arial" w:hAnsi="Arial"/>
                <w:sz w:val="14"/>
                <w:szCs w:val="14"/>
                <w:color w:val="auto"/>
                <w:w w:val="93"/>
              </w:rPr>
              <w:t>The following table presents the Company's long-lived assets for its most significant geographic markets (in thousands):</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March 31,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614"/>
              <w:spacing w:after="0"/>
              <w:rPr>
                <w:sz w:val="20"/>
                <w:szCs w:val="20"/>
                <w:color w:val="auto"/>
              </w:rPr>
            </w:pPr>
            <w:r>
              <w:rPr>
                <w:rFonts w:ascii="Arial" w:cs="Arial" w:eastAsia="Arial" w:hAnsi="Arial"/>
                <w:sz w:val="11"/>
                <w:szCs w:val="11"/>
                <w:b w:val="1"/>
                <w:bCs w:val="1"/>
                <w:color w:val="auto"/>
              </w:rPr>
              <w:t>June 30,</w:t>
            </w:r>
          </w:p>
        </w:tc>
      </w:tr>
      <w:tr>
        <w:trPr>
          <w:trHeight w:val="148"/>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714"/>
              <w:spacing w:after="0"/>
              <w:rPr>
                <w:sz w:val="20"/>
                <w:szCs w:val="20"/>
                <w:color w:val="auto"/>
              </w:rPr>
            </w:pPr>
            <w:r>
              <w:rPr>
                <w:rFonts w:ascii="Arial" w:cs="Arial" w:eastAsia="Arial" w:hAnsi="Arial"/>
                <w:sz w:val="11"/>
                <w:szCs w:val="11"/>
                <w:b w:val="1"/>
                <w:bCs w:val="1"/>
                <w:color w:val="auto"/>
              </w:rPr>
              <w:t>2020</w:t>
            </w:r>
          </w:p>
        </w:tc>
      </w:tr>
      <w:tr>
        <w:trPr>
          <w:trHeight w:val="172"/>
        </w:trPr>
        <w:tc>
          <w:tcPr>
            <w:tcW w:w="20" w:type="dxa"/>
            <w:vAlign w:val="bottom"/>
          </w:tcPr>
          <w:p>
            <w:pPr>
              <w:spacing w:after="0"/>
              <w:rPr>
                <w:sz w:val="14"/>
                <w:szCs w:val="14"/>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10,126</w:t>
            </w:r>
          </w:p>
        </w:tc>
      </w:tr>
      <w:tr>
        <w:trPr>
          <w:trHeight w:val="180"/>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Japan</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jc w:val="right"/>
              <w:ind w:right="40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3,597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71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15"/>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Effect of New Accounting Pronouncement</w:t>
      </w:r>
    </w:p>
    <w:p>
      <w:pPr>
        <w:spacing w:after="0" w:line="129" w:lineRule="exact"/>
        <w:rPr>
          <w:sz w:val="20"/>
          <w:szCs w:val="20"/>
          <w:color w:val="auto"/>
        </w:rPr>
      </w:pPr>
    </w:p>
    <w:p>
      <w:pPr>
        <w:ind w:firstLine="318"/>
        <w:spacing w:after="0" w:line="282" w:lineRule="auto"/>
        <w:rPr>
          <w:sz w:val="20"/>
          <w:szCs w:val="20"/>
          <w:color w:val="auto"/>
        </w:rPr>
      </w:pPr>
      <w:r>
        <w:rPr>
          <w:rFonts w:ascii="Arial" w:cs="Arial" w:eastAsia="Arial" w:hAnsi="Arial"/>
          <w:sz w:val="13"/>
          <w:szCs w:val="13"/>
          <w:color w:val="auto"/>
        </w:rPr>
        <w:t xml:space="preserve">In February 2016, the Financial Accounting Standards Board (“FASB”) issued Accounting Standards Update (“ASU”) 2016-02, </w:t>
      </w:r>
      <w:r>
        <w:rPr>
          <w:rFonts w:ascii="Arial" w:cs="Arial" w:eastAsia="Arial" w:hAnsi="Arial"/>
          <w:sz w:val="13"/>
          <w:szCs w:val="13"/>
          <w:i w:val="1"/>
          <w:iCs w:val="1"/>
          <w:color w:val="auto"/>
        </w:rPr>
        <w:t>Leases (Topic 842)</w:t>
      </w:r>
      <w:r>
        <w:rPr>
          <w:rFonts w:ascii="Arial" w:cs="Arial" w:eastAsia="Arial" w:hAnsi="Arial"/>
          <w:sz w:val="13"/>
          <w:szCs w:val="13"/>
          <w:color w:val="auto"/>
        </w:rPr>
        <w:t>, which requires all lessees to recognize both a right-of-use asset and lease liability on its consolidated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a one-time beginning balance adjustment of $0.5 million was recognized in the condensed consolidated statement of stockholders’ equity due to an update to the expected term of an operating lease which is presented as an adjustment to the July 1, 2019 accumulated deficit.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Gig Economy Group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Note Receivable</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entered into a convertible promissory note agreement with Gig Economy Group, Inc. ("GEG") pursuant to which the Company agreed to loan to GEG up to an aggregate of</w:t>
      </w:r>
    </w:p>
    <w:p>
      <w:pPr>
        <w:spacing w:after="0" w:line="3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$2.2 million in aggregate consideration).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Securities under ASC 321</w:t>
      </w:r>
    </w:p>
    <w:p>
      <w:pPr>
        <w:spacing w:after="0" w:line="115" w:lineRule="exact"/>
        <w:rPr>
          <w:sz w:val="20"/>
          <w:szCs w:val="20"/>
          <w:color w:val="auto"/>
        </w:rPr>
      </w:pPr>
    </w:p>
    <w:p>
      <w:pPr>
        <w:ind w:right="60" w:firstLine="318"/>
        <w:spacing w:after="0" w:line="257" w:lineRule="auto"/>
        <w:rPr>
          <w:sz w:val="20"/>
          <w:szCs w:val="20"/>
          <w:color w:val="auto"/>
        </w:rPr>
      </w:pPr>
      <w:r>
        <w:rPr>
          <w:rFonts w:ascii="Arial" w:cs="Arial" w:eastAsia="Arial" w:hAnsi="Arial"/>
          <w:sz w:val="14"/>
          <w:szCs w:val="14"/>
          <w:color w:val="auto"/>
        </w:rPr>
        <w:t xml:space="preserve">Upon conversion of the convertible promissory note receivable with GEG, the Company held a minority interest (less than 20%) in GEG, accounted for under ASC 321, </w:t>
      </w:r>
      <w:r>
        <w:rPr>
          <w:rFonts w:ascii="Arial" w:cs="Arial" w:eastAsia="Arial" w:hAnsi="Arial"/>
          <w:sz w:val="14"/>
          <w:szCs w:val="14"/>
          <w:i w:val="1"/>
          <w:iCs w:val="1"/>
          <w:color w:val="auto"/>
        </w:rPr>
        <w:t>Investments - Equity</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Securities </w:t>
      </w:r>
      <w:r>
        <w:rPr>
          <w:rFonts w:ascii="Arial" w:cs="Arial" w:eastAsia="Arial" w:hAnsi="Arial"/>
          <w:sz w:val="14"/>
          <w:szCs w:val="14"/>
          <w:color w:val="auto"/>
        </w:rPr>
        <w:t>("ASC 321"), which is included in equity securities in the condensed consolidated balance sheets. Dividends received are reported in earnings if and when received. The Company reviews</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96" w:lineRule="exact"/>
        <w:rPr>
          <w:sz w:val="20"/>
          <w:szCs w:val="20"/>
          <w:color w:val="auto"/>
        </w:rPr>
      </w:pPr>
    </w:p>
    <w:p>
      <w:pPr>
        <w:ind w:right="260" w:firstLine="318"/>
        <w:spacing w:after="0" w:line="297" w:lineRule="auto"/>
        <w:rPr>
          <w:sz w:val="20"/>
          <w:szCs w:val="20"/>
          <w:color w:val="auto"/>
        </w:rPr>
      </w:pPr>
      <w:r>
        <w:rPr>
          <w:rFonts w:ascii="Arial" w:cs="Arial" w:eastAsia="Arial" w:hAnsi="Arial"/>
          <w:sz w:val="13"/>
          <w:szCs w:val="13"/>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March 31, 2021. During the three and nine months ended March 31, 2021, there were no price changes or impairments recognized.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Leases</w:t>
      </w:r>
    </w:p>
    <w:p>
      <w:pPr>
        <w:spacing w:after="0" w:line="119"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The Company has operating leases for current corporate offices and certain equipment. These leases have remaining terms of approximately one to eleven years. As of March 31, 2021, the weighted average remaining lease term and weighted average discount rate for operating leases was 9.09 years and 3.35%, respectively.</w:t>
      </w:r>
    </w:p>
    <w:p>
      <w:pPr>
        <w:spacing w:after="0" w:line="79" w:lineRule="exact"/>
        <w:rPr>
          <w:sz w:val="20"/>
          <w:szCs w:val="20"/>
          <w:color w:val="auto"/>
        </w:rPr>
      </w:pPr>
    </w:p>
    <w:p>
      <w:pPr>
        <w:ind w:right="120" w:firstLine="318"/>
        <w:spacing w:after="0" w:line="281" w:lineRule="auto"/>
        <w:rPr>
          <w:sz w:val="20"/>
          <w:szCs w:val="20"/>
          <w:color w:val="auto"/>
        </w:rPr>
      </w:pPr>
      <w:r>
        <w:rPr>
          <w:rFonts w:ascii="Arial" w:cs="Arial" w:eastAsia="Arial" w:hAnsi="Arial"/>
          <w:sz w:val="14"/>
          <w:szCs w:val="14"/>
          <w:color w:val="auto"/>
        </w:rPr>
        <w:t>For the three months ended March 31, 2021 and 2020, operating lease expense was $0.8 million and $0.7 million, respectively. For the nine months ended March 31, 2021 and 2020, operating lease expense was $2.8 million and $2.0 million, respectively.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Supplemental cash flow information related to operating leases was as follows (in thousands):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1"/>
        </w:trPr>
        <w:tc>
          <w:tcPr>
            <w:tcW w:w="5260" w:type="dxa"/>
            <w:vAlign w:val="bottom"/>
            <w:tcBorders>
              <w:bottom w:val="single" w:sz="8" w:color="CCEEFF"/>
            </w:tcBorders>
          </w:tcPr>
          <w:p>
            <w:pPr>
              <w:spacing w:after="0"/>
              <w:rPr>
                <w:sz w:val="13"/>
                <w:szCs w:val="13"/>
                <w:color w:val="auto"/>
              </w:rPr>
            </w:pPr>
          </w:p>
        </w:tc>
        <w:tc>
          <w:tcPr>
            <w:tcW w:w="254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March 31,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jc w:val="right"/>
              <w:ind w:right="671"/>
              <w:spacing w:after="0"/>
              <w:rPr>
                <w:sz w:val="20"/>
                <w:szCs w:val="20"/>
                <w:color w:val="auto"/>
              </w:rPr>
            </w:pPr>
            <w:r>
              <w:rPr>
                <w:rFonts w:ascii="Arial" w:cs="Arial" w:eastAsia="Arial" w:hAnsi="Arial"/>
                <w:sz w:val="11"/>
                <w:szCs w:val="11"/>
                <w:b w:val="1"/>
                <w:bCs w:val="1"/>
                <w:color w:val="auto"/>
              </w:rPr>
              <w:t>Nine Months Ended March 31,</w:t>
            </w:r>
          </w:p>
        </w:tc>
      </w:tr>
      <w:tr>
        <w:trPr>
          <w:trHeight w:val="143"/>
        </w:trPr>
        <w:tc>
          <w:tcPr>
            <w:tcW w:w="526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1"/>
                <w:szCs w:val="11"/>
                <w:b w:val="1"/>
                <w:bCs w:val="1"/>
                <w:color w:val="auto"/>
              </w:rPr>
              <w:t>2021</w:t>
            </w:r>
          </w:p>
        </w:tc>
        <w:tc>
          <w:tcPr>
            <w:tcW w:w="4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1"/>
                <w:szCs w:val="11"/>
                <w:b w:val="1"/>
                <w:bCs w:val="1"/>
                <w:color w:val="auto"/>
              </w:rPr>
              <w:t>2020</w:t>
            </w:r>
          </w:p>
        </w:tc>
        <w:tc>
          <w:tcPr>
            <w:tcW w:w="4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1"/>
                <w:szCs w:val="11"/>
                <w:b w:val="1"/>
                <w:bCs w:val="1"/>
                <w:color w:val="auto"/>
              </w:rPr>
              <w:t>2020</w:t>
            </w:r>
          </w:p>
        </w:tc>
      </w:tr>
      <w:tr>
        <w:trPr>
          <w:trHeight w:val="171"/>
        </w:trPr>
        <w:tc>
          <w:tcPr>
            <w:tcW w:w="5260" w:type="dxa"/>
            <w:vAlign w:val="bottom"/>
          </w:tcPr>
          <w:p>
            <w:pPr>
              <w:ind w:left="20"/>
              <w:spacing w:after="0"/>
              <w:rPr>
                <w:sz w:val="20"/>
                <w:szCs w:val="20"/>
                <w:color w:val="auto"/>
              </w:rPr>
            </w:pPr>
            <w:r>
              <w:rPr>
                <w:rFonts w:ascii="Arial" w:cs="Arial" w:eastAsia="Arial" w:hAnsi="Arial"/>
                <w:sz w:val="14"/>
                <w:szCs w:val="14"/>
                <w:color w:val="auto"/>
              </w:rPr>
              <w:t>Operating cash outflows from operating leases</w:t>
            </w:r>
          </w:p>
        </w:tc>
        <w:tc>
          <w:tcPr>
            <w:tcW w:w="1000" w:type="dxa"/>
            <w:vAlign w:val="bottom"/>
          </w:tcPr>
          <w:p>
            <w:pPr>
              <w:jc w:val="right"/>
              <w:ind w:right="836"/>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4"/>
                <w:szCs w:val="14"/>
                <w:color w:val="auto"/>
              </w:rPr>
            </w:pPr>
          </w:p>
        </w:tc>
        <w:tc>
          <w:tcPr>
            <w:tcW w:w="1000" w:type="dxa"/>
            <w:vAlign w:val="bottom"/>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4"/>
                <w:szCs w:val="14"/>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2,037</w:t>
            </w:r>
          </w:p>
        </w:tc>
        <w:tc>
          <w:tcPr>
            <w:tcW w:w="100" w:type="dxa"/>
            <w:vAlign w:val="bottom"/>
          </w:tcPr>
          <w:p>
            <w:pPr>
              <w:spacing w:after="0"/>
              <w:rPr>
                <w:sz w:val="14"/>
                <w:szCs w:val="14"/>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2,156</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54"/>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15,013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5260" w:type="dxa"/>
            <w:vAlign w:val="bottom"/>
          </w:tcPr>
          <w:p>
            <w:pPr>
              <w:ind w:left="320"/>
              <w:spacing w:after="0"/>
              <w:rPr>
                <w:sz w:val="20"/>
                <w:szCs w:val="20"/>
                <w:color w:val="auto"/>
              </w:rPr>
            </w:pPr>
            <w:r>
              <w:rPr>
                <w:rFonts w:ascii="Arial" w:cs="Arial" w:eastAsia="Arial" w:hAnsi="Arial"/>
                <w:sz w:val="14"/>
                <w:szCs w:val="14"/>
                <w:color w:val="auto"/>
              </w:rPr>
              <w:t>Maturity of lease liabilities at March 31, 2021 are as follows (in thousands):</w:t>
            </w:r>
          </w:p>
        </w:tc>
        <w:tc>
          <w:tcPr>
            <w:tcW w:w="10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 ended June 30,</w:t>
            </w: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Amount</w:t>
            </w:r>
          </w:p>
        </w:tc>
      </w:tr>
      <w:tr>
        <w:trPr>
          <w:trHeight w:val="175"/>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(remaining three months ending June 30, 2021)</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2022</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2,454</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3,068</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2024</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1,785</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0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11,456</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20,865</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10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(3,031)</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10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Long-Term Debt</w:t>
      </w:r>
    </w:p>
    <w:p>
      <w:pPr>
        <w:spacing w:after="0" w:line="129" w:lineRule="exact"/>
        <w:rPr>
          <w:sz w:val="20"/>
          <w:szCs w:val="20"/>
          <w:color w:val="auto"/>
        </w:rPr>
      </w:pPr>
    </w:p>
    <w:p>
      <w:pPr>
        <w:ind w:right="140" w:firstLine="318"/>
        <w:spacing w:after="0" w:line="262" w:lineRule="auto"/>
        <w:rPr>
          <w:sz w:val="20"/>
          <w:szCs w:val="20"/>
          <w:color w:val="auto"/>
        </w:rPr>
      </w:pPr>
      <w:r>
        <w:rPr>
          <w:rFonts w:ascii="Arial" w:cs="Arial" w:eastAsia="Arial" w:hAnsi="Arial"/>
          <w:sz w:val="14"/>
          <w:szCs w:val="14"/>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93"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69" w:lineRule="exact"/>
        <w:rPr>
          <w:sz w:val="20"/>
          <w:szCs w:val="20"/>
          <w:color w:val="auto"/>
        </w:rPr>
      </w:pPr>
    </w:p>
    <w:p>
      <w:pPr>
        <w:ind w:right="20" w:firstLine="318"/>
        <w:spacing w:after="0" w:line="284" w:lineRule="auto"/>
        <w:rPr>
          <w:sz w:val="20"/>
          <w:szCs w:val="20"/>
          <w:color w:val="auto"/>
        </w:rPr>
      </w:pPr>
      <w:r>
        <w:rPr>
          <w:rFonts w:ascii="Arial" w:cs="Arial" w:eastAsia="Arial" w:hAnsi="Arial"/>
          <w:sz w:val="13"/>
          <w:szCs w:val="13"/>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81" w:lineRule="exact"/>
        <w:rPr>
          <w:sz w:val="20"/>
          <w:szCs w:val="20"/>
          <w:color w:val="auto"/>
        </w:rPr>
      </w:pPr>
    </w:p>
    <w:p>
      <w:pPr>
        <w:ind w:right="140" w:firstLine="318"/>
        <w:spacing w:after="0" w:line="331" w:lineRule="auto"/>
        <w:rPr>
          <w:sz w:val="20"/>
          <w:szCs w:val="20"/>
          <w:color w:val="auto"/>
        </w:rPr>
      </w:pPr>
      <w:r>
        <w:rPr>
          <w:rFonts w:ascii="Arial" w:cs="Arial" w:eastAsia="Arial" w:hAnsi="Arial"/>
          <w:sz w:val="12"/>
          <w:szCs w:val="12"/>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55" w:lineRule="exact"/>
        <w:rPr>
          <w:sz w:val="20"/>
          <w:szCs w:val="20"/>
          <w:color w:val="auto"/>
        </w:rPr>
      </w:pPr>
    </w:p>
    <w:p>
      <w:pPr>
        <w:ind w:right="260" w:firstLine="318"/>
        <w:spacing w:after="0" w:line="262" w:lineRule="auto"/>
        <w:rPr>
          <w:sz w:val="20"/>
          <w:szCs w:val="20"/>
          <w:color w:val="auto"/>
        </w:rPr>
      </w:pPr>
      <w:r>
        <w:rPr>
          <w:rFonts w:ascii="Arial" w:cs="Arial" w:eastAsia="Arial" w:hAnsi="Arial"/>
          <w:sz w:val="14"/>
          <w:szCs w:val="14"/>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On April 1, 2021, the Company entered into a loan modification agreement ("Amendment No. 3"), which amended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5" w:right="319" w:bottom="1440" w:gutter="0" w:footer="0" w:header="0"/>
        </w:sectPr>
      </w:pPr>
    </w:p>
    <w:bookmarkStart w:id="16" w:name="page17"/>
    <w:bookmarkEnd w:id="16"/>
    <w:p>
      <w:pPr>
        <w:ind w:right="180"/>
        <w:spacing w:after="0" w:line="319" w:lineRule="auto"/>
        <w:rPr>
          <w:sz w:val="20"/>
          <w:szCs w:val="20"/>
          <w:color w:val="auto"/>
        </w:rPr>
      </w:pPr>
      <w:r>
        <w:rPr>
          <w:rFonts w:ascii="Arial" w:cs="Arial" w:eastAsia="Arial" w:hAnsi="Arial"/>
          <w:sz w:val="12"/>
          <w:szCs w:val="12"/>
          <w:color w:val="auto"/>
        </w:rPr>
        <w:t>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51"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March 31, 2021, the Company was in compliance with all applicable covenants under the 2016 Credit Facility, as amended.</w:t>
      </w:r>
    </w:p>
    <w:p>
      <w:pPr>
        <w:spacing w:after="0" w:line="84"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Stockholders’ Equity</w:t>
      </w:r>
    </w:p>
    <w:p>
      <w:pPr>
        <w:spacing w:after="0" w:line="119" w:lineRule="exact"/>
        <w:rPr>
          <w:sz w:val="20"/>
          <w:szCs w:val="20"/>
          <w:color w:val="auto"/>
        </w:rPr>
      </w:pPr>
    </w:p>
    <w:p>
      <w:pPr>
        <w:ind w:right="180" w:firstLine="318"/>
        <w:spacing w:after="0" w:line="368" w:lineRule="auto"/>
        <w:rPr>
          <w:sz w:val="20"/>
          <w:szCs w:val="20"/>
          <w:color w:val="auto"/>
        </w:rPr>
      </w:pPr>
      <w:r>
        <w:rPr>
          <w:rFonts w:ascii="Arial" w:cs="Arial" w:eastAsia="Arial" w:hAnsi="Arial"/>
          <w:sz w:val="12"/>
          <w:szCs w:val="12"/>
          <w:color w:val="auto"/>
        </w:rPr>
        <w:t>During the three and nine months ended March 31, 2021, the Company issued 500 shares and 0.2 million shares, respectively, of common stock upon the exercise of options. During the three and nine months ended March 31, 2021, approximately 14,000 and 0.1 million shares, respectively, of restricted stock were canceled or surrendered as payment of tax withholding upon vesting.</w:t>
      </w:r>
    </w:p>
    <w:p>
      <w:pPr>
        <w:spacing w:after="0" w:line="33" w:lineRule="exact"/>
        <w:rPr>
          <w:sz w:val="20"/>
          <w:szCs w:val="20"/>
          <w:color w:val="auto"/>
        </w:rPr>
      </w:pPr>
    </w:p>
    <w:p>
      <w:pPr>
        <w:ind w:firstLine="318"/>
        <w:spacing w:after="0" w:line="256" w:lineRule="auto"/>
        <w:rPr>
          <w:sz w:val="20"/>
          <w:szCs w:val="20"/>
          <w:color w:val="auto"/>
        </w:rPr>
      </w:pPr>
      <w:r>
        <w:rPr>
          <w:rFonts w:ascii="Arial" w:cs="Arial" w:eastAsia="Arial" w:hAnsi="Arial"/>
          <w:sz w:val="14"/>
          <w:szCs w:val="14"/>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and, on August 27, 2020, the Board of Directors approved an amendment to the share repurchase program to increase the authorized share repurchase amount from $15 million to $35 million and to extend the duration of the program through November 30, 2023. During the nine months ended March 31, 2021, the Company purchased 0.7 million shares of common stock at an aggregate price of $8.0 million under this repurchase program. At March 31, 2021, there is $15.4 million remaining under this repurchase program.</w:t>
      </w:r>
    </w:p>
    <w:p>
      <w:pPr>
        <w:spacing w:after="0" w:line="99" w:lineRule="exact"/>
        <w:rPr>
          <w:sz w:val="20"/>
          <w:szCs w:val="20"/>
          <w:color w:val="auto"/>
        </w:rPr>
      </w:pPr>
    </w:p>
    <w:p>
      <w:pPr>
        <w:ind w:right="80" w:firstLine="318"/>
        <w:spacing w:after="0" w:line="281" w:lineRule="auto"/>
        <w:rPr>
          <w:sz w:val="20"/>
          <w:szCs w:val="20"/>
          <w:color w:val="auto"/>
        </w:rPr>
      </w:pPr>
      <w:r>
        <w:rPr>
          <w:rFonts w:ascii="Arial" w:cs="Arial" w:eastAsia="Arial" w:hAnsi="Arial"/>
          <w:sz w:val="14"/>
          <w:szCs w:val="14"/>
          <w:color w:val="auto"/>
        </w:rPr>
        <w:t>The Company’s Certificate of Incorporation authorizes the issuance of preferred shares. However, as of March 31, 2021, none have been issued and no rights or preferences have been assigned to the preferred shares by the Company’s board of directors.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Stock-Based Compensation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Long-Term Incentive Plans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Equity-Settled Plans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The Company adopted, and the stockholders approved, the 2007 Long-Term Incentive Plan (the “2007 Plan”), effective November 21, 2006, to provide incentives to eligible employees,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directors and consultants. A maximum of 1.4 million shares of the Company's common stock can be issued under the 2007 Plan in connection with the grant of awards. Awards to purchase common</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stock have been granted pursuant to the 2007 Plan and are outstanding to various employees, officers, directors, Scientific Advisory Board members and independent distributors at prices between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$8.96 and $10.50 per share, with initial vesting periods of one to three years. Awards expire in accordance with the terms of each award and the shares subject to the award are added back to the 2007</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Plan upon expiration of the award. The contractual term of stock options granted is generally ten years. Effective November 21, 2016, no new awards can be granted under the 2007 Plan. As of</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March 31, 2021, under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2007 Plan, there were stock option awards outstanding, net of awards expired, for an aggregate of approximately 13,000 shares of the Company's common stock.</w:t>
      </w:r>
    </w:p>
    <w:p>
      <w:pPr>
        <w:spacing w:after="0" w:line="115" w:lineRule="exact"/>
        <w:rPr>
          <w:sz w:val="20"/>
          <w:szCs w:val="20"/>
          <w:color w:val="auto"/>
        </w:rPr>
      </w:pPr>
    </w:p>
    <w:p>
      <w:pPr>
        <w:ind w:firstLine="318"/>
        <w:spacing w:after="0" w:line="280" w:lineRule="auto"/>
        <w:rPr>
          <w:sz w:val="20"/>
          <w:szCs w:val="20"/>
          <w:color w:val="auto"/>
        </w:rPr>
      </w:pPr>
      <w:r>
        <w:rPr>
          <w:rFonts w:ascii="Arial" w:cs="Arial" w:eastAsia="Arial" w:hAnsi="Arial"/>
          <w:sz w:val="13"/>
          <w:szCs w:val="13"/>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March 31, 2021, under the 2010 Plan, there were stock option awards outstanding, net of awards expired, for an aggregate of approximately 27,000 shares of the Company's common stock.</w:t>
      </w:r>
    </w:p>
    <w:p>
      <w:pPr>
        <w:spacing w:after="0" w:line="84" w:lineRule="exact"/>
        <w:rPr>
          <w:sz w:val="20"/>
          <w:szCs w:val="20"/>
          <w:color w:val="auto"/>
        </w:rPr>
      </w:pPr>
    </w:p>
    <w:p>
      <w:pPr>
        <w:ind w:right="40" w:firstLine="318"/>
        <w:spacing w:after="0" w:line="305" w:lineRule="auto"/>
        <w:rPr>
          <w:sz w:val="20"/>
          <w:szCs w:val="20"/>
          <w:color w:val="auto"/>
        </w:rPr>
      </w:pPr>
      <w:r>
        <w:rPr>
          <w:rFonts w:ascii="Arial" w:cs="Arial" w:eastAsia="Arial" w:hAnsi="Arial"/>
          <w:sz w:val="12"/>
          <w:szCs w:val="12"/>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March 31, 2021,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March 31, 2021, under the 2017 Plan, there were stock option awards outstanding, net of awards expired, for an aggregate of 0.2 million shares of the Company's common stock.</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Cash-Settled Plans</w:t>
      </w:r>
    </w:p>
    <w:p>
      <w:pPr>
        <w:spacing w:after="0" w:line="119" w:lineRule="exact"/>
        <w:rPr>
          <w:sz w:val="20"/>
          <w:szCs w:val="20"/>
          <w:color w:val="auto"/>
        </w:rPr>
      </w:pPr>
    </w:p>
    <w:p>
      <w:pPr>
        <w:ind w:firstLine="318"/>
        <w:spacing w:after="0" w:line="305" w:lineRule="auto"/>
        <w:rPr>
          <w:sz w:val="20"/>
          <w:szCs w:val="20"/>
          <w:color w:val="auto"/>
        </w:rPr>
      </w:pPr>
      <w:r>
        <w:rPr>
          <w:rFonts w:ascii="Arial" w:cs="Arial" w:eastAsia="Arial" w:hAnsi="Arial"/>
          <w:sz w:val="12"/>
          <w:szCs w:val="12"/>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Employee Stock Purchase Plan</w:t>
      </w:r>
    </w:p>
    <w:p>
      <w:pPr>
        <w:spacing w:after="0" w:line="12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Company's 2019 Employee Stock Purchase Plan ("ESPP") was adopted by the board of directors in September 2018 and its stockholders approved it in November 2018. The ESPP</w:t>
      </w:r>
      <w:r>
        <w:rPr>
          <w:rFonts w:ascii="Arial" w:cs="Arial" w:eastAsia="Arial" w:hAnsi="Arial"/>
          <w:sz w:val="14"/>
          <w:szCs w:val="14"/>
          <w:i w:val="1"/>
          <w:iCs w:val="1"/>
          <w:color w:val="auto"/>
        </w:rPr>
        <w:t xml:space="preserve"> </w:t>
      </w:r>
      <w:r>
        <w:rPr>
          <w:rFonts w:ascii="Arial" w:cs="Arial" w:eastAsia="Arial" w:hAnsi="Arial"/>
          <w:sz w:val="14"/>
          <w:szCs w:val="14"/>
          <w:color w:val="auto"/>
        </w:rPr>
        <w:t>is intended to qualify under Section 423 of the Internal Revenue Code.</w:t>
      </w:r>
    </w:p>
    <w:p>
      <w:pPr>
        <w:spacing w:after="0" w:line="69"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i w:val="1"/>
          <w:iCs w:val="1"/>
          <w:color w:val="auto"/>
        </w:rPr>
        <w:t xml:space="preserve">Share Reserve. </w:t>
      </w:r>
      <w:r>
        <w:rPr>
          <w:rFonts w:ascii="Arial" w:cs="Arial" w:eastAsia="Arial" w:hAnsi="Arial"/>
          <w:sz w:val="14"/>
          <w:szCs w:val="14"/>
          <w:color w:val="auto"/>
        </w:rPr>
        <w:t>The Company has reserved 0.4 million shares of its common stock for issuance under the ESPP. As of March 31, 2021, 0.3 million shares were available for issuance.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reserved under the ESPP will automatically be adjusted in the event of a stock split, stock dividend or a reverse stock split (including an adjustment to the per-purchase period share limit).</w:t>
      </w:r>
    </w:p>
    <w:p>
      <w:pPr>
        <w:spacing w:after="0" w:line="89"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i w:val="1"/>
          <w:iCs w:val="1"/>
          <w:color w:val="auto"/>
        </w:rPr>
        <w:t xml:space="preserve">Purchase Price. </w:t>
      </w:r>
      <w:r>
        <w:rPr>
          <w:rFonts w:ascii="Arial" w:cs="Arial" w:eastAsia="Arial" w:hAnsi="Arial"/>
          <w:sz w:val="14"/>
          <w:szCs w:val="14"/>
          <w:color w:val="auto"/>
        </w:rPr>
        <w:t>Employees may purchase each share of common stock under the ESPP at a price equal to 85% of the lower of the fair market values of the stock as of the beginning or the end</w:t>
      </w:r>
      <w:r>
        <w:rPr>
          <w:rFonts w:ascii="Arial" w:cs="Arial" w:eastAsia="Arial" w:hAnsi="Arial"/>
          <w:sz w:val="14"/>
          <w:szCs w:val="14"/>
          <w:i w:val="1"/>
          <w:iCs w:val="1"/>
          <w:color w:val="auto"/>
        </w:rPr>
        <w:t xml:space="preserve"> </w:t>
      </w:r>
      <w:r>
        <w:rPr>
          <w:rFonts w:ascii="Arial" w:cs="Arial" w:eastAsia="Arial" w:hAnsi="Arial"/>
          <w:sz w:val="14"/>
          <w:szCs w:val="14"/>
          <w:color w:val="auto"/>
        </w:rPr>
        <w:t>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8" w:name="page19"/>
    <w:bookmarkEnd w:id="18"/>
    <w:p>
      <w:pPr>
        <w:ind w:right="280"/>
        <w:spacing w:after="0" w:line="281" w:lineRule="auto"/>
        <w:rPr>
          <w:sz w:val="20"/>
          <w:szCs w:val="20"/>
          <w:color w:val="auto"/>
        </w:rPr>
      </w:pPr>
      <w:r>
        <w:rPr>
          <w:rFonts w:ascii="Arial" w:cs="Arial" w:eastAsia="Arial" w:hAnsi="Arial"/>
          <w:sz w:val="14"/>
          <w:szCs w:val="14"/>
          <w:color w:val="auto"/>
        </w:rPr>
        <w:t>would permit the participant's rights to purchase stock to accrue at a rate exceeding $25,000 grant date fair market value of stock for each calendar year in which such option is outstanding at any time.</w:t>
      </w:r>
    </w:p>
    <w:p>
      <w:pPr>
        <w:spacing w:after="0" w:line="69"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i w:val="1"/>
          <w:iCs w:val="1"/>
          <w:color w:val="auto"/>
        </w:rPr>
        <w:t xml:space="preserve">Offering Periods. </w:t>
      </w:r>
      <w:r>
        <w:rPr>
          <w:rFonts w:ascii="Arial" w:cs="Arial" w:eastAsia="Arial" w:hAnsi="Arial"/>
          <w:sz w:val="14"/>
          <w:szCs w:val="14"/>
          <w:color w:val="auto"/>
        </w:rPr>
        <w:t>Unless otherwise determined by the compensation committee, the ESPP will be operated through a series of successive six-month offering periods, which will begin each year</w:t>
      </w:r>
      <w:r>
        <w:rPr>
          <w:rFonts w:ascii="Arial" w:cs="Arial" w:eastAsia="Arial" w:hAnsi="Arial"/>
          <w:sz w:val="14"/>
          <w:szCs w:val="14"/>
          <w:i w:val="1"/>
          <w:iCs w:val="1"/>
          <w:color w:val="auto"/>
        </w:rPr>
        <w:t xml:space="preserve"> </w:t>
      </w:r>
      <w:r>
        <w:rPr>
          <w:rFonts w:ascii="Arial" w:cs="Arial" w:eastAsia="Arial" w:hAnsi="Arial"/>
          <w:sz w:val="14"/>
          <w:szCs w:val="14"/>
          <w:color w:val="auto"/>
        </w:rPr>
        <w:t>on March 1 and September 1.</w:t>
      </w:r>
    </w:p>
    <w:p>
      <w:pPr>
        <w:spacing w:after="0" w:line="79" w:lineRule="exact"/>
        <w:rPr>
          <w:sz w:val="20"/>
          <w:szCs w:val="20"/>
          <w:color w:val="auto"/>
        </w:rPr>
      </w:pPr>
    </w:p>
    <w:p>
      <w:pPr>
        <w:ind w:right="160" w:firstLine="318"/>
        <w:spacing w:after="0" w:line="281" w:lineRule="auto"/>
        <w:rPr>
          <w:sz w:val="20"/>
          <w:szCs w:val="20"/>
          <w:color w:val="auto"/>
        </w:rPr>
      </w:pPr>
      <w:r>
        <w:rPr>
          <w:rFonts w:ascii="Arial" w:cs="Arial" w:eastAsia="Arial" w:hAnsi="Arial"/>
          <w:sz w:val="14"/>
          <w:szCs w:val="14"/>
          <w:color w:val="auto"/>
        </w:rPr>
        <w:t>During the three and nine months ended March 31, 2021, approximately 36,000 shares and 0.1 million shares of common stock were issued under the ESPP, respectively. During the three and nine months ended March 31, 2020, approximately 31,000 shares and 0.1 million shares of common stock were issued under the ESPP, respectively.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4"/>
          <w:szCs w:val="14"/>
          <w:u w:val="single" w:color="auto"/>
          <w:color w:val="auto"/>
        </w:rPr>
        <w:t>Stock-Based Compensation</w:t>
      </w:r>
    </w:p>
    <w:p>
      <w:pPr>
        <w:spacing w:after="0" w:line="115"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In accordance with accounting guidance for stock-based compensation, payments in equity instruments for goods or services are accounted for by the fair value method. For the three and nine months ended March 31, 2021, stock-based compensation of $0.7 million and $2.2 million, respectively, was reflected as an increase to additional paid-in capital and a decrease of $17,000 and $0.1 million, respectively, was included in other accrued expenses, all of which was employee related. For the three and nine months ended March 31, 2020, stock-based compensation of $1.2 million and $4.0 million, respectively, was reflected as an increase to additional paid-in capital and a decrease of $27,000 and an increase $0.1 million, respectively, was included in other accrued expenses, all of which was employee related.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115" w:lineRule="exact"/>
        <w:rPr>
          <w:sz w:val="20"/>
          <w:szCs w:val="20"/>
          <w:color w:val="auto"/>
        </w:rPr>
      </w:pPr>
    </w:p>
    <w:p>
      <w:pPr>
        <w:ind w:firstLine="318"/>
        <w:spacing w:after="0" w:line="309" w:lineRule="auto"/>
        <w:rPr>
          <w:sz w:val="20"/>
          <w:szCs w:val="20"/>
          <w:color w:val="auto"/>
        </w:rPr>
      </w:pPr>
      <w:r>
        <w:rPr>
          <w:rFonts w:ascii="Arial" w:cs="Arial" w:eastAsia="Arial" w:hAnsi="Arial"/>
          <w:sz w:val="12"/>
          <w:szCs w:val="12"/>
          <w:color w:val="auto"/>
        </w:rPr>
        <w:t xml:space="preserve">The Company accounts for contingent liabilities in accordance with ASC 450, </w:t>
      </w:r>
      <w:r>
        <w:rPr>
          <w:rFonts w:ascii="Arial" w:cs="Arial" w:eastAsia="Arial" w:hAnsi="Arial"/>
          <w:sz w:val="12"/>
          <w:szCs w:val="12"/>
          <w:i w:val="1"/>
          <w:iCs w:val="1"/>
          <w:color w:val="auto"/>
        </w:rPr>
        <w:t>Contingencies</w:t>
      </w:r>
      <w:r>
        <w:rPr>
          <w:rFonts w:ascii="Arial" w:cs="Arial" w:eastAsia="Arial" w:hAnsi="Arial"/>
          <w:sz w:val="12"/>
          <w:szCs w:val="12"/>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March 31, 2021, and based on the assessment, there are no probable loss contingencies requiring accrual or disclosures within its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Accruals</w:t>
      </w:r>
    </w:p>
    <w:p>
      <w:pPr>
        <w:spacing w:after="0" w:line="125" w:lineRule="exact"/>
        <w:rPr>
          <w:sz w:val="20"/>
          <w:szCs w:val="20"/>
          <w:color w:val="auto"/>
        </w:rPr>
      </w:pPr>
    </w:p>
    <w:p>
      <w:pPr>
        <w:ind w:right="40" w:firstLine="318"/>
        <w:spacing w:after="0" w:line="276" w:lineRule="auto"/>
        <w:rPr>
          <w:sz w:val="20"/>
          <w:szCs w:val="20"/>
          <w:color w:val="auto"/>
        </w:rPr>
      </w:pPr>
      <w:r>
        <w:rPr>
          <w:rFonts w:ascii="Arial" w:cs="Arial" w:eastAsia="Arial" w:hAnsi="Arial"/>
          <w:sz w:val="13"/>
          <w:szCs w:val="13"/>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74" w:lineRule="exact"/>
        <w:rPr>
          <w:sz w:val="20"/>
          <w:szCs w:val="20"/>
          <w:color w:val="auto"/>
        </w:rPr>
      </w:pPr>
    </w:p>
    <w:p>
      <w:pPr>
        <w:ind w:right="20" w:firstLine="318"/>
        <w:spacing w:after="0" w:line="264" w:lineRule="auto"/>
        <w:rPr>
          <w:sz w:val="20"/>
          <w:szCs w:val="20"/>
          <w:color w:val="auto"/>
        </w:rPr>
      </w:pPr>
      <w:r>
        <w:rPr>
          <w:rFonts w:ascii="Arial" w:cs="Arial" w:eastAsia="Arial" w:hAnsi="Arial"/>
          <w:sz w:val="14"/>
          <w:szCs w:val="14"/>
          <w:b w:val="1"/>
          <w:bCs w:val="1"/>
          <w:color w:val="auto"/>
        </w:rPr>
        <w:t>Class Action Lawsuit (</w:t>
      </w:r>
      <w:r>
        <w:rPr>
          <w:rFonts w:ascii="Arial" w:cs="Arial" w:eastAsia="Arial" w:hAnsi="Arial"/>
          <w:sz w:val="14"/>
          <w:szCs w:val="14"/>
          <w:b w:val="1"/>
          <w:bCs w:val="1"/>
          <w:i w:val="1"/>
          <w:iCs w:val="1"/>
          <w:color w:val="auto"/>
        </w:rPr>
        <w:t>Smith v. LifeVantage Corp</w:t>
      </w:r>
      <w:r>
        <w:rPr>
          <w:rFonts w:ascii="Arial" w:cs="Arial" w:eastAsia="Arial" w:hAnsi="Arial"/>
          <w:sz w:val="14"/>
          <w:szCs w:val="14"/>
          <w:b w:val="1"/>
          <w:bCs w:val="1"/>
          <w:color w:val="auto"/>
        </w:rPr>
        <w:t xml:space="preserve">.): </w:t>
      </w:r>
      <w:r>
        <w:rPr>
          <w:rFonts w:ascii="Arial" w:cs="Arial" w:eastAsia="Arial" w:hAnsi="Arial"/>
          <w:sz w:val="14"/>
          <w:szCs w:val="14"/>
          <w:color w:val="auto"/>
        </w:rPr>
        <w:t>On January 24, 2018, a purported class action was filed in the United States District Court for the District of Connecticut, entitled Smith v.</w:t>
      </w:r>
      <w:r>
        <w:rPr>
          <w:rFonts w:ascii="Arial" w:cs="Arial" w:eastAsia="Arial" w:hAnsi="Arial"/>
          <w:sz w:val="14"/>
          <w:szCs w:val="14"/>
          <w:b w:val="1"/>
          <w:bCs w:val="1"/>
          <w:color w:val="auto"/>
        </w:rPr>
        <w:t xml:space="preserve"> </w:t>
      </w:r>
      <w:r>
        <w:rPr>
          <w:rFonts w:ascii="Arial" w:cs="Arial" w:eastAsia="Arial" w:hAnsi="Arial"/>
          <w:sz w:val="14"/>
          <w:szCs w:val="14"/>
          <w:color w:val="auto"/>
        </w:rPr>
        <w:t>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9" w:name="page20"/>
    <w:bookmarkEnd w:id="19"/>
    <w:p>
      <w:pPr>
        <w:spacing w:after="0" w:line="275" w:lineRule="auto"/>
        <w:rPr>
          <w:sz w:val="20"/>
          <w:szCs w:val="20"/>
          <w:color w:val="auto"/>
        </w:rPr>
      </w:pPr>
      <w:r>
        <w:rPr>
          <w:rFonts w:ascii="Arial" w:cs="Arial" w:eastAsia="Arial" w:hAnsi="Arial"/>
          <w:sz w:val="13"/>
          <w:szCs w:val="13"/>
          <w:color w:val="auto"/>
        </w:rPr>
        <w:t>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Initial discovery has begun and will continue per the amended scheduling order.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7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4"/>
          <w:szCs w:val="14"/>
          <w:b w:val="1"/>
          <w:bCs w:val="1"/>
          <w:color w:val="auto"/>
        </w:rPr>
        <w:t xml:space="preserve">Other Matters. </w:t>
      </w:r>
      <w:r>
        <w:rPr>
          <w:rFonts w:ascii="Arial" w:cs="Arial" w:eastAsia="Arial" w:hAnsi="Arial"/>
          <w:sz w:val="14"/>
          <w:szCs w:val="14"/>
          <w:color w:val="auto"/>
        </w:rPr>
        <w:t>In addition to the matters described above, the Company also may become involved in other litigation and regulatory matters incidental to its business and the matters disclosed</w:t>
      </w:r>
      <w:r>
        <w:rPr>
          <w:rFonts w:ascii="Arial" w:cs="Arial" w:eastAsia="Arial" w:hAnsi="Arial"/>
          <w:sz w:val="14"/>
          <w:szCs w:val="14"/>
          <w:b w:val="1"/>
          <w:bCs w:val="1"/>
          <w:color w:val="auto"/>
        </w:rPr>
        <w:t xml:space="preserve"> </w:t>
      </w:r>
      <w:r>
        <w:rPr>
          <w:rFonts w:ascii="Arial" w:cs="Arial" w:eastAsia="Arial" w:hAnsi="Arial"/>
          <w:sz w:val="14"/>
          <w:szCs w:val="14"/>
          <w:color w:val="auto"/>
        </w:rPr>
        <w:t>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Related Party Transactions</w:t>
      </w:r>
    </w:p>
    <w:p>
      <w:pPr>
        <w:spacing w:after="0" w:line="129" w:lineRule="exact"/>
        <w:rPr>
          <w:sz w:val="20"/>
          <w:szCs w:val="20"/>
          <w:color w:val="auto"/>
        </w:rPr>
      </w:pPr>
    </w:p>
    <w:p>
      <w:pPr>
        <w:ind w:right="80" w:firstLine="318"/>
        <w:spacing w:after="0" w:line="262" w:lineRule="auto"/>
        <w:rPr>
          <w:sz w:val="20"/>
          <w:szCs w:val="20"/>
          <w:color w:val="auto"/>
        </w:rPr>
      </w:pPr>
      <w:r>
        <w:rPr>
          <w:rFonts w:ascii="Arial" w:cs="Arial" w:eastAsia="Arial" w:hAnsi="Arial"/>
          <w:sz w:val="14"/>
          <w:szCs w:val="14"/>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During the nine months ended March 31, 2020, the Company paid $1.2 million to GEG for software application development services. No payments were made to GEG for software and application development service during the nine months ended March 31, 2021.</w:t>
      </w:r>
    </w:p>
    <w:p>
      <w:pPr>
        <w:spacing w:after="0" w:line="78" w:lineRule="exact"/>
        <w:rPr>
          <w:sz w:val="20"/>
          <w:szCs w:val="20"/>
          <w:color w:val="auto"/>
        </w:rPr>
      </w:pPr>
    </w:p>
    <w:p>
      <w:pPr>
        <w:ind w:right="5440"/>
        <w:spacing w:after="0" w:line="430" w:lineRule="auto"/>
        <w:rPr>
          <w:sz w:val="20"/>
          <w:szCs w:val="20"/>
          <w:color w:val="auto"/>
        </w:rPr>
      </w:pPr>
      <w:r>
        <w:rPr>
          <w:rFonts w:ascii="Arial" w:cs="Arial" w:eastAsia="Arial" w:hAnsi="Arial"/>
          <w:sz w:val="14"/>
          <w:szCs w:val="14"/>
          <w:b w:val="1"/>
          <w:bCs w:val="1"/>
          <w:color w:val="auto"/>
        </w:rPr>
        <w:t>Item 2. Management’s Discussion and Analysis of Financial Condition and Results of Operations Overview</w:t>
      </w:r>
    </w:p>
    <w:p>
      <w:pPr>
        <w:ind w:right="140" w:firstLine="318"/>
        <w:spacing w:after="0" w:line="260" w:lineRule="auto"/>
        <w:rPr>
          <w:sz w:val="20"/>
          <w:szCs w:val="20"/>
          <w:color w:val="auto"/>
        </w:rPr>
      </w:pPr>
      <w:r>
        <w:rPr>
          <w:rFonts w:ascii="Arial" w:cs="Arial" w:eastAsia="Arial" w:hAnsi="Arial"/>
          <w:sz w:val="14"/>
          <w:szCs w:val="14"/>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nutrigenomic activators, dietary supplements, nootropics, pre- and pro-biotics, weight management, and skin and hair care products. We currently sell our products to customers and independent distributors in two geographic regions that we have classified as the Americas region and the Asia/Pacific &amp; Europe region.</w:t>
      </w:r>
    </w:p>
    <w:p>
      <w:pPr>
        <w:spacing w:after="0" w:line="83" w:lineRule="exact"/>
        <w:rPr>
          <w:sz w:val="20"/>
          <w:szCs w:val="20"/>
          <w:color w:val="auto"/>
        </w:rPr>
      </w:pPr>
    </w:p>
    <w:p>
      <w:pPr>
        <w:ind w:right="380" w:firstLine="318"/>
        <w:spacing w:after="0" w:line="281" w:lineRule="auto"/>
        <w:rPr>
          <w:sz w:val="20"/>
          <w:szCs w:val="20"/>
          <w:color w:val="auto"/>
        </w:rPr>
      </w:pPr>
      <w:r>
        <w:rPr>
          <w:rFonts w:ascii="Arial" w:cs="Arial" w:eastAsia="Arial" w:hAnsi="Arial"/>
          <w:sz w:val="14"/>
          <w:szCs w:val="14"/>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74" w:lineRule="exact"/>
        <w:rPr>
          <w:sz w:val="20"/>
          <w:szCs w:val="20"/>
          <w:color w:val="auto"/>
        </w:rPr>
      </w:pPr>
    </w:p>
    <w:p>
      <w:pPr>
        <w:ind w:left="520" w:right="100" w:hanging="260"/>
        <w:spacing w:after="0" w:line="236"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products, including Protandim</w:t>
      </w:r>
      <w:r>
        <w:rPr>
          <w:rFonts w:ascii="Arial" w:cs="Arial" w:eastAsia="Arial" w:hAnsi="Arial"/>
          <w:sz w:val="18"/>
          <w:szCs w:val="18"/>
          <w:color w:val="auto"/>
          <w:vertAlign w:val="superscript"/>
        </w:rPr>
        <w:t>®</w:t>
      </w:r>
      <w:r>
        <w:rPr>
          <w:rFonts w:ascii="Arial" w:cs="Arial" w:eastAsia="Arial" w:hAnsi="Arial"/>
          <w:sz w:val="14"/>
          <w:szCs w:val="14"/>
          <w:color w:val="auto"/>
        </w:rPr>
        <w:t>, our line of scientifically-validated dietary supplements,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and Daily Wellness dietary supplements, TrueScience</w:t>
      </w:r>
      <w:r>
        <w:rPr>
          <w:rFonts w:ascii="Arial" w:cs="Arial" w:eastAsia="Arial" w:hAnsi="Arial"/>
          <w:sz w:val="18"/>
          <w:szCs w:val="18"/>
          <w:color w:val="auto"/>
          <w:vertAlign w:val="superscript"/>
        </w:rPr>
        <w:t>®</w:t>
      </w:r>
      <w:r>
        <w:rPr>
          <w:rFonts w:ascii="Arial" w:cs="Arial" w:eastAsia="Arial" w:hAnsi="Arial"/>
          <w:sz w:val="14"/>
          <w:szCs w:val="14"/>
          <w:color w:val="auto"/>
        </w:rPr>
        <w:t>, our line of skin and hair care products,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0" w:name="page21"/>
    <w:bookmarkEnd w:id="20"/>
    <w:p>
      <w:pPr>
        <w:ind w:left="520"/>
        <w:spacing w:after="0"/>
        <w:rPr>
          <w:sz w:val="20"/>
          <w:szCs w:val="20"/>
          <w:color w:val="auto"/>
        </w:rPr>
      </w:pPr>
      <w:r>
        <w:rPr>
          <w:rFonts w:ascii="Arial" w:cs="Arial" w:eastAsia="Arial" w:hAnsi="Arial"/>
          <w:sz w:val="13"/>
          <w:szCs w:val="13"/>
          <w:color w:val="auto"/>
        </w:rPr>
        <w:t>Dogs, our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our nootropic energy drink mixes, and PhysIQ</w:t>
      </w:r>
      <w:r>
        <w:rPr>
          <w:rFonts w:ascii="Arial" w:cs="Arial" w:eastAsia="Arial" w:hAnsi="Arial"/>
          <w:sz w:val="17"/>
          <w:szCs w:val="17"/>
          <w:color w:val="auto"/>
          <w:vertAlign w:val="superscript"/>
        </w:rPr>
        <w:t>™</w:t>
      </w:r>
      <w:r>
        <w:rPr>
          <w:rFonts w:ascii="Arial" w:cs="Arial" w:eastAsia="Arial" w:hAnsi="Arial"/>
          <w:sz w:val="13"/>
          <w:szCs w:val="13"/>
          <w:color w:val="auto"/>
        </w:rPr>
        <w:t>, our smart weight management system;</w:t>
      </w:r>
    </w:p>
    <w:p>
      <w:pPr>
        <w:spacing w:after="0" w:line="85"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compensation plan and other sales initiatives;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delivery of superior customer service.</w:t>
      </w:r>
    </w:p>
    <w:p>
      <w:pPr>
        <w:spacing w:after="0" w:line="125" w:lineRule="exact"/>
        <w:rPr>
          <w:sz w:val="20"/>
          <w:szCs w:val="20"/>
          <w:color w:val="auto"/>
        </w:rPr>
      </w:pPr>
    </w:p>
    <w:p>
      <w:pPr>
        <w:ind w:right="140" w:firstLine="318"/>
        <w:spacing w:after="0" w:line="284" w:lineRule="auto"/>
        <w:rPr>
          <w:sz w:val="20"/>
          <w:szCs w:val="20"/>
          <w:color w:val="auto"/>
        </w:rPr>
      </w:pPr>
      <w:r>
        <w:rPr>
          <w:rFonts w:ascii="Arial" w:cs="Arial" w:eastAsia="Arial" w:hAnsi="Arial"/>
          <w:sz w:val="13"/>
          <w:szCs w:val="13"/>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addition, we sell our products in China through our cross-border e-commerce business model. Entering a new market requires a considerable amount of time, resources and continued support. If we are unable to properly support an existing or new market, our revenue growth may be negatively impacted.</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on Our Business</w:t>
      </w:r>
    </w:p>
    <w:p>
      <w:pPr>
        <w:spacing w:after="0" w:line="129" w:lineRule="exact"/>
        <w:rPr>
          <w:sz w:val="20"/>
          <w:szCs w:val="20"/>
          <w:color w:val="auto"/>
        </w:rPr>
      </w:pPr>
    </w:p>
    <w:p>
      <w:pPr>
        <w:ind w:firstLine="318"/>
        <w:spacing w:after="0" w:line="276" w:lineRule="auto"/>
        <w:rPr>
          <w:sz w:val="20"/>
          <w:szCs w:val="20"/>
          <w:color w:val="auto"/>
        </w:rPr>
      </w:pPr>
      <w:r>
        <w:rPr>
          <w:rFonts w:ascii="Arial" w:cs="Arial" w:eastAsia="Arial" w:hAnsi="Arial"/>
          <w:sz w:val="13"/>
          <w:szCs w:val="13"/>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89"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We have transitioned all of our corporate employees to a work from home model and, to date, our employees are performing well in the new environment. With respect to liquidity, we are evaluating and taking actions to ensure that we continue to responsibly manage expenses across our organization.</w:t>
      </w:r>
    </w:p>
    <w:p>
      <w:pPr>
        <w:spacing w:after="0" w:line="82"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Products</w:t>
      </w:r>
    </w:p>
    <w:p>
      <w:pPr>
        <w:spacing w:after="0" w:line="125" w:lineRule="exact"/>
        <w:rPr>
          <w:sz w:val="20"/>
          <w:szCs w:val="20"/>
          <w:color w:val="auto"/>
        </w:rPr>
      </w:pPr>
    </w:p>
    <w:p>
      <w:pPr>
        <w:ind w:right="20" w:firstLine="318"/>
        <w:spacing w:after="0" w:line="272" w:lineRule="auto"/>
        <w:rPr>
          <w:sz w:val="20"/>
          <w:szCs w:val="20"/>
          <w:color w:val="auto"/>
        </w:rPr>
      </w:pPr>
      <w:r>
        <w:rPr>
          <w:rFonts w:ascii="Arial" w:cs="Arial" w:eastAsia="Arial" w:hAnsi="Arial"/>
          <w:sz w:val="12"/>
          <w:szCs w:val="12"/>
          <w:color w:val="auto"/>
        </w:rPr>
        <w:t>Our line of scientifically-validated dietary supplements includes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and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formulated to increase cellular energy and performance by boosting mitochondria production to improve cellular repair and slow cellular aging.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was specifically formulated to target cell signaling pathways involved in the synthesis and recycling of a specific molecule called NAD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21" w:name="page22"/>
    <w:bookmarkEnd w:id="21"/>
    <w:p>
      <w:pPr>
        <w:ind w:right="20"/>
        <w:spacing w:after="0" w:line="228" w:lineRule="auto"/>
        <w:rPr>
          <w:sz w:val="20"/>
          <w:szCs w:val="20"/>
          <w:color w:val="auto"/>
        </w:rPr>
      </w:pPr>
      <w:r>
        <w:rPr>
          <w:rFonts w:ascii="Arial" w:cs="Arial" w:eastAsia="Arial" w:hAnsi="Arial"/>
          <w:sz w:val="13"/>
          <w:szCs w:val="13"/>
          <w:color w:val="auto"/>
        </w:rPr>
        <w:t>(nicotinamide adenine dinucleotide), and has been shown to double sirtuin activity, supporting increased health, focus, energy, mental clarity and mood.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ProBio is a dietary supplement designed to support optimal digestion and immune system function. LifeVantage</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Daily Wellness is a pro-active immune support drink mix designed to support immune health. Our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anti-aging skin and hair care products includes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Facial Cleanser,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Perfecting Lotion,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Eye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Anti-Aging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Hand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Invigorating Shampoo,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Nourishing Conditioner and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Scalp Serum.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Dogs is a supplement specially formulated to combat oxidative stress in dogs through Nrf2 activation. Axio</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is our line of nootropic energy drink mixes formulated to promote alertness and support mental performance.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smart weight management system which includes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Fat Burn,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Prebiotic and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Whey Protein, all formulated to aid in weight management.</w:t>
      </w:r>
    </w:p>
    <w:p>
      <w:pPr>
        <w:spacing w:after="0" w:line="43" w:lineRule="exact"/>
        <w:rPr>
          <w:sz w:val="20"/>
          <w:szCs w:val="20"/>
          <w:color w:val="auto"/>
        </w:rPr>
      </w:pPr>
    </w:p>
    <w:p>
      <w:pPr>
        <w:ind w:firstLine="318"/>
        <w:spacing w:after="0" w:line="209" w:lineRule="auto"/>
        <w:rPr>
          <w:sz w:val="20"/>
          <w:szCs w:val="20"/>
          <w:color w:val="auto"/>
        </w:rPr>
      </w:pPr>
      <w:r>
        <w:rPr>
          <w:rFonts w:ascii="Arial" w:cs="Arial" w:eastAsia="Arial" w:hAnsi="Arial"/>
          <w:sz w:val="14"/>
          <w:szCs w:val="14"/>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 The Vitality Stack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includes four of our nutrigenomics products —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and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18"/>
          <w:szCs w:val="18"/>
          <w:color w:val="auto"/>
          <w:vertAlign w:val="superscript"/>
        </w:rPr>
        <w:t>™</w:t>
      </w:r>
      <w:r>
        <w:rPr>
          <w:rFonts w:ascii="Arial" w:cs="Arial" w:eastAsia="Arial" w:hAnsi="Arial"/>
          <w:sz w:val="14"/>
          <w:szCs w:val="14"/>
          <w:color w:val="auto"/>
        </w:rPr>
        <w:t>, we added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NAD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Prebiotic to our Vitality Stack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to support gut health and increase sirtuin activity, supporting increased health, focus, energy, mental clarity and mood.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Tri-Synergizer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consists of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NAD Synergizer</w:t>
      </w:r>
      <w:r>
        <w:rPr>
          <w:rFonts w:ascii="Arial" w:cs="Arial" w:eastAsia="Arial" w:hAnsi="Arial"/>
          <w:sz w:val="18"/>
          <w:szCs w:val="18"/>
          <w:color w:val="auto"/>
          <w:vertAlign w:val="superscript"/>
        </w:rPr>
        <w:t>™</w:t>
      </w:r>
      <w:r>
        <w:rPr>
          <w:rFonts w:ascii="Arial" w:cs="Arial" w:eastAsia="Arial" w:hAnsi="Arial"/>
          <w:sz w:val="14"/>
          <w:szCs w:val="14"/>
          <w:color w:val="auto"/>
        </w:rPr>
        <w:t>,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lines.</w:t>
      </w:r>
    </w:p>
    <w:p>
      <w:pPr>
        <w:spacing w:after="0" w:line="113"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119"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22" w:name="page23"/>
    <w:bookmarkEnd w:id="22"/>
    <w:p>
      <w:pPr>
        <w:ind w:right="60" w:firstLine="318"/>
        <w:spacing w:after="0" w:line="267" w:lineRule="auto"/>
        <w:rPr>
          <w:sz w:val="20"/>
          <w:szCs w:val="20"/>
          <w:color w:val="auto"/>
        </w:rPr>
      </w:pPr>
      <w:r>
        <w:rPr>
          <w:rFonts w:ascii="Arial" w:cs="Arial" w:eastAsia="Arial" w:hAnsi="Arial"/>
          <w:sz w:val="14"/>
          <w:szCs w:val="14"/>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7"/>
        </w:trPr>
        <w:tc>
          <w:tcPr>
            <w:tcW w:w="3400" w:type="dxa"/>
            <w:vAlign w:val="bottom"/>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ind w:left="500"/>
              <w:spacing w:after="0"/>
              <w:rPr>
                <w:sz w:val="20"/>
                <w:szCs w:val="20"/>
                <w:color w:val="auto"/>
              </w:rPr>
            </w:pPr>
            <w:r>
              <w:rPr>
                <w:rFonts w:ascii="Arial" w:cs="Arial" w:eastAsia="Arial" w:hAnsi="Arial"/>
                <w:sz w:val="11"/>
                <w:szCs w:val="11"/>
                <w:b w:val="1"/>
                <w:bCs w:val="1"/>
                <w:color w:val="auto"/>
              </w:rPr>
              <w:t>As of March 31,</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00" w:type="dxa"/>
            <w:vAlign w:val="bottom"/>
          </w:tcPr>
          <w:p>
            <w:pPr>
              <w:spacing w:after="0"/>
              <w:rPr>
                <w:sz w:val="8"/>
                <w:szCs w:val="8"/>
                <w:color w:val="auto"/>
              </w:rPr>
            </w:pPr>
          </w:p>
        </w:tc>
        <w:tc>
          <w:tcPr>
            <w:tcW w:w="1700" w:type="dxa"/>
            <w:vAlign w:val="bottom"/>
            <w:gridSpan w:val="3"/>
            <w:vMerge w:val="restart"/>
          </w:tcPr>
          <w:p>
            <w:pPr>
              <w:jc w:val="right"/>
              <w:ind w:right="320"/>
              <w:spacing w:after="0"/>
              <w:rPr>
                <w:sz w:val="20"/>
                <w:szCs w:val="20"/>
                <w:color w:val="auto"/>
              </w:rPr>
            </w:pPr>
            <w:r>
              <w:rPr>
                <w:rFonts w:ascii="Arial" w:cs="Arial" w:eastAsia="Arial" w:hAnsi="Arial"/>
                <w:sz w:val="11"/>
                <w:szCs w:val="11"/>
                <w:b w:val="1"/>
                <w:bCs w:val="1"/>
                <w:color w:val="auto"/>
              </w:rPr>
              <w:t>2021</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1"/>
                <w:szCs w:val="11"/>
                <w:b w:val="1"/>
                <w:bCs w:val="1"/>
                <w:color w:val="auto"/>
              </w:rPr>
              <w:t>2020</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jc w:val="center"/>
              <w:spacing w:after="0" w:line="95" w:lineRule="exact"/>
              <w:rPr>
                <w:sz w:val="20"/>
                <w:szCs w:val="20"/>
                <w:color w:val="auto"/>
              </w:rPr>
            </w:pPr>
            <w:r>
              <w:rPr>
                <w:rFonts w:ascii="Arial" w:cs="Arial" w:eastAsia="Arial" w:hAnsi="Arial"/>
                <w:sz w:val="10"/>
                <w:szCs w:val="10"/>
                <w:b w:val="1"/>
                <w:bCs w:val="1"/>
                <w:color w:val="auto"/>
              </w:rPr>
              <w:t>Change from Prior</w:t>
            </w:r>
          </w:p>
        </w:tc>
        <w:tc>
          <w:tcPr>
            <w:tcW w:w="80" w:type="dxa"/>
            <w:vAlign w:val="bottom"/>
          </w:tcPr>
          <w:p>
            <w:pPr>
              <w:spacing w:after="0"/>
              <w:rPr>
                <w:sz w:val="8"/>
                <w:szCs w:val="8"/>
                <w:color w:val="auto"/>
              </w:rPr>
            </w:pPr>
          </w:p>
        </w:tc>
        <w:tc>
          <w:tcPr>
            <w:tcW w:w="1280" w:type="dxa"/>
            <w:vAlign w:val="bottom"/>
            <w:vMerge w:val="restart"/>
          </w:tcPr>
          <w:p>
            <w:pPr>
              <w:jc w:val="right"/>
              <w:ind w:right="203"/>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148"/>
        </w:trPr>
        <w:tc>
          <w:tcPr>
            <w:tcW w:w="34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vMerge w:val="continue"/>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80" w:type="dxa"/>
            <w:vAlign w:val="bottom"/>
            <w:tcBorders>
              <w:bottom w:val="single" w:sz="8" w:color="CCEEFF"/>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Independent Distributors</w:t>
            </w: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60"/>
              <w:spacing w:after="0"/>
              <w:rPr>
                <w:sz w:val="20"/>
                <w:szCs w:val="20"/>
                <w:color w:val="auto"/>
              </w:rPr>
            </w:pPr>
            <w:r>
              <w:rPr>
                <w:rFonts w:ascii="Arial" w:cs="Arial" w:eastAsia="Arial" w:hAnsi="Arial"/>
                <w:sz w:val="14"/>
                <w:szCs w:val="14"/>
                <w:color w:val="auto"/>
              </w:rPr>
              <w:t>Americas</w:t>
            </w:r>
          </w:p>
        </w:tc>
        <w:tc>
          <w:tcPr>
            <w:tcW w:w="1160" w:type="dxa"/>
            <w:vAlign w:val="bottom"/>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66.7 %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44,000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66.7 %</w:t>
            </w:r>
          </w:p>
        </w:tc>
        <w:tc>
          <w:tcPr>
            <w:tcW w:w="100" w:type="dxa"/>
            <w:vAlign w:val="bottom"/>
          </w:tcPr>
          <w:p>
            <w:pPr>
              <w:spacing w:after="0"/>
              <w:rPr>
                <w:sz w:val="15"/>
                <w:szCs w:val="15"/>
                <w:color w:val="auto"/>
              </w:rPr>
            </w:pPr>
          </w:p>
        </w:tc>
        <w:tc>
          <w:tcPr>
            <w:tcW w:w="1180" w:type="dxa"/>
            <w:vAlign w:val="bottom"/>
          </w:tcPr>
          <w:p>
            <w:pPr>
              <w:jc w:val="center"/>
              <w:ind w:left="652"/>
              <w:spacing w:after="0"/>
              <w:rPr>
                <w:sz w:val="20"/>
                <w:szCs w:val="20"/>
                <w:color w:val="auto"/>
              </w:rPr>
            </w:pPr>
            <w:r>
              <w:rPr>
                <w:rFonts w:ascii="Arial" w:cs="Arial" w:eastAsia="Arial" w:hAnsi="Arial"/>
                <w:sz w:val="14"/>
                <w:szCs w:val="14"/>
                <w:color w:val="auto"/>
                <w:w w:val="94"/>
              </w:rPr>
              <w:t>(2,000)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Asia/Pacific &amp; Europe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33.3 %</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4"/>
                <w:szCs w:val="14"/>
                <w:color w:val="auto"/>
                <w:w w:val="94"/>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1"/>
        </w:trPr>
        <w:tc>
          <w:tcPr>
            <w:tcW w:w="3400" w:type="dxa"/>
            <w:vAlign w:val="bottom"/>
          </w:tcPr>
          <w:p>
            <w:pPr>
              <w:ind w:left="300"/>
              <w:spacing w:after="0"/>
              <w:rPr>
                <w:sz w:val="20"/>
                <w:szCs w:val="20"/>
                <w:color w:val="auto"/>
              </w:rPr>
            </w:pPr>
            <w:r>
              <w:rPr>
                <w:rFonts w:ascii="Arial" w:cs="Arial" w:eastAsia="Arial" w:hAnsi="Arial"/>
                <w:sz w:val="14"/>
                <w:szCs w:val="14"/>
                <w:color w:val="auto"/>
              </w:rPr>
              <w:t>Total Active Independent Distributors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63,000</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66,000</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ind w:left="652"/>
              <w:spacing w:after="0"/>
              <w:rPr>
                <w:sz w:val="20"/>
                <w:szCs w:val="20"/>
                <w:color w:val="auto"/>
              </w:rPr>
            </w:pPr>
            <w:r>
              <w:rPr>
                <w:rFonts w:ascii="Arial" w:cs="Arial" w:eastAsia="Arial" w:hAnsi="Arial"/>
                <w:sz w:val="14"/>
                <w:szCs w:val="14"/>
                <w:color w:val="auto"/>
                <w:w w:val="94"/>
              </w:rPr>
              <w:t>(3,000)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20"/>
              <w:spacing w:after="0"/>
              <w:rPr>
                <w:sz w:val="20"/>
                <w:szCs w:val="20"/>
                <w:color w:val="auto"/>
              </w:rPr>
            </w:pPr>
            <w:r>
              <w:rPr>
                <w:rFonts w:ascii="Arial" w:cs="Arial" w:eastAsia="Arial" w:hAnsi="Arial"/>
                <w:sz w:val="14"/>
                <w:szCs w:val="14"/>
                <w:color w:val="auto"/>
              </w:rPr>
              <w:t>Active Customers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Americas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75.2 %</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94"/>
              </w:rPr>
              <w:t>(6,000)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0"/>
        </w:trPr>
        <w:tc>
          <w:tcPr>
            <w:tcW w:w="34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Asia/Pacific &amp; Europe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26,000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22.0 %</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ind w:left="672"/>
              <w:spacing w:after="0"/>
              <w:rPr>
                <w:sz w:val="20"/>
                <w:szCs w:val="20"/>
                <w:color w:val="auto"/>
              </w:rPr>
            </w:pPr>
            <w:r>
              <w:rPr>
                <w:rFonts w:ascii="Arial" w:cs="Arial" w:eastAsia="Arial" w:hAnsi="Arial"/>
                <w:sz w:val="14"/>
                <w:szCs w:val="14"/>
                <w:color w:val="auto"/>
                <w:w w:val="91"/>
              </w:rPr>
              <w:t>2,000</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8.3 %</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Active Customers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105,000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109,000</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4"/>
                <w:szCs w:val="14"/>
                <w:color w:val="auto"/>
                <w:w w:val="94"/>
              </w:rPr>
              <w:t>(4,000)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Accounts</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160"/>
              <w:spacing w:after="0"/>
              <w:rPr>
                <w:sz w:val="20"/>
                <w:szCs w:val="20"/>
                <w:color w:val="auto"/>
              </w:rPr>
            </w:pPr>
            <w:r>
              <w:rPr>
                <w:rFonts w:ascii="Arial" w:cs="Arial" w:eastAsia="Arial" w:hAnsi="Arial"/>
                <w:sz w:val="14"/>
                <w:szCs w:val="14"/>
                <w:color w:val="auto"/>
              </w:rPr>
              <w:t>Americas</w:t>
            </w:r>
          </w:p>
        </w:tc>
        <w:tc>
          <w:tcPr>
            <w:tcW w:w="1160" w:type="dxa"/>
            <w:vAlign w:val="bottom"/>
          </w:tcPr>
          <w:p>
            <w:pPr>
              <w:jc w:val="right"/>
              <w:spacing w:after="0"/>
              <w:rPr>
                <w:sz w:val="20"/>
                <w:szCs w:val="20"/>
                <w:color w:val="auto"/>
              </w:rPr>
            </w:pPr>
            <w:r>
              <w:rPr>
                <w:rFonts w:ascii="Arial" w:cs="Arial" w:eastAsia="Arial" w:hAnsi="Arial"/>
                <w:sz w:val="14"/>
                <w:szCs w:val="14"/>
                <w:color w:val="auto"/>
              </w:rPr>
              <w:t>121,000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72.0 %</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129,000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73.7 %</w:t>
            </w:r>
          </w:p>
        </w:tc>
        <w:tc>
          <w:tcPr>
            <w:tcW w:w="100" w:type="dxa"/>
            <w:vAlign w:val="bottom"/>
          </w:tcPr>
          <w:p>
            <w:pPr>
              <w:spacing w:after="0"/>
              <w:rPr>
                <w:sz w:val="15"/>
                <w:szCs w:val="15"/>
                <w:color w:val="auto"/>
              </w:rPr>
            </w:pPr>
          </w:p>
        </w:tc>
        <w:tc>
          <w:tcPr>
            <w:tcW w:w="1180" w:type="dxa"/>
            <w:vAlign w:val="bottom"/>
          </w:tcPr>
          <w:p>
            <w:pPr>
              <w:jc w:val="center"/>
              <w:ind w:left="652"/>
              <w:spacing w:after="0"/>
              <w:rPr>
                <w:sz w:val="20"/>
                <w:szCs w:val="20"/>
                <w:color w:val="auto"/>
              </w:rPr>
            </w:pPr>
            <w:r>
              <w:rPr>
                <w:rFonts w:ascii="Arial" w:cs="Arial" w:eastAsia="Arial" w:hAnsi="Arial"/>
                <w:sz w:val="14"/>
                <w:szCs w:val="14"/>
                <w:color w:val="auto"/>
                <w:w w:val="94"/>
              </w:rPr>
              <w:t>(8,000)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Asia/Pacific &amp; Europe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28.0 %</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46,000</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672"/>
              <w:spacing w:after="0"/>
              <w:rPr>
                <w:sz w:val="20"/>
                <w:szCs w:val="20"/>
                <w:color w:val="auto"/>
              </w:rPr>
            </w:pPr>
            <w:r>
              <w:rPr>
                <w:rFonts w:ascii="Arial" w:cs="Arial" w:eastAsia="Arial" w:hAnsi="Arial"/>
                <w:sz w:val="14"/>
                <w:szCs w:val="14"/>
                <w:color w:val="auto"/>
                <w:w w:val="91"/>
              </w:rPr>
              <w:t>1,000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71"/>
        </w:trPr>
        <w:tc>
          <w:tcPr>
            <w:tcW w:w="3400" w:type="dxa"/>
            <w:vAlign w:val="bottom"/>
          </w:tcPr>
          <w:p>
            <w:pPr>
              <w:ind w:left="300"/>
              <w:spacing w:after="0"/>
              <w:rPr>
                <w:sz w:val="20"/>
                <w:szCs w:val="20"/>
                <w:color w:val="auto"/>
              </w:rPr>
            </w:pPr>
            <w:r>
              <w:rPr>
                <w:rFonts w:ascii="Arial" w:cs="Arial" w:eastAsia="Arial" w:hAnsi="Arial"/>
                <w:sz w:val="14"/>
                <w:szCs w:val="14"/>
                <w:color w:val="auto"/>
              </w:rPr>
              <w:t>Total Active Accounts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168,000</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175,000</w:t>
            </w: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ind w:left="652"/>
              <w:spacing w:after="0"/>
              <w:rPr>
                <w:sz w:val="20"/>
                <w:szCs w:val="20"/>
                <w:color w:val="auto"/>
              </w:rPr>
            </w:pPr>
            <w:r>
              <w:rPr>
                <w:rFonts w:ascii="Arial" w:cs="Arial" w:eastAsia="Arial" w:hAnsi="Arial"/>
                <w:sz w:val="14"/>
                <w:szCs w:val="14"/>
                <w:color w:val="auto"/>
                <w:w w:val="94"/>
              </w:rPr>
              <w:t>(7,000)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Three and Nine Months ended March 31, 2021 and 2020</w:t>
      </w:r>
    </w:p>
    <w:p>
      <w:pPr>
        <w:spacing w:after="0" w:line="115" w:lineRule="exact"/>
        <w:rPr>
          <w:sz w:val="20"/>
          <w:szCs w:val="20"/>
          <w:color w:val="auto"/>
        </w:rPr>
      </w:pPr>
    </w:p>
    <w:p>
      <w:pPr>
        <w:jc w:val="both"/>
        <w:ind w:right="180" w:firstLine="318"/>
        <w:spacing w:after="0" w:line="267"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We generated net revenue of $51.6 million and $56.1 million during the three months ended March 31, 2021 and 2020, respectively. We generated net revenue of $165.4 million and</w:t>
      </w:r>
      <w:r>
        <w:rPr>
          <w:rFonts w:ascii="Arial" w:cs="Arial" w:eastAsia="Arial" w:hAnsi="Arial"/>
          <w:sz w:val="14"/>
          <w:szCs w:val="14"/>
          <w:i w:val="1"/>
          <w:iCs w:val="1"/>
          <w:color w:val="auto"/>
        </w:rPr>
        <w:t xml:space="preserve"> </w:t>
      </w:r>
      <w:r>
        <w:rPr>
          <w:rFonts w:ascii="Arial" w:cs="Arial" w:eastAsia="Arial" w:hAnsi="Arial"/>
          <w:sz w:val="14"/>
          <w:szCs w:val="14"/>
          <w:color w:val="auto"/>
        </w:rPr>
        <w:t>$173.5 million during the nine months ended March 31, 2021 and 2020, respectively. Foreign currency fluctuations positively impacted our revenue $0.9 million or 1.6% and $1.8 million or 1.0% during the three and nine months ended March 31, 2021, respectively.</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Americas</w:t>
      </w:r>
      <w:r>
        <w:rPr>
          <w:rFonts w:ascii="Arial" w:cs="Arial" w:eastAsia="Arial" w:hAnsi="Arial"/>
          <w:sz w:val="14"/>
          <w:szCs w:val="14"/>
          <w:color w:val="auto"/>
        </w:rPr>
        <w:t>. The following table sets forth revenue for the three and nine months ended March 31, 2021 and 2020 for the Americas region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1"/>
                <w:szCs w:val="11"/>
                <w:b w:val="1"/>
                <w:bCs w:val="1"/>
                <w:color w:val="auto"/>
              </w:rPr>
              <w:t>Nine Months Ended March 31,</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35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Arial" w:cs="Arial" w:eastAsia="Arial" w:hAnsi="Arial"/>
                <w:sz w:val="11"/>
                <w:szCs w:val="11"/>
                <w:b w:val="1"/>
                <w:bCs w:val="1"/>
                <w:color w:val="auto"/>
              </w:rPr>
              <w:t>% Change</w:t>
            </w:r>
          </w:p>
        </w:tc>
        <w:tc>
          <w:tcPr>
            <w:tcW w:w="280" w:type="dxa"/>
            <w:vAlign w:val="bottom"/>
          </w:tcPr>
          <w:p>
            <w:pPr>
              <w:spacing w:after="0"/>
              <w:rPr>
                <w:sz w:val="13"/>
                <w:szCs w:val="13"/>
                <w:color w:val="auto"/>
              </w:rPr>
            </w:pPr>
          </w:p>
        </w:tc>
        <w:tc>
          <w:tcPr>
            <w:tcW w:w="900" w:type="dxa"/>
            <w:vAlign w:val="bottom"/>
          </w:tcPr>
          <w:p>
            <w:pPr>
              <w:jc w:val="right"/>
              <w:ind w:right="41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1"/>
                <w:szCs w:val="11"/>
                <w:b w:val="1"/>
                <w:bCs w:val="1"/>
                <w:color w:val="auto"/>
              </w:rPr>
              <w:t>% Change</w:t>
            </w:r>
          </w:p>
        </w:tc>
      </w:tr>
      <w:tr>
        <w:trPr>
          <w:trHeight w:val="175"/>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20" w:type="dxa"/>
            <w:vAlign w:val="bottom"/>
            <w:tcBorders>
              <w:top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34,068</w:t>
            </w:r>
          </w:p>
        </w:tc>
        <w:tc>
          <w:tcPr>
            <w:tcW w:w="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37,720</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109,593</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116,421</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8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(10.2)%</w:t>
            </w:r>
          </w:p>
        </w:tc>
      </w:tr>
      <w:tr>
        <w:trPr>
          <w:trHeight w:val="196"/>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Americas Total</w:t>
            </w:r>
          </w:p>
        </w:tc>
        <w:tc>
          <w:tcPr>
            <w:tcW w:w="72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36,421</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40,181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124,646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95" w:lineRule="exact"/>
        <w:rPr>
          <w:sz w:val="20"/>
          <w:szCs w:val="20"/>
          <w:color w:val="auto"/>
        </w:rPr>
      </w:pPr>
    </w:p>
    <w:p>
      <w:pPr>
        <w:ind w:right="20" w:firstLine="318"/>
        <w:spacing w:after="0" w:line="243" w:lineRule="auto"/>
        <w:rPr>
          <w:sz w:val="20"/>
          <w:szCs w:val="20"/>
          <w:color w:val="auto"/>
        </w:rPr>
      </w:pPr>
      <w:r>
        <w:rPr>
          <w:rFonts w:ascii="Arial" w:cs="Arial" w:eastAsia="Arial" w:hAnsi="Arial"/>
          <w:sz w:val="13"/>
          <w:szCs w:val="13"/>
          <w:color w:val="auto"/>
        </w:rPr>
        <w:t>Revenue in the Americas region for the three and nine months ended March 31, 2021 decreased $3.8 million or 9.4% and $7.7 million or 6.2%, respectively, from the prior year periods. Total Active Accounts decreased by 6.2% in the region compared to the prior year period which drove the decrease in revenue. Additionally, during our prior year October 2019 global convention, we launched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which generated significant revenue during the prior year periods. The decrease in revenue for the three months ended March 31, 2021 relative to the prior year period was partially offset by encouraging initial sales of our new LifeVantage</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Daily Wellness product which we launched during the three months ended March 31, 2021 and our virtual Elite Academy held in March 2021. The decrease in revenue for the nine months ended March 31, 2021 relative to the prior year period was partially offset by revenue generated from the expansion of our Axio</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drink mix line up with the launch of new, limited-time only flavors during our October 2020 virtual convention, as well as increased average revenue per account as compared to the prior year periods and increased sales associated with various product promotions during our second fiscal quarter.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3" w:name="page24"/>
    <w:bookmarkEnd w:id="23"/>
    <w:p>
      <w:pPr>
        <w:ind w:right="140" w:firstLine="318"/>
        <w:spacing w:after="0" w:line="281" w:lineRule="auto"/>
        <w:rPr>
          <w:sz w:val="20"/>
          <w:szCs w:val="20"/>
          <w:color w:val="auto"/>
        </w:rPr>
      </w:pPr>
      <w:r>
        <w:rPr>
          <w:rFonts w:ascii="Arial" w:cs="Arial" w:eastAsia="Arial" w:hAnsi="Arial"/>
          <w:sz w:val="14"/>
          <w:szCs w:val="14"/>
          <w:u w:val="single" w:color="auto"/>
          <w:color w:val="auto"/>
        </w:rPr>
        <w:t>Asia/Pacific &amp; Europe</w:t>
      </w:r>
      <w:r>
        <w:rPr>
          <w:rFonts w:ascii="Arial" w:cs="Arial" w:eastAsia="Arial" w:hAnsi="Arial"/>
          <w:sz w:val="14"/>
          <w:szCs w:val="14"/>
          <w:color w:val="auto"/>
        </w:rPr>
        <w:t>. The following table sets forth revenue for the three and nine months ended March 31, 2021 and 2020 for the Asia/Pacific &amp; Europe region and its principal markets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20" w:type="dxa"/>
            <w:vAlign w:val="bottom"/>
          </w:tcPr>
          <w:p>
            <w:pPr>
              <w:spacing w:after="0"/>
              <w:rPr>
                <w:sz w:val="13"/>
                <w:szCs w:val="13"/>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Three Months Ended March 31,</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1"/>
                <w:szCs w:val="11"/>
                <w:b w:val="1"/>
                <w:bCs w:val="1"/>
                <w:color w:val="auto"/>
              </w:rPr>
              <w:t>Nine Months Ended March 31,</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35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2020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380"/>
              <w:spacing w:after="0"/>
              <w:rPr>
                <w:sz w:val="20"/>
                <w:szCs w:val="20"/>
                <w:color w:val="auto"/>
              </w:rPr>
            </w:pPr>
            <w:r>
              <w:rPr>
                <w:rFonts w:ascii="Arial" w:cs="Arial" w:eastAsia="Arial" w:hAnsi="Arial"/>
                <w:sz w:val="11"/>
                <w:szCs w:val="11"/>
                <w:b w:val="1"/>
                <w:bCs w:val="1"/>
                <w:color w:val="auto"/>
              </w:rPr>
              <w:t>% Change</w:t>
            </w:r>
          </w:p>
        </w:tc>
        <w:tc>
          <w:tcPr>
            <w:tcW w:w="280" w:type="dxa"/>
            <w:vAlign w:val="bottom"/>
          </w:tcPr>
          <w:p>
            <w:pPr>
              <w:spacing w:after="0"/>
              <w:rPr>
                <w:sz w:val="13"/>
                <w:szCs w:val="13"/>
                <w:color w:val="auto"/>
              </w:rPr>
            </w:pPr>
          </w:p>
        </w:tc>
        <w:tc>
          <w:tcPr>
            <w:tcW w:w="900" w:type="dxa"/>
            <w:vAlign w:val="bottom"/>
          </w:tcPr>
          <w:p>
            <w:pPr>
              <w:jc w:val="right"/>
              <w:ind w:right="41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412"/>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300" w:type="dxa"/>
            <w:vAlign w:val="bottom"/>
          </w:tcPr>
          <w:p>
            <w:pPr>
              <w:jc w:val="right"/>
              <w:ind w:right="316"/>
              <w:spacing w:after="0"/>
              <w:rPr>
                <w:sz w:val="20"/>
                <w:szCs w:val="20"/>
                <w:color w:val="auto"/>
              </w:rPr>
            </w:pPr>
            <w:r>
              <w:rPr>
                <w:rFonts w:ascii="Arial" w:cs="Arial" w:eastAsia="Arial" w:hAnsi="Arial"/>
                <w:sz w:val="11"/>
                <w:szCs w:val="11"/>
                <w:b w:val="1"/>
                <w:bCs w:val="1"/>
                <w:color w:val="auto"/>
              </w:rPr>
              <w:t>% Change</w:t>
            </w:r>
          </w:p>
        </w:tc>
      </w:tr>
      <w:tr>
        <w:trPr>
          <w:trHeight w:val="175"/>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Japan</w:t>
            </w: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9,622</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9,986</w:t>
            </w:r>
          </w:p>
        </w:tc>
        <w:tc>
          <w:tcPr>
            <w:tcW w:w="10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31,172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31,541</w:t>
            </w: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color w:val="auto"/>
              </w:rPr>
              <w:t>Australia &amp; New Zealand</w:t>
            </w:r>
          </w:p>
        </w:tc>
        <w:tc>
          <w:tcPr>
            <w:tcW w:w="7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2,808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2,154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30.4 %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7,791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6,781</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14.9 %</w:t>
            </w:r>
          </w:p>
        </w:tc>
      </w:tr>
      <w:tr>
        <w:trPr>
          <w:trHeight w:val="181"/>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China</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18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Asia/Pacific &amp; Europe Total</w:t>
            </w: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15,149</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15,896</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48,901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06" w:lineRule="exact"/>
        <w:rPr>
          <w:sz w:val="20"/>
          <w:szCs w:val="20"/>
          <w:color w:val="auto"/>
        </w:rPr>
      </w:pPr>
    </w:p>
    <w:p>
      <w:pPr>
        <w:ind w:right="40" w:firstLine="318"/>
        <w:spacing w:after="0" w:line="260" w:lineRule="auto"/>
        <w:rPr>
          <w:sz w:val="20"/>
          <w:szCs w:val="20"/>
          <w:color w:val="auto"/>
        </w:rPr>
      </w:pPr>
      <w:r>
        <w:rPr>
          <w:rFonts w:ascii="Arial" w:cs="Arial" w:eastAsia="Arial" w:hAnsi="Arial"/>
          <w:sz w:val="14"/>
          <w:szCs w:val="14"/>
          <w:color w:val="auto"/>
        </w:rPr>
        <w:t>Revenue in the Asia/Pacific &amp; Europe region decreased $0.7 million or 4.7% and $0.5 million or 1.0% for the three and nine months ended March 31, 2021, respectively, as compared to the prior year periods. Active Accounts in the region increased 2.2% compared to the prior year period. Japan revenues, on a full year over year basis, are down slightly, due to continued restrictions in place for in person meetings and recruiting due to the COVID-19 pandemic. We continue to be encouraged by the results we are seeing in our Australia and New Zealand region following the full on the ground launch of New Zealand in November 2019. We continue to experience weakening in our Greater China market in the current year period and are seeing decreases in both our Thailand and European markets as well.</w:t>
      </w:r>
    </w:p>
    <w:p>
      <w:pPr>
        <w:spacing w:after="0" w:line="93"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color w:val="auto"/>
        </w:rPr>
        <w:t>Revenue in the Asia/Pacific &amp; Europe region was positively impacted by foreign currency exchange rate fluctuations in the amount of approximately $0.8 million or 5.3% and $1.9 million or 3.9% during the three and nine months ended March 31, 2021, respectively, as compared to the prior year periods. Revenue in Japan was positively impacted by foreign exchange rate fluctuations in the amount of approximately $0.3 million or 2.6% and $0.8 million or 2.6% during the three and nine months ended March 31, 2021, respectively, as compared to the prior year periods. On a constant currency basis, revenue in Japan decreased 6.3% and 3.5% for the three and nine months ended March 31, 2021, respectively, as compared to the prior year periods.</w:t>
      </w:r>
    </w:p>
    <w:p>
      <w:pPr>
        <w:spacing w:after="0" w:line="68" w:lineRule="exact"/>
        <w:rPr>
          <w:sz w:val="20"/>
          <w:szCs w:val="20"/>
          <w:color w:val="auto"/>
        </w:rPr>
      </w:pPr>
    </w:p>
    <w:p>
      <w:pPr>
        <w:ind w:firstLine="318"/>
        <w:spacing w:after="0" w:line="267" w:lineRule="auto"/>
        <w:rPr>
          <w:sz w:val="20"/>
          <w:szCs w:val="20"/>
          <w:color w:val="auto"/>
        </w:rPr>
      </w:pPr>
      <w:r>
        <w:rPr>
          <w:rFonts w:ascii="Arial" w:cs="Arial" w:eastAsia="Arial" w:hAnsi="Arial"/>
          <w:sz w:val="13"/>
          <w:szCs w:val="13"/>
          <w:color w:val="auto"/>
        </w:rPr>
        <w:t>Globally, we continue to focus on strengthening our core business with a focus on initiatives and programs to increase our total active accounts. Our fiscal 2021 initiatives focus on strengthening our subscription services and programs, further supporting and growing our revenues for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that was launched in October 2019, expanding our global footprint through new market launches and enhancing our product lines in international markets, the roll out of customer referral and loyalty programs, enhancements to our various internal and external systems, and the continued development and improvement of distributor training tools and technologies that will help our independent distributors grow their businesses and improve the customer experience. During the remainder of fiscal 2021 we plan to focus our efforts on the roll out of new and optimization of current programs designed to better support our independent distributors build and maintain strong businesses. These activities have been developed and designed to help increase enrollments of new independent distributors and customers, retain new and existing independent distributors and customers, increase average revenue per account and improve our independent distributor and customer experience. We plan on further evaluating and improving our internal systems and business model in order to strengthen and adapt our business to the current and post pandemic environment.</w:t>
      </w:r>
    </w:p>
    <w:p>
      <w:pPr>
        <w:spacing w:after="0" w:line="200" w:lineRule="exact"/>
        <w:rPr>
          <w:sz w:val="20"/>
          <w:szCs w:val="20"/>
          <w:color w:val="auto"/>
        </w:rPr>
      </w:pPr>
    </w:p>
    <w:p>
      <w:pPr>
        <w:spacing w:after="0" w:line="201" w:lineRule="exact"/>
        <w:rPr>
          <w:sz w:val="20"/>
          <w:szCs w:val="20"/>
          <w:color w:val="auto"/>
        </w:rPr>
      </w:pPr>
    </w:p>
    <w:p>
      <w:pPr>
        <w:ind w:right="340" w:firstLine="318"/>
        <w:spacing w:after="0" w:line="262" w:lineRule="auto"/>
        <w:rPr>
          <w:sz w:val="20"/>
          <w:szCs w:val="20"/>
          <w:color w:val="auto"/>
        </w:rPr>
      </w:pPr>
      <w:r>
        <w:rPr>
          <w:rFonts w:ascii="Arial" w:cs="Arial" w:eastAsia="Arial" w:hAnsi="Arial"/>
          <w:sz w:val="14"/>
          <w:szCs w:val="14"/>
          <w:i w:val="1"/>
          <w:iCs w:val="1"/>
          <w:color w:val="auto"/>
        </w:rPr>
        <w:t xml:space="preserve">Gross Margin. </w:t>
      </w:r>
      <w:r>
        <w:rPr>
          <w:rFonts w:ascii="Arial" w:cs="Arial" w:eastAsia="Arial" w:hAnsi="Arial"/>
          <w:sz w:val="14"/>
          <w:szCs w:val="14"/>
          <w:color w:val="auto"/>
        </w:rPr>
        <w:t>Our gross profit percentage for the three months ended March 31, 2021 and 2020 was 82.9% and 83.8%, respectively. Our gross profit percentage for the nine months ended</w:t>
      </w:r>
      <w:r>
        <w:rPr>
          <w:rFonts w:ascii="Arial" w:cs="Arial" w:eastAsia="Arial" w:hAnsi="Arial"/>
          <w:sz w:val="14"/>
          <w:szCs w:val="14"/>
          <w:i w:val="1"/>
          <w:iCs w:val="1"/>
          <w:color w:val="auto"/>
        </w:rPr>
        <w:t xml:space="preserve"> </w:t>
      </w:r>
      <w:r>
        <w:rPr>
          <w:rFonts w:ascii="Arial" w:cs="Arial" w:eastAsia="Arial" w:hAnsi="Arial"/>
          <w:sz w:val="14"/>
          <w:szCs w:val="14"/>
          <w:color w:val="auto"/>
        </w:rPr>
        <w:t>March 31, 2021 and 2020 was 82.8% and 83.6%, respectively. The decrease in gross margins, as compared to the prior year periods, is primarily due to increased shipping to customer expenses during the current year period, decreased fee revenues as a result of fewer distributor meetings being held during the current year period due to the COVID-19 pandemic, as well as shifts in geographic and product sales mix.</w:t>
      </w:r>
    </w:p>
    <w:p>
      <w:pPr>
        <w:spacing w:after="0" w:line="82" w:lineRule="exact"/>
        <w:rPr>
          <w:sz w:val="20"/>
          <w:szCs w:val="20"/>
          <w:color w:val="auto"/>
        </w:rPr>
      </w:pPr>
    </w:p>
    <w:p>
      <w:pPr>
        <w:ind w:right="60" w:firstLine="318"/>
        <w:spacing w:after="0" w:line="280" w:lineRule="auto"/>
        <w:rPr>
          <w:sz w:val="20"/>
          <w:szCs w:val="20"/>
          <w:color w:val="auto"/>
        </w:rPr>
      </w:pPr>
      <w:r>
        <w:rPr>
          <w:rFonts w:ascii="Arial" w:cs="Arial" w:eastAsia="Arial" w:hAnsi="Arial"/>
          <w:sz w:val="13"/>
          <w:szCs w:val="13"/>
          <w:i w:val="1"/>
          <w:iCs w:val="1"/>
          <w:color w:val="auto"/>
        </w:rPr>
        <w:t xml:space="preserve">Commissions and Incentives. </w:t>
      </w:r>
      <w:r>
        <w:rPr>
          <w:rFonts w:ascii="Arial" w:cs="Arial" w:eastAsia="Arial" w:hAnsi="Arial"/>
          <w:sz w:val="13"/>
          <w:szCs w:val="13"/>
          <w:color w:val="auto"/>
        </w:rPr>
        <w:t>Commissions and incentives expenses during the three months ended March 31, 2021 were $25.2 million or 48.8% of revenue as compared to commissions and</w:t>
      </w:r>
      <w:r>
        <w:rPr>
          <w:rFonts w:ascii="Arial" w:cs="Arial" w:eastAsia="Arial" w:hAnsi="Arial"/>
          <w:sz w:val="13"/>
          <w:szCs w:val="13"/>
          <w:i w:val="1"/>
          <w:iCs w:val="1"/>
          <w:color w:val="auto"/>
        </w:rPr>
        <w:t xml:space="preserve"> </w:t>
      </w:r>
      <w:r>
        <w:rPr>
          <w:rFonts w:ascii="Arial" w:cs="Arial" w:eastAsia="Arial" w:hAnsi="Arial"/>
          <w:sz w:val="13"/>
          <w:szCs w:val="13"/>
          <w:color w:val="auto"/>
        </w:rPr>
        <w:t>incentives expenses of $26.7 million or 47.6% of revenue for the three months ended March 31, 2020. Commissions and incentives expenses during the nine months ended March 31, 2021 were $77.9 million or 47.1% of revenue as compared to commissions and incentives expenses of $82.7 million or 47.6% of revenue for the nine months ended March 31, 2020. The increase in commissions and incentives expenses as a percentage of revenue for the three months ended March 31, 2021 compared to 2020 is due mainly to increased costs and accruals associated with distributor recognition events and incentive trip promotions. The decrease in commissions and incentives expenses as a percentage of revenue for the nine months ended March 31, 2021 compared to 2020 is due mainly to the timing and magnitude of investments in our promotional and incentive programs and our red carpet program. These programs have been limited due to the COVID-19 pandemic which has restricted our ability to hold promotional and incentive events and activities.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4" w:name="page25"/>
    <w:bookmarkEnd w:id="24"/>
    <w:p>
      <w:pPr>
        <w:ind w:right="400" w:firstLine="318"/>
        <w:spacing w:after="0" w:line="321" w:lineRule="auto"/>
        <w:rPr>
          <w:sz w:val="20"/>
          <w:szCs w:val="20"/>
          <w:color w:val="auto"/>
        </w:rPr>
      </w:pPr>
      <w:r>
        <w:rPr>
          <w:rFonts w:ascii="Arial" w:cs="Arial" w:eastAsia="Arial" w:hAnsi="Arial"/>
          <w:sz w:val="13"/>
          <w:szCs w:val="13"/>
          <w:color w:val="auto"/>
        </w:rPr>
        <w:t>We expect commissions and incentives expenses for the remainder of fiscal 2021, as a percentage of revenue, to fluctuate slightly as we continue to adapt our operating plan to the current business environment and continue to be opportunistic with investments in promotional and incentive programs and our red carpet program to drive revenue growth.</w:t>
      </w:r>
    </w:p>
    <w:p>
      <w:pPr>
        <w:spacing w:after="0" w:line="46" w:lineRule="exact"/>
        <w:rPr>
          <w:sz w:val="20"/>
          <w:szCs w:val="20"/>
          <w:color w:val="auto"/>
        </w:rPr>
      </w:pPr>
    </w:p>
    <w:p>
      <w:pPr>
        <w:ind w:firstLine="318"/>
        <w:spacing w:after="0" w:line="279"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during the three months ended March 31, 2021 were $15.5 million or 30.1% of revenue as compared to selling,</w:t>
      </w:r>
      <w:r>
        <w:rPr>
          <w:rFonts w:ascii="Arial" w:cs="Arial" w:eastAsia="Arial" w:hAnsi="Arial"/>
          <w:sz w:val="13"/>
          <w:szCs w:val="13"/>
          <w:i w:val="1"/>
          <w:iCs w:val="1"/>
          <w:color w:val="auto"/>
        </w:rPr>
        <w:t xml:space="preserve"> </w:t>
      </w:r>
      <w:r>
        <w:rPr>
          <w:rFonts w:ascii="Arial" w:cs="Arial" w:eastAsia="Arial" w:hAnsi="Arial"/>
          <w:sz w:val="13"/>
          <w:szCs w:val="13"/>
          <w:color w:val="auto"/>
        </w:rPr>
        <w:t>general and administrative expenses of $17.3 million or 30.8% of revenue for the three months ended March 31, 2020. Selling, general and administrative expenses during the nine months ended March 31, 2021 were $48.0 million or 29.0% of revenue as compared to selling, general and administrative expenses of $53.1 million or 30.6% of revenue for the nine months ended March 31, 2020. The decrease in selling, general and administrative expenses during the three and nine months ended March 31, 2021 compared to the prior year periods is primarily due to decreased event and travel expenses, due to restrictions on group meetings associated with the COVID-19 pandemic, as well as decreased incentive and stock compensation expenses due, in part, to the reversal of unvested stock awards due to departure of executives during the current year periods. These decreases were partially offset by increased executive severance and transition expenses, legal expenses, depreciation expenses associated with our investment in new technology assets that have been placed in service; and increased depreciation in corporate office leasehold improvements due to the exercise of an early termination clause in our Sandy, Utah corporate office lease.</w:t>
      </w:r>
    </w:p>
    <w:p>
      <w:pPr>
        <w:spacing w:after="0" w:line="84"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We expect selling, general and administrative expenses, as a percent of revenue, to remain steady during the remainder of the fiscal year as we adapt our operating plan to the COVID-19 business environment, resume some virtual and in-person distributor trainings and events as we are able, leverage current spending and execute on our strategic investments and initiatives designed to increase revenue, and due to the timing of product and market launches and other planned events during the year.</w:t>
      </w:r>
    </w:p>
    <w:p>
      <w:pPr>
        <w:spacing w:after="0" w:line="89" w:lineRule="exact"/>
        <w:rPr>
          <w:sz w:val="20"/>
          <w:szCs w:val="20"/>
          <w:color w:val="auto"/>
        </w:rPr>
      </w:pPr>
    </w:p>
    <w:p>
      <w:pPr>
        <w:jc w:val="both"/>
        <w:ind w:right="360" w:firstLine="350"/>
        <w:spacing w:after="0" w:line="267" w:lineRule="auto"/>
        <w:rPr>
          <w:sz w:val="20"/>
          <w:szCs w:val="20"/>
          <w:color w:val="auto"/>
        </w:rPr>
      </w:pPr>
      <w:r>
        <w:rPr>
          <w:rFonts w:ascii="Arial" w:cs="Arial" w:eastAsia="Arial" w:hAnsi="Arial"/>
          <w:sz w:val="14"/>
          <w:szCs w:val="14"/>
          <w:i w:val="1"/>
          <w:iCs w:val="1"/>
          <w:color w:val="auto"/>
        </w:rPr>
        <w:t xml:space="preserve">Total Other Expense. </w:t>
      </w:r>
      <w:r>
        <w:rPr>
          <w:rFonts w:ascii="Arial" w:cs="Arial" w:eastAsia="Arial" w:hAnsi="Arial"/>
          <w:sz w:val="14"/>
          <w:szCs w:val="14"/>
          <w:color w:val="auto"/>
        </w:rPr>
        <w:t>During the three and nine months ended March 31, 2021, we recognized total other expense of $0.3 million and $0.3 million, respectively, as compared to total other</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of $0.4 million and $0.7 million, respectively, for the three and nine months ended March 31, 2020. Total other expense for the three and nine months ended March 31, 2021 and 2020 consisted primarily of foreign currency gains and losses and interest expense.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interest expense for the three and nine months ended March 31, 2021 and 2020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2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1"/>
                <w:szCs w:val="11"/>
                <w:b w:val="1"/>
                <w:bCs w:val="1"/>
                <w:color w:val="auto"/>
              </w:rPr>
              <w:t>Three Months Ended March 31,</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1"/>
                <w:szCs w:val="11"/>
                <w:b w:val="1"/>
                <w:bCs w:val="1"/>
                <w:color w:val="auto"/>
              </w:rPr>
              <w:t>Nine Months Ended March 31,</w:t>
            </w:r>
          </w:p>
        </w:tc>
      </w:tr>
      <w:tr>
        <w:trPr>
          <w:trHeight w:val="160"/>
        </w:trPr>
        <w:tc>
          <w:tcPr>
            <w:tcW w:w="52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2020</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r>
      <w:tr>
        <w:trPr>
          <w:trHeight w:val="165"/>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interest expense:</w:t>
            </w: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2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040" w:type="dxa"/>
            <w:vAlign w:val="bottom"/>
          </w:tcPr>
          <w:p>
            <w:pPr>
              <w:jc w:val="right"/>
              <w:ind w:right="896"/>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74"/>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fees:</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0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debt discount:</w:t>
            </w: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5220" w:type="dxa"/>
            <w:vAlign w:val="bottom"/>
          </w:tcPr>
          <w:p>
            <w:pPr>
              <w:ind w:left="120"/>
              <w:spacing w:after="0"/>
              <w:rPr>
                <w:sz w:val="20"/>
                <w:szCs w:val="20"/>
                <w:color w:val="auto"/>
              </w:rPr>
            </w:pPr>
            <w:r>
              <w:rPr>
                <w:rFonts w:ascii="Arial" w:cs="Arial" w:eastAsia="Arial" w:hAnsi="Arial"/>
                <w:sz w:val="14"/>
                <w:szCs w:val="14"/>
                <w:color w:val="auto"/>
              </w:rPr>
              <w:t>2016 Term Loan</w:t>
            </w:r>
          </w:p>
        </w:tc>
        <w:tc>
          <w:tcPr>
            <w:tcW w:w="10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71"/>
        </w:trPr>
        <w:tc>
          <w:tcPr>
            <w:tcW w:w="5220" w:type="dxa"/>
            <w:vAlign w:val="bottom"/>
          </w:tcPr>
          <w:p>
            <w:pPr>
              <w:ind w:left="20"/>
              <w:spacing w:after="0"/>
              <w:rPr>
                <w:sz w:val="20"/>
                <w:szCs w:val="20"/>
                <w:color w:val="auto"/>
              </w:rPr>
            </w:pPr>
            <w:r>
              <w:rPr>
                <w:rFonts w:ascii="Arial" w:cs="Arial" w:eastAsia="Arial" w:hAnsi="Arial"/>
                <w:sz w:val="14"/>
                <w:szCs w:val="14"/>
                <w:color w:val="auto"/>
              </w:rPr>
              <w:t>Total interest expense</w:t>
            </w:r>
          </w:p>
        </w:tc>
        <w:tc>
          <w:tcPr>
            <w:tcW w:w="104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20"/>
        </w:trPr>
        <w:tc>
          <w:tcPr>
            <w:tcW w:w="5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jc w:val="both"/>
        <w:ind w:right="40" w:firstLine="318"/>
        <w:spacing w:after="0" w:line="281" w:lineRule="auto"/>
        <w:rPr>
          <w:sz w:val="20"/>
          <w:szCs w:val="20"/>
          <w:color w:val="auto"/>
        </w:rPr>
      </w:pPr>
      <w:r>
        <w:rPr>
          <w:rFonts w:ascii="Arial" w:cs="Arial" w:eastAsia="Arial" w:hAnsi="Arial"/>
          <w:sz w:val="14"/>
          <w:szCs w:val="14"/>
          <w:i w:val="1"/>
          <w:iCs w:val="1"/>
          <w:color w:val="auto"/>
        </w:rPr>
        <w:t>Income Tax Expense</w:t>
      </w:r>
      <w:r>
        <w:rPr>
          <w:rFonts w:ascii="Arial" w:cs="Arial" w:eastAsia="Arial" w:hAnsi="Arial"/>
          <w:sz w:val="14"/>
          <w:szCs w:val="14"/>
          <w:color w:val="auto"/>
        </w:rPr>
        <w:t>. We recognized income tax expense of $0.1 million and $2.8 million, respectively, for the three and nine months ended March 31, 2021, as compared to income tax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of $1.0 million and $0.8 million, respectively, for the three and nine months ended March 31, 2020.</w:t>
      </w:r>
    </w:p>
    <w:p>
      <w:pPr>
        <w:spacing w:after="0" w:line="69" w:lineRule="exact"/>
        <w:rPr>
          <w:sz w:val="20"/>
          <w:szCs w:val="20"/>
          <w:color w:val="auto"/>
        </w:rPr>
      </w:pPr>
    </w:p>
    <w:p>
      <w:pPr>
        <w:ind w:right="60" w:firstLine="318"/>
        <w:spacing w:after="0" w:line="267" w:lineRule="auto"/>
        <w:rPr>
          <w:sz w:val="20"/>
          <w:szCs w:val="20"/>
          <w:color w:val="auto"/>
        </w:rPr>
      </w:pPr>
      <w:r>
        <w:rPr>
          <w:rFonts w:ascii="Arial" w:cs="Arial" w:eastAsia="Arial" w:hAnsi="Arial"/>
          <w:sz w:val="14"/>
          <w:szCs w:val="14"/>
          <w:color w:val="auto"/>
        </w:rPr>
        <w:t>The effective tax rate was 25.7% of pre-tax income during the nine months ended March 31, 2021, compared to 9.9% for the prior year period. The change in the tax rate for fiscal 2021 was mainly due to less favorable tax deductions, relative to pre-tax income, associated with stock awards vesting during the current year, as compared to the prior year period and limitations on deduction of other compensation related items during the current year.</w:t>
      </w:r>
    </w:p>
    <w:p>
      <w:pPr>
        <w:spacing w:after="0" w:line="89" w:lineRule="exact"/>
        <w:rPr>
          <w:sz w:val="20"/>
          <w:szCs w:val="20"/>
          <w:color w:val="auto"/>
        </w:rPr>
      </w:pPr>
    </w:p>
    <w:p>
      <w:pPr>
        <w:jc w:val="both"/>
        <w:ind w:right="100" w:firstLine="318"/>
        <w:spacing w:after="0" w:line="267" w:lineRule="auto"/>
        <w:rPr>
          <w:sz w:val="20"/>
          <w:szCs w:val="20"/>
          <w:color w:val="auto"/>
        </w:rPr>
      </w:pPr>
      <w:r>
        <w:rPr>
          <w:rFonts w:ascii="Arial" w:cs="Arial" w:eastAsia="Arial" w:hAnsi="Arial"/>
          <w:sz w:val="14"/>
          <w:szCs w:val="14"/>
          <w:color w:val="auto"/>
        </w:rPr>
        <w:t>We expect that our effective tax rate will fluctuate slightly during the remainder of fiscal 2021 as the impact of discrete items related to vesting of stock awards and other permanent differences are recognized during the year; however, our tax rate can be significantly impacted by various book to tax differences and fluctuations in our stock price that occur during the year which are difficult to forecast.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Liquidity</w:t>
      </w:r>
    </w:p>
    <w:p>
      <w:pPr>
        <w:spacing w:after="0" w:line="125" w:lineRule="exact"/>
        <w:rPr>
          <w:sz w:val="20"/>
          <w:szCs w:val="20"/>
          <w:color w:val="auto"/>
        </w:rPr>
      </w:pPr>
    </w:p>
    <w:p>
      <w:pPr>
        <w:ind w:right="40" w:firstLine="318"/>
        <w:spacing w:after="0" w:line="267" w:lineRule="auto"/>
        <w:rPr>
          <w:sz w:val="20"/>
          <w:szCs w:val="20"/>
          <w:color w:val="auto"/>
        </w:rPr>
      </w:pPr>
      <w:r>
        <w:rPr>
          <w:rFonts w:ascii="Arial" w:cs="Arial" w:eastAsia="Arial" w:hAnsi="Arial"/>
          <w:sz w:val="14"/>
          <w:szCs w:val="14"/>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89"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As of March 31, 2021, our available liquidity was $19.0 million, which consisted of available cash and cash equivalents. This represents a decrease of $3.2 million from the $22.1 million in cash and cash equivalents as of June 30, 2020.</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During the nine months ended March 31, 2021, our net cash provided by operating activities was $7.9 million as compared to $9.0 million during the nine months ended March 31, 2020.</w:t>
      </w:r>
    </w:p>
    <w:p>
      <w:pPr>
        <w:spacing w:after="0" w:line="137"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During the nine months ended March 31, 2021, our net cash used in investing activities was $3.3 million, as a result of the purchase of fixed assets. During the nine months ended March 31, 2020, our net cash used in investing activities was $2.1 million, as a result of the purchase of fixed assets.</w:t>
      </w:r>
    </w:p>
    <w:p>
      <w:pPr>
        <w:spacing w:after="0" w:line="79" w:lineRule="exact"/>
        <w:rPr>
          <w:sz w:val="20"/>
          <w:szCs w:val="20"/>
          <w:color w:val="auto"/>
        </w:rPr>
      </w:pPr>
    </w:p>
    <w:p>
      <w:pPr>
        <w:ind w:right="20" w:firstLine="318"/>
        <w:spacing w:after="0" w:line="288" w:lineRule="auto"/>
        <w:rPr>
          <w:sz w:val="20"/>
          <w:szCs w:val="20"/>
          <w:color w:val="auto"/>
        </w:rPr>
      </w:pPr>
      <w:r>
        <w:rPr>
          <w:rFonts w:ascii="Arial" w:cs="Arial" w:eastAsia="Arial" w:hAnsi="Arial"/>
          <w:sz w:val="13"/>
          <w:szCs w:val="13"/>
          <w:color w:val="auto"/>
        </w:rPr>
        <w:t>Cash used in financing activities during the nine months ended March 31, 2021 was $7.8 million as a result of our repurchase of common stock and shares purchased as payment of tax withholding on vesting of equity awards, partially offset by proceeds from stock issued under our employee stock purchase plan and stock option exercises. Cash used in financing activities during the nine months ended March 31, 2020 was $12.3 million as a result of our repurchase of common stock, quarterly principal payments on the 2016 Term Loan and shares purchased as payment of tax withholding on vesting of equity awards, partially offset by proceeds from stock issued under our employee stock purchase plan and stock option exercises.</w:t>
      </w:r>
    </w:p>
    <w:p>
      <w:pPr>
        <w:spacing w:after="0" w:line="6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At March 31, 2021 and June 30, 2020, the total amount of our foreign subsidiary cash was $8.8 million and $6.8 million, respectively. The federal tax reform legislation that was passed into law during December 2017 enacted a 100% dividend deduction for &gt; 10% owned foreign corporations. Therefore, in the future, if needed, we expect to be able to repatriate cash from foreign subsidiaries without paying additional U.S. taxes.</w:t>
      </w:r>
    </w:p>
    <w:p>
      <w:pPr>
        <w:spacing w:after="0" w:line="89" w:lineRule="exact"/>
        <w:rPr>
          <w:sz w:val="20"/>
          <w:szCs w:val="20"/>
          <w:color w:val="auto"/>
        </w:rPr>
      </w:pPr>
    </w:p>
    <w:p>
      <w:pPr>
        <w:ind w:right="40" w:firstLine="318"/>
        <w:spacing w:after="0" w:line="257" w:lineRule="auto"/>
        <w:rPr>
          <w:sz w:val="20"/>
          <w:szCs w:val="20"/>
          <w:color w:val="auto"/>
        </w:rPr>
      </w:pPr>
      <w:r>
        <w:rPr>
          <w:rFonts w:ascii="Arial" w:cs="Arial" w:eastAsia="Arial" w:hAnsi="Arial"/>
          <w:sz w:val="14"/>
          <w:szCs w:val="14"/>
          <w:color w:val="auto"/>
        </w:rPr>
        <w:t>At March 31, 2021, we had working capital (current assets minus current liabilities) of $21.3 million, compared to working capital of $18.8 million at June 30, 2020.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Shelf Registration Statement</w:t>
      </w:r>
    </w:p>
    <w:p>
      <w:pPr>
        <w:spacing w:after="0" w:line="125" w:lineRule="exact"/>
        <w:rPr>
          <w:sz w:val="20"/>
          <w:szCs w:val="20"/>
          <w:color w:val="auto"/>
        </w:rPr>
      </w:pPr>
    </w:p>
    <w:p>
      <w:pPr>
        <w:ind w:right="220" w:firstLine="318"/>
        <w:spacing w:after="0" w:line="262" w:lineRule="auto"/>
        <w:rPr>
          <w:sz w:val="20"/>
          <w:szCs w:val="20"/>
          <w:color w:val="auto"/>
        </w:rPr>
      </w:pPr>
      <w:r>
        <w:rPr>
          <w:rFonts w:ascii="Arial" w:cs="Arial" w:eastAsia="Arial" w:hAnsi="Arial"/>
          <w:sz w:val="14"/>
          <w:szCs w:val="14"/>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2016 Credit Facility</w:t>
      </w:r>
    </w:p>
    <w:p>
      <w:pPr>
        <w:spacing w:after="0" w:line="115"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26" w:name="page27"/>
    <w:bookmarkEnd w:id="26"/>
    <w:p>
      <w:pPr>
        <w:ind w:right="420" w:firstLine="318"/>
        <w:spacing w:after="0" w:line="281" w:lineRule="auto"/>
        <w:rPr>
          <w:sz w:val="20"/>
          <w:szCs w:val="20"/>
          <w:color w:val="auto"/>
        </w:rPr>
      </w:pPr>
      <w:r>
        <w:rPr>
          <w:rFonts w:ascii="Arial" w:cs="Arial" w:eastAsia="Arial" w:hAnsi="Arial"/>
          <w:sz w:val="14"/>
          <w:szCs w:val="14"/>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69" w:lineRule="exact"/>
        <w:rPr>
          <w:sz w:val="20"/>
          <w:szCs w:val="20"/>
          <w:color w:val="auto"/>
        </w:rPr>
      </w:pPr>
    </w:p>
    <w:p>
      <w:pPr>
        <w:ind w:right="40" w:firstLine="318"/>
        <w:spacing w:after="0" w:line="284" w:lineRule="auto"/>
        <w:rPr>
          <w:sz w:val="20"/>
          <w:szCs w:val="20"/>
          <w:color w:val="auto"/>
        </w:rPr>
      </w:pPr>
      <w:r>
        <w:rPr>
          <w:rFonts w:ascii="Arial" w:cs="Arial" w:eastAsia="Arial" w:hAnsi="Arial"/>
          <w:sz w:val="13"/>
          <w:szCs w:val="13"/>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81"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9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4"/>
          <w:szCs w:val="14"/>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shall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83"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March 31, 2021, we were in compliance with all applicable non-financial and restrictive covenants under the 2016 Credit Facility, as amended.</w:t>
      </w:r>
    </w:p>
    <w:p>
      <w:pPr>
        <w:spacing w:after="0" w:line="93"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79" w:lineRule="exact"/>
        <w:rPr>
          <w:sz w:val="20"/>
          <w:szCs w:val="20"/>
          <w:color w:val="auto"/>
        </w:rPr>
      </w:pPr>
    </w:p>
    <w:p>
      <w:pPr>
        <w:ind w:left="520" w:right="6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Maintain a minimum fixed charge coverage ratio (as defined in the 2016 Loan Agreement, as amended) of at least 1.10 to 1.00 at the end of each fiscal quarter, measured on a trailing twelve month basis;</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Maintain minimum consolidated working capital (as defined in the 2016 Loan Agreement, as amended) at the end of each fiscal quarter of at least $6.0 million; and</w:t>
      </w:r>
    </w:p>
    <w:p>
      <w:pPr>
        <w:spacing w:after="0" w:line="125"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Maintain a ratio of debt (total liabilities) to tangible net worth (as defined in the 2016 Loan Agreement, as amended) of not greater than 2.00 to 1.00 at the end of each quarter, measured on a trailing twelve month basis.</w:t>
      </w:r>
    </w:p>
    <w:p>
      <w:pPr>
        <w:spacing w:after="0" w:line="79" w:lineRule="exact"/>
        <w:rPr>
          <w:sz w:val="20"/>
          <w:szCs w:val="20"/>
          <w:color w:val="auto"/>
        </w:rPr>
      </w:pPr>
    </w:p>
    <w:p>
      <w:pPr>
        <w:ind w:firstLine="318"/>
        <w:spacing w:after="0" w:line="281" w:lineRule="auto"/>
        <w:rPr>
          <w:sz w:val="20"/>
          <w:szCs w:val="20"/>
          <w:color w:val="auto"/>
        </w:rPr>
      </w:pPr>
      <w:r>
        <w:rPr>
          <w:rFonts w:ascii="Arial" w:cs="Arial" w:eastAsia="Arial" w:hAnsi="Arial"/>
          <w:sz w:val="14"/>
          <w:szCs w:val="14"/>
          <w:color w:val="auto"/>
        </w:rPr>
        <w:t>As of March 31, 2021,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During the three months ended March 31, 2020, we repaid, in full, the remaining balance of the 2016 Term Loan in accordance with the terms of the 2016 Credit Facility, as amended.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auto"/>
        </w:rPr>
        <w:t>Commitments and Obligations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summarizes our contractual payment obligations and commitments as of March 31,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1"/>
                <w:szCs w:val="11"/>
                <w:b w:val="1"/>
                <w:bCs w:val="1"/>
                <w:color w:val="auto"/>
              </w:rPr>
              <w:t>Payments due by period</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Contractual Obligations</w:t>
            </w:r>
          </w:p>
        </w:tc>
        <w:tc>
          <w:tcPr>
            <w:tcW w:w="280" w:type="dxa"/>
            <w:vAlign w:val="bottom"/>
          </w:tcPr>
          <w:p>
            <w:pPr>
              <w:spacing w:after="0"/>
              <w:rPr>
                <w:sz w:val="8"/>
                <w:szCs w:val="8"/>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Total</w:t>
            </w:r>
          </w:p>
        </w:tc>
        <w:tc>
          <w:tcPr>
            <w:tcW w:w="220" w:type="dxa"/>
            <w:vAlign w:val="bottom"/>
          </w:tcPr>
          <w:p>
            <w:pPr>
              <w:spacing w:after="0"/>
              <w:rPr>
                <w:sz w:val="8"/>
                <w:szCs w:val="8"/>
                <w:color w:val="auto"/>
              </w:rPr>
            </w:pPr>
          </w:p>
        </w:tc>
        <w:tc>
          <w:tcPr>
            <w:tcW w:w="1080" w:type="dxa"/>
            <w:vAlign w:val="bottom"/>
            <w:gridSpan w:val="2"/>
          </w:tcPr>
          <w:p>
            <w:pPr>
              <w:jc w:val="center"/>
              <w:ind w:right="340"/>
              <w:spacing w:after="0" w:line="101" w:lineRule="exact"/>
              <w:rPr>
                <w:sz w:val="20"/>
                <w:szCs w:val="20"/>
                <w:color w:val="auto"/>
              </w:rPr>
            </w:pPr>
            <w:r>
              <w:rPr>
                <w:rFonts w:ascii="Arial" w:cs="Arial" w:eastAsia="Arial" w:hAnsi="Arial"/>
                <w:sz w:val="11"/>
                <w:szCs w:val="11"/>
                <w:b w:val="1"/>
                <w:bCs w:val="1"/>
                <w:color w:val="auto"/>
                <w:w w:val="89"/>
              </w:rPr>
              <w:t>Less than</w:t>
            </w:r>
          </w:p>
        </w:tc>
        <w:tc>
          <w:tcPr>
            <w:tcW w:w="220" w:type="dxa"/>
            <w:vAlign w:val="bottom"/>
          </w:tcPr>
          <w:p>
            <w:pPr>
              <w:spacing w:after="0"/>
              <w:rPr>
                <w:sz w:val="8"/>
                <w:szCs w:val="8"/>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1-3 years</w:t>
            </w: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3-5 years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vMerge w:val="restart"/>
          </w:tcPr>
          <w:p>
            <w:pPr>
              <w:jc w:val="right"/>
              <w:ind w:right="273"/>
              <w:spacing w:after="0"/>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48"/>
        </w:trPr>
        <w:tc>
          <w:tcPr>
            <w:tcW w:w="4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4"/>
              </w:rPr>
              <w:t>1 year</w:t>
            </w: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obligations</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3,232</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180"/>
        </w:trPr>
        <w:tc>
          <w:tcPr>
            <w:tcW w:w="4820" w:type="dxa"/>
            <w:vAlign w:val="bottom"/>
            <w:gridSpan w:val="2"/>
          </w:tcPr>
          <w:p>
            <w:pPr>
              <w:ind w:left="20"/>
              <w:spacing w:after="0" w:line="181" w:lineRule="exact"/>
              <w:rPr>
                <w:sz w:val="20"/>
                <w:szCs w:val="20"/>
                <w:color w:val="auto"/>
              </w:rPr>
            </w:pPr>
            <w:r>
              <w:rPr>
                <w:rFonts w:ascii="Arial" w:cs="Arial" w:eastAsia="Arial" w:hAnsi="Arial"/>
                <w:sz w:val="14"/>
                <w:szCs w:val="14"/>
                <w:color w:val="auto"/>
              </w:rPr>
              <w:t xml:space="preserve">Other operating obligations </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5,443</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13,036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3,232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10,227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Other operating obligations represent contractual obligations primarily related to marketing and sponsorship commitments and purchases of inventory.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As of March 31, 2021, we did not have any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19" w:lineRule="exact"/>
        <w:rPr>
          <w:sz w:val="20"/>
          <w:szCs w:val="20"/>
          <w:color w:val="auto"/>
        </w:rPr>
      </w:pPr>
    </w:p>
    <w:p>
      <w:pPr>
        <w:ind w:firstLine="318"/>
        <w:spacing w:after="0" w:line="298" w:lineRule="auto"/>
        <w:rPr>
          <w:sz w:val="20"/>
          <w:szCs w:val="20"/>
          <w:color w:val="auto"/>
        </w:rPr>
      </w:pPr>
      <w:r>
        <w:rPr>
          <w:rFonts w:ascii="Arial" w:cs="Arial" w:eastAsia="Arial" w:hAnsi="Arial"/>
          <w:sz w:val="12"/>
          <w:szCs w:val="12"/>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w:t>
      </w:r>
    </w:p>
    <w:p>
      <w:pPr>
        <w:spacing w:after="0" w:line="2" w:lineRule="exact"/>
        <w:rPr>
          <w:sz w:val="20"/>
          <w:szCs w:val="20"/>
          <w:color w:val="auto"/>
        </w:rPr>
      </w:pPr>
    </w:p>
    <w:p>
      <w:pPr>
        <w:ind w:right="360" w:firstLine="5"/>
        <w:spacing w:after="0" w:line="266" w:lineRule="auto"/>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89" w:lineRule="exact"/>
        <w:rPr>
          <w:sz w:val="20"/>
          <w:szCs w:val="20"/>
          <w:color w:val="auto"/>
        </w:rPr>
      </w:pPr>
    </w:p>
    <w:p>
      <w:pPr>
        <w:ind w:right="140" w:firstLine="318"/>
        <w:spacing w:after="0" w:line="267" w:lineRule="auto"/>
        <w:rPr>
          <w:sz w:val="20"/>
          <w:szCs w:val="20"/>
          <w:color w:val="auto"/>
        </w:rPr>
      </w:pPr>
      <w:r>
        <w:rPr>
          <w:rFonts w:ascii="Arial" w:cs="Arial" w:eastAsia="Arial" w:hAnsi="Arial"/>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Allowances for Product Returns</w:t>
      </w:r>
    </w:p>
    <w:p>
      <w:pPr>
        <w:spacing w:after="0" w:line="115"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March 31, 2021, our shipments of products sold totaling approximately $18.2 million were subject to the return policy.</w:t>
      </w:r>
    </w:p>
    <w:p>
      <w:pPr>
        <w:spacing w:after="0" w:line="93" w:lineRule="exact"/>
        <w:rPr>
          <w:sz w:val="20"/>
          <w:szCs w:val="20"/>
          <w:color w:val="auto"/>
        </w:rPr>
      </w:pPr>
    </w:p>
    <w:p>
      <w:pPr>
        <w:ind w:right="220" w:firstLine="318"/>
        <w:spacing w:after="0" w:line="267" w:lineRule="auto"/>
        <w:rPr>
          <w:sz w:val="20"/>
          <w:szCs w:val="20"/>
          <w:color w:val="auto"/>
        </w:rPr>
      </w:pPr>
      <w:r>
        <w:rPr>
          <w:rFonts w:ascii="Arial" w:cs="Arial" w:eastAsia="Arial" w:hAnsi="Arial"/>
          <w:sz w:val="14"/>
          <w:szCs w:val="14"/>
          <w:color w:val="auto"/>
        </w:rPr>
        <w:t>We monitor our product returns estimate on an ongoing basis and revise the allowances to reflect our experience. Our allowance for product returns was $0.2 million at March 31, 2021, compared with $0.3 million at June 30, 2020.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Inventory Valuation</w:t>
      </w:r>
    </w:p>
    <w:p>
      <w:pPr>
        <w:spacing w:after="0" w:line="115" w:lineRule="exact"/>
        <w:rPr>
          <w:sz w:val="20"/>
          <w:szCs w:val="20"/>
          <w:color w:val="auto"/>
        </w:rPr>
      </w:pPr>
    </w:p>
    <w:p>
      <w:pPr>
        <w:ind w:right="20" w:firstLine="318"/>
        <w:spacing w:after="0" w:line="262" w:lineRule="auto"/>
        <w:rPr>
          <w:sz w:val="20"/>
          <w:szCs w:val="20"/>
          <w:color w:val="auto"/>
        </w:rPr>
      </w:pPr>
      <w:r>
        <w:rPr>
          <w:rFonts w:ascii="Arial" w:cs="Arial" w:eastAsia="Arial" w:hAnsi="Arial"/>
          <w:sz w:val="14"/>
          <w:szCs w:val="14"/>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During the three months ended March 31, 2021 and 2020, we recognized expenses of approximately $0.2 million and $0.1 million, respectively, related to obsolete and slow-moving inventory.</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During the nine months ended March 31, 2021 and 2020, we recognized expenses of $0.3 million and $0.4 million, respectively, related to obsolete and slow-moving inventory.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auto"/>
        </w:rPr>
        <w:t>Revenue Recognition</w:t>
      </w:r>
    </w:p>
    <w:p>
      <w:pPr>
        <w:spacing w:after="0" w:line="115"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w:t>
      </w:r>
    </w:p>
    <w:p>
      <w:pPr>
        <w:spacing w:after="0" w:line="125" w:lineRule="exact"/>
        <w:rPr>
          <w:sz w:val="20"/>
          <w:szCs w:val="20"/>
          <w:color w:val="auto"/>
        </w:rPr>
      </w:pPr>
    </w:p>
    <w:p>
      <w:pPr>
        <w:ind w:right="40" w:firstLine="318"/>
        <w:spacing w:after="0" w:line="262" w:lineRule="auto"/>
        <w:rPr>
          <w:sz w:val="20"/>
          <w:szCs w:val="20"/>
          <w:color w:val="auto"/>
        </w:rPr>
      </w:pPr>
      <w:r>
        <w:rPr>
          <w:rFonts w:ascii="Arial" w:cs="Arial" w:eastAsia="Arial" w:hAnsi="Arial"/>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Research and Development Costs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expense all of our payments related to research and development activities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Legal Accruals</w:t>
      </w:r>
    </w:p>
    <w:p>
      <w:pPr>
        <w:spacing w:after="0" w:line="115" w:lineRule="exact"/>
        <w:rPr>
          <w:sz w:val="20"/>
          <w:szCs w:val="20"/>
          <w:color w:val="auto"/>
        </w:rPr>
      </w:pPr>
    </w:p>
    <w:p>
      <w:pPr>
        <w:ind w:right="80" w:firstLine="318"/>
        <w:spacing w:after="0" w:line="297" w:lineRule="auto"/>
        <w:rPr>
          <w:sz w:val="20"/>
          <w:szCs w:val="20"/>
          <w:color w:val="auto"/>
        </w:rPr>
      </w:pPr>
      <w:r>
        <w:rPr>
          <w:rFonts w:ascii="Arial" w:cs="Arial" w:eastAsia="Arial" w:hAnsi="Arial"/>
          <w:sz w:val="13"/>
          <w:szCs w:val="13"/>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2 to our unaudited condensed consolidated financial statements for a discussion of recently issued accounting standards.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2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the nine months ended March 31, 2021, approximately 34% of our net revenue was realized outside of the United States. The local currency of each international subsidiary is generally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 functional currency. All revenue and expenses are translated at weighted-average exchange rates for the periods reported. Therefore, our reported revenue and earnings will be positively impacted</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by a weakening of the U.S. dollar and will be negatively impacted by a strengthening of the U.S. dollar. Currency fluctuations, however, have the opposite effect on our expenses incurred outside the</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United States. Given the large portion of our business derived from Japan, any weakening of the Japanese yen will negatively impact our reported revenue and profits, whereas a strengthening of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Japanese yen will positively impact our reported revenue and profits. Because of the uncertainty of exchange rate fluctuations, it is difficult to predict the effect of these fluctuations on our future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business, product pricing and results of operations or financial condition. Changes in various currency exchange rates affect the relative prices at which we sell our products. We regularly monitor our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foreign currency risks and periodically take measures to reduce the risk of foreign exchange rate fluctuations on our operating results. Additionally, we may seek to reduce our exposure to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fluctuations in foreign currency exchange rates through the use of foreign currency exchange contracts. We do not use derivative financial instruments for trading or speculative purposes. At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31, 2021, we did not have any derivative instruments. A 10% strengthening of the U.S. dollar compared to all of the foreign currencies in which we transact business would have resulted in a</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3.1% decrease of our nine months ended March 31, 2021 revenue, in the amount of $5.1 million.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2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March 31, 2021.</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19"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color w:val="auto"/>
        </w:rPr>
        <w:t>There were no changes in our internal controls over financial reporting during the quarter ended March 31, 2021 that have materially affected or are reasonably likely to materially affect our internal controls over financial reporting.</w:t>
      </w:r>
    </w:p>
    <w:p>
      <w:pPr>
        <w:spacing w:after="0" w:line="79" w:lineRule="exact"/>
        <w:rPr>
          <w:sz w:val="20"/>
          <w:szCs w:val="20"/>
          <w:color w:val="auto"/>
        </w:rPr>
      </w:pPr>
    </w:p>
    <w:p>
      <w:pPr>
        <w:ind w:right="340" w:firstLine="318"/>
        <w:spacing w:after="0" w:line="262" w:lineRule="auto"/>
        <w:rPr>
          <w:sz w:val="20"/>
          <w:szCs w:val="20"/>
          <w:color w:val="auto"/>
        </w:rPr>
      </w:pPr>
      <w:r>
        <w:rPr>
          <w:rFonts w:ascii="Arial" w:cs="Arial" w:eastAsia="Arial" w:hAnsi="Arial"/>
          <w:sz w:val="14"/>
          <w:szCs w:val="14"/>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March 31, 2021 that have materially affected, or are reasonably likely to materially affect,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of Internal Control Over Financial Reporting</w:t>
      </w:r>
    </w:p>
    <w:p>
      <w:pPr>
        <w:spacing w:after="0" w:line="119"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3"/>
          <w:szCs w:val="13"/>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See Note 8 to our unaudited condensed consolidated financial statements contained within this quarterly report on Form 10-Q for a discussion of our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2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In addition to the other information set forth in this report, you should carefully consider the risk factors discussed in “Part I. Item 1A — Risk Factors” in our annual report on Form 10-K for the fiscal year ended June 30, 2020, filed on August 18, 2020.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29" w:lineRule="exact"/>
        <w:rPr>
          <w:sz w:val="20"/>
          <w:szCs w:val="20"/>
          <w:color w:val="auto"/>
        </w:rPr>
      </w:pPr>
    </w:p>
    <w:p>
      <w:pPr>
        <w:ind w:firstLine="318"/>
        <w:spacing w:after="0" w:line="257" w:lineRule="auto"/>
        <w:rPr>
          <w:sz w:val="20"/>
          <w:szCs w:val="20"/>
          <w:color w:val="auto"/>
        </w:rPr>
      </w:pPr>
      <w:r>
        <w:rPr>
          <w:rFonts w:ascii="Arial" w:cs="Arial" w:eastAsia="Arial" w:hAnsi="Arial"/>
          <w:sz w:val="14"/>
          <w:szCs w:val="14"/>
          <w:color w:val="auto"/>
        </w:rPr>
        <w:t>On November 27, 2017, our Board of Directors approved a stock repurchase plan, as amended on February 1, 2019 and August 27, 2020. Under the plan, we are authorized to repurchase up to $35.0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March 31, 2021, we repurchased 0.2 million shares of our common stock on the open market at an aggregate purchase price of $2.0 million under this repurchase program.</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30" w:name="page31"/>
    <w:bookmarkEnd w:id="30"/>
    <w:p>
      <w:pPr>
        <w:ind w:right="100" w:firstLine="318"/>
        <w:spacing w:after="0" w:line="281" w:lineRule="auto"/>
        <w:rPr>
          <w:sz w:val="20"/>
          <w:szCs w:val="20"/>
          <w:color w:val="auto"/>
        </w:rPr>
      </w:pPr>
      <w:r>
        <w:rPr>
          <w:rFonts w:ascii="Arial" w:cs="Arial" w:eastAsia="Arial" w:hAnsi="Arial"/>
          <w:sz w:val="14"/>
          <w:szCs w:val="14"/>
          <w:color w:val="auto"/>
        </w:rPr>
        <w:t>The following table provides information with respect to all purchases made by the Company during the three months ended March 31, 2021. All purchases listed below were made in the open market at prevailing market prices.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w w:val="93"/>
              </w:rPr>
              <w:t>Maximum Dollar Value of Shares</w:t>
            </w:r>
          </w:p>
        </w:tc>
        <w:tc>
          <w:tcPr>
            <w:tcW w:w="0" w:type="dxa"/>
            <w:vAlign w:val="bottom"/>
          </w:tcPr>
          <w:p>
            <w:pPr>
              <w:spacing w:after="0"/>
              <w:rPr>
                <w:sz w:val="1"/>
                <w:szCs w:val="1"/>
                <w:color w:val="auto"/>
              </w:rPr>
            </w:pPr>
          </w:p>
        </w:tc>
      </w:tr>
      <w:tr>
        <w:trPr>
          <w:trHeight w:val="138"/>
        </w:trPr>
        <w:tc>
          <w:tcPr>
            <w:tcW w:w="278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Period</w:t>
            </w:r>
          </w:p>
        </w:tc>
        <w:tc>
          <w:tcPr>
            <w:tcW w:w="2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 Share</w:t>
            </w:r>
          </w:p>
        </w:tc>
        <w:tc>
          <w:tcPr>
            <w:tcW w:w="20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right"/>
              <w:ind w:right="129"/>
              <w:spacing w:after="0" w:line="138" w:lineRule="exact"/>
              <w:rPr>
                <w:sz w:val="20"/>
                <w:szCs w:val="20"/>
                <w:color w:val="auto"/>
              </w:rPr>
            </w:pPr>
            <w:r>
              <w:rPr>
                <w:rFonts w:ascii="Arial" w:cs="Arial" w:eastAsia="Arial" w:hAnsi="Arial"/>
                <w:sz w:val="14"/>
                <w:szCs w:val="14"/>
                <w:b w:val="1"/>
                <w:bCs w:val="1"/>
                <w:color w:val="auto"/>
                <w:w w:val="95"/>
              </w:rPr>
              <w:t>that May Yet Be Purchased</w:t>
            </w:r>
          </w:p>
        </w:tc>
        <w:tc>
          <w:tcPr>
            <w:tcW w:w="0" w:type="dxa"/>
            <w:vAlign w:val="bottom"/>
          </w:tcPr>
          <w:p>
            <w:pPr>
              <w:spacing w:after="0"/>
              <w:rPr>
                <w:sz w:val="1"/>
                <w:szCs w:val="1"/>
                <w:color w:val="auto"/>
              </w:rPr>
            </w:pPr>
          </w:p>
        </w:tc>
      </w:tr>
      <w:tr>
        <w:trPr>
          <w:trHeight w:val="180"/>
        </w:trPr>
        <w:tc>
          <w:tcPr>
            <w:tcW w:w="2780" w:type="dxa"/>
            <w:vAlign w:val="bottom"/>
            <w:gridSpan w:val="2"/>
            <w:vMerge w:val="continue"/>
          </w:tcPr>
          <w:p>
            <w:pPr>
              <w:spacing w:after="0"/>
              <w:rPr>
                <w:sz w:val="15"/>
                <w:szCs w:val="15"/>
                <w:color w:val="auto"/>
              </w:rPr>
            </w:pPr>
          </w:p>
        </w:tc>
        <w:tc>
          <w:tcPr>
            <w:tcW w:w="2040" w:type="dxa"/>
            <w:vAlign w:val="bottom"/>
          </w:tcPr>
          <w:p>
            <w:pPr>
              <w:jc w:val="right"/>
              <w:ind w:right="649"/>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 or Programs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Under the Plans or Programs</w:t>
            </w:r>
          </w:p>
        </w:tc>
        <w:tc>
          <w:tcPr>
            <w:tcW w:w="0" w:type="dxa"/>
            <w:vAlign w:val="bottom"/>
          </w:tcPr>
          <w:p>
            <w:pPr>
              <w:spacing w:after="0"/>
              <w:rPr>
                <w:sz w:val="1"/>
                <w:szCs w:val="1"/>
                <w:color w:val="auto"/>
              </w:rPr>
            </w:pPr>
          </w:p>
        </w:tc>
      </w:tr>
      <w:tr>
        <w:trPr>
          <w:trHeight w:val="171"/>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January 1 - January 31</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17,440,592</w:t>
            </w:r>
          </w:p>
        </w:tc>
        <w:tc>
          <w:tcPr>
            <w:tcW w:w="0" w:type="dxa"/>
            <w:vAlign w:val="bottom"/>
          </w:tcPr>
          <w:p>
            <w:pPr>
              <w:spacing w:after="0"/>
              <w:rPr>
                <w:sz w:val="1"/>
                <w:szCs w:val="1"/>
                <w:color w:val="auto"/>
              </w:rPr>
            </w:pPr>
          </w:p>
        </w:tc>
      </w:tr>
      <w:tr>
        <w:trPr>
          <w:trHeight w:val="180"/>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February 1 - February 28</w:t>
            </w:r>
          </w:p>
        </w:tc>
        <w:tc>
          <w:tcPr>
            <w:tcW w:w="2040" w:type="dxa"/>
            <w:vAlign w:val="bottom"/>
          </w:tcPr>
          <w:p>
            <w:pPr>
              <w:jc w:val="right"/>
              <w:spacing w:after="0"/>
              <w:rPr>
                <w:sz w:val="20"/>
                <w:szCs w:val="20"/>
                <w:color w:val="auto"/>
              </w:rPr>
            </w:pPr>
            <w:r>
              <w:rPr>
                <w:rFonts w:ascii="Arial" w:cs="Arial" w:eastAsia="Arial" w:hAnsi="Arial"/>
                <w:sz w:val="14"/>
                <w:szCs w:val="14"/>
                <w:color w:val="auto"/>
              </w:rPr>
              <w:t>93,413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93,413</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16,574,118</w:t>
            </w: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1 -March 31</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120,409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15,440,594</w:t>
            </w:r>
          </w:p>
        </w:tc>
        <w:tc>
          <w:tcPr>
            <w:tcW w:w="0" w:type="dxa"/>
            <w:vAlign w:val="bottom"/>
          </w:tcPr>
          <w:p>
            <w:pPr>
              <w:spacing w:after="0"/>
              <w:rPr>
                <w:sz w:val="1"/>
                <w:szCs w:val="1"/>
                <w:color w:val="auto"/>
              </w:rPr>
            </w:pPr>
          </w:p>
        </w:tc>
      </w:tr>
      <w:tr>
        <w:trPr>
          <w:trHeight w:val="171"/>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29" w:lineRule="exact"/>
        <w:rPr>
          <w:sz w:val="20"/>
          <w:szCs w:val="20"/>
          <w:color w:val="auto"/>
        </w:rPr>
      </w:pPr>
    </w:p>
    <w:p>
      <w:pPr>
        <w:ind w:right="220" w:firstLine="318"/>
        <w:spacing w:after="0" w:line="265" w:lineRule="auto"/>
        <w:rPr>
          <w:sz w:val="20"/>
          <w:szCs w:val="20"/>
          <w:color w:val="auto"/>
        </w:rPr>
      </w:pPr>
      <w:r>
        <w:rPr>
          <w:rFonts w:ascii="Arial" w:cs="Arial" w:eastAsia="Arial" w:hAnsi="Arial"/>
          <w:sz w:val="14"/>
          <w:szCs w:val="14"/>
          <w:color w:val="auto"/>
        </w:rPr>
        <w:t>On March 15, 2021, the Company terminated the employment of Kevin McMurray, the Company’s former General Counsel and on March 31, 2021, the Company hired Alissa Neufeld as its new General Counsel.</w:t>
      </w:r>
    </w:p>
    <w:p>
      <w:pPr>
        <w:spacing w:after="0" w:line="79" w:lineRule="exact"/>
        <w:rPr>
          <w:sz w:val="20"/>
          <w:szCs w:val="20"/>
          <w:color w:val="auto"/>
        </w:rPr>
      </w:pPr>
    </w:p>
    <w:p>
      <w:pPr>
        <w:ind w:firstLine="318"/>
        <w:spacing w:after="0" w:line="284" w:lineRule="auto"/>
        <w:rPr>
          <w:sz w:val="20"/>
          <w:szCs w:val="20"/>
          <w:color w:val="auto"/>
        </w:rPr>
      </w:pPr>
      <w:r>
        <w:rPr>
          <w:rFonts w:ascii="Arial" w:cs="Arial" w:eastAsia="Arial" w:hAnsi="Arial"/>
          <w:sz w:val="13"/>
          <w:szCs w:val="13"/>
          <w:color w:val="auto"/>
        </w:rPr>
        <w:t>On April 1, 2021, the Company entered into a Change in Terms Agreement (“Amendment No. 3”) with Zions Bancorporation, N.A., dba Zions First National Bank (“Zions Bank”), which modifies the Loan Agreement dated March 30, 2016, as amended, between Zions Bank and the Company (“Credit Facility”).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w:t>
      </w:r>
    </w:p>
    <w:p>
      <w:pPr>
        <w:spacing w:after="0" w:line="70" w:lineRule="exact"/>
        <w:rPr>
          <w:sz w:val="20"/>
          <w:szCs w:val="20"/>
          <w:color w:val="auto"/>
        </w:rPr>
      </w:pPr>
    </w:p>
    <w:p>
      <w:pPr>
        <w:ind w:right="20" w:firstLine="318"/>
        <w:spacing w:after="0" w:line="267" w:lineRule="auto"/>
        <w:rPr>
          <w:sz w:val="20"/>
          <w:szCs w:val="20"/>
          <w:color w:val="auto"/>
        </w:rPr>
      </w:pPr>
      <w:r>
        <w:rPr>
          <w:rFonts w:ascii="Arial" w:cs="Arial" w:eastAsia="Arial" w:hAnsi="Arial"/>
          <w:sz w:val="14"/>
          <w:szCs w:val="14"/>
          <w:color w:val="auto"/>
        </w:rPr>
        <w:t>The foregoing description of the terms of Amendment No. 3 does not purport to be complete and is qualified in its entirety by reference to the full text of the Change in Terms Agreement, a copy of which is attached hereto as Exhibit 10.1. The description of the terms of the Credit Facility are incorporated by reference herein from the Current Report on Form 8-K filed with the Securities and Exchange Commission on April 4, 2016.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Item 6. Exhibits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Exhibit No.</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gridSpan w:val="12"/>
          </w:tcPr>
          <w:p>
            <w:pPr>
              <w:ind w:left="1420"/>
              <w:spacing w:after="0"/>
              <w:rPr>
                <w:sz w:val="20"/>
                <w:szCs w:val="20"/>
                <w:color w:val="auto"/>
              </w:rPr>
            </w:pPr>
            <w:r>
              <w:rPr>
                <w:rFonts w:ascii="Arial" w:cs="Arial" w:eastAsia="Arial" w:hAnsi="Arial"/>
                <w:sz w:val="11"/>
                <w:szCs w:val="11"/>
                <w:b w:val="1"/>
                <w:bCs w:val="1"/>
                <w:color w:val="auto"/>
              </w:rPr>
              <w:t>Document Description</w:t>
            </w:r>
          </w:p>
        </w:tc>
        <w:tc>
          <w:tcPr>
            <w:tcW w:w="100" w:type="dxa"/>
            <w:vAlign w:val="bottom"/>
          </w:tcPr>
          <w:p>
            <w:pPr>
              <w:spacing w:after="0"/>
              <w:rPr>
                <w:sz w:val="13"/>
                <w:szCs w:val="13"/>
                <w:color w:val="auto"/>
              </w:rPr>
            </w:pPr>
          </w:p>
        </w:tc>
        <w:tc>
          <w:tcPr>
            <w:tcW w:w="4440" w:type="dxa"/>
            <w:vAlign w:val="bottom"/>
            <w:tcBorders>
              <w:bottom w:val="single" w:sz="8" w:color="auto"/>
            </w:tcBorders>
          </w:tcPr>
          <w:p>
            <w:pPr>
              <w:ind w:left="1000"/>
              <w:spacing w:after="0"/>
              <w:rPr>
                <w:sz w:val="20"/>
                <w:szCs w:val="20"/>
                <w:color w:val="auto"/>
              </w:rPr>
            </w:pPr>
            <w:r>
              <w:rPr>
                <w:rFonts w:ascii="Arial" w:cs="Arial" w:eastAsia="Arial" w:hAnsi="Arial"/>
                <w:sz w:val="11"/>
                <w:szCs w:val="11"/>
                <w:b w:val="1"/>
                <w:bCs w:val="1"/>
                <w:color w:val="auto"/>
              </w:rPr>
              <w:t>Filed Herewith or Incorporate by Reference From</w:t>
            </w:r>
          </w:p>
        </w:tc>
      </w:tr>
      <w:tr>
        <w:trPr>
          <w:trHeight w:val="218"/>
        </w:trPr>
        <w:tc>
          <w:tcPr>
            <w:tcW w:w="98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gridSpan w:val="15"/>
          </w:tcPr>
          <w:p>
            <w:pPr>
              <w:spacing w:after="0"/>
              <w:rPr>
                <w:rFonts w:ascii="Arial" w:cs="Arial" w:eastAsia="Arial" w:hAnsi="Arial"/>
                <w:sz w:val="14"/>
                <w:szCs w:val="14"/>
                <w:color w:val="0000FF"/>
                <w:w w:val="97"/>
              </w:rPr>
            </w:pPr>
            <w:hyperlink r:id="rId41">
              <w:r>
                <w:rPr>
                  <w:rFonts w:ascii="Arial" w:cs="Arial" w:eastAsia="Arial" w:hAnsi="Arial"/>
                  <w:sz w:val="14"/>
                  <w:szCs w:val="14"/>
                  <w:color w:val="0000FF"/>
                  <w:w w:val="97"/>
                </w:rPr>
                <w:t>Certificate of Incorporation, as filed with the Delaware Secretary of State on March 9,</w:t>
              </w:r>
            </w:hyperlink>
          </w:p>
        </w:tc>
        <w:tc>
          <w:tcPr>
            <w:tcW w:w="4440" w:type="dxa"/>
            <w:vAlign w:val="bottom"/>
          </w:tcPr>
          <w:p>
            <w:pPr>
              <w:spacing w:after="0"/>
              <w:rPr>
                <w:sz w:val="20"/>
                <w:szCs w:val="20"/>
                <w:color w:val="auto"/>
              </w:rPr>
            </w:pPr>
            <w:r>
              <w:rPr>
                <w:rFonts w:ascii="Arial" w:cs="Arial" w:eastAsia="Arial" w:hAnsi="Arial"/>
                <w:sz w:val="14"/>
                <w:szCs w:val="14"/>
                <w:color w:val="auto"/>
              </w:rPr>
              <w:t>Exhibit 3.1 to the Current Report on Form 8-K filed on March 13, 2018.</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82"/>
              </w:rPr>
            </w:pPr>
            <w:hyperlink r:id="rId41">
              <w:r>
                <w:rPr>
                  <w:rFonts w:ascii="Arial" w:cs="Arial" w:eastAsia="Arial" w:hAnsi="Arial"/>
                  <w:sz w:val="13"/>
                  <w:szCs w:val="13"/>
                  <w:color w:val="0000FF"/>
                  <w:w w:val="82"/>
                </w:rPr>
                <w:t>2018</w:t>
              </w:r>
            </w:hyperlink>
          </w:p>
        </w:tc>
        <w:tc>
          <w:tcPr>
            <w:tcW w:w="280" w:type="dxa"/>
            <w:vAlign w:val="bottom"/>
            <w:tcBorders>
              <w:top w:val="single" w:sz="8" w:color="0000FF"/>
            </w:tcBorders>
          </w:tcPr>
          <w:p>
            <w:pPr>
              <w:spacing w:after="0"/>
              <w:rPr>
                <w:sz w:val="10"/>
                <w:szCs w:val="10"/>
                <w:color w:val="auto"/>
              </w:rPr>
            </w:pPr>
          </w:p>
        </w:tc>
        <w:tc>
          <w:tcPr>
            <w:tcW w:w="16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40" w:type="dxa"/>
            <w:vAlign w:val="bottom"/>
          </w:tcPr>
          <w:p>
            <w:pPr>
              <w:spacing w:after="0"/>
              <w:rPr>
                <w:sz w:val="10"/>
                <w:szCs w:val="10"/>
                <w:color w:val="auto"/>
              </w:rPr>
            </w:pP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Borders>
              <w:bottom w:val="single" w:sz="8" w:color="0000FF"/>
            </w:tcBorders>
            <w:gridSpan w:val="4"/>
          </w:tcPr>
          <w:p>
            <w:pPr>
              <w:spacing w:after="0"/>
              <w:rPr>
                <w:rFonts w:ascii="Arial" w:cs="Arial" w:eastAsia="Arial" w:hAnsi="Arial"/>
                <w:sz w:val="14"/>
                <w:szCs w:val="14"/>
                <w:color w:val="0000FF"/>
                <w:w w:val="90"/>
              </w:rPr>
            </w:pPr>
            <w:hyperlink r:id="rId42">
              <w:r>
                <w:rPr>
                  <w:rFonts w:ascii="Arial" w:cs="Arial" w:eastAsia="Arial" w:hAnsi="Arial"/>
                  <w:sz w:val="14"/>
                  <w:szCs w:val="14"/>
                  <w:color w:val="0000FF"/>
                  <w:w w:val="90"/>
                </w:rPr>
                <w:t>Amended and Restated Bylaws, August 9, 2019</w:t>
              </w:r>
            </w:hyperlink>
          </w:p>
        </w:tc>
        <w:tc>
          <w:tcPr>
            <w:tcW w:w="2460" w:type="dxa"/>
            <w:vAlign w:val="bottom"/>
            <w:gridSpan w:val="11"/>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Exhibit 3.1 to the Current Report on Form 8-K filed on August 15, 2019</w:t>
            </w: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91"/>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Arial" w:cs="Arial" w:eastAsia="Arial" w:hAnsi="Arial"/>
                <w:sz w:val="14"/>
                <w:szCs w:val="14"/>
                <w:color w:val="0000FF"/>
                <w:w w:val="90"/>
              </w:rPr>
            </w:pPr>
            <w:hyperlink w:anchor="page34">
              <w:r>
                <w:rPr>
                  <w:rFonts w:ascii="Arial" w:cs="Arial" w:eastAsia="Arial" w:hAnsi="Arial"/>
                  <w:sz w:val="14"/>
                  <w:szCs w:val="14"/>
                  <w:color w:val="0000FF"/>
                  <w:w w:val="90"/>
                </w:rPr>
                <w:t>CEO Offer Letter between the Company and Steven R. Fife dated January 31, 2021</w:t>
              </w:r>
            </w:hyperlink>
          </w:p>
        </w:tc>
        <w:tc>
          <w:tcPr>
            <w:tcW w:w="440" w:type="dxa"/>
            <w:vAlign w:val="bottom"/>
            <w:gridSpan w:val="4"/>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91"/>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5"/>
          </w:tcPr>
          <w:p>
            <w:pPr>
              <w:spacing w:after="0"/>
              <w:rPr>
                <w:rFonts w:ascii="Arial" w:cs="Arial" w:eastAsia="Arial" w:hAnsi="Arial"/>
                <w:sz w:val="14"/>
                <w:szCs w:val="14"/>
                <w:color w:val="0000FF"/>
                <w:w w:val="99"/>
              </w:rPr>
            </w:pPr>
            <w:hyperlink w:anchor="page37">
              <w:r>
                <w:rPr>
                  <w:rFonts w:ascii="Arial" w:cs="Arial" w:eastAsia="Arial" w:hAnsi="Arial"/>
                  <w:sz w:val="14"/>
                  <w:szCs w:val="14"/>
                  <w:color w:val="0000FF"/>
                  <w:w w:val="99"/>
                </w:rPr>
                <w:t>Amended and Restated Key Executive Benefit Package between the Company and</w:t>
              </w:r>
            </w:hyperlink>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w:anchor="page37">
              <w:r>
                <w:rPr>
                  <w:rFonts w:ascii="Arial" w:cs="Arial" w:eastAsia="Arial" w:hAnsi="Arial"/>
                  <w:sz w:val="13"/>
                  <w:szCs w:val="13"/>
                  <w:color w:val="0000FF"/>
                </w:rPr>
                <w:t>Steven R. Fife dated January 31, 2021</w:t>
              </w:r>
            </w:hyperlink>
          </w:p>
        </w:tc>
        <w:tc>
          <w:tcPr>
            <w:tcW w:w="140" w:type="dxa"/>
            <w:vAlign w:val="bottom"/>
            <w:gridSpan w:val="2"/>
          </w:tcPr>
          <w:p>
            <w:pPr>
              <w:spacing w:after="0"/>
              <w:rPr>
                <w:sz w:val="10"/>
                <w:szCs w:val="10"/>
                <w:color w:val="auto"/>
              </w:rPr>
            </w:pPr>
          </w:p>
        </w:tc>
        <w:tc>
          <w:tcPr>
            <w:tcW w:w="360" w:type="dxa"/>
            <w:vAlign w:val="bottom"/>
            <w:gridSpan w:val="3"/>
          </w:tcPr>
          <w:p>
            <w:pPr>
              <w:spacing w:after="0"/>
              <w:rPr>
                <w:sz w:val="10"/>
                <w:szCs w:val="10"/>
                <w:color w:val="auto"/>
              </w:rPr>
            </w:pPr>
          </w:p>
        </w:tc>
        <w:tc>
          <w:tcPr>
            <w:tcW w:w="4440" w:type="dxa"/>
            <w:vAlign w:val="bottom"/>
          </w:tcPr>
          <w:p>
            <w:pPr>
              <w:spacing w:after="0"/>
              <w:rPr>
                <w:sz w:val="10"/>
                <w:szCs w:val="10"/>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5"/>
          </w:tcPr>
          <w:p>
            <w:pPr>
              <w:spacing w:after="0"/>
              <w:rPr>
                <w:rFonts w:ascii="Arial" w:cs="Arial" w:eastAsia="Arial" w:hAnsi="Arial"/>
                <w:sz w:val="14"/>
                <w:szCs w:val="14"/>
                <w:color w:val="0000FF"/>
                <w:w w:val="97"/>
              </w:rPr>
            </w:pPr>
            <w:hyperlink w:anchor="page47">
              <w:r>
                <w:rPr>
                  <w:rFonts w:ascii="Arial" w:cs="Arial" w:eastAsia="Arial" w:hAnsi="Arial"/>
                  <w:sz w:val="14"/>
                  <w:szCs w:val="14"/>
                  <w:color w:val="0000FF"/>
                  <w:w w:val="97"/>
                </w:rPr>
                <w:t>Change in Terms Agreement dated April 1, 2021 by and between Zions Bank and the</w:t>
              </w:r>
            </w:hyperlink>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3"/>
              </w:rPr>
            </w:pPr>
            <w:hyperlink w:anchor="page47">
              <w:r>
                <w:rPr>
                  <w:rFonts w:ascii="Arial" w:cs="Arial" w:eastAsia="Arial" w:hAnsi="Arial"/>
                  <w:sz w:val="13"/>
                  <w:szCs w:val="13"/>
                  <w:color w:val="0000FF"/>
                  <w:w w:val="93"/>
                </w:rPr>
                <w:t>Company</w:t>
              </w:r>
            </w:hyperlink>
          </w:p>
        </w:tc>
        <w:tc>
          <w:tcPr>
            <w:tcW w:w="4260" w:type="dxa"/>
            <w:vAlign w:val="bottom"/>
            <w:tcBorders>
              <w:top w:val="single" w:sz="8" w:color="0000FF"/>
            </w:tcBorders>
            <w:gridSpan w:val="10"/>
          </w:tcPr>
          <w:p>
            <w:pPr>
              <w:spacing w:after="0"/>
              <w:rPr>
                <w:sz w:val="10"/>
                <w:szCs w:val="10"/>
                <w:color w:val="auto"/>
              </w:rPr>
            </w:pPr>
          </w:p>
        </w:tc>
        <w:tc>
          <w:tcPr>
            <w:tcW w:w="360" w:type="dxa"/>
            <w:vAlign w:val="bottom"/>
            <w:gridSpan w:val="3"/>
          </w:tcPr>
          <w:p>
            <w:pPr>
              <w:spacing w:after="0"/>
              <w:rPr>
                <w:sz w:val="10"/>
                <w:szCs w:val="10"/>
                <w:color w:val="auto"/>
              </w:rPr>
            </w:pPr>
          </w:p>
        </w:tc>
        <w:tc>
          <w:tcPr>
            <w:tcW w:w="4440" w:type="dxa"/>
            <w:vAlign w:val="bottom"/>
          </w:tcPr>
          <w:p>
            <w:pPr>
              <w:spacing w:after="0"/>
              <w:rPr>
                <w:sz w:val="10"/>
                <w:szCs w:val="10"/>
                <w:color w:val="auto"/>
              </w:rPr>
            </w:pP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5"/>
          </w:tcPr>
          <w:p>
            <w:pPr>
              <w:spacing w:after="0"/>
              <w:rPr>
                <w:rFonts w:ascii="Arial" w:cs="Arial" w:eastAsia="Arial" w:hAnsi="Arial"/>
                <w:sz w:val="14"/>
                <w:szCs w:val="14"/>
                <w:color w:val="0000FF"/>
              </w:rPr>
            </w:pPr>
            <w:hyperlink w:anchor="page52">
              <w:r>
                <w:rPr>
                  <w:rFonts w:ascii="Arial" w:cs="Arial" w:eastAsia="Arial" w:hAnsi="Arial"/>
                  <w:sz w:val="14"/>
                  <w:szCs w:val="14"/>
                  <w:color w:val="0000FF"/>
                </w:rPr>
                <w:t>Certification of principal executive officer pursuant to Rule 13a-14(a)/15d-14(a)</w:t>
              </w:r>
            </w:hyperlink>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80" w:type="dxa"/>
            <w:vAlign w:val="bottom"/>
            <w:tcBorders>
              <w:top w:val="single" w:sz="8" w:color="0000FF"/>
              <w:bottom w:val="single" w:sz="8" w:color="0000FF"/>
            </w:tcBorders>
            <w:gridSpan w:val="6"/>
          </w:tcPr>
          <w:p>
            <w:pPr>
              <w:spacing w:after="0"/>
              <w:rPr>
                <w:rFonts w:ascii="Arial" w:cs="Arial" w:eastAsia="Arial" w:hAnsi="Arial"/>
                <w:sz w:val="14"/>
                <w:szCs w:val="14"/>
                <w:color w:val="0000FF"/>
                <w:w w:val="93"/>
              </w:rPr>
            </w:pPr>
            <w:hyperlink w:anchor="page53">
              <w:r>
                <w:rPr>
                  <w:rFonts w:ascii="Arial" w:cs="Arial" w:eastAsia="Arial" w:hAnsi="Arial"/>
                  <w:sz w:val="14"/>
                  <w:szCs w:val="14"/>
                  <w:color w:val="0000FF"/>
                  <w:w w:val="93"/>
                </w:rPr>
                <w:t>Certification of principal financial officer pursuant to Rule 13a-14(a)/15d-14(a)</w:t>
              </w:r>
            </w:hyperlink>
          </w:p>
        </w:tc>
        <w:tc>
          <w:tcPr>
            <w:tcW w:w="40" w:type="dxa"/>
            <w:vAlign w:val="bottom"/>
            <w:tcBorders>
              <w:top w:val="single" w:sz="8" w:color="0000FF"/>
            </w:tcBorders>
          </w:tcPr>
          <w:p>
            <w:pPr>
              <w:spacing w:after="0"/>
              <w:rPr>
                <w:sz w:val="21"/>
                <w:szCs w:val="21"/>
                <w:color w:val="auto"/>
              </w:rPr>
            </w:pPr>
          </w:p>
        </w:tc>
        <w:tc>
          <w:tcPr>
            <w:tcW w:w="640" w:type="dxa"/>
            <w:vAlign w:val="bottom"/>
            <w:gridSpan w:val="8"/>
          </w:tcPr>
          <w:p>
            <w:pPr>
              <w:spacing w:after="0"/>
              <w:rPr>
                <w:sz w:val="21"/>
                <w:szCs w:val="21"/>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97"/>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5"/>
          </w:tcPr>
          <w:p>
            <w:pPr>
              <w:spacing w:after="0"/>
              <w:rPr>
                <w:rFonts w:ascii="Arial" w:cs="Arial" w:eastAsia="Arial" w:hAnsi="Arial"/>
                <w:sz w:val="14"/>
                <w:szCs w:val="14"/>
                <w:color w:val="0000FF"/>
              </w:rPr>
            </w:pPr>
            <w:hyperlink w:anchor="page54">
              <w:r>
                <w:rPr>
                  <w:rFonts w:ascii="Arial" w:cs="Arial" w:eastAsia="Arial" w:hAnsi="Arial"/>
                  <w:sz w:val="14"/>
                  <w:szCs w:val="14"/>
                  <w:color w:val="0000FF"/>
                </w:rPr>
                <w:t>Certification of principal executive officer pursuant to 18 U.S.C. 1350, as adopted</w:t>
              </w:r>
            </w:hyperlink>
          </w:p>
        </w:tc>
        <w:tc>
          <w:tcPr>
            <w:tcW w:w="4440" w:type="dxa"/>
            <w:vAlign w:val="bottom"/>
          </w:tcPr>
          <w:p>
            <w:pPr>
              <w:spacing w:after="0"/>
              <w:rPr>
                <w:sz w:val="20"/>
                <w:szCs w:val="20"/>
                <w:color w:val="auto"/>
              </w:rPr>
            </w:pPr>
            <w:r>
              <w:rPr>
                <w:rFonts w:ascii="Arial" w:cs="Arial" w:eastAsia="Arial" w:hAnsi="Arial"/>
                <w:sz w:val="14"/>
                <w:szCs w:val="14"/>
                <w:color w:val="auto"/>
              </w:rPr>
              <w:t>Furnished herewith</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7"/>
              </w:rPr>
            </w:pPr>
            <w:hyperlink w:anchor="page54">
              <w:r>
                <w:rPr>
                  <w:rFonts w:ascii="Arial" w:cs="Arial" w:eastAsia="Arial" w:hAnsi="Arial"/>
                  <w:sz w:val="13"/>
                  <w:szCs w:val="13"/>
                  <w:color w:val="0000FF"/>
                  <w:w w:val="97"/>
                </w:rPr>
                <w:t>pursuant to Section 906 of the Sarbanes-Oxley Act of 2002</w:t>
              </w:r>
            </w:hyperlink>
          </w:p>
        </w:tc>
        <w:tc>
          <w:tcPr>
            <w:tcW w:w="1280" w:type="dxa"/>
            <w:vAlign w:val="bottom"/>
            <w:tcBorders>
              <w:top w:val="single" w:sz="8" w:color="0000FF"/>
            </w:tcBorders>
            <w:gridSpan w:val="4"/>
          </w:tcPr>
          <w:p>
            <w:pPr>
              <w:spacing w:after="0"/>
              <w:rPr>
                <w:sz w:val="10"/>
                <w:szCs w:val="10"/>
                <w:color w:val="auto"/>
              </w:rPr>
            </w:pPr>
          </w:p>
        </w:tc>
        <w:tc>
          <w:tcPr>
            <w:tcW w:w="540" w:type="dxa"/>
            <w:vAlign w:val="bottom"/>
            <w:gridSpan w:val="6"/>
          </w:tcPr>
          <w:p>
            <w:pPr>
              <w:spacing w:after="0"/>
              <w:rPr>
                <w:sz w:val="10"/>
                <w:szCs w:val="10"/>
                <w:color w:val="auto"/>
              </w:rPr>
            </w:pPr>
          </w:p>
        </w:tc>
        <w:tc>
          <w:tcPr>
            <w:tcW w:w="4440" w:type="dxa"/>
            <w:vAlign w:val="bottom"/>
          </w:tcPr>
          <w:p>
            <w:pPr>
              <w:spacing w:after="0"/>
              <w:rPr>
                <w:sz w:val="10"/>
                <w:szCs w:val="10"/>
                <w:color w:val="auto"/>
              </w:rPr>
            </w:pPr>
          </w:p>
        </w:tc>
      </w:tr>
      <w:tr>
        <w:trPr>
          <w:trHeight w:val="245"/>
        </w:trPr>
        <w:tc>
          <w:tcPr>
            <w:tcW w:w="980" w:type="dxa"/>
            <w:vAlign w:val="bottom"/>
          </w:tcPr>
          <w:p>
            <w:pPr>
              <w:jc w:val="center"/>
              <w:spacing w:after="0"/>
              <w:rPr>
                <w:sz w:val="20"/>
                <w:szCs w:val="20"/>
                <w:color w:val="auto"/>
              </w:rPr>
            </w:pPr>
            <w:r>
              <w:rPr>
                <w:rFonts w:ascii="Arial" w:cs="Arial" w:eastAsia="Arial" w:hAnsi="Arial"/>
                <w:sz w:val="14"/>
                <w:szCs w:val="14"/>
                <w:color w:val="auto"/>
                <w:w w:val="97"/>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60" w:type="dxa"/>
            <w:vAlign w:val="bottom"/>
            <w:gridSpan w:val="15"/>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Certification of principal financial officer pursuant to 18 U.S.C. 1350, as adopted</w:t>
              </w:r>
            </w:hyperlink>
          </w:p>
        </w:tc>
        <w:tc>
          <w:tcPr>
            <w:tcW w:w="4440" w:type="dxa"/>
            <w:vAlign w:val="bottom"/>
          </w:tcPr>
          <w:p>
            <w:pPr>
              <w:spacing w:after="0"/>
              <w:rPr>
                <w:sz w:val="20"/>
                <w:szCs w:val="20"/>
                <w:color w:val="auto"/>
              </w:rPr>
            </w:pPr>
            <w:r>
              <w:rPr>
                <w:rFonts w:ascii="Arial" w:cs="Arial" w:eastAsia="Arial" w:hAnsi="Arial"/>
                <w:sz w:val="14"/>
                <w:szCs w:val="14"/>
                <w:color w:val="auto"/>
              </w:rPr>
              <w:t>Furnished herewith</w:t>
            </w:r>
          </w:p>
        </w:tc>
      </w:tr>
      <w:tr>
        <w:trPr>
          <w:trHeight w:val="118"/>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7"/>
              </w:rPr>
            </w:pPr>
            <w:hyperlink w:anchor="page55">
              <w:r>
                <w:rPr>
                  <w:rFonts w:ascii="Arial" w:cs="Arial" w:eastAsia="Arial" w:hAnsi="Arial"/>
                  <w:sz w:val="13"/>
                  <w:szCs w:val="13"/>
                  <w:color w:val="0000FF"/>
                  <w:w w:val="97"/>
                </w:rPr>
                <w:t>pursuant to Section 906 of the Sarbanes-Oxley Act of 2002</w:t>
              </w:r>
            </w:hyperlink>
          </w:p>
        </w:tc>
        <w:tc>
          <w:tcPr>
            <w:tcW w:w="1240" w:type="dxa"/>
            <w:vAlign w:val="bottom"/>
            <w:tcBorders>
              <w:top w:val="single" w:sz="8" w:color="0000FF"/>
            </w:tcBorders>
            <w:gridSpan w:val="3"/>
          </w:tcPr>
          <w:p>
            <w:pPr>
              <w:spacing w:after="0"/>
              <w:rPr>
                <w:sz w:val="10"/>
                <w:szCs w:val="10"/>
                <w:color w:val="auto"/>
              </w:rPr>
            </w:pPr>
          </w:p>
        </w:tc>
        <w:tc>
          <w:tcPr>
            <w:tcW w:w="580" w:type="dxa"/>
            <w:vAlign w:val="bottom"/>
            <w:gridSpan w:val="7"/>
          </w:tcPr>
          <w:p>
            <w:pPr>
              <w:spacing w:after="0"/>
              <w:rPr>
                <w:sz w:val="10"/>
                <w:szCs w:val="10"/>
                <w:color w:val="auto"/>
              </w:rPr>
            </w:pPr>
          </w:p>
        </w:tc>
        <w:tc>
          <w:tcPr>
            <w:tcW w:w="4440" w:type="dxa"/>
            <w:vAlign w:val="bottom"/>
          </w:tcPr>
          <w:p>
            <w:pPr>
              <w:spacing w:after="0"/>
              <w:rPr>
                <w:sz w:val="10"/>
                <w:szCs w:val="10"/>
                <w:color w:val="auto"/>
              </w:rPr>
            </w:pPr>
          </w:p>
        </w:tc>
      </w:tr>
      <w:tr>
        <w:trPr>
          <w:trHeight w:val="235"/>
        </w:trPr>
        <w:tc>
          <w:tcPr>
            <w:tcW w:w="980" w:type="dxa"/>
            <w:vAlign w:val="bottom"/>
          </w:tcPr>
          <w:p>
            <w:pPr>
              <w:jc w:val="center"/>
              <w:spacing w:after="0"/>
              <w:rPr>
                <w:sz w:val="20"/>
                <w:szCs w:val="20"/>
                <w:color w:val="auto"/>
              </w:rPr>
            </w:pPr>
            <w:r>
              <w:rPr>
                <w:rFonts w:ascii="Arial" w:cs="Arial" w:eastAsia="Arial" w:hAnsi="Arial"/>
                <w:sz w:val="14"/>
                <w:szCs w:val="14"/>
                <w:color w:val="auto"/>
                <w:w w:val="85"/>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60" w:type="dxa"/>
            <w:vAlign w:val="bottom"/>
            <w:gridSpan w:val="15"/>
          </w:tcPr>
          <w:p>
            <w:pPr>
              <w:spacing w:after="0"/>
              <w:rPr>
                <w:sz w:val="20"/>
                <w:szCs w:val="20"/>
                <w:color w:val="auto"/>
              </w:rPr>
            </w:pPr>
            <w:r>
              <w:rPr>
                <w:rFonts w:ascii="Arial" w:cs="Arial" w:eastAsia="Arial" w:hAnsi="Arial"/>
                <w:sz w:val="14"/>
                <w:szCs w:val="14"/>
                <w:color w:val="auto"/>
                <w:w w:val="97"/>
              </w:rPr>
              <w:t>The following financial information from the Company’s quarterly report on Form 10-Q</w:t>
            </w:r>
          </w:p>
        </w:tc>
        <w:tc>
          <w:tcPr>
            <w:tcW w:w="4440" w:type="dxa"/>
            <w:vAlign w:val="bottom"/>
          </w:tcPr>
          <w:p>
            <w:pPr>
              <w:spacing w:after="0"/>
              <w:rPr>
                <w:sz w:val="20"/>
                <w:szCs w:val="20"/>
                <w:color w:val="auto"/>
              </w:rPr>
            </w:pPr>
            <w:r>
              <w:rPr>
                <w:rFonts w:ascii="Arial" w:cs="Arial" w:eastAsia="Arial" w:hAnsi="Arial"/>
                <w:sz w:val="14"/>
                <w:szCs w:val="14"/>
                <w:color w:val="auto"/>
              </w:rPr>
              <w:t>Filed herewith</w:t>
            </w: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3"/>
              </w:rPr>
              <w:t>for the quarter ended March 31, 2021 formatted in XBRL (extensible Business Reporting</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6"/>
              </w:rPr>
              <w:t>Language): (i) Unaudited Condensed Consolidated Balance Sheets at March 31, 2021</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2"/>
              </w:rPr>
              <w:t>and June 30, 2020; (ii) Unaudited Condensed Consolidated Statements of Operations and</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4"/>
              </w:rPr>
              <w:t>Other Comprehensive Income for the three and nine months ended March 31, 2021 and</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4"/>
              </w:rPr>
              <w:t>2020; (iii) Unaudited Condensed Consolidated Statement of Stockholders’ Equity for the</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9"/>
              </w:rPr>
              <w:t>three and nine months ended March 31, 2021 and 2020; (iv) Unaudited Condensed</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4"/>
              </w:rPr>
              <w:t>Consolidated Statements of Cash Flows for the nine months ended March 31, 2021 and</w:t>
            </w:r>
          </w:p>
        </w:tc>
        <w:tc>
          <w:tcPr>
            <w:tcW w:w="4440" w:type="dxa"/>
            <w:vAlign w:val="bottom"/>
          </w:tcPr>
          <w:p>
            <w:pPr>
              <w:spacing w:after="0"/>
              <w:rPr>
                <w:sz w:val="11"/>
                <w:szCs w:val="11"/>
                <w:color w:val="auto"/>
              </w:rPr>
            </w:pPr>
          </w:p>
        </w:tc>
      </w:tr>
      <w:tr>
        <w:trPr>
          <w:trHeight w:val="138"/>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60" w:type="dxa"/>
            <w:vAlign w:val="bottom"/>
            <w:gridSpan w:val="15"/>
          </w:tcPr>
          <w:p>
            <w:pPr>
              <w:spacing w:after="0" w:line="138" w:lineRule="exact"/>
              <w:rPr>
                <w:sz w:val="20"/>
                <w:szCs w:val="20"/>
                <w:color w:val="auto"/>
              </w:rPr>
            </w:pPr>
            <w:r>
              <w:rPr>
                <w:rFonts w:ascii="Arial" w:cs="Arial" w:eastAsia="Arial" w:hAnsi="Arial"/>
                <w:sz w:val="14"/>
                <w:szCs w:val="14"/>
                <w:color w:val="auto"/>
                <w:w w:val="93"/>
              </w:rPr>
              <w:t>2020; and (v) Notes to Unaudited Condensed Consolidated Financial Statements, tagged</w:t>
            </w:r>
          </w:p>
        </w:tc>
        <w:tc>
          <w:tcPr>
            <w:tcW w:w="4440" w:type="dxa"/>
            <w:vAlign w:val="bottom"/>
          </w:tcPr>
          <w:p>
            <w:pPr>
              <w:spacing w:after="0"/>
              <w:rPr>
                <w:sz w:val="11"/>
                <w:szCs w:val="1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gridSpan w:val="15"/>
          </w:tcPr>
          <w:p>
            <w:pPr>
              <w:spacing w:after="0"/>
              <w:rPr>
                <w:sz w:val="20"/>
                <w:szCs w:val="20"/>
                <w:color w:val="auto"/>
              </w:rPr>
            </w:pPr>
            <w:r>
              <w:rPr>
                <w:rFonts w:ascii="Arial" w:cs="Arial" w:eastAsia="Arial" w:hAnsi="Arial"/>
                <w:sz w:val="14"/>
                <w:szCs w:val="14"/>
                <w:color w:val="auto"/>
              </w:rPr>
              <w:t>as blocks of text</w:t>
            </w:r>
          </w:p>
        </w:tc>
        <w:tc>
          <w:tcPr>
            <w:tcW w:w="4440" w:type="dxa"/>
            <w:vAlign w:val="bottom"/>
          </w:tcPr>
          <w:p>
            <w:pPr>
              <w:spacing w:after="0"/>
              <w:rPr>
                <w:sz w:val="15"/>
                <w:szCs w:val="15"/>
                <w:color w:val="auto"/>
              </w:rPr>
            </w:pPr>
          </w:p>
        </w:tc>
      </w:tr>
      <w:tr>
        <w:trPr>
          <w:trHeight w:val="138"/>
        </w:trPr>
        <w:tc>
          <w:tcPr>
            <w:tcW w:w="980" w:type="dxa"/>
            <w:vAlign w:val="bottom"/>
          </w:tcPr>
          <w:p>
            <w:pPr>
              <w:jc w:val="center"/>
              <w:spacing w:after="0" w:line="139" w:lineRule="exact"/>
              <w:rPr>
                <w:sz w:val="20"/>
                <w:szCs w:val="20"/>
                <w:color w:val="auto"/>
              </w:rPr>
            </w:pPr>
            <w:r>
              <w:rPr>
                <w:rFonts w:ascii="Arial" w:cs="Arial" w:eastAsia="Arial" w:hAnsi="Arial"/>
                <w:sz w:val="14"/>
                <w:szCs w:val="14"/>
                <w:color w:val="auto"/>
                <w:w w:val="85"/>
              </w:rPr>
              <w:t>104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60" w:type="dxa"/>
            <w:vAlign w:val="bottom"/>
            <w:gridSpan w:val="15"/>
          </w:tcPr>
          <w:p>
            <w:pPr>
              <w:spacing w:after="0" w:line="139" w:lineRule="exact"/>
              <w:rPr>
                <w:sz w:val="20"/>
                <w:szCs w:val="20"/>
                <w:color w:val="auto"/>
              </w:rPr>
            </w:pPr>
            <w:r>
              <w:rPr>
                <w:rFonts w:ascii="Arial" w:cs="Arial" w:eastAsia="Arial" w:hAnsi="Arial"/>
                <w:sz w:val="14"/>
                <w:szCs w:val="14"/>
                <w:color w:val="auto"/>
                <w:w w:val="99"/>
              </w:rPr>
              <w:t>Cover Page Interactive Data File (formatted as Inline XBRL and contained in Exhibit</w:t>
            </w:r>
          </w:p>
        </w:tc>
        <w:tc>
          <w:tcPr>
            <w:tcW w:w="4440" w:type="dxa"/>
            <w:vAlign w:val="bottom"/>
          </w:tcPr>
          <w:p>
            <w:pPr>
              <w:spacing w:after="0" w:line="139" w:lineRule="exact"/>
              <w:rPr>
                <w:sz w:val="20"/>
                <w:szCs w:val="20"/>
                <w:color w:val="auto"/>
              </w:rPr>
            </w:pPr>
            <w:r>
              <w:rPr>
                <w:rFonts w:ascii="Arial" w:cs="Arial" w:eastAsia="Arial" w:hAnsi="Arial"/>
                <w:sz w:val="14"/>
                <w:szCs w:val="14"/>
                <w:color w:val="auto"/>
              </w:rPr>
              <w:t>Filed herewith</w:t>
            </w: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tcPr>
          <w:p>
            <w:pPr>
              <w:spacing w:after="0"/>
              <w:rPr>
                <w:sz w:val="20"/>
                <w:szCs w:val="20"/>
                <w:color w:val="auto"/>
              </w:rPr>
            </w:pPr>
            <w:r>
              <w:rPr>
                <w:rFonts w:ascii="Arial" w:cs="Arial" w:eastAsia="Arial" w:hAnsi="Arial"/>
                <w:sz w:val="14"/>
                <w:szCs w:val="14"/>
                <w:color w:val="auto"/>
              </w:rPr>
              <w:t>101</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40" w:type="dxa"/>
            <w:vAlign w:val="bottom"/>
          </w:tcPr>
          <w:p>
            <w:pPr>
              <w:spacing w:after="0"/>
              <w:rPr>
                <w:sz w:val="15"/>
                <w:szCs w:val="15"/>
                <w:color w:val="auto"/>
              </w:rPr>
            </w:pPr>
          </w:p>
        </w:tc>
      </w:tr>
    </w:tbl>
    <w:p>
      <w:pPr>
        <w:spacing w:after="0" w:line="200" w:lineRule="exact"/>
        <w:rPr>
          <w:sz w:val="20"/>
          <w:szCs w:val="20"/>
          <w:color w:val="auto"/>
        </w:rPr>
      </w:pPr>
    </w:p>
    <w:p>
      <w:pPr>
        <w:spacing w:after="0" w:line="214" w:lineRule="exact"/>
        <w:rPr>
          <w:sz w:val="20"/>
          <w:szCs w:val="20"/>
          <w:color w:val="auto"/>
        </w:rPr>
      </w:pPr>
    </w:p>
    <w:p>
      <w:pPr>
        <w:ind w:left="1160" w:hanging="649"/>
        <w:spacing w:after="0"/>
        <w:tabs>
          <w:tab w:leader="none" w:pos="11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Management contract or compensatory plan</w:t>
      </w:r>
    </w:p>
    <w:p>
      <w:pPr>
        <w:spacing w:after="0" w:line="19" w:lineRule="exact"/>
        <w:rPr>
          <w:sz w:val="20"/>
          <w:szCs w:val="20"/>
          <w:color w:val="auto"/>
        </w:rPr>
      </w:pPr>
    </w:p>
    <w:p>
      <w:pPr>
        <w:ind w:left="1160" w:hanging="649"/>
        <w:spacing w:after="0" w:line="312" w:lineRule="auto"/>
        <w:tabs>
          <w:tab w:leader="none" w:pos="11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46" w:right="459" w:bottom="1440" w:gutter="0" w:footer="0" w:header="0"/>
        </w:sectPr>
      </w:pPr>
    </w:p>
    <w:bookmarkStart w:id="32" w:name="page33"/>
    <w:bookmarkEnd w:id="32"/>
    <w:p>
      <w:pPr>
        <w:ind w:left="5180"/>
        <w:spacing w:after="0"/>
        <w:rPr>
          <w:sz w:val="20"/>
          <w:szCs w:val="20"/>
          <w:color w:val="auto"/>
        </w:rPr>
      </w:pPr>
      <w:r>
        <w:rPr>
          <w:rFonts w:ascii="Arial" w:cs="Arial" w:eastAsia="Arial" w:hAnsi="Arial"/>
          <w:sz w:val="14"/>
          <w:szCs w:val="14"/>
          <w:b w:val="1"/>
          <w:bCs w:val="1"/>
          <w:color w:val="auto"/>
        </w:rPr>
        <w:t>SIGNATURES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LIFEVANTAGE CORPORATION</w:t>
      </w:r>
    </w:p>
    <w:p>
      <w:pPr>
        <w:spacing w:after="0" w:line="232" w:lineRule="exact"/>
        <w:rPr>
          <w:sz w:val="20"/>
          <w:szCs w:val="20"/>
          <w:color w:val="auto"/>
        </w:rPr>
      </w:pPr>
    </w:p>
    <w:p>
      <w:pPr>
        <w:ind w:left="20"/>
        <w:spacing w:after="0"/>
        <w:tabs>
          <w:tab w:leader="none" w:pos="640" w:val="left"/>
          <w:tab w:leader="none" w:pos="5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April 29, 2021</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12065</wp:posOffset>
            </wp:positionV>
            <wp:extent cx="365823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4"/>
          <w:szCs w:val="14"/>
          <w:color w:val="auto"/>
        </w:rPr>
        <w:t>Steven R. Fife</w:t>
      </w:r>
    </w:p>
    <w:p>
      <w:pPr>
        <w:ind w:left="5540"/>
        <w:spacing w:after="0" w:line="205" w:lineRule="auto"/>
        <w:rPr>
          <w:sz w:val="20"/>
          <w:szCs w:val="20"/>
          <w:color w:val="auto"/>
        </w:rPr>
      </w:pPr>
      <w:r>
        <w:rPr>
          <w:rFonts w:ascii="Arial" w:cs="Arial" w:eastAsia="Arial" w:hAnsi="Arial"/>
          <w:sz w:val="14"/>
          <w:szCs w:val="14"/>
          <w:color w:val="auto"/>
        </w:rPr>
        <w:t>President and Chief Executive Officer</w:t>
      </w:r>
    </w:p>
    <w:p>
      <w:pPr>
        <w:ind w:left="5540"/>
        <w:spacing w:after="0"/>
        <w:rPr>
          <w:sz w:val="20"/>
          <w:szCs w:val="20"/>
          <w:color w:val="auto"/>
        </w:rPr>
      </w:pPr>
      <w:r>
        <w:rPr>
          <w:rFonts w:ascii="Arial" w:cs="Arial" w:eastAsia="Arial" w:hAnsi="Arial"/>
          <w:sz w:val="14"/>
          <w:szCs w:val="14"/>
          <w:color w:val="auto"/>
        </w:rPr>
        <w:t>(Principal Executive Officer)</w:t>
      </w:r>
    </w:p>
    <w:p>
      <w:pPr>
        <w:spacing w:after="0" w:line="220" w:lineRule="exact"/>
        <w:rPr>
          <w:sz w:val="20"/>
          <w:szCs w:val="20"/>
          <w:color w:val="auto"/>
        </w:rPr>
      </w:pPr>
    </w:p>
    <w:p>
      <w:pPr>
        <w:ind w:left="20"/>
        <w:spacing w:after="0"/>
        <w:tabs>
          <w:tab w:leader="none" w:pos="640" w:val="left"/>
          <w:tab w:leader="none" w:pos="55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April 29, 2021</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12065</wp:posOffset>
            </wp:positionV>
            <wp:extent cx="365823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4"/>
          <w:szCs w:val="14"/>
          <w:color w:val="auto"/>
        </w:rPr>
        <w:t>Steven R. Fife</w:t>
      </w:r>
    </w:p>
    <w:p>
      <w:pPr>
        <w:ind w:left="5540"/>
        <w:spacing w:after="0" w:line="205" w:lineRule="auto"/>
        <w:rPr>
          <w:sz w:val="20"/>
          <w:szCs w:val="20"/>
          <w:color w:val="auto"/>
        </w:rPr>
      </w:pPr>
      <w:r>
        <w:rPr>
          <w:rFonts w:ascii="Arial" w:cs="Arial" w:eastAsia="Arial" w:hAnsi="Arial"/>
          <w:sz w:val="14"/>
          <w:szCs w:val="14"/>
          <w:color w:val="auto"/>
        </w:rPr>
        <w:t>Chief Financial Officer</w:t>
      </w:r>
    </w:p>
    <w:p>
      <w:pPr>
        <w:ind w:left="5540"/>
        <w:spacing w:after="0"/>
        <w:rPr>
          <w:sz w:val="20"/>
          <w:szCs w:val="20"/>
          <w:color w:val="auto"/>
        </w:rPr>
      </w:pPr>
      <w:r>
        <w:rPr>
          <w:rFonts w:ascii="Arial" w:cs="Arial" w:eastAsia="Arial" w:hAnsi="Arial"/>
          <w:sz w:val="14"/>
          <w:szCs w:val="14"/>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380"/>
          </w:cols>
          <w:pgMar w:left="300" w:top="846" w:right="121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 Steven R. Fife, certify that:</w:t>
      </w:r>
    </w:p>
    <w:p>
      <w:pPr>
        <w:spacing w:after="0" w:line="125"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LifeVantage Corporation;</w:t>
      </w:r>
    </w:p>
    <w:p>
      <w:pPr>
        <w:spacing w:after="0" w:line="125"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4"/>
          <w:szCs w:val="14"/>
          <w:color w:val="auto"/>
        </w:rPr>
      </w:pPr>
    </w:p>
    <w:p>
      <w:pPr>
        <w:ind w:left="320" w:right="220" w:hanging="315"/>
        <w:spacing w:after="0" w:line="281"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4"/>
          <w:szCs w:val="14"/>
          <w:color w:val="auto"/>
        </w:rPr>
      </w:pPr>
    </w:p>
    <w:p>
      <w:pPr>
        <w:ind w:left="640" w:right="160" w:hanging="317"/>
        <w:spacing w:after="0" w:line="368" w:lineRule="auto"/>
        <w:tabs>
          <w:tab w:leader="none" w:pos="632"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2"/>
          <w:szCs w:val="12"/>
          <w:color w:val="auto"/>
        </w:rPr>
      </w:pPr>
    </w:p>
    <w:p>
      <w:pPr>
        <w:ind w:left="640" w:right="360" w:hanging="317"/>
        <w:spacing w:after="0" w:line="368" w:lineRule="auto"/>
        <w:tabs>
          <w:tab w:leader="none" w:pos="640" w:val="left"/>
        </w:tabs>
        <w:numPr>
          <w:ilvl w:val="1"/>
          <w:numId w:val="1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2"/>
          <w:szCs w:val="12"/>
          <w:color w:val="auto"/>
        </w:rPr>
      </w:pPr>
    </w:p>
    <w:p>
      <w:pPr>
        <w:ind w:left="640" w:right="560" w:hanging="317"/>
        <w:spacing w:after="0" w:line="281" w:lineRule="auto"/>
        <w:tabs>
          <w:tab w:leader="none" w:pos="632"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640" w:right="200" w:hanging="317"/>
        <w:spacing w:after="0" w:line="321" w:lineRule="auto"/>
        <w:tabs>
          <w:tab w:leader="none" w:pos="640" w:val="left"/>
        </w:tabs>
        <w:numPr>
          <w:ilvl w:val="1"/>
          <w:numId w:val="1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3"/>
          <w:szCs w:val="13"/>
          <w:color w:val="auto"/>
        </w:rPr>
      </w:pPr>
    </w:p>
    <w:p>
      <w:pPr>
        <w:ind w:left="320" w:right="100" w:hanging="315"/>
        <w:spacing w:after="0" w:line="281" w:lineRule="auto"/>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4"/>
          <w:szCs w:val="14"/>
          <w:color w:val="auto"/>
        </w:rPr>
      </w:pPr>
    </w:p>
    <w:p>
      <w:pPr>
        <w:ind w:left="640" w:right="240" w:hanging="317"/>
        <w:spacing w:after="0" w:line="281" w:lineRule="auto"/>
        <w:tabs>
          <w:tab w:leader="none" w:pos="632"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640" w:hanging="317"/>
        <w:spacing w:after="0"/>
        <w:tabs>
          <w:tab w:leader="none" w:pos="6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Date: April 29, 2021</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97815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Steven R. Fife</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29" w:right="31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31.2</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 Steven R. Fife, certify that:</w:t>
      </w:r>
    </w:p>
    <w:p>
      <w:pPr>
        <w:spacing w:after="0" w:line="125"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LifeVantage Corporation;</w:t>
      </w:r>
    </w:p>
    <w:p>
      <w:pPr>
        <w:spacing w:after="0" w:line="125"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4"/>
          <w:szCs w:val="14"/>
          <w:color w:val="auto"/>
        </w:rPr>
      </w:pPr>
    </w:p>
    <w:p>
      <w:pPr>
        <w:ind w:left="320" w:right="220" w:hanging="315"/>
        <w:spacing w:after="0" w:line="28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9" w:lineRule="exact"/>
        <w:rPr>
          <w:rFonts w:ascii="Arial" w:cs="Arial" w:eastAsia="Arial" w:hAnsi="Arial"/>
          <w:sz w:val="14"/>
          <w:szCs w:val="14"/>
          <w:color w:val="auto"/>
        </w:rPr>
      </w:pPr>
    </w:p>
    <w:p>
      <w:pPr>
        <w:ind w:left="640" w:right="160" w:hanging="317"/>
        <w:spacing w:after="0" w:line="368" w:lineRule="auto"/>
        <w:tabs>
          <w:tab w:leader="none" w:pos="632"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2"/>
          <w:szCs w:val="12"/>
          <w:color w:val="auto"/>
        </w:rPr>
      </w:pPr>
    </w:p>
    <w:p>
      <w:pPr>
        <w:ind w:left="640" w:right="360" w:hanging="317"/>
        <w:spacing w:after="0" w:line="368" w:lineRule="auto"/>
        <w:tabs>
          <w:tab w:leader="none" w:pos="640" w:val="left"/>
        </w:tabs>
        <w:numPr>
          <w:ilvl w:val="1"/>
          <w:numId w:val="1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 w:lineRule="exact"/>
        <w:rPr>
          <w:rFonts w:ascii="Arial" w:cs="Arial" w:eastAsia="Arial" w:hAnsi="Arial"/>
          <w:sz w:val="12"/>
          <w:szCs w:val="12"/>
          <w:color w:val="auto"/>
        </w:rPr>
      </w:pPr>
    </w:p>
    <w:p>
      <w:pPr>
        <w:ind w:left="640" w:right="560" w:hanging="317"/>
        <w:spacing w:after="0" w:line="281" w:lineRule="auto"/>
        <w:tabs>
          <w:tab w:leader="none" w:pos="632"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640" w:right="200" w:hanging="317"/>
        <w:spacing w:after="0" w:line="321" w:lineRule="auto"/>
        <w:tabs>
          <w:tab w:leader="none" w:pos="640" w:val="left"/>
        </w:tabs>
        <w:numPr>
          <w:ilvl w:val="1"/>
          <w:numId w:val="1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3"/>
          <w:szCs w:val="13"/>
          <w:color w:val="auto"/>
        </w:rPr>
      </w:pPr>
    </w:p>
    <w:p>
      <w:pPr>
        <w:ind w:left="320" w:right="100" w:hanging="315"/>
        <w:spacing w:after="0" w:line="281" w:lineRule="auto"/>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4"/>
          <w:szCs w:val="14"/>
          <w:color w:val="auto"/>
        </w:rPr>
      </w:pPr>
    </w:p>
    <w:p>
      <w:pPr>
        <w:ind w:left="640" w:right="240" w:hanging="317"/>
        <w:spacing w:after="0" w:line="281" w:lineRule="auto"/>
        <w:tabs>
          <w:tab w:leader="none" w:pos="632"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640" w:hanging="317"/>
        <w:spacing w:after="0"/>
        <w:tabs>
          <w:tab w:leader="none" w:pos="6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Date: April 29, 2021</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97815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Steven R. Fife</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730"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32.1</w:t>
      </w:r>
    </w:p>
    <w:p>
      <w:pPr>
        <w:spacing w:after="0" w:line="12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CERTIFICATION PURSUANT TO 18 U.S.C. SECTION 1350, AS ADOPTED</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PURSUANT TO SECTION 906 OF THE SARBANES-OXLEY ACT OF 2002</w:t>
      </w:r>
    </w:p>
    <w:p>
      <w:pPr>
        <w:spacing w:after="0" w:line="105" w:lineRule="exact"/>
        <w:rPr>
          <w:sz w:val="20"/>
          <w:szCs w:val="20"/>
          <w:color w:val="auto"/>
        </w:rPr>
      </w:pPr>
    </w:p>
    <w:p>
      <w:pPr>
        <w:ind w:right="240" w:firstLine="350"/>
        <w:spacing w:after="0" w:line="267" w:lineRule="auto"/>
        <w:rPr>
          <w:sz w:val="20"/>
          <w:szCs w:val="20"/>
          <w:color w:val="auto"/>
        </w:rPr>
      </w:pPr>
      <w:r>
        <w:rPr>
          <w:rFonts w:ascii="Arial" w:cs="Arial" w:eastAsia="Arial" w:hAnsi="Arial"/>
          <w:sz w:val="14"/>
          <w:szCs w:val="14"/>
          <w:color w:val="auto"/>
        </w:rPr>
        <w:t>In connection with the filing of this quarterly report on Form 10-Q of LifeVantage Corporation (the “Company”) for the period ended March 31, 2021,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89" w:lineRule="exact"/>
        <w:rPr>
          <w:sz w:val="20"/>
          <w:szCs w:val="20"/>
          <w:color w:val="auto"/>
        </w:rPr>
      </w:pPr>
    </w:p>
    <w:p>
      <w:pPr>
        <w:ind w:left="640" w:hanging="317"/>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25" w:lineRule="exact"/>
        <w:rPr>
          <w:rFonts w:ascii="Arial" w:cs="Arial" w:eastAsia="Arial" w:hAnsi="Arial"/>
          <w:sz w:val="14"/>
          <w:szCs w:val="14"/>
          <w:color w:val="auto"/>
        </w:rPr>
      </w:pPr>
    </w:p>
    <w:p>
      <w:pPr>
        <w:ind w:left="640" w:hanging="317"/>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foregoing certification is being furnished solely pursuant to 18 U.S.C. § 1350 and is not being filed as part of the report or as a separate disclosure document.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Date: April 29, 2021</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9781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Steven R. Fife</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(Principal Executive Officer)</w:t>
      </w:r>
    </w:p>
    <w:p>
      <w:pPr>
        <w:spacing w:after="0" w:line="9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80"/>
          </w:cols>
          <w:pgMar w:left="300" w:top="730" w:right="31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Exhibit 32.2</w:t>
      </w:r>
    </w:p>
    <w:p>
      <w:pPr>
        <w:spacing w:after="0" w:line="12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CERTIFICATION PURSUANT TO 18 U.S.C. SECTION 1350, AS ADOPTED</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PURSUANT TO SECTION 906 OF THE SARBANES-OXLEY ACT OF 2002</w:t>
      </w:r>
    </w:p>
    <w:p>
      <w:pPr>
        <w:spacing w:after="0" w:line="105" w:lineRule="exact"/>
        <w:rPr>
          <w:sz w:val="20"/>
          <w:szCs w:val="20"/>
          <w:color w:val="auto"/>
        </w:rPr>
      </w:pPr>
    </w:p>
    <w:p>
      <w:pPr>
        <w:ind w:right="280" w:firstLine="350"/>
        <w:spacing w:after="0" w:line="267" w:lineRule="auto"/>
        <w:rPr>
          <w:sz w:val="20"/>
          <w:szCs w:val="20"/>
          <w:color w:val="auto"/>
        </w:rPr>
      </w:pPr>
      <w:r>
        <w:rPr>
          <w:rFonts w:ascii="Arial" w:cs="Arial" w:eastAsia="Arial" w:hAnsi="Arial"/>
          <w:sz w:val="14"/>
          <w:szCs w:val="14"/>
          <w:color w:val="auto"/>
        </w:rPr>
        <w:t>In connection with the filing of this quarterly report on Form 10-Q of LifeVantage Corporation (the “Company”) for the period ended March 31, 2021,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89" w:lineRule="exact"/>
        <w:rPr>
          <w:sz w:val="20"/>
          <w:szCs w:val="20"/>
          <w:color w:val="auto"/>
        </w:rPr>
      </w:pPr>
    </w:p>
    <w:p>
      <w:pPr>
        <w:ind w:left="640" w:hanging="317"/>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25" w:lineRule="exact"/>
        <w:rPr>
          <w:rFonts w:ascii="Arial" w:cs="Arial" w:eastAsia="Arial" w:hAnsi="Arial"/>
          <w:sz w:val="14"/>
          <w:szCs w:val="14"/>
          <w:color w:val="auto"/>
        </w:rPr>
      </w:pPr>
    </w:p>
    <w:p>
      <w:pPr>
        <w:ind w:left="640" w:hanging="317"/>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foregoing certification is being furnished solely pursuant to 18 U.S.C. § 1350 and is not being filed as part of the report or as a separate disclosure document.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Date: April 29, 2021</w:t>
      </w:r>
    </w:p>
    <w:p>
      <w:pPr>
        <w:spacing w:after="0" w:line="157"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97815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Steven R. Fife</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4"/>
          <w:szCs w:val="14"/>
          <w:color w:val="auto"/>
        </w:rPr>
        <w:t>(Principal Financial Officer)</w:t>
      </w:r>
    </w:p>
    <w:p>
      <w:pPr>
        <w:spacing w:after="0" w:line="94"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41" Type="http://schemas.openxmlformats.org/officeDocument/2006/relationships/hyperlink" Target="http://www.sec.gov/Archives/edgar/data/849146/000084914618000046/ex31-certificateofincorpor.htm" TargetMode="External"/><Relationship Id="rId42"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2021-04-29T16:17:45Z</dcterms:created>
  <dcterms:modified xsi:type="dcterms:W3CDTF">2021-04-29T16:17:45Z</dcterms:modified>
</cp:coreProperties>
</file>